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0"/>
      </w:tblGrid>
      <w:tr w14:paraId="255408ED" w14:textId="77777777" w:rsidTr="00A7264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187"/>
          <w:jc w:val="center"/>
        </w:trPr>
        <w:tc>
          <w:tcPr>
            <w:tcW w:w="9360" w:type="dxa"/>
            <w:shd w:val="clear" w:color="auto" w:fill="000000"/>
          </w:tcPr>
          <w:p w:rsidR="00385009" w:rsidRPr="00A7264A" w:rsidP="00AF635B" w14:paraId="79DCC3E4" w14:textId="77777777">
            <w:pPr>
              <w:rPr>
                <w:rFonts w:ascii="Arial" w:hAnsi="Arial" w:cs="Arial"/>
                <w:b/>
              </w:rPr>
            </w:pPr>
          </w:p>
        </w:tc>
      </w:tr>
    </w:tbl>
    <w:p w:rsidR="00385009" w:rsidRPr="00415E0E" w:rsidP="00AF635B" w14:paraId="23E732C2" w14:textId="77777777">
      <w:pPr>
        <w:rPr>
          <w:rFonts w:ascii="Arial" w:hAnsi="Arial" w:cs="Arial"/>
          <w:b/>
        </w:rPr>
      </w:pPr>
      <w:r>
        <w:rPr>
          <w:rFonts w:ascii="Arial" w:hAnsi="Arial" w:cs="Arial"/>
          <w:b/>
          <w:noProof/>
        </w:rPr>
        <w:drawing>
          <wp:anchor distT="0" distB="0" distL="114300" distR="114300" simplePos="0" relativeHeight="251658240" behindDoc="0" locked="0" layoutInCell="1" allowOverlap="1">
            <wp:simplePos x="0" y="0"/>
            <wp:positionH relativeFrom="column">
              <wp:posOffset>5423535</wp:posOffset>
            </wp:positionH>
            <wp:positionV relativeFrom="paragraph">
              <wp:posOffset>106045</wp:posOffset>
            </wp:positionV>
            <wp:extent cx="530225" cy="690245"/>
            <wp:effectExtent l="0" t="0" r="3175" b="0"/>
            <wp:wrapNone/>
            <wp:docPr id="2" name="Picture 2" descr="NPS%20arrowhead%20black%20&amp;%20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PS%20arrowhead%20black%20&amp;%20white"/>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009" w:rsidRPr="00415E0E" w:rsidP="00AF635B" w14:paraId="7792FAF7" w14:textId="77777777">
      <w:pPr>
        <w:rPr>
          <w:rFonts w:ascii="Arial" w:hAnsi="Arial" w:cs="Arial"/>
          <w:b/>
        </w:rPr>
      </w:pPr>
      <w:r w:rsidRPr="00415E0E">
        <w:rPr>
          <w:rFonts w:ascii="Arial" w:hAnsi="Arial" w:cs="Arial"/>
          <w:b/>
        </w:rPr>
        <w:t>National Park Service</w:t>
      </w:r>
    </w:p>
    <w:p w:rsidR="00385009" w:rsidRPr="00415E0E" w:rsidP="00AF635B" w14:paraId="5CB2C24D" w14:textId="77777777">
      <w:pPr>
        <w:rPr>
          <w:rFonts w:ascii="Arial" w:hAnsi="Arial" w:cs="Arial"/>
          <w:b/>
        </w:rPr>
      </w:pPr>
      <w:r w:rsidRPr="00415E0E">
        <w:rPr>
          <w:rFonts w:ascii="Arial" w:hAnsi="Arial" w:cs="Arial"/>
          <w:b/>
        </w:rPr>
        <w:t>U.S. Department of the Interior</w:t>
      </w:r>
    </w:p>
    <w:p w:rsidR="00385009" w:rsidRPr="00415E0E" w:rsidP="00AF635B" w14:paraId="50D4E574" w14:textId="77777777">
      <w:pPr>
        <w:rPr>
          <w:rFonts w:ascii="Arial" w:hAnsi="Arial" w:cs="Arial"/>
          <w:b/>
        </w:rPr>
      </w:pPr>
    </w:p>
    <w:p w:rsidR="00385009" w:rsidRPr="00415E0E" w:rsidP="00AF635B" w14:paraId="1273790C" w14:textId="77777777">
      <w:pPr>
        <w:pBdr>
          <w:bottom w:val="single" w:sz="4" w:space="1" w:color="auto"/>
        </w:pBdr>
        <w:rPr>
          <w:rFonts w:ascii="Arial" w:hAnsi="Arial" w:cs="Arial"/>
          <w:b/>
        </w:rPr>
      </w:pPr>
    </w:p>
    <w:p w:rsidR="00385009" w:rsidP="00D41A12" w14:paraId="72F77608" w14:textId="77777777"/>
    <w:p w:rsidR="00385009" w:rsidRPr="00385009" w:rsidP="00D41A12" w14:paraId="1A780559" w14:textId="77777777"/>
    <w:p w:rsidR="00385009" w:rsidRPr="00385009" w:rsidP="00D41A12" w14:paraId="0971E54D" w14:textId="77777777"/>
    <w:p w:rsidR="00385009" w:rsidRPr="00385009" w:rsidP="00D41A12" w14:paraId="717676C3" w14:textId="77777777"/>
    <w:p w:rsidR="00385009" w:rsidRPr="00385009" w:rsidP="00D41A12" w14:paraId="68B71518" w14:textId="77777777"/>
    <w:p w:rsidR="00385009" w:rsidRPr="00385009" w:rsidP="00D41A12" w14:paraId="52B1161B" w14:textId="77777777"/>
    <w:p w:rsidR="008E5D64" w:rsidRPr="00385009" w:rsidP="00AF635B" w14:paraId="6EA9E239" w14:textId="67FEE5B1">
      <w:pPr>
        <w:jc w:val="center"/>
        <w:rPr>
          <w:b/>
          <w:i/>
          <w:sz w:val="32"/>
          <w:szCs w:val="32"/>
        </w:rPr>
      </w:pPr>
      <w:r>
        <w:rPr>
          <w:b/>
          <w:i/>
          <w:sz w:val="32"/>
          <w:szCs w:val="32"/>
        </w:rPr>
        <w:t xml:space="preserve">Cost-Benefit and Regulatory Flexibility </w:t>
      </w:r>
      <w:r w:rsidR="00BD6DE4">
        <w:rPr>
          <w:b/>
          <w:i/>
          <w:sz w:val="32"/>
          <w:szCs w:val="32"/>
        </w:rPr>
        <w:t xml:space="preserve">Threshold </w:t>
      </w:r>
      <w:r>
        <w:rPr>
          <w:b/>
          <w:i/>
          <w:sz w:val="32"/>
          <w:szCs w:val="32"/>
        </w:rPr>
        <w:t>Analyses</w:t>
      </w:r>
      <w:r w:rsidRPr="00385009">
        <w:rPr>
          <w:b/>
          <w:i/>
          <w:sz w:val="32"/>
          <w:szCs w:val="32"/>
        </w:rPr>
        <w:t>:</w:t>
      </w:r>
    </w:p>
    <w:p w:rsidR="00566594" w:rsidP="00AF635B" w14:paraId="0DE9FC5E" w14:textId="66382FEE">
      <w:pPr>
        <w:jc w:val="center"/>
        <w:rPr>
          <w:sz w:val="32"/>
          <w:szCs w:val="32"/>
        </w:rPr>
      </w:pPr>
      <w:r w:rsidRPr="006F174F">
        <w:rPr>
          <w:b/>
          <w:i/>
          <w:sz w:val="32"/>
          <w:szCs w:val="32"/>
        </w:rPr>
        <w:t xml:space="preserve">Native American Graves Protection and Repatriation Act </w:t>
      </w:r>
      <w:r w:rsidR="00041982">
        <w:rPr>
          <w:b/>
          <w:i/>
          <w:sz w:val="32"/>
          <w:szCs w:val="32"/>
        </w:rPr>
        <w:t xml:space="preserve">Proposed </w:t>
      </w:r>
      <w:r>
        <w:rPr>
          <w:b/>
          <w:i/>
          <w:sz w:val="32"/>
          <w:szCs w:val="32"/>
        </w:rPr>
        <w:t xml:space="preserve">Revisions </w:t>
      </w:r>
    </w:p>
    <w:p w:rsidR="00385009" w:rsidP="00D41A12" w14:paraId="648349DC" w14:textId="77777777"/>
    <w:p w:rsidR="00385009" w:rsidP="00D41A12" w14:paraId="1BB5611B" w14:textId="77777777"/>
    <w:p w:rsidR="00385009" w:rsidP="00D41A12" w14:paraId="185AF6AB" w14:textId="77777777"/>
    <w:p w:rsidR="00385009" w:rsidP="00D41A12" w14:paraId="74B5B7E3" w14:textId="77777777"/>
    <w:p w:rsidR="00385009" w:rsidP="00D41A12" w14:paraId="7A5C8163" w14:textId="77777777"/>
    <w:p w:rsidR="00385009" w:rsidP="00D41A12" w14:paraId="49DCB1F8" w14:textId="77777777"/>
    <w:p w:rsidR="00385009" w:rsidP="00D41A12" w14:paraId="32A44C70" w14:textId="3BD434AA"/>
    <w:p w:rsidR="006F174F" w:rsidP="00D41A12" w14:paraId="56F53905" w14:textId="77777777"/>
    <w:p w:rsidR="00385009" w:rsidP="00D41A12" w14:paraId="64153A41" w14:textId="77777777"/>
    <w:p w:rsidR="00385009" w:rsidP="00D41A12" w14:paraId="1D68BA17" w14:textId="77777777"/>
    <w:p w:rsidR="00385009" w:rsidP="00D41A12" w14:paraId="55B7BC1A" w14:textId="77777777"/>
    <w:p w:rsidR="00385009" w:rsidP="00D41A12" w14:paraId="04B810AF" w14:textId="77777777"/>
    <w:p w:rsidR="00385009" w:rsidP="00D41A12" w14:paraId="2464B7E2" w14:textId="77777777"/>
    <w:p w:rsidR="00385009" w:rsidP="00D41A12" w14:paraId="46EF1651" w14:textId="77777777"/>
    <w:p w:rsidR="00385009" w:rsidP="00D41A12" w14:paraId="5D380AA0" w14:textId="77777777"/>
    <w:p w:rsidR="00B333FB" w:rsidRPr="00385009" w:rsidP="00AF635B" w14:paraId="49FC76DD" w14:textId="77777777">
      <w:pPr>
        <w:jc w:val="center"/>
      </w:pPr>
      <w:r>
        <w:t>National Park Service</w:t>
      </w:r>
    </w:p>
    <w:p w:rsidR="00041982" w:rsidRPr="00E0359A" w:rsidP="00AF635B" w14:paraId="4CD3F6A6" w14:textId="71B8BB45">
      <w:pPr>
        <w:jc w:val="center"/>
      </w:pPr>
    </w:p>
    <w:p w:rsidR="00385009" w:rsidRPr="00E0359A" w:rsidP="00AF635B" w14:paraId="7AAA1B70" w14:textId="77777777">
      <w:pPr>
        <w:jc w:val="center"/>
      </w:pPr>
    </w:p>
    <w:p w:rsidR="00385009" w:rsidRPr="004E1A2D" w:rsidP="00AF635B" w14:paraId="6AEB8F6C" w14:textId="1427A0DA">
      <w:pPr>
        <w:jc w:val="center"/>
      </w:pPr>
      <w:r>
        <w:t>February</w:t>
      </w:r>
      <w:r w:rsidRPr="00E87D25" w:rsidR="009D7696">
        <w:t xml:space="preserve"> </w:t>
      </w:r>
      <w:r w:rsidRPr="00E87D25" w:rsidR="002F2328">
        <w:t>20</w:t>
      </w:r>
      <w:r w:rsidRPr="00E87D25" w:rsidR="00E87D25">
        <w:t>2</w:t>
      </w:r>
      <w:r w:rsidR="009D7696">
        <w:t>2</w:t>
      </w:r>
    </w:p>
    <w:p w:rsidR="00AD03FB" w:rsidRPr="004E1A2D" w:rsidP="00AF635B" w14:paraId="048855A2" w14:textId="34858B58">
      <w:pPr>
        <w:jc w:val="center"/>
      </w:pPr>
      <w:r>
        <w:t>Updated June</w:t>
      </w:r>
      <w:r w:rsidR="004B1366">
        <w:t>-</w:t>
      </w:r>
      <w:r w:rsidR="00846F5B">
        <w:t>September</w:t>
      </w:r>
      <w:r>
        <w:t xml:space="preserve"> 2022</w:t>
      </w:r>
    </w:p>
    <w:p w:rsidR="009A3B2C" w:rsidP="00AF635B" w14:paraId="69EA0643" w14:textId="77777777">
      <w:r>
        <w:br w:type="page"/>
      </w:r>
    </w:p>
    <w:p w:rsidR="009A3B2C" w:rsidRPr="00EA6C78" w:rsidP="00EA6C78" w14:paraId="22E715CE" w14:textId="19FDF0FB">
      <w:pPr>
        <w:jc w:val="center"/>
        <w:rPr>
          <w:b/>
          <w:bCs/>
        </w:rPr>
      </w:pPr>
      <w:r w:rsidRPr="00EA6C78">
        <w:rPr>
          <w:b/>
          <w:bCs/>
        </w:rPr>
        <w:t>Table of Contents</w:t>
      </w:r>
      <w:r w:rsidR="00EA6C78">
        <w:rPr>
          <w:b/>
          <w:bCs/>
        </w:rPr>
        <w:t xml:space="preserve"> and List of Tables</w:t>
      </w:r>
    </w:p>
    <w:p w:rsidR="009A3B2C" w:rsidP="00D71D87" w14:paraId="163C3869" w14:textId="77777777"/>
    <w:p w:rsidR="007C4950" w14:paraId="7DD91E37" w14:textId="5871E3DC">
      <w:pPr>
        <w:pStyle w:val="TOC1"/>
        <w:tabs>
          <w:tab w:val="right" w:leader="dot" w:pos="8630"/>
        </w:tabs>
        <w:rPr>
          <w:rFonts w:asciiTheme="minorHAnsi" w:eastAsiaTheme="minorEastAsia" w:hAnsiTheme="minorHAnsi" w:cstheme="minorBidi"/>
          <w:noProof/>
          <w:sz w:val="22"/>
          <w:szCs w:val="22"/>
        </w:rPr>
      </w:pPr>
      <w:r>
        <w:rPr>
          <w:i/>
        </w:rPr>
        <w:fldChar w:fldCharType="begin"/>
      </w:r>
      <w:r>
        <w:rPr>
          <w:i/>
        </w:rPr>
        <w:instrText xml:space="preserve"> TOC \o "1-2" \h \z \u </w:instrText>
      </w:r>
      <w:r>
        <w:rPr>
          <w:i/>
        </w:rPr>
        <w:fldChar w:fldCharType="separate"/>
      </w:r>
      <w:hyperlink w:anchor="_Toc113866992" w:history="1">
        <w:r w:rsidRPr="00C31E12">
          <w:rPr>
            <w:rStyle w:val="Hyperlink"/>
            <w:noProof/>
          </w:rPr>
          <w:t>Introduction</w:t>
        </w:r>
        <w:r>
          <w:rPr>
            <w:noProof/>
            <w:webHidden/>
          </w:rPr>
          <w:tab/>
        </w:r>
        <w:r>
          <w:rPr>
            <w:noProof/>
            <w:webHidden/>
          </w:rPr>
          <w:fldChar w:fldCharType="begin"/>
        </w:r>
        <w:r>
          <w:rPr>
            <w:noProof/>
            <w:webHidden/>
          </w:rPr>
          <w:instrText xml:space="preserve"> PAGEREF _Toc113866992 \h </w:instrText>
        </w:r>
        <w:r>
          <w:rPr>
            <w:noProof/>
            <w:webHidden/>
          </w:rPr>
          <w:fldChar w:fldCharType="separate"/>
        </w:r>
        <w:r>
          <w:rPr>
            <w:noProof/>
            <w:webHidden/>
          </w:rPr>
          <w:t>1</w:t>
        </w:r>
        <w:r>
          <w:rPr>
            <w:noProof/>
            <w:webHidden/>
          </w:rPr>
          <w:fldChar w:fldCharType="end"/>
        </w:r>
      </w:hyperlink>
    </w:p>
    <w:p w:rsidR="007C4950" w14:paraId="0D69131A" w14:textId="7F061238">
      <w:pPr>
        <w:pStyle w:val="TOC1"/>
        <w:tabs>
          <w:tab w:val="right" w:leader="dot" w:pos="8630"/>
        </w:tabs>
        <w:rPr>
          <w:rFonts w:asciiTheme="minorHAnsi" w:eastAsiaTheme="minorEastAsia" w:hAnsiTheme="minorHAnsi" w:cstheme="minorBidi"/>
          <w:noProof/>
          <w:sz w:val="22"/>
          <w:szCs w:val="22"/>
        </w:rPr>
      </w:pPr>
      <w:hyperlink w:anchor="_Toc113866993" w:history="1">
        <w:r w:rsidRPr="00C31E12">
          <w:rPr>
            <w:rStyle w:val="Hyperlink"/>
            <w:noProof/>
          </w:rPr>
          <w:t>Cost-Benefit Analysis</w:t>
        </w:r>
        <w:r>
          <w:rPr>
            <w:noProof/>
            <w:webHidden/>
          </w:rPr>
          <w:tab/>
        </w:r>
        <w:r>
          <w:rPr>
            <w:noProof/>
            <w:webHidden/>
          </w:rPr>
          <w:fldChar w:fldCharType="begin"/>
        </w:r>
        <w:r>
          <w:rPr>
            <w:noProof/>
            <w:webHidden/>
          </w:rPr>
          <w:instrText xml:space="preserve"> PAGEREF _Toc113866993 \h </w:instrText>
        </w:r>
        <w:r>
          <w:rPr>
            <w:noProof/>
            <w:webHidden/>
          </w:rPr>
          <w:fldChar w:fldCharType="separate"/>
        </w:r>
        <w:r>
          <w:rPr>
            <w:noProof/>
            <w:webHidden/>
          </w:rPr>
          <w:t>1</w:t>
        </w:r>
        <w:r>
          <w:rPr>
            <w:noProof/>
            <w:webHidden/>
          </w:rPr>
          <w:fldChar w:fldCharType="end"/>
        </w:r>
      </w:hyperlink>
    </w:p>
    <w:p w:rsidR="007C4950" w14:paraId="130E8E4F" w14:textId="13C10C84">
      <w:pPr>
        <w:pStyle w:val="TOC2"/>
        <w:tabs>
          <w:tab w:val="right" w:leader="dot" w:pos="8630"/>
        </w:tabs>
        <w:rPr>
          <w:rFonts w:asciiTheme="minorHAnsi" w:eastAsiaTheme="minorEastAsia" w:hAnsiTheme="minorHAnsi" w:cstheme="minorBidi"/>
          <w:noProof/>
          <w:sz w:val="22"/>
          <w:szCs w:val="22"/>
        </w:rPr>
      </w:pPr>
      <w:hyperlink w:anchor="_Toc113866994" w:history="1">
        <w:r w:rsidRPr="00C31E12">
          <w:rPr>
            <w:rStyle w:val="Hyperlink"/>
            <w:noProof/>
          </w:rPr>
          <w:t>Background</w:t>
        </w:r>
        <w:r>
          <w:rPr>
            <w:noProof/>
            <w:webHidden/>
          </w:rPr>
          <w:tab/>
        </w:r>
        <w:r>
          <w:rPr>
            <w:noProof/>
            <w:webHidden/>
          </w:rPr>
          <w:fldChar w:fldCharType="begin"/>
        </w:r>
        <w:r>
          <w:rPr>
            <w:noProof/>
            <w:webHidden/>
          </w:rPr>
          <w:instrText xml:space="preserve"> PAGEREF _Toc113866994 \h </w:instrText>
        </w:r>
        <w:r>
          <w:rPr>
            <w:noProof/>
            <w:webHidden/>
          </w:rPr>
          <w:fldChar w:fldCharType="separate"/>
        </w:r>
        <w:r>
          <w:rPr>
            <w:noProof/>
            <w:webHidden/>
          </w:rPr>
          <w:t>1</w:t>
        </w:r>
        <w:r>
          <w:rPr>
            <w:noProof/>
            <w:webHidden/>
          </w:rPr>
          <w:fldChar w:fldCharType="end"/>
        </w:r>
      </w:hyperlink>
    </w:p>
    <w:p w:rsidR="007C4950" w14:paraId="30763994" w14:textId="438C8E9D">
      <w:pPr>
        <w:pStyle w:val="TOC2"/>
        <w:tabs>
          <w:tab w:val="right" w:leader="dot" w:pos="8630"/>
        </w:tabs>
        <w:rPr>
          <w:rFonts w:asciiTheme="minorHAnsi" w:eastAsiaTheme="minorEastAsia" w:hAnsiTheme="minorHAnsi" w:cstheme="minorBidi"/>
          <w:noProof/>
          <w:sz w:val="22"/>
          <w:szCs w:val="22"/>
        </w:rPr>
      </w:pPr>
      <w:hyperlink w:anchor="_Toc113866995" w:history="1">
        <w:r w:rsidRPr="00C31E12">
          <w:rPr>
            <w:rStyle w:val="Hyperlink"/>
            <w:noProof/>
          </w:rPr>
          <w:t>Statement of Need for the Proposed Plan</w:t>
        </w:r>
        <w:r>
          <w:rPr>
            <w:noProof/>
            <w:webHidden/>
          </w:rPr>
          <w:tab/>
        </w:r>
        <w:r>
          <w:rPr>
            <w:noProof/>
            <w:webHidden/>
          </w:rPr>
          <w:fldChar w:fldCharType="begin"/>
        </w:r>
        <w:r>
          <w:rPr>
            <w:noProof/>
            <w:webHidden/>
          </w:rPr>
          <w:instrText xml:space="preserve"> PAGEREF _Toc113866995 \h </w:instrText>
        </w:r>
        <w:r>
          <w:rPr>
            <w:noProof/>
            <w:webHidden/>
          </w:rPr>
          <w:fldChar w:fldCharType="separate"/>
        </w:r>
        <w:r>
          <w:rPr>
            <w:noProof/>
            <w:webHidden/>
          </w:rPr>
          <w:t>2</w:t>
        </w:r>
        <w:r>
          <w:rPr>
            <w:noProof/>
            <w:webHidden/>
          </w:rPr>
          <w:fldChar w:fldCharType="end"/>
        </w:r>
      </w:hyperlink>
    </w:p>
    <w:p w:rsidR="007C4950" w14:paraId="428BA42E" w14:textId="20280A6E">
      <w:pPr>
        <w:pStyle w:val="TOC2"/>
        <w:tabs>
          <w:tab w:val="right" w:leader="dot" w:pos="8630"/>
        </w:tabs>
        <w:rPr>
          <w:rFonts w:asciiTheme="minorHAnsi" w:eastAsiaTheme="minorEastAsia" w:hAnsiTheme="minorHAnsi" w:cstheme="minorBidi"/>
          <w:noProof/>
          <w:sz w:val="22"/>
          <w:szCs w:val="22"/>
        </w:rPr>
      </w:pPr>
      <w:hyperlink w:anchor="_Toc113866996" w:history="1">
        <w:r w:rsidRPr="00C31E12">
          <w:rPr>
            <w:rStyle w:val="Hyperlink"/>
            <w:noProof/>
          </w:rPr>
          <w:t>Alternatives Considered in the Current Analysis</w:t>
        </w:r>
        <w:r>
          <w:rPr>
            <w:noProof/>
            <w:webHidden/>
          </w:rPr>
          <w:tab/>
        </w:r>
        <w:r>
          <w:rPr>
            <w:noProof/>
            <w:webHidden/>
          </w:rPr>
          <w:fldChar w:fldCharType="begin"/>
        </w:r>
        <w:r>
          <w:rPr>
            <w:noProof/>
            <w:webHidden/>
          </w:rPr>
          <w:instrText xml:space="preserve"> PAGEREF _Toc113866996 \h </w:instrText>
        </w:r>
        <w:r>
          <w:rPr>
            <w:noProof/>
            <w:webHidden/>
          </w:rPr>
          <w:fldChar w:fldCharType="separate"/>
        </w:r>
        <w:r>
          <w:rPr>
            <w:noProof/>
            <w:webHidden/>
          </w:rPr>
          <w:t>4</w:t>
        </w:r>
        <w:r>
          <w:rPr>
            <w:noProof/>
            <w:webHidden/>
          </w:rPr>
          <w:fldChar w:fldCharType="end"/>
        </w:r>
      </w:hyperlink>
    </w:p>
    <w:p w:rsidR="007C4950" w14:paraId="02264225" w14:textId="2FDAA4AB">
      <w:pPr>
        <w:pStyle w:val="TOC2"/>
        <w:tabs>
          <w:tab w:val="right" w:leader="dot" w:pos="8630"/>
        </w:tabs>
        <w:rPr>
          <w:rFonts w:asciiTheme="minorHAnsi" w:eastAsiaTheme="minorEastAsia" w:hAnsiTheme="minorHAnsi" w:cstheme="minorBidi"/>
          <w:noProof/>
          <w:sz w:val="22"/>
          <w:szCs w:val="22"/>
        </w:rPr>
      </w:pPr>
      <w:hyperlink w:anchor="_Toc113866997" w:history="1">
        <w:r w:rsidRPr="00C31E12">
          <w:rPr>
            <w:rStyle w:val="Hyperlink"/>
            <w:noProof/>
          </w:rPr>
          <w:t>Baseline Conditions</w:t>
        </w:r>
        <w:r>
          <w:rPr>
            <w:noProof/>
            <w:webHidden/>
          </w:rPr>
          <w:tab/>
        </w:r>
        <w:r>
          <w:rPr>
            <w:noProof/>
            <w:webHidden/>
          </w:rPr>
          <w:fldChar w:fldCharType="begin"/>
        </w:r>
        <w:r>
          <w:rPr>
            <w:noProof/>
            <w:webHidden/>
          </w:rPr>
          <w:instrText xml:space="preserve"> PAGEREF _Toc113866997 \h </w:instrText>
        </w:r>
        <w:r>
          <w:rPr>
            <w:noProof/>
            <w:webHidden/>
          </w:rPr>
          <w:fldChar w:fldCharType="separate"/>
        </w:r>
        <w:r>
          <w:rPr>
            <w:noProof/>
            <w:webHidden/>
          </w:rPr>
          <w:t>6</w:t>
        </w:r>
        <w:r>
          <w:rPr>
            <w:noProof/>
            <w:webHidden/>
          </w:rPr>
          <w:fldChar w:fldCharType="end"/>
        </w:r>
      </w:hyperlink>
    </w:p>
    <w:p w:rsidR="007C4950" w14:paraId="10C43938" w14:textId="4D432B6E">
      <w:pPr>
        <w:pStyle w:val="TOC2"/>
        <w:tabs>
          <w:tab w:val="right" w:leader="dot" w:pos="8630"/>
        </w:tabs>
        <w:rPr>
          <w:rFonts w:asciiTheme="minorHAnsi" w:eastAsiaTheme="minorEastAsia" w:hAnsiTheme="minorHAnsi" w:cstheme="minorBidi"/>
          <w:noProof/>
          <w:sz w:val="22"/>
          <w:szCs w:val="22"/>
        </w:rPr>
      </w:pPr>
      <w:hyperlink w:anchor="_Toc113866998" w:history="1">
        <w:r w:rsidRPr="00C31E12">
          <w:rPr>
            <w:rStyle w:val="Hyperlink"/>
            <w:noProof/>
          </w:rPr>
          <w:t>Other Baseline Estimates Considered</w:t>
        </w:r>
        <w:r>
          <w:rPr>
            <w:noProof/>
            <w:webHidden/>
          </w:rPr>
          <w:tab/>
        </w:r>
        <w:r>
          <w:rPr>
            <w:noProof/>
            <w:webHidden/>
          </w:rPr>
          <w:fldChar w:fldCharType="begin"/>
        </w:r>
        <w:r>
          <w:rPr>
            <w:noProof/>
            <w:webHidden/>
          </w:rPr>
          <w:instrText xml:space="preserve"> PAGEREF _Toc113866998 \h </w:instrText>
        </w:r>
        <w:r>
          <w:rPr>
            <w:noProof/>
            <w:webHidden/>
          </w:rPr>
          <w:fldChar w:fldCharType="separate"/>
        </w:r>
        <w:r>
          <w:rPr>
            <w:noProof/>
            <w:webHidden/>
          </w:rPr>
          <w:t>8</w:t>
        </w:r>
        <w:r>
          <w:rPr>
            <w:noProof/>
            <w:webHidden/>
          </w:rPr>
          <w:fldChar w:fldCharType="end"/>
        </w:r>
      </w:hyperlink>
    </w:p>
    <w:p w:rsidR="007C4950" w14:paraId="52D3E087" w14:textId="741D32E6">
      <w:pPr>
        <w:pStyle w:val="TOC2"/>
        <w:tabs>
          <w:tab w:val="right" w:leader="dot" w:pos="8630"/>
        </w:tabs>
        <w:rPr>
          <w:rFonts w:asciiTheme="minorHAnsi" w:eastAsiaTheme="minorEastAsia" w:hAnsiTheme="minorHAnsi" w:cstheme="minorBidi"/>
          <w:noProof/>
          <w:sz w:val="22"/>
          <w:szCs w:val="22"/>
        </w:rPr>
      </w:pPr>
      <w:hyperlink w:anchor="_Toc113866999" w:history="1">
        <w:r w:rsidRPr="00C31E12">
          <w:rPr>
            <w:rStyle w:val="Hyperlink"/>
            <w:noProof/>
          </w:rPr>
          <w:t>Proposed Regulatory Action</w:t>
        </w:r>
        <w:r>
          <w:rPr>
            <w:noProof/>
            <w:webHidden/>
          </w:rPr>
          <w:tab/>
        </w:r>
        <w:r>
          <w:rPr>
            <w:noProof/>
            <w:webHidden/>
          </w:rPr>
          <w:fldChar w:fldCharType="begin"/>
        </w:r>
        <w:r>
          <w:rPr>
            <w:noProof/>
            <w:webHidden/>
          </w:rPr>
          <w:instrText xml:space="preserve"> PAGEREF _Toc113866999 \h </w:instrText>
        </w:r>
        <w:r>
          <w:rPr>
            <w:noProof/>
            <w:webHidden/>
          </w:rPr>
          <w:fldChar w:fldCharType="separate"/>
        </w:r>
        <w:r>
          <w:rPr>
            <w:noProof/>
            <w:webHidden/>
          </w:rPr>
          <w:t>9</w:t>
        </w:r>
        <w:r>
          <w:rPr>
            <w:noProof/>
            <w:webHidden/>
          </w:rPr>
          <w:fldChar w:fldCharType="end"/>
        </w:r>
      </w:hyperlink>
    </w:p>
    <w:p w:rsidR="007C4950" w14:paraId="25597AF4" w14:textId="3B59E4AB">
      <w:pPr>
        <w:pStyle w:val="TOC2"/>
        <w:tabs>
          <w:tab w:val="right" w:leader="dot" w:pos="8630"/>
        </w:tabs>
        <w:rPr>
          <w:rFonts w:asciiTheme="minorHAnsi" w:eastAsiaTheme="minorEastAsia" w:hAnsiTheme="minorHAnsi" w:cstheme="minorBidi"/>
          <w:noProof/>
          <w:sz w:val="22"/>
          <w:szCs w:val="22"/>
        </w:rPr>
      </w:pPr>
      <w:hyperlink w:anchor="_Toc113867000" w:history="1">
        <w:r w:rsidRPr="00C31E12">
          <w:rPr>
            <w:rStyle w:val="Hyperlink"/>
            <w:noProof/>
          </w:rPr>
          <w:t>Uncertainty</w:t>
        </w:r>
        <w:r>
          <w:rPr>
            <w:noProof/>
            <w:webHidden/>
          </w:rPr>
          <w:tab/>
        </w:r>
        <w:r>
          <w:rPr>
            <w:noProof/>
            <w:webHidden/>
          </w:rPr>
          <w:fldChar w:fldCharType="begin"/>
        </w:r>
        <w:r>
          <w:rPr>
            <w:noProof/>
            <w:webHidden/>
          </w:rPr>
          <w:instrText xml:space="preserve"> PAGEREF _Toc113867000 \h </w:instrText>
        </w:r>
        <w:r>
          <w:rPr>
            <w:noProof/>
            <w:webHidden/>
          </w:rPr>
          <w:fldChar w:fldCharType="separate"/>
        </w:r>
        <w:r>
          <w:rPr>
            <w:noProof/>
            <w:webHidden/>
          </w:rPr>
          <w:t>17</w:t>
        </w:r>
        <w:r>
          <w:rPr>
            <w:noProof/>
            <w:webHidden/>
          </w:rPr>
          <w:fldChar w:fldCharType="end"/>
        </w:r>
      </w:hyperlink>
    </w:p>
    <w:p w:rsidR="007C4950" w14:paraId="74CEA94C" w14:textId="7788C025">
      <w:pPr>
        <w:pStyle w:val="TOC2"/>
        <w:tabs>
          <w:tab w:val="right" w:leader="dot" w:pos="8630"/>
        </w:tabs>
        <w:rPr>
          <w:rFonts w:asciiTheme="minorHAnsi" w:eastAsiaTheme="minorEastAsia" w:hAnsiTheme="minorHAnsi" w:cstheme="minorBidi"/>
          <w:noProof/>
          <w:sz w:val="22"/>
          <w:szCs w:val="22"/>
        </w:rPr>
      </w:pPr>
      <w:hyperlink w:anchor="_Toc113867001" w:history="1">
        <w:r w:rsidRPr="00C31E12">
          <w:rPr>
            <w:rStyle w:val="Hyperlink"/>
            <w:noProof/>
          </w:rPr>
          <w:t>Conclusion</w:t>
        </w:r>
        <w:r>
          <w:rPr>
            <w:noProof/>
            <w:webHidden/>
          </w:rPr>
          <w:tab/>
        </w:r>
        <w:r>
          <w:rPr>
            <w:noProof/>
            <w:webHidden/>
          </w:rPr>
          <w:fldChar w:fldCharType="begin"/>
        </w:r>
        <w:r>
          <w:rPr>
            <w:noProof/>
            <w:webHidden/>
          </w:rPr>
          <w:instrText xml:space="preserve"> PAGEREF _Toc113867001 \h </w:instrText>
        </w:r>
        <w:r>
          <w:rPr>
            <w:noProof/>
            <w:webHidden/>
          </w:rPr>
          <w:fldChar w:fldCharType="separate"/>
        </w:r>
        <w:r>
          <w:rPr>
            <w:noProof/>
            <w:webHidden/>
          </w:rPr>
          <w:t>17</w:t>
        </w:r>
        <w:r>
          <w:rPr>
            <w:noProof/>
            <w:webHidden/>
          </w:rPr>
          <w:fldChar w:fldCharType="end"/>
        </w:r>
      </w:hyperlink>
    </w:p>
    <w:p w:rsidR="007C4950" w14:paraId="3741AD77" w14:textId="1E37D583">
      <w:pPr>
        <w:pStyle w:val="TOC1"/>
        <w:tabs>
          <w:tab w:val="right" w:leader="dot" w:pos="8630"/>
        </w:tabs>
        <w:rPr>
          <w:rFonts w:asciiTheme="minorHAnsi" w:eastAsiaTheme="minorEastAsia" w:hAnsiTheme="minorHAnsi" w:cstheme="minorBidi"/>
          <w:noProof/>
          <w:sz w:val="22"/>
          <w:szCs w:val="22"/>
        </w:rPr>
      </w:pPr>
      <w:hyperlink w:anchor="_Toc113867002" w:history="1">
        <w:r w:rsidRPr="00C31E12">
          <w:rPr>
            <w:rStyle w:val="Hyperlink"/>
            <w:noProof/>
          </w:rPr>
          <w:t>Regulatory Flexibility Threshold Analysis</w:t>
        </w:r>
        <w:r>
          <w:rPr>
            <w:noProof/>
            <w:webHidden/>
          </w:rPr>
          <w:tab/>
        </w:r>
        <w:r>
          <w:rPr>
            <w:noProof/>
            <w:webHidden/>
          </w:rPr>
          <w:fldChar w:fldCharType="begin"/>
        </w:r>
        <w:r>
          <w:rPr>
            <w:noProof/>
            <w:webHidden/>
          </w:rPr>
          <w:instrText xml:space="preserve"> PAGEREF _Toc113867002 \h </w:instrText>
        </w:r>
        <w:r>
          <w:rPr>
            <w:noProof/>
            <w:webHidden/>
          </w:rPr>
          <w:fldChar w:fldCharType="separate"/>
        </w:r>
        <w:r>
          <w:rPr>
            <w:noProof/>
            <w:webHidden/>
          </w:rPr>
          <w:t>18</w:t>
        </w:r>
        <w:r>
          <w:rPr>
            <w:noProof/>
            <w:webHidden/>
          </w:rPr>
          <w:fldChar w:fldCharType="end"/>
        </w:r>
      </w:hyperlink>
    </w:p>
    <w:p w:rsidR="007C4950" w14:paraId="6DA87496" w14:textId="0D68FEAC">
      <w:pPr>
        <w:pStyle w:val="TOC1"/>
        <w:tabs>
          <w:tab w:val="right" w:leader="dot" w:pos="8630"/>
        </w:tabs>
        <w:rPr>
          <w:rFonts w:asciiTheme="minorHAnsi" w:eastAsiaTheme="minorEastAsia" w:hAnsiTheme="minorHAnsi" w:cstheme="minorBidi"/>
          <w:noProof/>
          <w:sz w:val="22"/>
          <w:szCs w:val="22"/>
        </w:rPr>
      </w:pPr>
      <w:hyperlink w:anchor="_Toc113867003" w:history="1">
        <w:r w:rsidRPr="00C31E12">
          <w:rPr>
            <w:rStyle w:val="Hyperlink"/>
            <w:noProof/>
          </w:rPr>
          <w:t>Appendix – Detailed Estimated Costs</w:t>
        </w:r>
        <w:r>
          <w:rPr>
            <w:noProof/>
            <w:webHidden/>
          </w:rPr>
          <w:tab/>
        </w:r>
        <w:r>
          <w:rPr>
            <w:noProof/>
            <w:webHidden/>
          </w:rPr>
          <w:fldChar w:fldCharType="begin"/>
        </w:r>
        <w:r>
          <w:rPr>
            <w:noProof/>
            <w:webHidden/>
          </w:rPr>
          <w:instrText xml:space="preserve"> PAGEREF _Toc113867003 \h </w:instrText>
        </w:r>
        <w:r>
          <w:rPr>
            <w:noProof/>
            <w:webHidden/>
          </w:rPr>
          <w:fldChar w:fldCharType="separate"/>
        </w:r>
        <w:r>
          <w:rPr>
            <w:noProof/>
            <w:webHidden/>
          </w:rPr>
          <w:t>20</w:t>
        </w:r>
        <w:r>
          <w:rPr>
            <w:noProof/>
            <w:webHidden/>
          </w:rPr>
          <w:fldChar w:fldCharType="end"/>
        </w:r>
      </w:hyperlink>
    </w:p>
    <w:p w:rsidR="007C4950" w14:paraId="728D8DD5" w14:textId="3F5CA34E">
      <w:pPr>
        <w:pStyle w:val="TOC2"/>
        <w:tabs>
          <w:tab w:val="right" w:leader="dot" w:pos="8630"/>
        </w:tabs>
        <w:rPr>
          <w:rFonts w:asciiTheme="minorHAnsi" w:eastAsiaTheme="minorEastAsia" w:hAnsiTheme="minorHAnsi" w:cstheme="minorBidi"/>
          <w:noProof/>
          <w:sz w:val="22"/>
          <w:szCs w:val="22"/>
        </w:rPr>
      </w:pPr>
      <w:hyperlink w:anchor="_Toc113867004" w:history="1">
        <w:r w:rsidRPr="00C31E12">
          <w:rPr>
            <w:rStyle w:val="Hyperlink"/>
            <w:noProof/>
          </w:rPr>
          <w:t>Subpart B – Protection on Federal or Tribal Lands.</w:t>
        </w:r>
        <w:r>
          <w:rPr>
            <w:noProof/>
            <w:webHidden/>
          </w:rPr>
          <w:tab/>
        </w:r>
        <w:r>
          <w:rPr>
            <w:noProof/>
            <w:webHidden/>
          </w:rPr>
          <w:fldChar w:fldCharType="begin"/>
        </w:r>
        <w:r>
          <w:rPr>
            <w:noProof/>
            <w:webHidden/>
          </w:rPr>
          <w:instrText xml:space="preserve"> PAGEREF _Toc113867004 \h </w:instrText>
        </w:r>
        <w:r>
          <w:rPr>
            <w:noProof/>
            <w:webHidden/>
          </w:rPr>
          <w:fldChar w:fldCharType="separate"/>
        </w:r>
        <w:r>
          <w:rPr>
            <w:noProof/>
            <w:webHidden/>
          </w:rPr>
          <w:t>20</w:t>
        </w:r>
        <w:r>
          <w:rPr>
            <w:noProof/>
            <w:webHidden/>
          </w:rPr>
          <w:fldChar w:fldCharType="end"/>
        </w:r>
      </w:hyperlink>
    </w:p>
    <w:p w:rsidR="007C4950" w14:paraId="3B872196" w14:textId="01363FFF">
      <w:pPr>
        <w:pStyle w:val="TOC2"/>
        <w:tabs>
          <w:tab w:val="right" w:leader="dot" w:pos="8630"/>
        </w:tabs>
        <w:rPr>
          <w:rFonts w:asciiTheme="minorHAnsi" w:eastAsiaTheme="minorEastAsia" w:hAnsiTheme="minorHAnsi" w:cstheme="minorBidi"/>
          <w:noProof/>
          <w:sz w:val="22"/>
          <w:szCs w:val="22"/>
        </w:rPr>
      </w:pPr>
      <w:hyperlink w:anchor="_Toc113867005" w:history="1">
        <w:r w:rsidRPr="00C31E12">
          <w:rPr>
            <w:rStyle w:val="Hyperlink"/>
            <w:noProof/>
          </w:rPr>
          <w:t>Subpart C – Repatriation by Museums and Federal agencies.</w:t>
        </w:r>
        <w:r>
          <w:rPr>
            <w:noProof/>
            <w:webHidden/>
          </w:rPr>
          <w:tab/>
        </w:r>
        <w:r>
          <w:rPr>
            <w:noProof/>
            <w:webHidden/>
          </w:rPr>
          <w:fldChar w:fldCharType="begin"/>
        </w:r>
        <w:r>
          <w:rPr>
            <w:noProof/>
            <w:webHidden/>
          </w:rPr>
          <w:instrText xml:space="preserve"> PAGEREF _Toc113867005 \h </w:instrText>
        </w:r>
        <w:r>
          <w:rPr>
            <w:noProof/>
            <w:webHidden/>
          </w:rPr>
          <w:fldChar w:fldCharType="separate"/>
        </w:r>
        <w:r>
          <w:rPr>
            <w:noProof/>
            <w:webHidden/>
          </w:rPr>
          <w:t>24</w:t>
        </w:r>
        <w:r>
          <w:rPr>
            <w:noProof/>
            <w:webHidden/>
          </w:rPr>
          <w:fldChar w:fldCharType="end"/>
        </w:r>
      </w:hyperlink>
    </w:p>
    <w:p w:rsidR="007C4950" w14:paraId="4A203F0C" w14:textId="513D9F51">
      <w:pPr>
        <w:pStyle w:val="TOC2"/>
        <w:tabs>
          <w:tab w:val="right" w:leader="dot" w:pos="8630"/>
        </w:tabs>
        <w:rPr>
          <w:rFonts w:asciiTheme="minorHAnsi" w:eastAsiaTheme="minorEastAsia" w:hAnsiTheme="minorHAnsi" w:cstheme="minorBidi"/>
          <w:noProof/>
          <w:sz w:val="22"/>
          <w:szCs w:val="22"/>
        </w:rPr>
      </w:pPr>
      <w:hyperlink w:anchor="_Toc113867006" w:history="1">
        <w:r w:rsidRPr="00C31E12">
          <w:rPr>
            <w:rStyle w:val="Hyperlink"/>
            <w:noProof/>
          </w:rPr>
          <w:t>Subpart D – Review Committee.</w:t>
        </w:r>
        <w:r>
          <w:rPr>
            <w:noProof/>
            <w:webHidden/>
          </w:rPr>
          <w:tab/>
        </w:r>
        <w:r>
          <w:rPr>
            <w:noProof/>
            <w:webHidden/>
          </w:rPr>
          <w:fldChar w:fldCharType="begin"/>
        </w:r>
        <w:r>
          <w:rPr>
            <w:noProof/>
            <w:webHidden/>
          </w:rPr>
          <w:instrText xml:space="preserve"> PAGEREF _Toc113867006 \h </w:instrText>
        </w:r>
        <w:r>
          <w:rPr>
            <w:noProof/>
            <w:webHidden/>
          </w:rPr>
          <w:fldChar w:fldCharType="separate"/>
        </w:r>
        <w:r>
          <w:rPr>
            <w:noProof/>
            <w:webHidden/>
          </w:rPr>
          <w:t>40</w:t>
        </w:r>
        <w:r>
          <w:rPr>
            <w:noProof/>
            <w:webHidden/>
          </w:rPr>
          <w:fldChar w:fldCharType="end"/>
        </w:r>
      </w:hyperlink>
    </w:p>
    <w:p w:rsidR="00380471" w:rsidP="00D435F4" w14:paraId="7D231440" w14:textId="521F9B1B">
      <w:pPr>
        <w:jc w:val="center"/>
        <w:rPr>
          <w:i/>
        </w:rPr>
      </w:pPr>
      <w:r>
        <w:rPr>
          <w:i/>
        </w:rPr>
        <w:fldChar w:fldCharType="end"/>
      </w:r>
    </w:p>
    <w:p w:rsidR="002175D2" w14:paraId="31705ACD" w14:textId="6AB80072">
      <w:pPr>
        <w:pStyle w:val="TableofFigures"/>
        <w:tabs>
          <w:tab w:val="right" w:leader="dot" w:pos="8630"/>
        </w:tabs>
        <w:rPr>
          <w:rFonts w:asciiTheme="minorHAnsi" w:eastAsiaTheme="minorEastAsia" w:hAnsiTheme="minorHAnsi" w:cstheme="minorBidi"/>
          <w:noProof/>
          <w:sz w:val="22"/>
          <w:szCs w:val="22"/>
        </w:rPr>
      </w:pPr>
      <w:r>
        <w:rPr>
          <w:i/>
        </w:rPr>
        <w:fldChar w:fldCharType="begin"/>
      </w:r>
      <w:r>
        <w:rPr>
          <w:i/>
        </w:rPr>
        <w:instrText xml:space="preserve"> TOC \h \z \t "Heading 3" \c </w:instrText>
      </w:r>
      <w:r>
        <w:rPr>
          <w:i/>
        </w:rPr>
        <w:fldChar w:fldCharType="separate"/>
      </w:r>
      <w:hyperlink w:anchor="_Toc113867027" w:history="1">
        <w:r w:rsidRPr="005007CC">
          <w:rPr>
            <w:rStyle w:val="Hyperlink"/>
            <w:noProof/>
          </w:rPr>
          <w:t>Table 1.  Native American human remains</w:t>
        </w:r>
        <w:r>
          <w:rPr>
            <w:noProof/>
            <w:webHidden/>
          </w:rPr>
          <w:tab/>
        </w:r>
        <w:r>
          <w:rPr>
            <w:noProof/>
            <w:webHidden/>
          </w:rPr>
          <w:fldChar w:fldCharType="begin"/>
        </w:r>
        <w:r>
          <w:rPr>
            <w:noProof/>
            <w:webHidden/>
          </w:rPr>
          <w:instrText xml:space="preserve"> PAGEREF _Toc113867027 \h </w:instrText>
        </w:r>
        <w:r>
          <w:rPr>
            <w:noProof/>
            <w:webHidden/>
          </w:rPr>
          <w:fldChar w:fldCharType="separate"/>
        </w:r>
        <w:r>
          <w:rPr>
            <w:noProof/>
            <w:webHidden/>
          </w:rPr>
          <w:t>4</w:t>
        </w:r>
        <w:r>
          <w:rPr>
            <w:noProof/>
            <w:webHidden/>
          </w:rPr>
          <w:fldChar w:fldCharType="end"/>
        </w:r>
      </w:hyperlink>
    </w:p>
    <w:p w:rsidR="002175D2" w14:paraId="3E583C38" w14:textId="2C8F6E04">
      <w:pPr>
        <w:pStyle w:val="TableofFigures"/>
        <w:tabs>
          <w:tab w:val="right" w:leader="dot" w:pos="8630"/>
        </w:tabs>
        <w:rPr>
          <w:rFonts w:asciiTheme="minorHAnsi" w:eastAsiaTheme="minorEastAsia" w:hAnsiTheme="minorHAnsi" w:cstheme="minorBidi"/>
          <w:noProof/>
          <w:sz w:val="22"/>
          <w:szCs w:val="22"/>
        </w:rPr>
      </w:pPr>
      <w:hyperlink w:anchor="_Toc113867028" w:history="1">
        <w:r w:rsidRPr="005007CC">
          <w:rPr>
            <w:rStyle w:val="Hyperlink"/>
            <w:noProof/>
          </w:rPr>
          <w:t>Table 2.  Baseline regulatory requirements</w:t>
        </w:r>
        <w:r>
          <w:rPr>
            <w:noProof/>
            <w:webHidden/>
          </w:rPr>
          <w:tab/>
        </w:r>
        <w:r>
          <w:rPr>
            <w:noProof/>
            <w:webHidden/>
          </w:rPr>
          <w:fldChar w:fldCharType="begin"/>
        </w:r>
        <w:r>
          <w:rPr>
            <w:noProof/>
            <w:webHidden/>
          </w:rPr>
          <w:instrText xml:space="preserve"> PAGEREF _Toc113867028 \h </w:instrText>
        </w:r>
        <w:r>
          <w:rPr>
            <w:noProof/>
            <w:webHidden/>
          </w:rPr>
          <w:fldChar w:fldCharType="separate"/>
        </w:r>
        <w:r>
          <w:rPr>
            <w:noProof/>
            <w:webHidden/>
          </w:rPr>
          <w:t>6</w:t>
        </w:r>
        <w:r>
          <w:rPr>
            <w:noProof/>
            <w:webHidden/>
          </w:rPr>
          <w:fldChar w:fldCharType="end"/>
        </w:r>
      </w:hyperlink>
    </w:p>
    <w:p w:rsidR="002175D2" w14:paraId="5A0B10B3" w14:textId="0701CB2C">
      <w:pPr>
        <w:pStyle w:val="TableofFigures"/>
        <w:tabs>
          <w:tab w:val="right" w:leader="dot" w:pos="8630"/>
        </w:tabs>
        <w:rPr>
          <w:rFonts w:asciiTheme="minorHAnsi" w:eastAsiaTheme="minorEastAsia" w:hAnsiTheme="minorHAnsi" w:cstheme="minorBidi"/>
          <w:noProof/>
          <w:sz w:val="22"/>
          <w:szCs w:val="22"/>
        </w:rPr>
      </w:pPr>
      <w:hyperlink w:anchor="_Toc113867029" w:history="1">
        <w:r w:rsidRPr="005007CC">
          <w:rPr>
            <w:rStyle w:val="Hyperlink"/>
            <w:noProof/>
          </w:rPr>
          <w:t>Table 3.  Estimated baseline costs by subpart</w:t>
        </w:r>
        <w:r>
          <w:rPr>
            <w:noProof/>
            <w:webHidden/>
          </w:rPr>
          <w:tab/>
        </w:r>
        <w:r>
          <w:rPr>
            <w:noProof/>
            <w:webHidden/>
          </w:rPr>
          <w:fldChar w:fldCharType="begin"/>
        </w:r>
        <w:r>
          <w:rPr>
            <w:noProof/>
            <w:webHidden/>
          </w:rPr>
          <w:instrText xml:space="preserve"> PAGEREF _Toc113867029 \h </w:instrText>
        </w:r>
        <w:r>
          <w:rPr>
            <w:noProof/>
            <w:webHidden/>
          </w:rPr>
          <w:fldChar w:fldCharType="separate"/>
        </w:r>
        <w:r>
          <w:rPr>
            <w:noProof/>
            <w:webHidden/>
          </w:rPr>
          <w:t>7</w:t>
        </w:r>
        <w:r>
          <w:rPr>
            <w:noProof/>
            <w:webHidden/>
          </w:rPr>
          <w:fldChar w:fldCharType="end"/>
        </w:r>
      </w:hyperlink>
    </w:p>
    <w:p w:rsidR="002175D2" w14:paraId="758C937E" w14:textId="0FC9BD2D">
      <w:pPr>
        <w:pStyle w:val="TableofFigures"/>
        <w:tabs>
          <w:tab w:val="right" w:leader="dot" w:pos="8630"/>
        </w:tabs>
        <w:rPr>
          <w:rFonts w:asciiTheme="minorHAnsi" w:eastAsiaTheme="minorEastAsia" w:hAnsiTheme="minorHAnsi" w:cstheme="minorBidi"/>
          <w:noProof/>
          <w:sz w:val="22"/>
          <w:szCs w:val="22"/>
        </w:rPr>
      </w:pPr>
      <w:hyperlink w:anchor="_Toc113867030" w:history="1">
        <w:r w:rsidRPr="005007CC">
          <w:rPr>
            <w:rStyle w:val="Hyperlink"/>
            <w:noProof/>
          </w:rPr>
          <w:t>Table 4.  Estimated baseline costs by responsible party</w:t>
        </w:r>
        <w:r>
          <w:rPr>
            <w:noProof/>
            <w:webHidden/>
          </w:rPr>
          <w:tab/>
        </w:r>
        <w:r>
          <w:rPr>
            <w:noProof/>
            <w:webHidden/>
          </w:rPr>
          <w:fldChar w:fldCharType="begin"/>
        </w:r>
        <w:r>
          <w:rPr>
            <w:noProof/>
            <w:webHidden/>
          </w:rPr>
          <w:instrText xml:space="preserve"> PAGEREF _Toc113867030 \h </w:instrText>
        </w:r>
        <w:r>
          <w:rPr>
            <w:noProof/>
            <w:webHidden/>
          </w:rPr>
          <w:fldChar w:fldCharType="separate"/>
        </w:r>
        <w:r>
          <w:rPr>
            <w:noProof/>
            <w:webHidden/>
          </w:rPr>
          <w:t>8</w:t>
        </w:r>
        <w:r>
          <w:rPr>
            <w:noProof/>
            <w:webHidden/>
          </w:rPr>
          <w:fldChar w:fldCharType="end"/>
        </w:r>
      </w:hyperlink>
    </w:p>
    <w:p w:rsidR="002175D2" w14:paraId="2D033B44" w14:textId="317E7F2B">
      <w:pPr>
        <w:pStyle w:val="TableofFigures"/>
        <w:tabs>
          <w:tab w:val="right" w:leader="dot" w:pos="8630"/>
        </w:tabs>
        <w:rPr>
          <w:rFonts w:asciiTheme="minorHAnsi" w:eastAsiaTheme="minorEastAsia" w:hAnsiTheme="minorHAnsi" w:cstheme="minorBidi"/>
          <w:noProof/>
          <w:sz w:val="22"/>
          <w:szCs w:val="22"/>
        </w:rPr>
      </w:pPr>
      <w:hyperlink w:anchor="_Toc113867031" w:history="1">
        <w:r w:rsidRPr="005007CC">
          <w:rPr>
            <w:rStyle w:val="Hyperlink"/>
            <w:noProof/>
          </w:rPr>
          <w:t>Table 5.  Proposed regulatory action requirements (new and revised)</w:t>
        </w:r>
        <w:r>
          <w:rPr>
            <w:noProof/>
            <w:webHidden/>
          </w:rPr>
          <w:tab/>
        </w:r>
        <w:r>
          <w:rPr>
            <w:noProof/>
            <w:webHidden/>
          </w:rPr>
          <w:fldChar w:fldCharType="begin"/>
        </w:r>
        <w:r>
          <w:rPr>
            <w:noProof/>
            <w:webHidden/>
          </w:rPr>
          <w:instrText xml:space="preserve"> PAGEREF _Toc113867031 \h </w:instrText>
        </w:r>
        <w:r>
          <w:rPr>
            <w:noProof/>
            <w:webHidden/>
          </w:rPr>
          <w:fldChar w:fldCharType="separate"/>
        </w:r>
        <w:r>
          <w:rPr>
            <w:noProof/>
            <w:webHidden/>
          </w:rPr>
          <w:t>10</w:t>
        </w:r>
        <w:r>
          <w:rPr>
            <w:noProof/>
            <w:webHidden/>
          </w:rPr>
          <w:fldChar w:fldCharType="end"/>
        </w:r>
      </w:hyperlink>
    </w:p>
    <w:p w:rsidR="002175D2" w14:paraId="70056828" w14:textId="49603B97">
      <w:pPr>
        <w:pStyle w:val="TableofFigures"/>
        <w:tabs>
          <w:tab w:val="right" w:leader="dot" w:pos="8630"/>
        </w:tabs>
        <w:rPr>
          <w:rFonts w:asciiTheme="minorHAnsi" w:eastAsiaTheme="minorEastAsia" w:hAnsiTheme="minorHAnsi" w:cstheme="minorBidi"/>
          <w:noProof/>
          <w:sz w:val="22"/>
          <w:szCs w:val="22"/>
        </w:rPr>
      </w:pPr>
      <w:hyperlink w:anchor="_Toc113867032" w:history="1">
        <w:r w:rsidRPr="005007CC">
          <w:rPr>
            <w:rStyle w:val="Hyperlink"/>
            <w:noProof/>
          </w:rPr>
          <w:t>Table 6.  Estimated proposed action costs (years 1-3) by subpart</w:t>
        </w:r>
        <w:r>
          <w:rPr>
            <w:noProof/>
            <w:webHidden/>
          </w:rPr>
          <w:tab/>
        </w:r>
        <w:r>
          <w:rPr>
            <w:noProof/>
            <w:webHidden/>
          </w:rPr>
          <w:fldChar w:fldCharType="begin"/>
        </w:r>
        <w:r>
          <w:rPr>
            <w:noProof/>
            <w:webHidden/>
          </w:rPr>
          <w:instrText xml:space="preserve"> PAGEREF _Toc113867032 \h </w:instrText>
        </w:r>
        <w:r>
          <w:rPr>
            <w:noProof/>
            <w:webHidden/>
          </w:rPr>
          <w:fldChar w:fldCharType="separate"/>
        </w:r>
        <w:r>
          <w:rPr>
            <w:noProof/>
            <w:webHidden/>
          </w:rPr>
          <w:t>11</w:t>
        </w:r>
        <w:r>
          <w:rPr>
            <w:noProof/>
            <w:webHidden/>
          </w:rPr>
          <w:fldChar w:fldCharType="end"/>
        </w:r>
      </w:hyperlink>
    </w:p>
    <w:p w:rsidR="002175D2" w14:paraId="1A79B92D" w14:textId="7A4C4C96">
      <w:pPr>
        <w:pStyle w:val="TableofFigures"/>
        <w:tabs>
          <w:tab w:val="right" w:leader="dot" w:pos="8630"/>
        </w:tabs>
        <w:rPr>
          <w:rFonts w:asciiTheme="minorHAnsi" w:eastAsiaTheme="minorEastAsia" w:hAnsiTheme="minorHAnsi" w:cstheme="minorBidi"/>
          <w:noProof/>
          <w:sz w:val="22"/>
          <w:szCs w:val="22"/>
        </w:rPr>
      </w:pPr>
      <w:hyperlink w:anchor="_Toc113867033" w:history="1">
        <w:r w:rsidRPr="005007CC">
          <w:rPr>
            <w:rStyle w:val="Hyperlink"/>
            <w:noProof/>
          </w:rPr>
          <w:t>Table 7.  Estimated proposed action costs (years 1-3) by responsible party</w:t>
        </w:r>
        <w:r>
          <w:rPr>
            <w:noProof/>
            <w:webHidden/>
          </w:rPr>
          <w:tab/>
        </w:r>
        <w:r>
          <w:rPr>
            <w:noProof/>
            <w:webHidden/>
          </w:rPr>
          <w:fldChar w:fldCharType="begin"/>
        </w:r>
        <w:r>
          <w:rPr>
            <w:noProof/>
            <w:webHidden/>
          </w:rPr>
          <w:instrText xml:space="preserve"> PAGEREF _Toc113867033 \h </w:instrText>
        </w:r>
        <w:r>
          <w:rPr>
            <w:noProof/>
            <w:webHidden/>
          </w:rPr>
          <w:fldChar w:fldCharType="separate"/>
        </w:r>
        <w:r>
          <w:rPr>
            <w:noProof/>
            <w:webHidden/>
          </w:rPr>
          <w:t>11</w:t>
        </w:r>
        <w:r>
          <w:rPr>
            <w:noProof/>
            <w:webHidden/>
          </w:rPr>
          <w:fldChar w:fldCharType="end"/>
        </w:r>
      </w:hyperlink>
    </w:p>
    <w:p w:rsidR="002175D2" w14:paraId="4AC1A387" w14:textId="085A7E31">
      <w:pPr>
        <w:pStyle w:val="TableofFigures"/>
        <w:tabs>
          <w:tab w:val="right" w:leader="dot" w:pos="8630"/>
        </w:tabs>
        <w:rPr>
          <w:rFonts w:asciiTheme="minorHAnsi" w:eastAsiaTheme="minorEastAsia" w:hAnsiTheme="minorHAnsi" w:cstheme="minorBidi"/>
          <w:noProof/>
          <w:sz w:val="22"/>
          <w:szCs w:val="22"/>
        </w:rPr>
      </w:pPr>
      <w:hyperlink w:anchor="_Toc113867034" w:history="1">
        <w:r w:rsidRPr="005007CC">
          <w:rPr>
            <w:rStyle w:val="Hyperlink"/>
            <w:noProof/>
          </w:rPr>
          <w:t>Table 8.  Estimated proposed action costs (years 4 +) by responsible party</w:t>
        </w:r>
        <w:r>
          <w:rPr>
            <w:noProof/>
            <w:webHidden/>
          </w:rPr>
          <w:tab/>
        </w:r>
        <w:r>
          <w:rPr>
            <w:noProof/>
            <w:webHidden/>
          </w:rPr>
          <w:fldChar w:fldCharType="begin"/>
        </w:r>
        <w:r>
          <w:rPr>
            <w:noProof/>
            <w:webHidden/>
          </w:rPr>
          <w:instrText xml:space="preserve"> PAGEREF _Toc113867034 \h </w:instrText>
        </w:r>
        <w:r>
          <w:rPr>
            <w:noProof/>
            <w:webHidden/>
          </w:rPr>
          <w:fldChar w:fldCharType="separate"/>
        </w:r>
        <w:r>
          <w:rPr>
            <w:noProof/>
            <w:webHidden/>
          </w:rPr>
          <w:t>12</w:t>
        </w:r>
        <w:r>
          <w:rPr>
            <w:noProof/>
            <w:webHidden/>
          </w:rPr>
          <w:fldChar w:fldCharType="end"/>
        </w:r>
      </w:hyperlink>
    </w:p>
    <w:p w:rsidR="002175D2" w14:paraId="01AB4405" w14:textId="0CBE1B64">
      <w:pPr>
        <w:pStyle w:val="TableofFigures"/>
        <w:tabs>
          <w:tab w:val="right" w:leader="dot" w:pos="8630"/>
        </w:tabs>
        <w:rPr>
          <w:rFonts w:asciiTheme="minorHAnsi" w:eastAsiaTheme="minorEastAsia" w:hAnsiTheme="minorHAnsi" w:cstheme="minorBidi"/>
          <w:noProof/>
          <w:sz w:val="22"/>
          <w:szCs w:val="22"/>
        </w:rPr>
      </w:pPr>
      <w:hyperlink w:anchor="_Toc113867035" w:history="1">
        <w:r w:rsidRPr="005007CC">
          <w:rPr>
            <w:rStyle w:val="Hyperlink"/>
            <w:noProof/>
          </w:rPr>
          <w:t>Table 9.  Comparison of regulatory frameworks per year</w:t>
        </w:r>
        <w:r>
          <w:rPr>
            <w:noProof/>
            <w:webHidden/>
          </w:rPr>
          <w:tab/>
        </w:r>
        <w:r>
          <w:rPr>
            <w:noProof/>
            <w:webHidden/>
          </w:rPr>
          <w:fldChar w:fldCharType="begin"/>
        </w:r>
        <w:r>
          <w:rPr>
            <w:noProof/>
            <w:webHidden/>
          </w:rPr>
          <w:instrText xml:space="preserve"> PAGEREF _Toc113867035 \h </w:instrText>
        </w:r>
        <w:r>
          <w:rPr>
            <w:noProof/>
            <w:webHidden/>
          </w:rPr>
          <w:fldChar w:fldCharType="separate"/>
        </w:r>
        <w:r>
          <w:rPr>
            <w:noProof/>
            <w:webHidden/>
          </w:rPr>
          <w:t>12</w:t>
        </w:r>
        <w:r>
          <w:rPr>
            <w:noProof/>
            <w:webHidden/>
          </w:rPr>
          <w:fldChar w:fldCharType="end"/>
        </w:r>
      </w:hyperlink>
    </w:p>
    <w:p w:rsidR="002175D2" w14:paraId="225D1C5B" w14:textId="00A56684">
      <w:pPr>
        <w:pStyle w:val="TableofFigures"/>
        <w:tabs>
          <w:tab w:val="right" w:leader="dot" w:pos="8630"/>
        </w:tabs>
        <w:rPr>
          <w:rFonts w:asciiTheme="minorHAnsi" w:eastAsiaTheme="minorEastAsia" w:hAnsiTheme="minorHAnsi" w:cstheme="minorBidi"/>
          <w:noProof/>
          <w:sz w:val="22"/>
          <w:szCs w:val="22"/>
        </w:rPr>
      </w:pPr>
      <w:hyperlink w:anchor="_Toc113867036" w:history="1">
        <w:r w:rsidRPr="005007CC">
          <w:rPr>
            <w:rStyle w:val="Hyperlink"/>
            <w:noProof/>
          </w:rPr>
          <w:t>Table 10.  Comparison of regulatory frameworks by subpart</w:t>
        </w:r>
        <w:r>
          <w:rPr>
            <w:noProof/>
            <w:webHidden/>
          </w:rPr>
          <w:tab/>
        </w:r>
        <w:r>
          <w:rPr>
            <w:noProof/>
            <w:webHidden/>
          </w:rPr>
          <w:fldChar w:fldCharType="begin"/>
        </w:r>
        <w:r>
          <w:rPr>
            <w:noProof/>
            <w:webHidden/>
          </w:rPr>
          <w:instrText xml:space="preserve"> PAGEREF _Toc113867036 \h </w:instrText>
        </w:r>
        <w:r>
          <w:rPr>
            <w:noProof/>
            <w:webHidden/>
          </w:rPr>
          <w:fldChar w:fldCharType="separate"/>
        </w:r>
        <w:r>
          <w:rPr>
            <w:noProof/>
            <w:webHidden/>
          </w:rPr>
          <w:t>13</w:t>
        </w:r>
        <w:r>
          <w:rPr>
            <w:noProof/>
            <w:webHidden/>
          </w:rPr>
          <w:fldChar w:fldCharType="end"/>
        </w:r>
      </w:hyperlink>
    </w:p>
    <w:p w:rsidR="002175D2" w14:paraId="69158CCD" w14:textId="75EB5597">
      <w:pPr>
        <w:pStyle w:val="TableofFigures"/>
        <w:tabs>
          <w:tab w:val="right" w:leader="dot" w:pos="8630"/>
        </w:tabs>
        <w:rPr>
          <w:rFonts w:asciiTheme="minorHAnsi" w:eastAsiaTheme="minorEastAsia" w:hAnsiTheme="minorHAnsi" w:cstheme="minorBidi"/>
          <w:noProof/>
          <w:sz w:val="22"/>
          <w:szCs w:val="22"/>
        </w:rPr>
      </w:pPr>
      <w:hyperlink w:anchor="_Toc113867037" w:history="1">
        <w:r w:rsidRPr="005007CC">
          <w:rPr>
            <w:rStyle w:val="Hyperlink"/>
            <w:noProof/>
          </w:rPr>
          <w:t>Table 11.  Comparison of regulatory frameworks by responsible party</w:t>
        </w:r>
        <w:r>
          <w:rPr>
            <w:noProof/>
            <w:webHidden/>
          </w:rPr>
          <w:tab/>
        </w:r>
        <w:r>
          <w:rPr>
            <w:noProof/>
            <w:webHidden/>
          </w:rPr>
          <w:fldChar w:fldCharType="begin"/>
        </w:r>
        <w:r>
          <w:rPr>
            <w:noProof/>
            <w:webHidden/>
          </w:rPr>
          <w:instrText xml:space="preserve"> PAGEREF _Toc113867037 \h </w:instrText>
        </w:r>
        <w:r>
          <w:rPr>
            <w:noProof/>
            <w:webHidden/>
          </w:rPr>
          <w:fldChar w:fldCharType="separate"/>
        </w:r>
        <w:r>
          <w:rPr>
            <w:noProof/>
            <w:webHidden/>
          </w:rPr>
          <w:t>13</w:t>
        </w:r>
        <w:r>
          <w:rPr>
            <w:noProof/>
            <w:webHidden/>
          </w:rPr>
          <w:fldChar w:fldCharType="end"/>
        </w:r>
      </w:hyperlink>
    </w:p>
    <w:p w:rsidR="002175D2" w14:paraId="7AC778B9" w14:textId="30363E45">
      <w:pPr>
        <w:pStyle w:val="TableofFigures"/>
        <w:tabs>
          <w:tab w:val="right" w:leader="dot" w:pos="8630"/>
        </w:tabs>
        <w:rPr>
          <w:rFonts w:asciiTheme="minorHAnsi" w:eastAsiaTheme="minorEastAsia" w:hAnsiTheme="minorHAnsi" w:cstheme="minorBidi"/>
          <w:noProof/>
          <w:sz w:val="22"/>
          <w:szCs w:val="22"/>
        </w:rPr>
      </w:pPr>
      <w:hyperlink w:anchor="_Toc113867038" w:history="1">
        <w:r w:rsidRPr="005007CC">
          <w:rPr>
            <w:rStyle w:val="Hyperlink"/>
            <w:noProof/>
          </w:rPr>
          <w:t>Table 12.  Comparison of regulatory frameworks by museum requirements</w:t>
        </w:r>
        <w:r>
          <w:rPr>
            <w:noProof/>
            <w:webHidden/>
          </w:rPr>
          <w:tab/>
        </w:r>
        <w:r>
          <w:rPr>
            <w:noProof/>
            <w:webHidden/>
          </w:rPr>
          <w:fldChar w:fldCharType="begin"/>
        </w:r>
        <w:r>
          <w:rPr>
            <w:noProof/>
            <w:webHidden/>
          </w:rPr>
          <w:instrText xml:space="preserve"> PAGEREF _Toc113867038 \h </w:instrText>
        </w:r>
        <w:r>
          <w:rPr>
            <w:noProof/>
            <w:webHidden/>
          </w:rPr>
          <w:fldChar w:fldCharType="separate"/>
        </w:r>
        <w:r>
          <w:rPr>
            <w:noProof/>
            <w:webHidden/>
          </w:rPr>
          <w:t>14</w:t>
        </w:r>
        <w:r>
          <w:rPr>
            <w:noProof/>
            <w:webHidden/>
          </w:rPr>
          <w:fldChar w:fldCharType="end"/>
        </w:r>
      </w:hyperlink>
    </w:p>
    <w:p w:rsidR="002175D2" w14:paraId="516F52C2" w14:textId="4C2482DF">
      <w:pPr>
        <w:pStyle w:val="TableofFigures"/>
        <w:tabs>
          <w:tab w:val="right" w:leader="dot" w:pos="8630"/>
        </w:tabs>
        <w:rPr>
          <w:rFonts w:asciiTheme="minorHAnsi" w:eastAsiaTheme="minorEastAsia" w:hAnsiTheme="minorHAnsi" w:cstheme="minorBidi"/>
          <w:noProof/>
          <w:sz w:val="22"/>
          <w:szCs w:val="22"/>
        </w:rPr>
      </w:pPr>
      <w:hyperlink w:anchor="_Toc113867039" w:history="1">
        <w:r w:rsidRPr="005007CC">
          <w:rPr>
            <w:rStyle w:val="Hyperlink"/>
            <w:noProof/>
          </w:rPr>
          <w:t>Table 13.  Comparison of regulatory frameworks over 26 years</w:t>
        </w:r>
        <w:r>
          <w:rPr>
            <w:noProof/>
            <w:webHidden/>
          </w:rPr>
          <w:tab/>
        </w:r>
        <w:r>
          <w:rPr>
            <w:noProof/>
            <w:webHidden/>
          </w:rPr>
          <w:fldChar w:fldCharType="begin"/>
        </w:r>
        <w:r>
          <w:rPr>
            <w:noProof/>
            <w:webHidden/>
          </w:rPr>
          <w:instrText xml:space="preserve"> PAGEREF _Toc113867039 \h </w:instrText>
        </w:r>
        <w:r>
          <w:rPr>
            <w:noProof/>
            <w:webHidden/>
          </w:rPr>
          <w:fldChar w:fldCharType="separate"/>
        </w:r>
        <w:r>
          <w:rPr>
            <w:noProof/>
            <w:webHidden/>
          </w:rPr>
          <w:t>15</w:t>
        </w:r>
        <w:r>
          <w:rPr>
            <w:noProof/>
            <w:webHidden/>
          </w:rPr>
          <w:fldChar w:fldCharType="end"/>
        </w:r>
      </w:hyperlink>
    </w:p>
    <w:p w:rsidR="002175D2" w14:paraId="36C6B890" w14:textId="11103689">
      <w:pPr>
        <w:pStyle w:val="TableofFigures"/>
        <w:tabs>
          <w:tab w:val="right" w:leader="dot" w:pos="8630"/>
        </w:tabs>
        <w:rPr>
          <w:rFonts w:asciiTheme="minorHAnsi" w:eastAsiaTheme="minorEastAsia" w:hAnsiTheme="minorHAnsi" w:cstheme="minorBidi"/>
          <w:noProof/>
          <w:sz w:val="22"/>
          <w:szCs w:val="22"/>
        </w:rPr>
      </w:pPr>
      <w:hyperlink w:anchor="_Toc113867040" w:history="1">
        <w:r w:rsidRPr="005007CC">
          <w:rPr>
            <w:rStyle w:val="Hyperlink"/>
            <w:noProof/>
          </w:rPr>
          <w:t>Table 14.  Comparison of regulatory frameworks over 26 years by responsible party</w:t>
        </w:r>
        <w:r>
          <w:rPr>
            <w:noProof/>
            <w:webHidden/>
          </w:rPr>
          <w:tab/>
        </w:r>
        <w:r>
          <w:rPr>
            <w:noProof/>
            <w:webHidden/>
          </w:rPr>
          <w:fldChar w:fldCharType="begin"/>
        </w:r>
        <w:r>
          <w:rPr>
            <w:noProof/>
            <w:webHidden/>
          </w:rPr>
          <w:instrText xml:space="preserve"> PAGEREF _Toc113867040 \h </w:instrText>
        </w:r>
        <w:r>
          <w:rPr>
            <w:noProof/>
            <w:webHidden/>
          </w:rPr>
          <w:fldChar w:fldCharType="separate"/>
        </w:r>
        <w:r>
          <w:rPr>
            <w:noProof/>
            <w:webHidden/>
          </w:rPr>
          <w:t>16</w:t>
        </w:r>
        <w:r>
          <w:rPr>
            <w:noProof/>
            <w:webHidden/>
          </w:rPr>
          <w:fldChar w:fldCharType="end"/>
        </w:r>
      </w:hyperlink>
    </w:p>
    <w:p w:rsidR="002175D2" w14:paraId="00A34F39" w14:textId="6185D046">
      <w:pPr>
        <w:pStyle w:val="TableofFigures"/>
        <w:tabs>
          <w:tab w:val="right" w:leader="dot" w:pos="8630"/>
        </w:tabs>
        <w:rPr>
          <w:rFonts w:asciiTheme="minorHAnsi" w:eastAsiaTheme="minorEastAsia" w:hAnsiTheme="minorHAnsi" w:cstheme="minorBidi"/>
          <w:noProof/>
          <w:sz w:val="22"/>
          <w:szCs w:val="22"/>
        </w:rPr>
      </w:pPr>
      <w:hyperlink w:anchor="_Toc113867041" w:history="1">
        <w:r w:rsidRPr="005007CC">
          <w:rPr>
            <w:rStyle w:val="Hyperlink"/>
            <w:noProof/>
          </w:rPr>
          <w:t>Table 15.  Comparison of regulatory frameworks for museums</w:t>
        </w:r>
        <w:r>
          <w:rPr>
            <w:noProof/>
            <w:webHidden/>
          </w:rPr>
          <w:tab/>
        </w:r>
        <w:r>
          <w:rPr>
            <w:noProof/>
            <w:webHidden/>
          </w:rPr>
          <w:fldChar w:fldCharType="begin"/>
        </w:r>
        <w:r>
          <w:rPr>
            <w:noProof/>
            <w:webHidden/>
          </w:rPr>
          <w:instrText xml:space="preserve"> PAGEREF _Toc113867041 \h </w:instrText>
        </w:r>
        <w:r>
          <w:rPr>
            <w:noProof/>
            <w:webHidden/>
          </w:rPr>
          <w:fldChar w:fldCharType="separate"/>
        </w:r>
        <w:r>
          <w:rPr>
            <w:noProof/>
            <w:webHidden/>
          </w:rPr>
          <w:t>19</w:t>
        </w:r>
        <w:r>
          <w:rPr>
            <w:noProof/>
            <w:webHidden/>
          </w:rPr>
          <w:fldChar w:fldCharType="end"/>
        </w:r>
      </w:hyperlink>
    </w:p>
    <w:p w:rsidR="002175D2" w14:paraId="1422E832" w14:textId="2FFB1763">
      <w:pPr>
        <w:pStyle w:val="TableofFigures"/>
        <w:tabs>
          <w:tab w:val="right" w:leader="dot" w:pos="8630"/>
        </w:tabs>
        <w:rPr>
          <w:rFonts w:asciiTheme="minorHAnsi" w:eastAsiaTheme="minorEastAsia" w:hAnsiTheme="minorHAnsi" w:cstheme="minorBidi"/>
          <w:noProof/>
          <w:sz w:val="22"/>
          <w:szCs w:val="22"/>
        </w:rPr>
      </w:pPr>
      <w:hyperlink w:anchor="_Toc113867042" w:history="1">
        <w:r w:rsidRPr="005007CC">
          <w:rPr>
            <w:rStyle w:val="Hyperlink"/>
            <w:noProof/>
          </w:rPr>
          <w:t>Table 16.  Estimate for Baseline Conditions Subpart B</w:t>
        </w:r>
        <w:r>
          <w:rPr>
            <w:noProof/>
            <w:webHidden/>
          </w:rPr>
          <w:tab/>
        </w:r>
        <w:r>
          <w:rPr>
            <w:noProof/>
            <w:webHidden/>
          </w:rPr>
          <w:fldChar w:fldCharType="begin"/>
        </w:r>
        <w:r>
          <w:rPr>
            <w:noProof/>
            <w:webHidden/>
          </w:rPr>
          <w:instrText xml:space="preserve"> PAGEREF _Toc113867042 \h </w:instrText>
        </w:r>
        <w:r>
          <w:rPr>
            <w:noProof/>
            <w:webHidden/>
          </w:rPr>
          <w:fldChar w:fldCharType="separate"/>
        </w:r>
        <w:r>
          <w:rPr>
            <w:noProof/>
            <w:webHidden/>
          </w:rPr>
          <w:t>20</w:t>
        </w:r>
        <w:r>
          <w:rPr>
            <w:noProof/>
            <w:webHidden/>
          </w:rPr>
          <w:fldChar w:fldCharType="end"/>
        </w:r>
      </w:hyperlink>
    </w:p>
    <w:p w:rsidR="002175D2" w14:paraId="1A327945" w14:textId="7763FB8A">
      <w:pPr>
        <w:pStyle w:val="TableofFigures"/>
        <w:tabs>
          <w:tab w:val="right" w:leader="dot" w:pos="8630"/>
        </w:tabs>
        <w:rPr>
          <w:rFonts w:asciiTheme="minorHAnsi" w:eastAsiaTheme="minorEastAsia" w:hAnsiTheme="minorHAnsi" w:cstheme="minorBidi"/>
          <w:noProof/>
          <w:sz w:val="22"/>
          <w:szCs w:val="22"/>
        </w:rPr>
      </w:pPr>
      <w:hyperlink w:anchor="_Toc113867043" w:history="1">
        <w:r w:rsidRPr="005007CC">
          <w:rPr>
            <w:rStyle w:val="Hyperlink"/>
            <w:noProof/>
          </w:rPr>
          <w:t>Table 17.  Estimate for Proposed regulatory action Subpart B</w:t>
        </w:r>
        <w:r>
          <w:rPr>
            <w:noProof/>
            <w:webHidden/>
          </w:rPr>
          <w:tab/>
        </w:r>
        <w:r>
          <w:rPr>
            <w:noProof/>
            <w:webHidden/>
          </w:rPr>
          <w:fldChar w:fldCharType="begin"/>
        </w:r>
        <w:r>
          <w:rPr>
            <w:noProof/>
            <w:webHidden/>
          </w:rPr>
          <w:instrText xml:space="preserve"> PAGEREF _Toc113867043 \h </w:instrText>
        </w:r>
        <w:r>
          <w:rPr>
            <w:noProof/>
            <w:webHidden/>
          </w:rPr>
          <w:fldChar w:fldCharType="separate"/>
        </w:r>
        <w:r>
          <w:rPr>
            <w:noProof/>
            <w:webHidden/>
          </w:rPr>
          <w:t>22</w:t>
        </w:r>
        <w:r>
          <w:rPr>
            <w:noProof/>
            <w:webHidden/>
          </w:rPr>
          <w:fldChar w:fldCharType="end"/>
        </w:r>
      </w:hyperlink>
    </w:p>
    <w:p w:rsidR="002175D2" w14:paraId="1D630667" w14:textId="5C53DB2B">
      <w:pPr>
        <w:pStyle w:val="TableofFigures"/>
        <w:tabs>
          <w:tab w:val="right" w:leader="dot" w:pos="8630"/>
        </w:tabs>
        <w:rPr>
          <w:rFonts w:asciiTheme="minorHAnsi" w:eastAsiaTheme="minorEastAsia" w:hAnsiTheme="minorHAnsi" w:cstheme="minorBidi"/>
          <w:noProof/>
          <w:sz w:val="22"/>
          <w:szCs w:val="22"/>
        </w:rPr>
      </w:pPr>
      <w:hyperlink w:anchor="_Toc113867044" w:history="1">
        <w:r w:rsidRPr="005007CC">
          <w:rPr>
            <w:rStyle w:val="Hyperlink"/>
            <w:noProof/>
          </w:rPr>
          <w:t>Table 18.  Estimate for Baseline Conditions Subpart C</w:t>
        </w:r>
        <w:r>
          <w:rPr>
            <w:noProof/>
            <w:webHidden/>
          </w:rPr>
          <w:tab/>
        </w:r>
        <w:r>
          <w:rPr>
            <w:noProof/>
            <w:webHidden/>
          </w:rPr>
          <w:fldChar w:fldCharType="begin"/>
        </w:r>
        <w:r>
          <w:rPr>
            <w:noProof/>
            <w:webHidden/>
          </w:rPr>
          <w:instrText xml:space="preserve"> PAGEREF _Toc113867044 \h </w:instrText>
        </w:r>
        <w:r>
          <w:rPr>
            <w:noProof/>
            <w:webHidden/>
          </w:rPr>
          <w:fldChar w:fldCharType="separate"/>
        </w:r>
        <w:r>
          <w:rPr>
            <w:noProof/>
            <w:webHidden/>
          </w:rPr>
          <w:t>25</w:t>
        </w:r>
        <w:r>
          <w:rPr>
            <w:noProof/>
            <w:webHidden/>
          </w:rPr>
          <w:fldChar w:fldCharType="end"/>
        </w:r>
      </w:hyperlink>
    </w:p>
    <w:p w:rsidR="002175D2" w14:paraId="7AF94D55" w14:textId="29C8C9CC">
      <w:pPr>
        <w:pStyle w:val="TableofFigures"/>
        <w:tabs>
          <w:tab w:val="right" w:leader="dot" w:pos="8630"/>
        </w:tabs>
        <w:rPr>
          <w:rFonts w:asciiTheme="minorHAnsi" w:eastAsiaTheme="minorEastAsia" w:hAnsiTheme="minorHAnsi" w:cstheme="minorBidi"/>
          <w:noProof/>
          <w:sz w:val="22"/>
          <w:szCs w:val="22"/>
        </w:rPr>
      </w:pPr>
      <w:hyperlink w:anchor="_Toc113867045" w:history="1">
        <w:r w:rsidRPr="005007CC">
          <w:rPr>
            <w:rStyle w:val="Hyperlink"/>
            <w:noProof/>
          </w:rPr>
          <w:t>Table 19.  Estimate for Proposed regulatory action (years 1-3) Subpart C</w:t>
        </w:r>
        <w:r>
          <w:rPr>
            <w:noProof/>
            <w:webHidden/>
          </w:rPr>
          <w:tab/>
        </w:r>
        <w:r>
          <w:rPr>
            <w:noProof/>
            <w:webHidden/>
          </w:rPr>
          <w:fldChar w:fldCharType="begin"/>
        </w:r>
        <w:r>
          <w:rPr>
            <w:noProof/>
            <w:webHidden/>
          </w:rPr>
          <w:instrText xml:space="preserve"> PAGEREF _Toc113867045 \h </w:instrText>
        </w:r>
        <w:r>
          <w:rPr>
            <w:noProof/>
            <w:webHidden/>
          </w:rPr>
          <w:fldChar w:fldCharType="separate"/>
        </w:r>
        <w:r>
          <w:rPr>
            <w:noProof/>
            <w:webHidden/>
          </w:rPr>
          <w:t>29</w:t>
        </w:r>
        <w:r>
          <w:rPr>
            <w:noProof/>
            <w:webHidden/>
          </w:rPr>
          <w:fldChar w:fldCharType="end"/>
        </w:r>
      </w:hyperlink>
    </w:p>
    <w:p w:rsidR="002175D2" w14:paraId="4918A902" w14:textId="11880350">
      <w:pPr>
        <w:pStyle w:val="TableofFigures"/>
        <w:tabs>
          <w:tab w:val="right" w:leader="dot" w:pos="8630"/>
        </w:tabs>
        <w:rPr>
          <w:rFonts w:asciiTheme="minorHAnsi" w:eastAsiaTheme="minorEastAsia" w:hAnsiTheme="minorHAnsi" w:cstheme="minorBidi"/>
          <w:noProof/>
          <w:sz w:val="22"/>
          <w:szCs w:val="22"/>
        </w:rPr>
      </w:pPr>
      <w:hyperlink w:anchor="_Toc113867046" w:history="1">
        <w:r w:rsidRPr="005007CC">
          <w:rPr>
            <w:rStyle w:val="Hyperlink"/>
            <w:noProof/>
          </w:rPr>
          <w:t>Table 20.  Collection size in Inventories.</w:t>
        </w:r>
        <w:r>
          <w:rPr>
            <w:noProof/>
            <w:webHidden/>
          </w:rPr>
          <w:tab/>
        </w:r>
        <w:r>
          <w:rPr>
            <w:noProof/>
            <w:webHidden/>
          </w:rPr>
          <w:fldChar w:fldCharType="begin"/>
        </w:r>
        <w:r>
          <w:rPr>
            <w:noProof/>
            <w:webHidden/>
          </w:rPr>
          <w:instrText xml:space="preserve"> PAGEREF _Toc113867046 \h </w:instrText>
        </w:r>
        <w:r>
          <w:rPr>
            <w:noProof/>
            <w:webHidden/>
          </w:rPr>
          <w:fldChar w:fldCharType="separate"/>
        </w:r>
        <w:r>
          <w:rPr>
            <w:noProof/>
            <w:webHidden/>
          </w:rPr>
          <w:t>32</w:t>
        </w:r>
        <w:r>
          <w:rPr>
            <w:noProof/>
            <w:webHidden/>
          </w:rPr>
          <w:fldChar w:fldCharType="end"/>
        </w:r>
      </w:hyperlink>
    </w:p>
    <w:p w:rsidR="002175D2" w14:paraId="52187BFB" w14:textId="5A7BE9A0">
      <w:pPr>
        <w:pStyle w:val="TableofFigures"/>
        <w:tabs>
          <w:tab w:val="right" w:leader="dot" w:pos="8630"/>
        </w:tabs>
        <w:rPr>
          <w:rFonts w:asciiTheme="minorHAnsi" w:eastAsiaTheme="minorEastAsia" w:hAnsiTheme="minorHAnsi" w:cstheme="minorBidi"/>
          <w:noProof/>
          <w:sz w:val="22"/>
          <w:szCs w:val="22"/>
        </w:rPr>
      </w:pPr>
      <w:hyperlink w:anchor="_Toc113867047" w:history="1">
        <w:r w:rsidRPr="005007CC">
          <w:rPr>
            <w:rStyle w:val="Hyperlink"/>
            <w:noProof/>
          </w:rPr>
          <w:t>Table 21.  Estimate for Proposed regulatory action (years 4 +) Subpart C</w:t>
        </w:r>
        <w:r>
          <w:rPr>
            <w:noProof/>
            <w:webHidden/>
          </w:rPr>
          <w:tab/>
        </w:r>
        <w:r>
          <w:rPr>
            <w:noProof/>
            <w:webHidden/>
          </w:rPr>
          <w:fldChar w:fldCharType="begin"/>
        </w:r>
        <w:r>
          <w:rPr>
            <w:noProof/>
            <w:webHidden/>
          </w:rPr>
          <w:instrText xml:space="preserve"> PAGEREF _Toc113867047 \h </w:instrText>
        </w:r>
        <w:r>
          <w:rPr>
            <w:noProof/>
            <w:webHidden/>
          </w:rPr>
          <w:fldChar w:fldCharType="separate"/>
        </w:r>
        <w:r>
          <w:rPr>
            <w:noProof/>
            <w:webHidden/>
          </w:rPr>
          <w:t>35</w:t>
        </w:r>
        <w:r>
          <w:rPr>
            <w:noProof/>
            <w:webHidden/>
          </w:rPr>
          <w:fldChar w:fldCharType="end"/>
        </w:r>
      </w:hyperlink>
    </w:p>
    <w:p w:rsidR="002175D2" w14:paraId="10592640" w14:textId="46DDE357">
      <w:pPr>
        <w:pStyle w:val="TableofFigures"/>
        <w:tabs>
          <w:tab w:val="right" w:leader="dot" w:pos="8630"/>
        </w:tabs>
        <w:rPr>
          <w:rFonts w:asciiTheme="minorHAnsi" w:eastAsiaTheme="minorEastAsia" w:hAnsiTheme="minorHAnsi" w:cstheme="minorBidi"/>
          <w:noProof/>
          <w:sz w:val="22"/>
          <w:szCs w:val="22"/>
        </w:rPr>
      </w:pPr>
      <w:hyperlink w:anchor="_Toc113867048" w:history="1">
        <w:r w:rsidRPr="005007CC">
          <w:rPr>
            <w:rStyle w:val="Hyperlink"/>
            <w:noProof/>
          </w:rPr>
          <w:t>Table 22.  Estimate for Baseline Conditions Subpart D</w:t>
        </w:r>
        <w:r>
          <w:rPr>
            <w:noProof/>
            <w:webHidden/>
          </w:rPr>
          <w:tab/>
        </w:r>
        <w:r>
          <w:rPr>
            <w:noProof/>
            <w:webHidden/>
          </w:rPr>
          <w:fldChar w:fldCharType="begin"/>
        </w:r>
        <w:r>
          <w:rPr>
            <w:noProof/>
            <w:webHidden/>
          </w:rPr>
          <w:instrText xml:space="preserve"> PAGEREF _Toc113867048 \h </w:instrText>
        </w:r>
        <w:r>
          <w:rPr>
            <w:noProof/>
            <w:webHidden/>
          </w:rPr>
          <w:fldChar w:fldCharType="separate"/>
        </w:r>
        <w:r>
          <w:rPr>
            <w:noProof/>
            <w:webHidden/>
          </w:rPr>
          <w:t>40</w:t>
        </w:r>
        <w:r>
          <w:rPr>
            <w:noProof/>
            <w:webHidden/>
          </w:rPr>
          <w:fldChar w:fldCharType="end"/>
        </w:r>
      </w:hyperlink>
    </w:p>
    <w:p w:rsidR="002175D2" w14:paraId="471D2577" w14:textId="234244D4">
      <w:pPr>
        <w:pStyle w:val="TableofFigures"/>
        <w:tabs>
          <w:tab w:val="right" w:leader="dot" w:pos="8630"/>
        </w:tabs>
        <w:rPr>
          <w:rFonts w:asciiTheme="minorHAnsi" w:eastAsiaTheme="minorEastAsia" w:hAnsiTheme="minorHAnsi" w:cstheme="minorBidi"/>
          <w:noProof/>
          <w:sz w:val="22"/>
          <w:szCs w:val="22"/>
        </w:rPr>
      </w:pPr>
      <w:hyperlink w:anchor="_Toc113867049" w:history="1">
        <w:r w:rsidRPr="005007CC">
          <w:rPr>
            <w:rStyle w:val="Hyperlink"/>
            <w:noProof/>
          </w:rPr>
          <w:t>Table 23.  Estimate for Proposed regulatory action Subpart D</w:t>
        </w:r>
        <w:r>
          <w:rPr>
            <w:noProof/>
            <w:webHidden/>
          </w:rPr>
          <w:tab/>
        </w:r>
        <w:r>
          <w:rPr>
            <w:noProof/>
            <w:webHidden/>
          </w:rPr>
          <w:fldChar w:fldCharType="begin"/>
        </w:r>
        <w:r>
          <w:rPr>
            <w:noProof/>
            <w:webHidden/>
          </w:rPr>
          <w:instrText xml:space="preserve"> PAGEREF _Toc113867049 \h </w:instrText>
        </w:r>
        <w:r>
          <w:rPr>
            <w:noProof/>
            <w:webHidden/>
          </w:rPr>
          <w:fldChar w:fldCharType="separate"/>
        </w:r>
        <w:r>
          <w:rPr>
            <w:noProof/>
            <w:webHidden/>
          </w:rPr>
          <w:t>41</w:t>
        </w:r>
        <w:r>
          <w:rPr>
            <w:noProof/>
            <w:webHidden/>
          </w:rPr>
          <w:fldChar w:fldCharType="end"/>
        </w:r>
      </w:hyperlink>
    </w:p>
    <w:p w:rsidR="00380471" w:rsidRPr="009A3B2C" w:rsidP="00AF635B" w14:paraId="1F4CCCF1" w14:textId="44331342">
      <w:pPr>
        <w:jc w:val="center"/>
        <w:rPr>
          <w:i/>
        </w:rPr>
        <w:sectPr w:rsidSect="004037B4">
          <w:headerReference w:type="default" r:id="rId7"/>
          <w:type w:val="continuous"/>
          <w:pgSz w:w="12240" w:h="15840"/>
          <w:pgMar w:top="1440" w:right="1800" w:bottom="1440" w:left="1800" w:header="720" w:footer="720" w:gutter="0"/>
          <w:pgNumType w:start="1"/>
          <w:cols w:space="720"/>
          <w:titlePg/>
          <w:docGrid w:linePitch="360"/>
        </w:sectPr>
      </w:pPr>
      <w:r>
        <w:rPr>
          <w:i/>
        </w:rPr>
        <w:fldChar w:fldCharType="end"/>
      </w:r>
    </w:p>
    <w:p w:rsidR="008E5D64" w:rsidRPr="00173654" w:rsidP="00173654" w14:paraId="38A609F4" w14:textId="2E635A9A">
      <w:pPr>
        <w:pStyle w:val="Heading1"/>
      </w:pPr>
      <w:bookmarkStart w:id="0" w:name="_Toc113866992"/>
      <w:r w:rsidRPr="00173654">
        <w:t>Introduction</w:t>
      </w:r>
      <w:bookmarkEnd w:id="0"/>
    </w:p>
    <w:p w:rsidR="00173654" w:rsidRPr="00173654" w:rsidP="00173654" w14:paraId="0DAC588E" w14:textId="77777777"/>
    <w:p w:rsidR="00825EEB" w:rsidRPr="0041046A" w:rsidP="000107A1" w14:paraId="54D8981A" w14:textId="0F6EE1C8">
      <w:r w:rsidRPr="0041046A">
        <w:t xml:space="preserve">This </w:t>
      </w:r>
      <w:r w:rsidRPr="0041046A" w:rsidR="0033278A">
        <w:t xml:space="preserve">report </w:t>
      </w:r>
      <w:r w:rsidRPr="0041046A" w:rsidR="00A3448E">
        <w:t>presents the</w:t>
      </w:r>
      <w:r w:rsidRPr="0041046A" w:rsidR="0033278A">
        <w:t xml:space="preserve"> </w:t>
      </w:r>
      <w:r w:rsidRPr="0041046A" w:rsidR="00A3448E">
        <w:t>cost-</w:t>
      </w:r>
      <w:r w:rsidRPr="0041046A">
        <w:t xml:space="preserve">benefit </w:t>
      </w:r>
      <w:r w:rsidRPr="0041046A" w:rsidR="00E40C30">
        <w:t xml:space="preserve">analysis </w:t>
      </w:r>
      <w:r w:rsidRPr="0041046A" w:rsidR="0031740B">
        <w:t xml:space="preserve">and regulatory flexibility </w:t>
      </w:r>
      <w:r w:rsidRPr="0041046A" w:rsidR="00EA1955">
        <w:t xml:space="preserve">threshold </w:t>
      </w:r>
      <w:r w:rsidRPr="0041046A">
        <w:t>analys</w:t>
      </w:r>
      <w:r w:rsidRPr="0041046A" w:rsidR="00E40C30">
        <w:t>i</w:t>
      </w:r>
      <w:r w:rsidRPr="0041046A">
        <w:t xml:space="preserve">s </w:t>
      </w:r>
      <w:r w:rsidRPr="0041046A" w:rsidR="0033278A">
        <w:t xml:space="preserve">of the </w:t>
      </w:r>
      <w:r w:rsidRPr="0041046A" w:rsidR="00B33E6C">
        <w:t xml:space="preserve">proposed regulatory action </w:t>
      </w:r>
      <w:r w:rsidRPr="0041046A" w:rsidR="00243422">
        <w:t xml:space="preserve">to </w:t>
      </w:r>
      <w:r w:rsidRPr="0041046A" w:rsidR="006F174F">
        <w:rPr>
          <w:shd w:val="clear" w:color="auto" w:fill="FFFFFF"/>
        </w:rPr>
        <w:t>revise</w:t>
      </w:r>
      <w:r w:rsidR="003D0B6F">
        <w:rPr>
          <w:shd w:val="clear" w:color="auto" w:fill="FFFFFF"/>
        </w:rPr>
        <w:t xml:space="preserve"> existing</w:t>
      </w:r>
      <w:r w:rsidRPr="0041046A" w:rsidR="006F174F">
        <w:rPr>
          <w:shd w:val="clear" w:color="auto" w:fill="FFFFFF"/>
        </w:rPr>
        <w:t xml:space="preserve"> regulations that implement the Native American Graves Protection and Repatriation Act</w:t>
      </w:r>
      <w:r w:rsidR="002F0E38">
        <w:rPr>
          <w:shd w:val="clear" w:color="auto" w:fill="FFFFFF"/>
        </w:rPr>
        <w:t xml:space="preserve"> (NAGPRA or Act)</w:t>
      </w:r>
      <w:r w:rsidR="00B402F0">
        <w:rPr>
          <w:shd w:val="clear" w:color="auto" w:fill="FFFFFF"/>
        </w:rPr>
        <w:t>, 25 U.S.C. 3001 et seq., 43 CFR Part 10</w:t>
      </w:r>
      <w:r w:rsidR="002F0E38">
        <w:rPr>
          <w:shd w:val="clear" w:color="auto" w:fill="FFFFFF"/>
        </w:rPr>
        <w:t xml:space="preserve"> (</w:t>
      </w:r>
      <w:r w:rsidRPr="0041046A" w:rsidR="00293F5B">
        <w:rPr>
          <w:shd w:val="clear" w:color="auto" w:fill="FFFFFF"/>
        </w:rPr>
        <w:t>RIN 1024-AE19)</w:t>
      </w:r>
      <w:r w:rsidRPr="0041046A" w:rsidR="009E5D10">
        <w:t>.</w:t>
      </w:r>
      <w:r w:rsidRPr="0041046A" w:rsidR="001F77A9">
        <w:t xml:space="preserve"> </w:t>
      </w:r>
      <w:r w:rsidR="00FA46E7">
        <w:rPr>
          <w:color w:val="000000"/>
        </w:rPr>
        <w:t>Quantitative analyses were conducted where possible</w:t>
      </w:r>
      <w:r w:rsidR="00D45A1F">
        <w:rPr>
          <w:color w:val="000000"/>
        </w:rPr>
        <w:t xml:space="preserve"> for </w:t>
      </w:r>
      <w:r w:rsidR="004E0166">
        <w:rPr>
          <w:color w:val="000000"/>
        </w:rPr>
        <w:t>anticipated costs and benefits</w:t>
      </w:r>
      <w:r w:rsidR="00FA46E7">
        <w:rPr>
          <w:color w:val="000000"/>
        </w:rPr>
        <w:t xml:space="preserve">. In some cases, benefits </w:t>
      </w:r>
      <w:r w:rsidRPr="000E4732" w:rsidR="00FA46E7">
        <w:rPr>
          <w:color w:val="000000"/>
        </w:rPr>
        <w:t>could not be monetized or quantified due to a lack of available data</w:t>
      </w:r>
      <w:r w:rsidR="00D45A1F">
        <w:rPr>
          <w:color w:val="000000"/>
        </w:rPr>
        <w:t xml:space="preserve"> or inappropriateness of such an estimate</w:t>
      </w:r>
      <w:r w:rsidRPr="000E4732" w:rsidR="00FA46E7">
        <w:rPr>
          <w:color w:val="000000"/>
        </w:rPr>
        <w:t xml:space="preserve">. In these cases, benefits are described qualitatively. </w:t>
      </w:r>
      <w:r w:rsidR="00AC1896">
        <w:t>T</w:t>
      </w:r>
      <w:r w:rsidRPr="0041046A" w:rsidR="001F77A9">
        <w:t>he National Park Service (NPS) believes that the</w:t>
      </w:r>
      <w:r w:rsidR="00AC1896">
        <w:t>se</w:t>
      </w:r>
      <w:r w:rsidRPr="0041046A" w:rsidR="001F77A9">
        <w:t xml:space="preserve"> analyses provide </w:t>
      </w:r>
      <w:r w:rsidR="00AC1896">
        <w:t>an adequate</w:t>
      </w:r>
      <w:r w:rsidRPr="0041046A" w:rsidR="001F77A9">
        <w:t xml:space="preserve"> assessment of </w:t>
      </w:r>
      <w:r w:rsidR="00AC1896">
        <w:t xml:space="preserve">the </w:t>
      </w:r>
      <w:r w:rsidRPr="0041046A" w:rsidR="001F77A9">
        <w:t>relevant cost</w:t>
      </w:r>
      <w:r w:rsidR="00AC509D">
        <w:t>s</w:t>
      </w:r>
      <w:r w:rsidRPr="0041046A" w:rsidR="001F77A9">
        <w:t xml:space="preserve"> and benefit</w:t>
      </w:r>
      <w:r w:rsidR="00AC509D">
        <w:t>s</w:t>
      </w:r>
      <w:r w:rsidRPr="0041046A" w:rsidR="001F77A9">
        <w:t xml:space="preserve"> associated with the proposed regulatory action.</w:t>
      </w:r>
      <w:r w:rsidRPr="0041046A" w:rsidR="00057F0A">
        <w:t xml:space="preserve">  </w:t>
      </w:r>
    </w:p>
    <w:p w:rsidR="00825EEB" w:rsidRPr="0041046A" w:rsidP="000107A1" w14:paraId="144FFBB5" w14:textId="77777777"/>
    <w:p w:rsidR="00B320CE" w:rsidP="000107A1" w14:paraId="34AF93FD" w14:textId="2BD86B62">
      <w:r w:rsidRPr="0041046A">
        <w:t>The results of the cost-benefit analysis indicate that the cost</w:t>
      </w:r>
      <w:r w:rsidR="00AC509D">
        <w:t>s</w:t>
      </w:r>
      <w:r w:rsidRPr="0041046A">
        <w:t xml:space="preserve"> of the proposed regulatory action </w:t>
      </w:r>
      <w:r w:rsidRPr="0041046A" w:rsidR="00366C35">
        <w:t>are</w:t>
      </w:r>
      <w:r w:rsidRPr="0041046A" w:rsidR="004A0E53">
        <w:t xml:space="preserve"> likely to be</w:t>
      </w:r>
      <w:r w:rsidRPr="0041046A" w:rsidR="009A7818">
        <w:t xml:space="preserve"> </w:t>
      </w:r>
      <w:r w:rsidRPr="0041046A">
        <w:t xml:space="preserve">justified by the associated </w:t>
      </w:r>
      <w:r w:rsidR="002F0E38">
        <w:t xml:space="preserve">quantitative and qualitative </w:t>
      </w:r>
      <w:r w:rsidRPr="0041046A">
        <w:t>benefits.</w:t>
      </w:r>
      <w:r w:rsidRPr="0041046A" w:rsidR="004C5EDA">
        <w:t xml:space="preserve"> </w:t>
      </w:r>
      <w:r w:rsidRPr="0041046A">
        <w:t xml:space="preserve">Additionally, this proposed regulatory action </w:t>
      </w:r>
      <w:r w:rsidRPr="0041046A" w:rsidR="004A0E53">
        <w:t>is unlikely to</w:t>
      </w:r>
      <w:r w:rsidRPr="0041046A" w:rsidR="00366C35">
        <w:t xml:space="preserve"> </w:t>
      </w:r>
      <w:r w:rsidRPr="0041046A">
        <w:t>have an annual economic effect of $100 million.</w:t>
      </w:r>
      <w:r w:rsidRPr="0041046A" w:rsidR="004C5EDA">
        <w:t xml:space="preserve"> </w:t>
      </w:r>
      <w:r w:rsidRPr="0041046A" w:rsidR="002F2328">
        <w:t xml:space="preserve">This proposed regulatory action </w:t>
      </w:r>
      <w:r w:rsidRPr="0041046A" w:rsidR="00C83A4B">
        <w:t>w</w:t>
      </w:r>
      <w:r w:rsidRPr="0041046A" w:rsidR="005E5AE4">
        <w:t>ill</w:t>
      </w:r>
      <w:r w:rsidRPr="0041046A" w:rsidR="00C83A4B">
        <w:t xml:space="preserve"> streamline requirements, </w:t>
      </w:r>
      <w:r w:rsidRPr="0041046A" w:rsidR="00C83A4B">
        <w:rPr>
          <w:bCs/>
        </w:rPr>
        <w:t>clarify timelines and terms, reduce ambiguity, and improve efficiency in the systematic process for the disposition and repatriation of Native American human remains, funerary objects, sacred objects, and objects of cultural patrimony.</w:t>
      </w:r>
      <w:r w:rsidRPr="0041046A" w:rsidR="00C83A4B">
        <w:t xml:space="preserve"> </w:t>
      </w:r>
      <w:r w:rsidRPr="0041046A">
        <w:t xml:space="preserve">The results of the regulatory flexibility </w:t>
      </w:r>
      <w:r w:rsidRPr="0041046A" w:rsidR="009E5DCC">
        <w:t xml:space="preserve">threshold </w:t>
      </w:r>
      <w:r w:rsidRPr="0041046A">
        <w:t xml:space="preserve">analysis indicate </w:t>
      </w:r>
      <w:r w:rsidRPr="0041046A" w:rsidR="001F77A9">
        <w:t>that</w:t>
      </w:r>
      <w:r w:rsidRPr="0041046A">
        <w:t xml:space="preserve"> the proposed regulatory action </w:t>
      </w:r>
      <w:r w:rsidRPr="0041046A" w:rsidR="004A0E53">
        <w:t xml:space="preserve">is unlikely to </w:t>
      </w:r>
      <w:r w:rsidRPr="0041046A">
        <w:t>impose a significant economic impact on a substa</w:t>
      </w:r>
      <w:r w:rsidRPr="0041046A" w:rsidR="00DE06CC">
        <w:t>ntial number of small entities.</w:t>
      </w:r>
    </w:p>
    <w:p w:rsidR="003C5872" w:rsidP="000107A1" w14:paraId="6005DD3B" w14:textId="489FE2F8"/>
    <w:p w:rsidR="003C5872" w:rsidRPr="00CC1A37" w:rsidP="000107A1" w14:paraId="38D31C5C" w14:textId="3835DC3F">
      <w:r>
        <w:t>T</w:t>
      </w:r>
      <w:r w:rsidRPr="003C5872">
        <w:t xml:space="preserve">he </w:t>
      </w:r>
      <w:r>
        <w:t>NPS</w:t>
      </w:r>
      <w:r w:rsidRPr="003C5872">
        <w:t xml:space="preserve"> solicits comment from the public on the entirety of th</w:t>
      </w:r>
      <w:r w:rsidR="00EA0B50">
        <w:t>e</w:t>
      </w:r>
      <w:r w:rsidRPr="003C5872">
        <w:t xml:space="preserve"> proposed rule</w:t>
      </w:r>
      <w:r>
        <w:t xml:space="preserve"> and </w:t>
      </w:r>
      <w:r w:rsidRPr="003C5872">
        <w:t xml:space="preserve">is </w:t>
      </w:r>
      <w:r>
        <w:t xml:space="preserve">particularly </w:t>
      </w:r>
      <w:r w:rsidRPr="003C5872">
        <w:t>interested in receiving comments from the public on the cost-benefit and regulatory flexibility analyses</w:t>
      </w:r>
      <w:r>
        <w:t>. Please see the preamble for specific</w:t>
      </w:r>
      <w:r w:rsidR="00EA0B50">
        <w:t xml:space="preserve"> question</w:t>
      </w:r>
      <w:r>
        <w:t>s.</w:t>
      </w:r>
    </w:p>
    <w:p w:rsidR="00FC4D94" w:rsidP="000107A1" w14:paraId="4ECD3311" w14:textId="77777777"/>
    <w:p w:rsidR="00D14E69" w:rsidRPr="00FC4D94" w:rsidP="000107A1" w14:paraId="1AB37628" w14:textId="77777777"/>
    <w:p w:rsidR="004850B0" w:rsidRPr="002F2328" w:rsidP="00173654" w14:paraId="312CEB11" w14:textId="64441199">
      <w:pPr>
        <w:pStyle w:val="Heading1"/>
      </w:pPr>
      <w:bookmarkStart w:id="1" w:name="_Toc113866993"/>
      <w:r w:rsidRPr="002F2328">
        <w:t>Cost-Benefit Analysis</w:t>
      </w:r>
      <w:bookmarkEnd w:id="1"/>
      <w:r w:rsidRPr="002F2328" w:rsidR="000C392F">
        <w:t xml:space="preserve"> </w:t>
      </w:r>
    </w:p>
    <w:p w:rsidR="004850B0" w:rsidP="000107A1" w14:paraId="2342C77D" w14:textId="77777777"/>
    <w:p w:rsidR="003D7CBE" w:rsidP="000107A1" w14:paraId="07F37E6F" w14:textId="77777777"/>
    <w:p w:rsidR="002F2328" w:rsidRPr="00173654" w:rsidP="00173654" w14:paraId="53EBD7DB" w14:textId="77777777">
      <w:pPr>
        <w:pStyle w:val="Heading2"/>
      </w:pPr>
      <w:bookmarkStart w:id="2" w:name="_Toc113866994"/>
      <w:r w:rsidRPr="00173654">
        <w:t>Background</w:t>
      </w:r>
      <w:bookmarkEnd w:id="2"/>
      <w:r w:rsidRPr="00173654">
        <w:t xml:space="preserve"> </w:t>
      </w:r>
    </w:p>
    <w:p w:rsidR="002F2328" w:rsidP="000107A1" w14:paraId="19C4D769" w14:textId="77777777"/>
    <w:p w:rsidR="009D03D6" w:rsidRPr="009D03D6" w:rsidP="000107A1" w14:paraId="0655167D" w14:textId="62826DEA">
      <w:r w:rsidRPr="009D03D6">
        <w:rPr>
          <w:bCs/>
        </w:rPr>
        <w:t>The Native American Graves Protection and Repatriation Act of 199</w:t>
      </w:r>
      <w:r w:rsidRPr="009717B8">
        <w:rPr>
          <w:bCs/>
        </w:rPr>
        <w:t>0 (NAGPRA</w:t>
      </w:r>
      <w:r w:rsidRPr="009D03D6">
        <w:rPr>
          <w:bCs/>
        </w:rPr>
        <w:t xml:space="preserve"> or Act) (25 U.S.C. 3001 </w:t>
      </w:r>
      <w:r w:rsidRPr="009D03D6">
        <w:rPr>
          <w:bCs/>
          <w:i/>
        </w:rPr>
        <w:t>et seq.</w:t>
      </w:r>
      <w:r w:rsidRPr="009D03D6">
        <w:rPr>
          <w:bCs/>
        </w:rPr>
        <w:t>)</w:t>
      </w:r>
      <w:r w:rsidRPr="009D03D6">
        <w:t xml:space="preserve"> </w:t>
      </w:r>
      <w:r w:rsidR="00A054E1">
        <w:t>requires</w:t>
      </w:r>
      <w:r w:rsidRPr="009D03D6">
        <w:t xml:space="preserve"> the disposition and repatriation of Native American human remains, funerary objects, sacred objects, and objects of cultural patrimony</w:t>
      </w:r>
      <w:r w:rsidR="00A054E1">
        <w:t xml:space="preserve"> </w:t>
      </w:r>
      <w:r w:rsidRPr="00A054E1" w:rsidR="00A054E1">
        <w:t>to lineal descendants, Indian Tribes, and Native Hawaiian organizations (NHOs)</w:t>
      </w:r>
      <w:r w:rsidRPr="009D03D6">
        <w:t xml:space="preserve">. The Act </w:t>
      </w:r>
      <w:r w:rsidR="00AD03FB">
        <w:t>governs</w:t>
      </w:r>
      <w:r w:rsidRPr="009D03D6">
        <w:t xml:space="preserve"> the disposition of </w:t>
      </w:r>
      <w:r w:rsidR="00737BB3">
        <w:t xml:space="preserve">human remains </w:t>
      </w:r>
      <w:r w:rsidR="00A054E1">
        <w:t>or</w:t>
      </w:r>
      <w:r w:rsidR="00737BB3">
        <w:t xml:space="preserve"> </w:t>
      </w:r>
      <w:r w:rsidRPr="009D03D6">
        <w:t xml:space="preserve">cultural items </w:t>
      </w:r>
      <w:r w:rsidR="00A054E1">
        <w:t xml:space="preserve">removed from </w:t>
      </w:r>
      <w:r w:rsidRPr="009D03D6">
        <w:t xml:space="preserve">Federal or </w:t>
      </w:r>
      <w:r w:rsidR="00A054E1">
        <w:t>T</w:t>
      </w:r>
      <w:r w:rsidRPr="009D03D6">
        <w:t xml:space="preserve">ribal lands (25 U.S.C. 3002); </w:t>
      </w:r>
      <w:r w:rsidR="00AD03FB">
        <w:t xml:space="preserve">requires </w:t>
      </w:r>
      <w:r w:rsidRPr="009D03D6">
        <w:t xml:space="preserve">the inventory of human remains and associated funerary objects in holdings or collections (25 U.S.C. 3003); </w:t>
      </w:r>
      <w:r w:rsidR="00AD03FB">
        <w:t xml:space="preserve">requires </w:t>
      </w:r>
      <w:r w:rsidRPr="009D03D6">
        <w:t xml:space="preserve">a summary of unassociated funerary objects, sacred objects, and cultural patrimony objects in holdings or collections (25 U.S.C. 3004); </w:t>
      </w:r>
      <w:r w:rsidR="00AD03FB">
        <w:t xml:space="preserve">governs </w:t>
      </w:r>
      <w:r w:rsidRPr="009D03D6">
        <w:t xml:space="preserve">the repatriation of human remains and cultural items in holdings or collections (25 U.S.C. 3005); </w:t>
      </w:r>
      <w:r w:rsidR="00AD03FB">
        <w:t>creates</w:t>
      </w:r>
      <w:r w:rsidRPr="009D03D6">
        <w:t xml:space="preserve"> a Federal advisory committee</w:t>
      </w:r>
      <w:r w:rsidR="00626F0C">
        <w:t xml:space="preserve"> (Review Committee)</w:t>
      </w:r>
      <w:r w:rsidRPr="009D03D6">
        <w:t xml:space="preserve"> to monitor and review the inventory and identification process and repatriation activities (25 U.S.C. 3006); and </w:t>
      </w:r>
      <w:r w:rsidR="00AD03FB">
        <w:t xml:space="preserve">authorizes </w:t>
      </w:r>
      <w:r w:rsidRPr="009D03D6">
        <w:t xml:space="preserve">civil penalties for museums that fail to comply with the Act (25 U.S.C. 3007). </w:t>
      </w:r>
      <w:r w:rsidRPr="0013191F" w:rsidR="0013191F">
        <w:t>The Secretary of the Interior (Secretary) is responsible for implementation of the Act, including the issuance of regulations implementing and interpreting its provisions (25 U.S.C. 3011). The regulations are codified at 43 CFR Part 10.</w:t>
      </w:r>
    </w:p>
    <w:p w:rsidR="00D25ECC" w:rsidP="000107A1" w14:paraId="72991D9F" w14:textId="77777777"/>
    <w:p w:rsidR="00D25ECC" w:rsidRPr="009D03D6" w:rsidP="000107A1" w14:paraId="16E41D23" w14:textId="02DCF057">
      <w:r>
        <w:t xml:space="preserve">The Act requires </w:t>
      </w:r>
      <w:r w:rsidR="001943F0">
        <w:t>any person</w:t>
      </w:r>
      <w:r w:rsidR="00A8272D">
        <w:t xml:space="preserve">, </w:t>
      </w:r>
      <w:r w:rsidRPr="000C160B">
        <w:t xml:space="preserve">Indian Tribes, </w:t>
      </w:r>
      <w:r w:rsidR="00761CD0">
        <w:t>NHOs</w:t>
      </w:r>
      <w:r w:rsidRPr="000C160B">
        <w:t xml:space="preserve">, Federal agencies, and the State of Hawai‘i Department of Hawaiian Home Lands </w:t>
      </w:r>
      <w:r w:rsidR="009F3991">
        <w:t xml:space="preserve">to take certain actions </w:t>
      </w:r>
      <w:r w:rsidR="00A054E1">
        <w:t>to protect</w:t>
      </w:r>
      <w:r w:rsidRPr="000C160B">
        <w:t xml:space="preserve"> human remains or cultural items </w:t>
      </w:r>
      <w:r>
        <w:t>on</w:t>
      </w:r>
      <w:r w:rsidRPr="000C160B">
        <w:t xml:space="preserve"> Federal or Tribal lands. </w:t>
      </w:r>
      <w:r w:rsidR="00C114DC">
        <w:t xml:space="preserve">Under the Act (25 U.S.C. 3002), </w:t>
      </w:r>
      <w:r w:rsidR="00174C4B">
        <w:t xml:space="preserve">human remains or cultural items </w:t>
      </w:r>
      <w:r w:rsidR="00694FE0">
        <w:t xml:space="preserve">on </w:t>
      </w:r>
      <w:r w:rsidR="00174C4B">
        <w:t>Federal or Tribal lands</w:t>
      </w:r>
      <w:r w:rsidR="00694FE0">
        <w:t xml:space="preserve"> must be protected and</w:t>
      </w:r>
      <w:r w:rsidR="00945E52">
        <w:t>, if removed,</w:t>
      </w:r>
      <w:r w:rsidR="00501EEF">
        <w:t xml:space="preserve"> transferred</w:t>
      </w:r>
      <w:r w:rsidRPr="000C160B">
        <w:t xml:space="preserve"> to </w:t>
      </w:r>
      <w:r w:rsidR="00D05493">
        <w:t>the appropriate</w:t>
      </w:r>
      <w:r w:rsidR="00737BB3">
        <w:t xml:space="preserve"> lineal descendant,</w:t>
      </w:r>
      <w:r w:rsidRPr="000C160B">
        <w:t xml:space="preserve"> Indian Tribe</w:t>
      </w:r>
      <w:r w:rsidR="00737BB3">
        <w:t>,</w:t>
      </w:r>
      <w:r w:rsidR="00D05493">
        <w:t xml:space="preserve"> or</w:t>
      </w:r>
      <w:r w:rsidR="003C75A2">
        <w:t xml:space="preserve"> NHOs</w:t>
      </w:r>
      <w:r w:rsidRPr="000C160B">
        <w:t>.</w:t>
      </w:r>
    </w:p>
    <w:p w:rsidR="00EE6D3F" w:rsidP="000107A1" w14:paraId="6DDDD5F6" w14:textId="77777777"/>
    <w:p w:rsidR="00EE6D3F" w:rsidP="000107A1" w14:paraId="17A28BB2" w14:textId="5466B83F">
      <w:r>
        <w:t xml:space="preserve">The Act requires all public and private museums receiving Federal funds </w:t>
      </w:r>
      <w:r w:rsidR="00683424">
        <w:t xml:space="preserve">and </w:t>
      </w:r>
      <w:r w:rsidR="00737BB3">
        <w:t xml:space="preserve">all </w:t>
      </w:r>
      <w:r w:rsidR="00683424">
        <w:t xml:space="preserve">Federal agencies </w:t>
      </w:r>
      <w:r w:rsidR="00A9466B">
        <w:t xml:space="preserve">(other than the Smithsonian Institution) </w:t>
      </w:r>
      <w:r>
        <w:t xml:space="preserve">to compile certain information regarding Native American </w:t>
      </w:r>
      <w:r w:rsidR="00A9466B">
        <w:t xml:space="preserve">human remains and </w:t>
      </w:r>
      <w:r>
        <w:t>cultural items in their possession or control and provide that information to lineal descendants, likely interested Indian tribes</w:t>
      </w:r>
      <w:r w:rsidR="00A9466B">
        <w:t>,</w:t>
      </w:r>
      <w:r>
        <w:t xml:space="preserve"> and</w:t>
      </w:r>
      <w:r w:rsidR="003C75A2">
        <w:t xml:space="preserve"> NHOs</w:t>
      </w:r>
      <w:r>
        <w:t xml:space="preserve">. Under the Act (25 U.S.C. 3003, 3004, and 3005), museums </w:t>
      </w:r>
      <w:r w:rsidR="00E06755">
        <w:t xml:space="preserve">and Federal agencies </w:t>
      </w:r>
      <w:r>
        <w:t>must</w:t>
      </w:r>
      <w:r w:rsidR="00A9466B">
        <w:t xml:space="preserve"> repatriate</w:t>
      </w:r>
      <w:r w:rsidR="00486DEA">
        <w:t xml:space="preserve"> human remains and cultural items</w:t>
      </w:r>
      <w:r w:rsidR="00A9466B">
        <w:t xml:space="preserve"> after an</w:t>
      </w:r>
      <w:r>
        <w:t xml:space="preserve"> examination of</w:t>
      </w:r>
      <w:r w:rsidR="00A9466B">
        <w:t xml:space="preserve"> available</w:t>
      </w:r>
      <w:r>
        <w:t xml:space="preserve"> records and consultation with</w:t>
      </w:r>
      <w:r w:rsidR="00A8272D">
        <w:t xml:space="preserve"> lineal descendants,</w:t>
      </w:r>
      <w:r>
        <w:t xml:space="preserve"> Indian </w:t>
      </w:r>
      <w:r w:rsidR="00A8272D">
        <w:t>T</w:t>
      </w:r>
      <w:r>
        <w:t>ribes</w:t>
      </w:r>
      <w:r w:rsidR="00A8272D">
        <w:t>,</w:t>
      </w:r>
      <w:r>
        <w:t xml:space="preserve"> and </w:t>
      </w:r>
      <w:r w:rsidR="003C75A2">
        <w:t>NHO</w:t>
      </w:r>
      <w:r>
        <w:t xml:space="preserve">s. </w:t>
      </w:r>
    </w:p>
    <w:p w:rsidR="00EE6D3F" w:rsidP="000107A1" w14:paraId="51D5D819" w14:textId="77777777"/>
    <w:p w:rsidR="001D1128" w:rsidP="000107A1" w14:paraId="2531D173" w14:textId="35C8F644">
      <w:bookmarkStart w:id="3" w:name="_Hlk112681885"/>
      <w:r>
        <w:t xml:space="preserve">As envisioned by Congress, </w:t>
      </w:r>
      <w:r w:rsidR="00884C32">
        <w:t>most</w:t>
      </w:r>
      <w:r>
        <w:t xml:space="preserve"> of requirements </w:t>
      </w:r>
      <w:bookmarkEnd w:id="3"/>
      <w:r w:rsidR="00535FBF">
        <w:t xml:space="preserve">for repatriation </w:t>
      </w:r>
      <w:r>
        <w:t xml:space="preserve">under the Act </w:t>
      </w:r>
      <w:r w:rsidR="00535FBF">
        <w:t>should have been</w:t>
      </w:r>
      <w:r>
        <w:t xml:space="preserve"> completed five years after enactment, although extensions</w:t>
      </w:r>
      <w:r w:rsidR="00FF5FDE">
        <w:t xml:space="preserve"> for museums</w:t>
      </w:r>
      <w:r>
        <w:t xml:space="preserve"> </w:t>
      </w:r>
      <w:r w:rsidR="00A8661A">
        <w:t xml:space="preserve">of five additional years </w:t>
      </w:r>
      <w:r w:rsidR="00535FBF">
        <w:t>were</w:t>
      </w:r>
      <w:r>
        <w:t xml:space="preserve"> authorized in some cases. In 1990, the Congressional Budget Office (CBO) reviewed the Act and estimated the legislation would cost between $20 million and $5</w:t>
      </w:r>
      <w:r w:rsidR="0097283A">
        <w:t>0</w:t>
      </w:r>
      <w:r>
        <w:t xml:space="preserve"> million over five years. The main cost</w:t>
      </w:r>
      <w:r w:rsidR="00AC509D">
        <w:t>s</w:t>
      </w:r>
      <w:r>
        <w:t xml:space="preserve"> of the Act were </w:t>
      </w:r>
      <w:r w:rsidR="001F6119">
        <w:t>in</w:t>
      </w:r>
      <w:r>
        <w:t xml:space="preserve"> preparing inventories</w:t>
      </w:r>
      <w:r w:rsidR="001F6119">
        <w:t xml:space="preserve"> of human remains</w:t>
      </w:r>
      <w:r w:rsidR="005823B6">
        <w:t>, estimated between $5 million and $30 million</w:t>
      </w:r>
      <w:r w:rsidR="00F04AA5">
        <w:t xml:space="preserve"> over five years</w:t>
      </w:r>
      <w:r>
        <w:t xml:space="preserve">. The CBO acknowledged that </w:t>
      </w:r>
      <w:r w:rsidR="00B6779C">
        <w:t xml:space="preserve">to some extent, </w:t>
      </w:r>
      <w:r>
        <w:t xml:space="preserve">“the total cost is discretionary-the more funds made available, the more accurate and comprehensive will be the information collected by museums.” </w:t>
      </w:r>
      <w:bookmarkStart w:id="4" w:name="_Hlk112681559"/>
      <w:r>
        <w:t xml:space="preserve">More extensive and expensive studies might be required for some human remains, but the CBO noted, such studies were </w:t>
      </w:r>
      <w:bookmarkStart w:id="5" w:name="_Hlk112681664"/>
      <w:r>
        <w:t>not required by the Act</w:t>
      </w:r>
      <w:bookmarkEnd w:id="4"/>
      <w:bookmarkEnd w:id="5"/>
      <w:r>
        <w:t xml:space="preserve">. </w:t>
      </w:r>
      <w:r w:rsidR="00BC1B71">
        <w:t xml:space="preserve">CBO noted that </w:t>
      </w:r>
      <w:r>
        <w:t xml:space="preserve">“If museums were required to identify all of their holdings definitively, the costs of this bill would be significantly higher than the $30 million estimate.” </w:t>
      </w:r>
      <w:r w:rsidR="001E2171">
        <w:t xml:space="preserve">The other </w:t>
      </w:r>
      <w:r w:rsidR="00265FCA">
        <w:t xml:space="preserve">$5 million to </w:t>
      </w:r>
      <w:r w:rsidR="001E2171">
        <w:t xml:space="preserve">$20 million in estimated </w:t>
      </w:r>
      <w:r>
        <w:t>cost</w:t>
      </w:r>
      <w:r w:rsidR="00AC509D">
        <w:t>s</w:t>
      </w:r>
      <w:r>
        <w:t xml:space="preserve"> were for</w:t>
      </w:r>
      <w:r w:rsidR="00A120B4">
        <w:t xml:space="preserve"> identifying associated</w:t>
      </w:r>
      <w:r>
        <w:t xml:space="preserve"> funerary objects and </w:t>
      </w:r>
      <w:r w:rsidR="00A120B4">
        <w:t xml:space="preserve">completing </w:t>
      </w:r>
      <w:r>
        <w:t xml:space="preserve">summaries as well as grants to Indian Tribes for making claims and assisting with repatriation </w:t>
      </w:r>
      <w:r w:rsidR="00081270">
        <w:t>(</w:t>
      </w:r>
      <w:r w:rsidR="00EC381A">
        <w:t>House</w:t>
      </w:r>
      <w:r w:rsidR="00081270">
        <w:t xml:space="preserve"> Report 101-</w:t>
      </w:r>
      <w:r w:rsidR="00EC381A">
        <w:t>877</w:t>
      </w:r>
      <w:r w:rsidR="00081270">
        <w:t xml:space="preserve">, </w:t>
      </w:r>
      <w:r w:rsidR="00EC381A">
        <w:t>October</w:t>
      </w:r>
      <w:r w:rsidR="00081270">
        <w:t xml:space="preserve"> 1</w:t>
      </w:r>
      <w:r w:rsidR="00EC381A">
        <w:t>5</w:t>
      </w:r>
      <w:r w:rsidR="00081270">
        <w:t>, 1990).</w:t>
      </w:r>
      <w:r>
        <w:rPr>
          <w:rStyle w:val="FootnoteReference"/>
        </w:rPr>
        <w:footnoteReference w:id="3"/>
      </w:r>
    </w:p>
    <w:p w:rsidR="001D1128" w:rsidP="000107A1" w14:paraId="033CE8FF" w14:textId="77777777">
      <w:pPr>
        <w:rPr>
          <w:rFonts w:ascii="Arial" w:hAnsi="Arial" w:cs="Arial"/>
          <w:b/>
          <w:bCs/>
          <w:sz w:val="23"/>
          <w:szCs w:val="23"/>
        </w:rPr>
      </w:pPr>
    </w:p>
    <w:p w:rsidR="00E5675B" w:rsidP="000107A1" w14:paraId="1256A2C3" w14:textId="5A159E72">
      <w:pPr>
        <w:rPr>
          <w:bCs/>
          <w:color w:val="000000" w:themeColor="text1"/>
        </w:rPr>
      </w:pPr>
      <w:r>
        <w:rPr>
          <w:bCs/>
          <w:color w:val="000000" w:themeColor="text1"/>
        </w:rPr>
        <w:t xml:space="preserve">After </w:t>
      </w:r>
      <w:r w:rsidR="001C4AD8">
        <w:rPr>
          <w:bCs/>
          <w:color w:val="000000" w:themeColor="text1"/>
        </w:rPr>
        <w:t xml:space="preserve">almost </w:t>
      </w:r>
      <w:r>
        <w:rPr>
          <w:bCs/>
          <w:color w:val="000000" w:themeColor="text1"/>
        </w:rPr>
        <w:t>32 years of implementation</w:t>
      </w:r>
      <w:r w:rsidR="006370EB">
        <w:rPr>
          <w:bCs/>
          <w:color w:val="000000" w:themeColor="text1"/>
        </w:rPr>
        <w:t>, the total cost</w:t>
      </w:r>
      <w:r w:rsidR="0031779E">
        <w:rPr>
          <w:bCs/>
          <w:color w:val="000000" w:themeColor="text1"/>
        </w:rPr>
        <w:t xml:space="preserve"> of </w:t>
      </w:r>
      <w:r w:rsidR="009A3106">
        <w:rPr>
          <w:bCs/>
          <w:color w:val="000000" w:themeColor="text1"/>
        </w:rPr>
        <w:t>repatriation is clearly</w:t>
      </w:r>
      <w:r w:rsidR="00BB5CC7">
        <w:rPr>
          <w:bCs/>
          <w:color w:val="000000" w:themeColor="text1"/>
        </w:rPr>
        <w:t xml:space="preserve"> discretionary</w:t>
      </w:r>
      <w:r w:rsidR="00107F6B">
        <w:rPr>
          <w:bCs/>
          <w:color w:val="000000" w:themeColor="text1"/>
        </w:rPr>
        <w:t>, and</w:t>
      </w:r>
      <w:r w:rsidR="00921F2F">
        <w:rPr>
          <w:bCs/>
          <w:color w:val="000000" w:themeColor="text1"/>
        </w:rPr>
        <w:t>,</w:t>
      </w:r>
      <w:r w:rsidR="00107F6B">
        <w:rPr>
          <w:bCs/>
          <w:color w:val="000000" w:themeColor="text1"/>
        </w:rPr>
        <w:t xml:space="preserve"> in addition to fund</w:t>
      </w:r>
      <w:r w:rsidR="00C278DC">
        <w:rPr>
          <w:bCs/>
          <w:color w:val="000000" w:themeColor="text1"/>
        </w:rPr>
        <w:t>s</w:t>
      </w:r>
      <w:r w:rsidR="00107F6B">
        <w:rPr>
          <w:bCs/>
          <w:color w:val="000000" w:themeColor="text1"/>
        </w:rPr>
        <w:t xml:space="preserve">, the more time available to complete </w:t>
      </w:r>
      <w:r w:rsidR="00FE06F6">
        <w:rPr>
          <w:bCs/>
          <w:color w:val="000000" w:themeColor="text1"/>
        </w:rPr>
        <w:t>an</w:t>
      </w:r>
      <w:r w:rsidR="00107F6B">
        <w:rPr>
          <w:bCs/>
          <w:color w:val="000000" w:themeColor="text1"/>
        </w:rPr>
        <w:t xml:space="preserve"> inventory</w:t>
      </w:r>
      <w:r w:rsidR="00FE06F6">
        <w:rPr>
          <w:bCs/>
          <w:color w:val="000000" w:themeColor="text1"/>
        </w:rPr>
        <w:t xml:space="preserve"> of human remains</w:t>
      </w:r>
      <w:r w:rsidR="00107F6B">
        <w:rPr>
          <w:bCs/>
          <w:color w:val="000000" w:themeColor="text1"/>
        </w:rPr>
        <w:t xml:space="preserve">, the more </w:t>
      </w:r>
      <w:r w:rsidR="00C278DC">
        <w:rPr>
          <w:bCs/>
          <w:color w:val="000000" w:themeColor="text1"/>
        </w:rPr>
        <w:t xml:space="preserve">comprehensive </w:t>
      </w:r>
      <w:r w:rsidR="00FE06F6">
        <w:rPr>
          <w:bCs/>
          <w:color w:val="000000" w:themeColor="text1"/>
        </w:rPr>
        <w:t xml:space="preserve">and extensive </w:t>
      </w:r>
      <w:r w:rsidR="00C278DC">
        <w:rPr>
          <w:bCs/>
          <w:color w:val="000000" w:themeColor="text1"/>
        </w:rPr>
        <w:t xml:space="preserve">the </w:t>
      </w:r>
      <w:r w:rsidR="002D6A5D">
        <w:rPr>
          <w:bCs/>
          <w:color w:val="000000" w:themeColor="text1"/>
        </w:rPr>
        <w:t>inventories have become</w:t>
      </w:r>
      <w:r w:rsidR="00BB5CC7">
        <w:rPr>
          <w:bCs/>
          <w:color w:val="000000" w:themeColor="text1"/>
        </w:rPr>
        <w:t>.</w:t>
      </w:r>
      <w:r w:rsidR="00C278DC">
        <w:rPr>
          <w:bCs/>
          <w:color w:val="000000" w:themeColor="text1"/>
        </w:rPr>
        <w:t xml:space="preserve"> </w:t>
      </w:r>
      <w:r w:rsidR="00433F29">
        <w:rPr>
          <w:bCs/>
          <w:color w:val="000000" w:themeColor="text1"/>
        </w:rPr>
        <w:t>After meeting the initial deadline</w:t>
      </w:r>
      <w:r w:rsidR="00672204">
        <w:rPr>
          <w:bCs/>
          <w:color w:val="000000" w:themeColor="text1"/>
        </w:rPr>
        <w:t xml:space="preserve"> for inventories</w:t>
      </w:r>
      <w:r w:rsidR="00722839">
        <w:rPr>
          <w:bCs/>
          <w:color w:val="000000" w:themeColor="text1"/>
        </w:rPr>
        <w:t xml:space="preserve"> in 1995</w:t>
      </w:r>
      <w:r w:rsidR="00433F29">
        <w:rPr>
          <w:bCs/>
          <w:color w:val="000000" w:themeColor="text1"/>
        </w:rPr>
        <w:t>,</w:t>
      </w:r>
      <w:r w:rsidR="00722839">
        <w:rPr>
          <w:bCs/>
          <w:color w:val="000000" w:themeColor="text1"/>
        </w:rPr>
        <w:t xml:space="preserve"> </w:t>
      </w:r>
      <w:bookmarkStart w:id="6" w:name="_Hlk112681310"/>
      <w:r w:rsidR="00722839">
        <w:rPr>
          <w:bCs/>
          <w:color w:val="000000" w:themeColor="text1"/>
        </w:rPr>
        <w:t>many</w:t>
      </w:r>
      <w:r w:rsidR="00433F29">
        <w:rPr>
          <w:bCs/>
          <w:color w:val="000000" w:themeColor="text1"/>
        </w:rPr>
        <w:t xml:space="preserve"> museums and Federal agencies have continued </w:t>
      </w:r>
      <w:r w:rsidR="006C56FD">
        <w:rPr>
          <w:bCs/>
          <w:color w:val="000000" w:themeColor="text1"/>
        </w:rPr>
        <w:t xml:space="preserve">to update inventories </w:t>
      </w:r>
      <w:r w:rsidR="00433F29">
        <w:rPr>
          <w:bCs/>
          <w:color w:val="000000" w:themeColor="text1"/>
        </w:rPr>
        <w:t>at their own discretion</w:t>
      </w:r>
      <w:r w:rsidR="006C56FD">
        <w:rPr>
          <w:bCs/>
          <w:color w:val="000000" w:themeColor="text1"/>
        </w:rPr>
        <w:t xml:space="preserve">, going </w:t>
      </w:r>
      <w:r w:rsidR="002D6A5D">
        <w:rPr>
          <w:bCs/>
          <w:color w:val="000000" w:themeColor="text1"/>
        </w:rPr>
        <w:t xml:space="preserve">far </w:t>
      </w:r>
      <w:r w:rsidR="006C56FD">
        <w:rPr>
          <w:bCs/>
          <w:color w:val="000000" w:themeColor="text1"/>
        </w:rPr>
        <w:t xml:space="preserve">beyond </w:t>
      </w:r>
      <w:r w:rsidR="00433F29">
        <w:t>what is required by the Act and the existing regulations.</w:t>
      </w:r>
      <w:r w:rsidR="00BB5CC7">
        <w:rPr>
          <w:bCs/>
          <w:color w:val="000000" w:themeColor="text1"/>
        </w:rPr>
        <w:t xml:space="preserve"> </w:t>
      </w:r>
      <w:r>
        <w:rPr>
          <w:bCs/>
          <w:color w:val="000000" w:themeColor="text1"/>
        </w:rPr>
        <w:t>Under the Act</w:t>
      </w:r>
      <w:r w:rsidR="00E15C70">
        <w:rPr>
          <w:bCs/>
          <w:color w:val="000000" w:themeColor="text1"/>
        </w:rPr>
        <w:t xml:space="preserve"> and the existing regulations</w:t>
      </w:r>
      <w:r>
        <w:rPr>
          <w:bCs/>
          <w:color w:val="000000" w:themeColor="text1"/>
        </w:rPr>
        <w:t xml:space="preserve">, </w:t>
      </w:r>
      <w:r w:rsidR="002D6A5D">
        <w:rPr>
          <w:bCs/>
          <w:color w:val="000000" w:themeColor="text1"/>
        </w:rPr>
        <w:t>an</w:t>
      </w:r>
      <w:r>
        <w:rPr>
          <w:bCs/>
          <w:color w:val="000000" w:themeColor="text1"/>
        </w:rPr>
        <w:t xml:space="preserve"> inventory </w:t>
      </w:r>
      <w:r w:rsidR="002D6A5D">
        <w:rPr>
          <w:bCs/>
          <w:color w:val="000000" w:themeColor="text1"/>
        </w:rPr>
        <w:t xml:space="preserve">of human remains </w:t>
      </w:r>
      <w:r w:rsidR="00E15C70">
        <w:rPr>
          <w:bCs/>
          <w:color w:val="000000" w:themeColor="text1"/>
        </w:rPr>
        <w:t>only requires use of</w:t>
      </w:r>
      <w:r w:rsidRPr="00E5675B">
        <w:rPr>
          <w:bCs/>
          <w:color w:val="000000" w:themeColor="text1"/>
        </w:rPr>
        <w:t xml:space="preserve"> “information possessed by such museum</w:t>
      </w:r>
      <w:r w:rsidR="007C0E5D">
        <w:rPr>
          <w:bCs/>
          <w:color w:val="000000" w:themeColor="text1"/>
        </w:rPr>
        <w:t xml:space="preserve"> or Federal agency</w:t>
      </w:r>
      <w:r w:rsidRPr="00E5675B">
        <w:rPr>
          <w:bCs/>
          <w:color w:val="000000" w:themeColor="text1"/>
        </w:rPr>
        <w:t xml:space="preserve">” (25 U.S.C. 3003(a)). </w:t>
      </w:r>
      <w:r w:rsidR="00FF16D9">
        <w:rPr>
          <w:bCs/>
          <w:color w:val="000000" w:themeColor="text1"/>
        </w:rPr>
        <w:t xml:space="preserve">Yet, despite the </w:t>
      </w:r>
      <w:r w:rsidR="00E06566">
        <w:rPr>
          <w:bCs/>
          <w:color w:val="000000" w:themeColor="text1"/>
        </w:rPr>
        <w:t xml:space="preserve">minimum requirements, hundreds of </w:t>
      </w:r>
      <w:r w:rsidRPr="00E06566" w:rsidR="00E06566">
        <w:rPr>
          <w:bCs/>
          <w:color w:val="000000" w:themeColor="text1"/>
        </w:rPr>
        <w:t xml:space="preserve">museums and </w:t>
      </w:r>
      <w:r w:rsidR="00E06566">
        <w:rPr>
          <w:bCs/>
          <w:color w:val="000000" w:themeColor="text1"/>
        </w:rPr>
        <w:t xml:space="preserve">several </w:t>
      </w:r>
      <w:r w:rsidRPr="00E06566" w:rsidR="00E06566">
        <w:rPr>
          <w:bCs/>
          <w:color w:val="000000" w:themeColor="text1"/>
        </w:rPr>
        <w:t xml:space="preserve">Federal agencies </w:t>
      </w:r>
      <w:r w:rsidR="007F0459">
        <w:rPr>
          <w:bCs/>
          <w:color w:val="000000" w:themeColor="text1"/>
        </w:rPr>
        <w:t xml:space="preserve">submit </w:t>
      </w:r>
      <w:r w:rsidRPr="00E06566" w:rsidR="00E06566">
        <w:rPr>
          <w:bCs/>
          <w:color w:val="000000" w:themeColor="text1"/>
        </w:rPr>
        <w:t>updat</w:t>
      </w:r>
      <w:r w:rsidR="00E06566">
        <w:rPr>
          <w:bCs/>
          <w:color w:val="000000" w:themeColor="text1"/>
        </w:rPr>
        <w:t>e</w:t>
      </w:r>
      <w:r w:rsidRPr="00E06566" w:rsidR="00E06566">
        <w:rPr>
          <w:bCs/>
          <w:color w:val="000000" w:themeColor="text1"/>
        </w:rPr>
        <w:t xml:space="preserve"> inventory data </w:t>
      </w:r>
      <w:r w:rsidR="00E06566">
        <w:rPr>
          <w:bCs/>
          <w:color w:val="000000" w:themeColor="text1"/>
        </w:rPr>
        <w:t>each year</w:t>
      </w:r>
      <w:r w:rsidRPr="00E06566" w:rsidR="00E06566">
        <w:rPr>
          <w:bCs/>
          <w:color w:val="000000" w:themeColor="text1"/>
        </w:rPr>
        <w:t xml:space="preserve">. </w:t>
      </w:r>
      <w:r w:rsidR="002F2E76">
        <w:rPr>
          <w:bCs/>
          <w:color w:val="000000" w:themeColor="text1"/>
        </w:rPr>
        <w:t>As explained in our baseline estimate below, t</w:t>
      </w:r>
      <w:r w:rsidRPr="00E06566" w:rsidR="00E06566">
        <w:rPr>
          <w:bCs/>
          <w:color w:val="000000" w:themeColor="text1"/>
        </w:rPr>
        <w:t xml:space="preserve">he number of museums updating inventory data is relatively large and accounts for multiple submissions </w:t>
      </w:r>
      <w:r w:rsidR="002F2E76">
        <w:rPr>
          <w:bCs/>
          <w:color w:val="000000" w:themeColor="text1"/>
        </w:rPr>
        <w:t xml:space="preserve">each year </w:t>
      </w:r>
      <w:r w:rsidRPr="00E06566" w:rsidR="00E06566">
        <w:rPr>
          <w:bCs/>
          <w:color w:val="000000" w:themeColor="text1"/>
        </w:rPr>
        <w:t xml:space="preserve">from a single museum because the data is updated on a </w:t>
      </w:r>
      <w:bookmarkStart w:id="7" w:name="_Hlk112681897"/>
      <w:r w:rsidRPr="00E06566" w:rsidR="00E06566">
        <w:rPr>
          <w:bCs/>
          <w:color w:val="000000" w:themeColor="text1"/>
        </w:rPr>
        <w:t>case-by-case basis</w:t>
      </w:r>
      <w:r w:rsidR="007F0459">
        <w:rPr>
          <w:bCs/>
          <w:color w:val="000000" w:themeColor="text1"/>
        </w:rPr>
        <w:t xml:space="preserve"> based on the requirements of the museum</w:t>
      </w:r>
      <w:bookmarkEnd w:id="6"/>
      <w:bookmarkEnd w:id="7"/>
      <w:r w:rsidRPr="00E06566" w:rsidR="00E06566">
        <w:rPr>
          <w:bCs/>
          <w:color w:val="000000" w:themeColor="text1"/>
        </w:rPr>
        <w:t xml:space="preserve">. </w:t>
      </w:r>
    </w:p>
    <w:p w:rsidR="00DA5FEE" w:rsidP="000107A1" w14:paraId="3A9C99F2" w14:textId="24CAA292">
      <w:pPr>
        <w:rPr>
          <w:bCs/>
          <w:color w:val="000000" w:themeColor="text1"/>
        </w:rPr>
      </w:pPr>
    </w:p>
    <w:p w:rsidR="003D7CBE" w:rsidP="000107A1" w14:paraId="450BD0A0" w14:textId="77777777">
      <w:pPr>
        <w:rPr>
          <w:bCs/>
          <w:color w:val="000000" w:themeColor="text1"/>
        </w:rPr>
      </w:pPr>
    </w:p>
    <w:p w:rsidR="007B54EB" w:rsidRPr="002F2328" w:rsidP="00173654" w14:paraId="6DC81465" w14:textId="1A8B7E8C">
      <w:pPr>
        <w:pStyle w:val="Heading2"/>
      </w:pPr>
      <w:bookmarkStart w:id="8" w:name="_Toc113866995"/>
      <w:r w:rsidRPr="002F2328">
        <w:t>St</w:t>
      </w:r>
      <w:r w:rsidRPr="002F2328" w:rsidR="00273637">
        <w:t xml:space="preserve">atement of Need for the </w:t>
      </w:r>
      <w:r w:rsidRPr="002F2328" w:rsidR="00A94912">
        <w:t>Proposed Plan</w:t>
      </w:r>
      <w:bookmarkEnd w:id="8"/>
    </w:p>
    <w:p w:rsidR="007B54EB" w:rsidP="000107A1" w14:paraId="2FC36911" w14:textId="77777777"/>
    <w:p w:rsidR="00486DEA" w:rsidP="000107A1" w14:paraId="162F3FBD" w14:textId="7CCFEFEB">
      <w:r w:rsidRPr="00486DEA">
        <w:t xml:space="preserve">The Department of the Interior </w:t>
      </w:r>
      <w:r w:rsidR="00293654">
        <w:t xml:space="preserve">(Department) </w:t>
      </w:r>
      <w:r w:rsidRPr="00486DEA">
        <w:t xml:space="preserve">proposes to revise the </w:t>
      </w:r>
      <w:r w:rsidR="0020778C">
        <w:t>existing</w:t>
      </w:r>
      <w:r w:rsidRPr="00486DEA">
        <w:t xml:space="preserve"> regulations to clarify and improve the systematic process for the disposition and repatriation of Native American human remains, funerary objects, sacred objects, or objects of cultural patrimony. The proposed </w:t>
      </w:r>
      <w:r w:rsidR="00617E53">
        <w:t>regulatory action</w:t>
      </w:r>
      <w:r w:rsidRPr="00486DEA">
        <w:t xml:space="preserve"> would eliminate ambiguities, correct inaccuracies, simplify excessively burdensome and complicated requirements, clarify timelines, and remove offensive terminology in the existing regulations that have inhibited the respectful repatriation of most Native American human remains. This </w:t>
      </w:r>
      <w:r w:rsidR="007A799C">
        <w:t>action</w:t>
      </w:r>
      <w:r w:rsidRPr="00486DEA">
        <w:t xml:space="preserve"> would simplify and improve the regulatory process for repatriation and thereby advance the goals of racial justice, equity, and inclusion.</w:t>
      </w:r>
    </w:p>
    <w:p w:rsidR="00486DEA" w:rsidP="000107A1" w14:paraId="603BD592" w14:textId="77777777"/>
    <w:p w:rsidR="00153DA1" w:rsidP="000107A1" w14:paraId="550C6681" w14:textId="63FA641E">
      <w:r>
        <w:t>Executive Order 12866</w:t>
      </w:r>
      <w:r w:rsidR="006E2ACD">
        <w:t xml:space="preserve"> (58 FR 51735)</w:t>
      </w:r>
      <w:r>
        <w:t xml:space="preserve"> </w:t>
      </w:r>
      <w:r w:rsidR="00465081">
        <w:t>directs</w:t>
      </w:r>
      <w:r>
        <w:t xml:space="preserve"> Federal agencies to demonstrate the need for the regulations they promulgate.</w:t>
      </w:r>
      <w:r w:rsidR="004C5EDA">
        <w:t xml:space="preserve"> </w:t>
      </w:r>
      <w:r>
        <w:t>In general, regulations should be promulgated only when a “market failure” exists that cannot be resolved effectively through other means.</w:t>
      </w:r>
      <w:r w:rsidR="004C5EDA">
        <w:t xml:space="preserve"> </w:t>
      </w:r>
      <w:r>
        <w:t>A market failure exists when private markets fail to allocate resources in an economically efficient manner</w:t>
      </w:r>
      <w:r w:rsidR="004C5EDA">
        <w:t xml:space="preserve"> </w:t>
      </w:r>
      <w:r w:rsidR="00075797">
        <w:t>based on o</w:t>
      </w:r>
      <w:r w:rsidRPr="002E2F4E" w:rsidR="002E2F4E">
        <w:t>ther justifications</w:t>
      </w:r>
      <w:r w:rsidR="00075797">
        <w:t>:</w:t>
      </w:r>
      <w:r w:rsidRPr="002E2F4E" w:rsidR="002E2F4E">
        <w:t xml:space="preserve"> improving the functioning of government, removing distributional unfairness, </w:t>
      </w:r>
      <w:r w:rsidR="00075797">
        <w:t>and</w:t>
      </w:r>
      <w:r w:rsidRPr="002E2F4E" w:rsidR="002E2F4E">
        <w:t xml:space="preserve"> promoting privacy and personal freedom</w:t>
      </w:r>
      <w:r w:rsidR="00F06A46">
        <w:t>.</w:t>
      </w:r>
      <w:r>
        <w:rPr>
          <w:rStyle w:val="FootnoteReference"/>
        </w:rPr>
        <w:footnoteReference w:id="4"/>
      </w:r>
      <w:r w:rsidRPr="002E2F4E" w:rsidR="002E2F4E">
        <w:t xml:space="preserve"> </w:t>
      </w:r>
    </w:p>
    <w:p w:rsidR="002E2F4E" w:rsidP="000107A1" w14:paraId="5096D421" w14:textId="77777777"/>
    <w:p w:rsidR="006368A5" w:rsidP="000107A1" w14:paraId="00A62810" w14:textId="1FB18F03">
      <w:pPr>
        <w:rPr>
          <w:color w:val="000000" w:themeColor="text1"/>
        </w:rPr>
      </w:pPr>
      <w:r>
        <w:t xml:space="preserve">For this rulemaking, there is not a market failure; instead, the rulemaking is being promulgated to improve the functioning of government. </w:t>
      </w:r>
      <w:r w:rsidRPr="00CD49B9" w:rsidR="00CD49B9">
        <w:rPr>
          <w:bCs/>
        </w:rPr>
        <w:t xml:space="preserve">As part of </w:t>
      </w:r>
      <w:r w:rsidRPr="002A25B8" w:rsidR="002A25B8">
        <w:rPr>
          <w:bCs/>
        </w:rPr>
        <w:t>the Department’s</w:t>
      </w:r>
      <w:r w:rsidRPr="00CD49B9" w:rsidR="00CD49B9">
        <w:rPr>
          <w:bCs/>
        </w:rPr>
        <w:t xml:space="preserve"> regulatory review</w:t>
      </w:r>
      <w:r w:rsidR="002A25B8">
        <w:rPr>
          <w:bCs/>
        </w:rPr>
        <w:t xml:space="preserve"> </w:t>
      </w:r>
      <w:r w:rsidRPr="000C160B" w:rsidR="002A25B8">
        <w:t>in accordance with the Regulatory Flexibility Act and E.O. 13563</w:t>
      </w:r>
      <w:r w:rsidRPr="00CD49B9" w:rsidR="00CD49B9">
        <w:rPr>
          <w:bCs/>
        </w:rPr>
        <w:t>, the Department regula</w:t>
      </w:r>
      <w:r w:rsidR="005F6A6B">
        <w:rPr>
          <w:bCs/>
        </w:rPr>
        <w:t>rly seeks public input on how we</w:t>
      </w:r>
      <w:r w:rsidRPr="00CD49B9" w:rsidR="00CD49B9">
        <w:rPr>
          <w:bCs/>
        </w:rPr>
        <w:t xml:space="preserve"> may best achieve regulatory ends. Over the past </w:t>
      </w:r>
      <w:r w:rsidR="00293D76">
        <w:rPr>
          <w:bCs/>
        </w:rPr>
        <w:t>1</w:t>
      </w:r>
      <w:r w:rsidR="00F80BBB">
        <w:rPr>
          <w:bCs/>
        </w:rPr>
        <w:t>2</w:t>
      </w:r>
      <w:r w:rsidRPr="00CD49B9" w:rsidR="00CD49B9">
        <w:rPr>
          <w:bCs/>
        </w:rPr>
        <w:t xml:space="preserve"> years, parties affected by the definitions and procedures established in 43 CFR Part 10 have commented, in various forums, that some of the regulatory provisions should be amended to improve implementation of the Act. </w:t>
      </w:r>
      <w:r w:rsidR="002050BC">
        <w:rPr>
          <w:color w:val="000000" w:themeColor="text1"/>
        </w:rPr>
        <w:t>Based on this input as well as more than 30 years of implementation, t</w:t>
      </w:r>
      <w:r w:rsidRPr="5452BB15" w:rsidR="0019571E">
        <w:rPr>
          <w:color w:val="000000" w:themeColor="text1"/>
        </w:rPr>
        <w:t xml:space="preserve">he </w:t>
      </w:r>
      <w:r w:rsidR="002050BC">
        <w:rPr>
          <w:color w:val="000000" w:themeColor="text1"/>
        </w:rPr>
        <w:t xml:space="preserve">Department </w:t>
      </w:r>
      <w:r w:rsidRPr="00486DEA" w:rsidR="002050BC">
        <w:t xml:space="preserve">proposes to revise the </w:t>
      </w:r>
      <w:r w:rsidR="000849E0">
        <w:t xml:space="preserve">entire </w:t>
      </w:r>
      <w:r w:rsidR="002050BC">
        <w:t>existing</w:t>
      </w:r>
      <w:r w:rsidRPr="00486DEA" w:rsidR="002050BC">
        <w:t xml:space="preserve"> regulations</w:t>
      </w:r>
      <w:r w:rsidRPr="5452BB15" w:rsidR="0019571E">
        <w:rPr>
          <w:color w:val="000000" w:themeColor="text1"/>
        </w:rPr>
        <w:t xml:space="preserve"> by </w:t>
      </w:r>
      <w:r w:rsidRPr="0B8FC134" w:rsidR="0019571E">
        <w:rPr>
          <w:color w:val="000000" w:themeColor="text1"/>
        </w:rPr>
        <w:t xml:space="preserve">clarifying </w:t>
      </w:r>
      <w:r w:rsidRPr="683DAB2C" w:rsidR="0019571E">
        <w:rPr>
          <w:color w:val="000000" w:themeColor="text1"/>
        </w:rPr>
        <w:t xml:space="preserve">requirements and </w:t>
      </w:r>
      <w:r w:rsidRPr="59DD1798" w:rsidR="0019571E">
        <w:rPr>
          <w:color w:val="000000" w:themeColor="text1"/>
        </w:rPr>
        <w:t xml:space="preserve">establishing </w:t>
      </w:r>
      <w:r w:rsidRPr="368B0191" w:rsidR="0019571E">
        <w:rPr>
          <w:color w:val="000000" w:themeColor="text1"/>
        </w:rPr>
        <w:t>timelines</w:t>
      </w:r>
      <w:r w:rsidRPr="6FE6D582" w:rsidR="0019571E">
        <w:rPr>
          <w:color w:val="000000" w:themeColor="text1"/>
        </w:rPr>
        <w:t>.</w:t>
      </w:r>
    </w:p>
    <w:p w:rsidR="003079C1" w:rsidP="000107A1" w14:paraId="20A51925" w14:textId="77777777">
      <w:pPr>
        <w:rPr>
          <w:color w:val="000000" w:themeColor="text1"/>
        </w:rPr>
      </w:pPr>
    </w:p>
    <w:p w:rsidR="003079C1" w:rsidP="000107A1" w14:paraId="55BD8624" w14:textId="4B1E081D">
      <w:pPr>
        <w:rPr>
          <w:bCs/>
        </w:rPr>
      </w:pPr>
      <w:r w:rsidRPr="0070210E">
        <w:t>The</w:t>
      </w:r>
      <w:r>
        <w:t xml:space="preserve"> Department proposed to revise </w:t>
      </w:r>
      <w:r w:rsidRPr="0070210E">
        <w:t xml:space="preserve">the </w:t>
      </w:r>
      <w:r>
        <w:t xml:space="preserve">existing </w:t>
      </w:r>
      <w:r w:rsidRPr="0070210E">
        <w:t xml:space="preserve">regulations </w:t>
      </w:r>
      <w:r>
        <w:t xml:space="preserve">to </w:t>
      </w:r>
      <w:r w:rsidRPr="0041046A">
        <w:rPr>
          <w:bCs/>
        </w:rPr>
        <w:t>streamline requirements, clarify timelines and terms, reduce ambiguity, and improve efficiency in the systematic process for the disposition and repatriation of Native American human remains, funerary objects, sacred objects, and objects of cultural patrimony under the Act.</w:t>
      </w:r>
      <w:r>
        <w:t xml:space="preserve"> The proposed </w:t>
      </w:r>
      <w:r w:rsidR="00AD43CF">
        <w:t>revisions</w:t>
      </w:r>
      <w:r>
        <w:t xml:space="preserve"> would provide a step-by-step roadmap for museums and Federal agencies to comply with requirements within specific timelines to facilitate the required disposition and repatriation</w:t>
      </w:r>
    </w:p>
    <w:p w:rsidR="006368A5" w:rsidP="000107A1" w14:paraId="327E2E9C" w14:textId="77777777">
      <w:pPr>
        <w:rPr>
          <w:bCs/>
        </w:rPr>
      </w:pPr>
    </w:p>
    <w:p w:rsidR="0013191F" w:rsidP="000107A1" w14:paraId="517A7763" w14:textId="2D7A16E6">
      <w:pPr>
        <w:rPr>
          <w:bCs/>
        </w:rPr>
      </w:pPr>
      <w:r>
        <w:t>The Department</w:t>
      </w:r>
      <w:r w:rsidRPr="008438CA">
        <w:t xml:space="preserve"> has heard frequently that the</w:t>
      </w:r>
      <w:r w:rsidR="00396EA4">
        <w:t xml:space="preserve"> existing</w:t>
      </w:r>
      <w:r w:rsidRPr="008438CA">
        <w:t xml:space="preserve"> regulations themselves pose barriers to successful and expedient repatriation.</w:t>
      </w:r>
      <w:r>
        <w:t xml:space="preserve"> </w:t>
      </w:r>
      <w:r w:rsidR="005C12A1">
        <w:rPr>
          <w:bCs/>
        </w:rPr>
        <w:t xml:space="preserve">In 2021, the Department conducted consultation with Indian Tribes and NHOs </w:t>
      </w:r>
      <w:r w:rsidR="00C440C4">
        <w:rPr>
          <w:bCs/>
        </w:rPr>
        <w:t>on a draft text of this regulatory action and received 71 individual comment letters, yielding over 700 specific comments.</w:t>
      </w:r>
      <w:r w:rsidR="00107B80">
        <w:rPr>
          <w:bCs/>
        </w:rPr>
        <w:t xml:space="preserve"> To the maximum extent possible, the </w:t>
      </w:r>
      <w:r w:rsidR="00107B80">
        <w:rPr>
          <w:bCs/>
        </w:rPr>
        <w:t>Department incorporated input from Indian Tribes</w:t>
      </w:r>
      <w:r w:rsidRPr="0013191F">
        <w:rPr>
          <w:bCs/>
        </w:rPr>
        <w:t xml:space="preserve"> </w:t>
      </w:r>
      <w:r w:rsidR="00107B80">
        <w:rPr>
          <w:bCs/>
        </w:rPr>
        <w:t>and NHOs into the proposed regulatory action.</w:t>
      </w:r>
    </w:p>
    <w:p w:rsidR="00D655DA" w:rsidP="000107A1" w14:paraId="345CE003" w14:textId="7C465550">
      <w:pPr>
        <w:contextualSpacing/>
      </w:pPr>
    </w:p>
    <w:p w:rsidR="00F84B9F" w:rsidRPr="00517813" w:rsidP="000107A1" w14:paraId="30A6D166" w14:textId="25D08C42">
      <w:pPr>
        <w:rPr>
          <w:u w:val="single"/>
        </w:rPr>
      </w:pPr>
      <w:r>
        <w:t xml:space="preserve">A central issue </w:t>
      </w:r>
      <w:r w:rsidR="005E5409">
        <w:t>identified by the Department and confirmed</w:t>
      </w:r>
      <w:r>
        <w:t xml:space="preserve"> by consultation</w:t>
      </w:r>
      <w:r w:rsidR="005E5409">
        <w:t xml:space="preserve"> is the number of </w:t>
      </w:r>
      <w:r>
        <w:t>Native American human remains</w:t>
      </w:r>
      <w:r w:rsidR="004E5C13">
        <w:t xml:space="preserve"> identified by</w:t>
      </w:r>
      <w:r>
        <w:t xml:space="preserve"> museum</w:t>
      </w:r>
      <w:r w:rsidR="004E5C13">
        <w:t>s</w:t>
      </w:r>
      <w:r>
        <w:t xml:space="preserve"> and Federal agenc</w:t>
      </w:r>
      <w:r w:rsidR="004E5C13">
        <w:t>ies in inventories</w:t>
      </w:r>
      <w:r w:rsidR="003B1E20">
        <w:t xml:space="preserve"> that are</w:t>
      </w:r>
      <w:r>
        <w:t xml:space="preserve"> pending consultation and notification under the</w:t>
      </w:r>
      <w:r w:rsidR="0070507D">
        <w:t xml:space="preserve"> existing</w:t>
      </w:r>
      <w:r>
        <w:t xml:space="preserve"> regulatory process</w:t>
      </w:r>
      <w:r w:rsidR="0025246F">
        <w:t xml:space="preserve"> (Subpart C of the existing regulations and proposed regulatory action)</w:t>
      </w:r>
      <w:r>
        <w:t xml:space="preserve">. </w:t>
      </w:r>
      <w:r w:rsidR="00F75DD9">
        <w:t>Since 2010, the</w:t>
      </w:r>
      <w:r w:rsidR="00396EA4">
        <w:t xml:space="preserve"> existing</w:t>
      </w:r>
      <w:r w:rsidR="00F75DD9">
        <w:t xml:space="preserve"> regulations have provided for a process to repatriate all </w:t>
      </w:r>
      <w:r w:rsidR="00B966CA">
        <w:t xml:space="preserve">Native American human remains in holdings or collections but </w:t>
      </w:r>
      <w:r w:rsidR="003B1E20">
        <w:t xml:space="preserve">the existing regulations </w:t>
      </w:r>
      <w:r w:rsidR="00B966CA">
        <w:t xml:space="preserve">do not impose deadlines and leave the process at the discretion of the museum or Federal agency. </w:t>
      </w:r>
      <w:r>
        <w:t>As of September 30, 2021, only 4</w:t>
      </w:r>
      <w:r w:rsidR="009C1AF9">
        <w:t>1.</w:t>
      </w:r>
      <w:r w:rsidR="0024446F">
        <w:t>9</w:t>
      </w:r>
      <w:r>
        <w:t xml:space="preserve">% </w:t>
      </w:r>
      <w:r w:rsidR="00B17AA8">
        <w:t xml:space="preserve">of human remains in holdings or collections </w:t>
      </w:r>
      <w:r>
        <w:t xml:space="preserve">have completed the regulatory process for repatriation. After </w:t>
      </w:r>
      <w:r w:rsidR="001C4AD8">
        <w:t xml:space="preserve">almost 32 </w:t>
      </w:r>
      <w:r>
        <w:t>years</w:t>
      </w:r>
      <w:r w:rsidR="008A7B11">
        <w:t xml:space="preserve"> of implementation</w:t>
      </w:r>
      <w:r>
        <w:t>, 11</w:t>
      </w:r>
      <w:r w:rsidR="00250705">
        <w:t>7</w:t>
      </w:r>
      <w:r>
        <w:t>,</w:t>
      </w:r>
      <w:r w:rsidR="00250705">
        <w:t>575</w:t>
      </w:r>
      <w:r>
        <w:t xml:space="preserve"> Native American human remains are </w:t>
      </w:r>
      <w:r w:rsidR="002C19F7">
        <w:t xml:space="preserve">still </w:t>
      </w:r>
      <w:r>
        <w:t>pending consultation and notification</w:t>
      </w:r>
      <w:r w:rsidR="004E3397">
        <w:t xml:space="preserve"> </w:t>
      </w:r>
      <w:r w:rsidR="00250705">
        <w:t xml:space="preserve">before they can be repatriated to the appropriate Indian Tribes or NHOs. </w:t>
      </w:r>
    </w:p>
    <w:p w:rsidR="001D1128" w:rsidP="000107A1" w14:paraId="6BC8878B" w14:textId="77777777">
      <w:pPr>
        <w:contextualSpacing/>
      </w:pPr>
    </w:p>
    <w:p w:rsidR="00FB0972" w:rsidP="000107A1" w14:paraId="2F616663" w14:textId="030BA0D0">
      <w:pPr>
        <w:contextualSpacing/>
      </w:pPr>
      <w:r>
        <w:t>Using data o</w:t>
      </w:r>
      <w:r w:rsidR="00D37FD2">
        <w:t>n implementation since 201</w:t>
      </w:r>
      <w:r w:rsidR="0060731C">
        <w:t>2</w:t>
      </w:r>
      <w:r>
        <w:t xml:space="preserve">, </w:t>
      </w:r>
      <w:r w:rsidR="00D37FD2">
        <w:t xml:space="preserve">the </w:t>
      </w:r>
      <w:r>
        <w:t xml:space="preserve">NPS estimates it will take </w:t>
      </w:r>
      <w:r w:rsidR="006368A5">
        <w:t>an additional</w:t>
      </w:r>
      <w:r>
        <w:t xml:space="preserve"> 26 years</w:t>
      </w:r>
      <w:r w:rsidR="006368A5">
        <w:t xml:space="preserve"> </w:t>
      </w:r>
      <w:r>
        <w:t xml:space="preserve">to complete the consultation and notification process for all </w:t>
      </w:r>
      <w:r w:rsidR="00FE7B66">
        <w:t xml:space="preserve">117,000 </w:t>
      </w:r>
      <w:r>
        <w:t xml:space="preserve">Native American human remains currently </w:t>
      </w:r>
      <w:r w:rsidR="00FE7B66">
        <w:t xml:space="preserve">pending in the </w:t>
      </w:r>
      <w:r w:rsidR="0060731C">
        <w:t xml:space="preserve">existing </w:t>
      </w:r>
      <w:r w:rsidR="00FE7B66">
        <w:t xml:space="preserve">regulatory </w:t>
      </w:r>
      <w:r w:rsidR="0060731C">
        <w:t>framework</w:t>
      </w:r>
      <w:r>
        <w:t xml:space="preserve">. </w:t>
      </w:r>
      <w:r w:rsidR="001160B9">
        <w:t xml:space="preserve">Over the last ten years, the average number of human remains completing the existing regulatory process per year is 4,437 individual sets of Native American human remains. </w:t>
      </w:r>
      <w:r>
        <w:t>T</w:t>
      </w:r>
      <w:r w:rsidR="003745F6">
        <w:t>able 1</w:t>
      </w:r>
      <w:r>
        <w:t xml:space="preserve"> shows the total number and the annual </w:t>
      </w:r>
      <w:r w:rsidR="00C17F23">
        <w:t>change in the number</w:t>
      </w:r>
      <w:r>
        <w:t xml:space="preserve"> of Native American human remains completing the existing regulatory process over the last ten years.</w:t>
      </w:r>
      <w:r>
        <w:rPr>
          <w:rStyle w:val="FootnoteReference"/>
        </w:rPr>
        <w:footnoteReference w:id="5"/>
      </w:r>
    </w:p>
    <w:p w:rsidR="00FB0972" w:rsidP="000107A1" w14:paraId="0EBE236B" w14:textId="77777777">
      <w:pPr>
        <w:contextualSpacing/>
      </w:pPr>
    </w:p>
    <w:p w:rsidR="004C6759" w:rsidP="000107A1" w14:paraId="5FC9CFE0" w14:textId="77777777">
      <w:pPr>
        <w:contextualSpacing/>
      </w:pPr>
    </w:p>
    <w:p w:rsidR="00FB0972" w:rsidRPr="00C37CE5" w:rsidP="00C37CE5" w14:paraId="21AACE10" w14:textId="7552639F">
      <w:pPr>
        <w:pStyle w:val="Heading3"/>
      </w:pPr>
      <w:bookmarkStart w:id="9" w:name="_Toc113867027"/>
      <w:r w:rsidRPr="00C37CE5">
        <w:t xml:space="preserve">Table </w:t>
      </w:r>
      <w:r w:rsidRPr="00C37CE5" w:rsidR="007B7B63">
        <w:t>1</w:t>
      </w:r>
      <w:r w:rsidRPr="00C37CE5">
        <w:t xml:space="preserve">. </w:t>
      </w:r>
      <w:r w:rsidR="004C6759">
        <w:t xml:space="preserve"> </w:t>
      </w:r>
      <w:r w:rsidRPr="00C37CE5">
        <w:t>Native American human remains</w:t>
      </w:r>
      <w:bookmarkEnd w:id="9"/>
      <w:r w:rsidRPr="00C37CE5">
        <w:t xml:space="preserve"> </w:t>
      </w:r>
    </w:p>
    <w:tbl>
      <w:tblPr>
        <w:tblStyle w:val="TableGrid"/>
        <w:tblW w:w="0" w:type="auto"/>
        <w:tblLook w:val="04A0"/>
      </w:tblPr>
      <w:tblGrid>
        <w:gridCol w:w="1435"/>
        <w:gridCol w:w="3150"/>
        <w:gridCol w:w="2070"/>
      </w:tblGrid>
      <w:tr w14:paraId="1AAD3A80" w14:textId="77777777" w:rsidTr="00C93883">
        <w:tblPrEx>
          <w:tblW w:w="0" w:type="auto"/>
          <w:tblLook w:val="04A0"/>
        </w:tblPrEx>
        <w:tc>
          <w:tcPr>
            <w:tcW w:w="1435" w:type="dxa"/>
            <w:vAlign w:val="center"/>
          </w:tcPr>
          <w:p w:rsidR="00FB0972" w:rsidRPr="004D6EEC" w:rsidP="00D37FD2" w14:paraId="30AFF61C" w14:textId="77777777">
            <w:pPr>
              <w:contextualSpacing/>
              <w:jc w:val="center"/>
              <w:rPr>
                <w:b/>
                <w:bCs/>
              </w:rPr>
            </w:pPr>
            <w:r w:rsidRPr="004D6EEC">
              <w:rPr>
                <w:b/>
                <w:bCs/>
              </w:rPr>
              <w:t>Fiscal Year</w:t>
            </w:r>
          </w:p>
        </w:tc>
        <w:tc>
          <w:tcPr>
            <w:tcW w:w="3150" w:type="dxa"/>
            <w:vAlign w:val="center"/>
          </w:tcPr>
          <w:p w:rsidR="00FB0972" w:rsidRPr="004D6EEC" w:rsidP="00D37FD2" w14:paraId="69814FC9" w14:textId="36C0B750">
            <w:pPr>
              <w:contextualSpacing/>
              <w:jc w:val="center"/>
              <w:rPr>
                <w:b/>
                <w:bCs/>
              </w:rPr>
            </w:pPr>
            <w:r w:rsidRPr="004D6EEC">
              <w:rPr>
                <w:b/>
                <w:bCs/>
              </w:rPr>
              <w:t xml:space="preserve">Total </w:t>
            </w:r>
            <w:r w:rsidRPr="004D6EEC" w:rsidR="008C3245">
              <w:rPr>
                <w:b/>
                <w:bCs/>
              </w:rPr>
              <w:t>published in notices</w:t>
            </w:r>
          </w:p>
        </w:tc>
        <w:tc>
          <w:tcPr>
            <w:tcW w:w="2070" w:type="dxa"/>
            <w:vAlign w:val="center"/>
          </w:tcPr>
          <w:p w:rsidR="00FB0972" w:rsidRPr="004D6EEC" w:rsidP="00D37FD2" w14:paraId="20DEB407" w14:textId="29F002F5">
            <w:pPr>
              <w:contextualSpacing/>
              <w:jc w:val="center"/>
              <w:rPr>
                <w:b/>
                <w:bCs/>
              </w:rPr>
            </w:pPr>
            <w:r w:rsidRPr="004D6EEC">
              <w:rPr>
                <w:b/>
                <w:bCs/>
              </w:rPr>
              <w:t xml:space="preserve">Annual </w:t>
            </w:r>
            <w:r w:rsidRPr="004D6EEC" w:rsidR="00537CCC">
              <w:rPr>
                <w:b/>
                <w:bCs/>
              </w:rPr>
              <w:t>change</w:t>
            </w:r>
          </w:p>
        </w:tc>
      </w:tr>
      <w:tr w14:paraId="50C9337B" w14:textId="77777777" w:rsidTr="00C93883">
        <w:tblPrEx>
          <w:tblW w:w="0" w:type="auto"/>
          <w:tblLook w:val="04A0"/>
        </w:tblPrEx>
        <w:tc>
          <w:tcPr>
            <w:tcW w:w="1435" w:type="dxa"/>
          </w:tcPr>
          <w:p w:rsidR="00FB0972" w:rsidP="000107A1" w14:paraId="02A9FEB2" w14:textId="77777777">
            <w:pPr>
              <w:contextualSpacing/>
            </w:pPr>
            <w:r>
              <w:t>2012</w:t>
            </w:r>
          </w:p>
        </w:tc>
        <w:tc>
          <w:tcPr>
            <w:tcW w:w="3150" w:type="dxa"/>
          </w:tcPr>
          <w:p w:rsidR="00FB0972" w:rsidP="000107A1" w14:paraId="4E9C9CFF" w14:textId="77777777">
            <w:pPr>
              <w:contextualSpacing/>
              <w:jc w:val="right"/>
            </w:pPr>
            <w:r w:rsidRPr="001F6245">
              <w:t>43,525</w:t>
            </w:r>
          </w:p>
        </w:tc>
        <w:tc>
          <w:tcPr>
            <w:tcW w:w="2070" w:type="dxa"/>
          </w:tcPr>
          <w:p w:rsidR="00FB0972" w:rsidP="000107A1" w14:paraId="693FD487" w14:textId="77777777">
            <w:pPr>
              <w:contextualSpacing/>
              <w:jc w:val="right"/>
            </w:pPr>
            <w:r w:rsidRPr="00EC1AAE">
              <w:t>3,220</w:t>
            </w:r>
          </w:p>
        </w:tc>
      </w:tr>
      <w:tr w14:paraId="6BCF3532" w14:textId="77777777" w:rsidTr="00C93883">
        <w:tblPrEx>
          <w:tblW w:w="0" w:type="auto"/>
          <w:tblLook w:val="04A0"/>
        </w:tblPrEx>
        <w:tc>
          <w:tcPr>
            <w:tcW w:w="1435" w:type="dxa"/>
          </w:tcPr>
          <w:p w:rsidR="00FB0972" w:rsidP="000107A1" w14:paraId="51C8D9DD" w14:textId="77777777">
            <w:pPr>
              <w:contextualSpacing/>
            </w:pPr>
            <w:r>
              <w:t>2013</w:t>
            </w:r>
          </w:p>
        </w:tc>
        <w:tc>
          <w:tcPr>
            <w:tcW w:w="3150" w:type="dxa"/>
          </w:tcPr>
          <w:p w:rsidR="00FB0972" w:rsidP="000107A1" w14:paraId="215AC782" w14:textId="77777777">
            <w:pPr>
              <w:contextualSpacing/>
              <w:jc w:val="right"/>
            </w:pPr>
            <w:r w:rsidRPr="001F6245">
              <w:t>45,975</w:t>
            </w:r>
          </w:p>
        </w:tc>
        <w:tc>
          <w:tcPr>
            <w:tcW w:w="2070" w:type="dxa"/>
          </w:tcPr>
          <w:p w:rsidR="00FB0972" w:rsidP="000107A1" w14:paraId="32A47FFF" w14:textId="77777777">
            <w:pPr>
              <w:contextualSpacing/>
              <w:jc w:val="right"/>
            </w:pPr>
            <w:r w:rsidRPr="00EC1AAE">
              <w:t>2,450</w:t>
            </w:r>
          </w:p>
        </w:tc>
      </w:tr>
      <w:tr w14:paraId="252D2EAE" w14:textId="77777777" w:rsidTr="00C93883">
        <w:tblPrEx>
          <w:tblW w:w="0" w:type="auto"/>
          <w:tblLook w:val="04A0"/>
        </w:tblPrEx>
        <w:tc>
          <w:tcPr>
            <w:tcW w:w="1435" w:type="dxa"/>
          </w:tcPr>
          <w:p w:rsidR="00FB0972" w:rsidP="000107A1" w14:paraId="0738BE05" w14:textId="77777777">
            <w:pPr>
              <w:contextualSpacing/>
            </w:pPr>
            <w:r>
              <w:t>2014</w:t>
            </w:r>
          </w:p>
        </w:tc>
        <w:tc>
          <w:tcPr>
            <w:tcW w:w="3150" w:type="dxa"/>
          </w:tcPr>
          <w:p w:rsidR="00FB0972" w:rsidP="000107A1" w14:paraId="26DE8D3A" w14:textId="77777777">
            <w:pPr>
              <w:contextualSpacing/>
              <w:jc w:val="right"/>
            </w:pPr>
            <w:r w:rsidRPr="001F6245">
              <w:t>48,588</w:t>
            </w:r>
          </w:p>
        </w:tc>
        <w:tc>
          <w:tcPr>
            <w:tcW w:w="2070" w:type="dxa"/>
          </w:tcPr>
          <w:p w:rsidR="00FB0972" w:rsidP="000107A1" w14:paraId="42DCA184" w14:textId="77777777">
            <w:pPr>
              <w:contextualSpacing/>
              <w:jc w:val="right"/>
            </w:pPr>
            <w:r w:rsidRPr="00EC1AAE">
              <w:t>2,613</w:t>
            </w:r>
          </w:p>
        </w:tc>
      </w:tr>
      <w:tr w14:paraId="65A079A7" w14:textId="77777777" w:rsidTr="00C93883">
        <w:tblPrEx>
          <w:tblW w:w="0" w:type="auto"/>
          <w:tblLook w:val="04A0"/>
        </w:tblPrEx>
        <w:tc>
          <w:tcPr>
            <w:tcW w:w="1435" w:type="dxa"/>
          </w:tcPr>
          <w:p w:rsidR="00FB0972" w:rsidP="000107A1" w14:paraId="51648800" w14:textId="77777777">
            <w:pPr>
              <w:contextualSpacing/>
            </w:pPr>
            <w:r>
              <w:t>2015</w:t>
            </w:r>
          </w:p>
        </w:tc>
        <w:tc>
          <w:tcPr>
            <w:tcW w:w="3150" w:type="dxa"/>
          </w:tcPr>
          <w:p w:rsidR="00FB0972" w:rsidP="000107A1" w14:paraId="18C24A15" w14:textId="77777777">
            <w:pPr>
              <w:contextualSpacing/>
              <w:jc w:val="right"/>
            </w:pPr>
            <w:r w:rsidRPr="001F6245">
              <w:t>51,558</w:t>
            </w:r>
          </w:p>
        </w:tc>
        <w:tc>
          <w:tcPr>
            <w:tcW w:w="2070" w:type="dxa"/>
          </w:tcPr>
          <w:p w:rsidR="00FB0972" w:rsidP="000107A1" w14:paraId="70A0D88C" w14:textId="77777777">
            <w:pPr>
              <w:contextualSpacing/>
              <w:jc w:val="right"/>
            </w:pPr>
            <w:r w:rsidRPr="00EC1AAE">
              <w:t>2,970</w:t>
            </w:r>
          </w:p>
        </w:tc>
      </w:tr>
      <w:tr w14:paraId="5B34076F" w14:textId="77777777" w:rsidTr="00C93883">
        <w:tblPrEx>
          <w:tblW w:w="0" w:type="auto"/>
          <w:tblLook w:val="04A0"/>
        </w:tblPrEx>
        <w:tc>
          <w:tcPr>
            <w:tcW w:w="1435" w:type="dxa"/>
          </w:tcPr>
          <w:p w:rsidR="00FB0972" w:rsidP="000107A1" w14:paraId="5867F32D" w14:textId="77777777">
            <w:pPr>
              <w:contextualSpacing/>
            </w:pPr>
            <w:r>
              <w:t>2016</w:t>
            </w:r>
          </w:p>
        </w:tc>
        <w:tc>
          <w:tcPr>
            <w:tcW w:w="3150" w:type="dxa"/>
          </w:tcPr>
          <w:p w:rsidR="00FB0972" w:rsidP="000107A1" w14:paraId="26E8FAB0" w14:textId="77777777">
            <w:pPr>
              <w:contextualSpacing/>
              <w:jc w:val="right"/>
            </w:pPr>
            <w:r w:rsidRPr="001F6245">
              <w:t>56,336</w:t>
            </w:r>
          </w:p>
        </w:tc>
        <w:tc>
          <w:tcPr>
            <w:tcW w:w="2070" w:type="dxa"/>
          </w:tcPr>
          <w:p w:rsidR="00FB0972" w:rsidP="000107A1" w14:paraId="52E5F6A5" w14:textId="77777777">
            <w:pPr>
              <w:contextualSpacing/>
              <w:jc w:val="right"/>
            </w:pPr>
            <w:r w:rsidRPr="00EC1AAE">
              <w:t>4,778</w:t>
            </w:r>
          </w:p>
        </w:tc>
      </w:tr>
      <w:tr w14:paraId="549D0C5C" w14:textId="77777777" w:rsidTr="00C93883">
        <w:tblPrEx>
          <w:tblW w:w="0" w:type="auto"/>
          <w:tblLook w:val="04A0"/>
        </w:tblPrEx>
        <w:tc>
          <w:tcPr>
            <w:tcW w:w="1435" w:type="dxa"/>
          </w:tcPr>
          <w:p w:rsidR="00FB0972" w:rsidP="000107A1" w14:paraId="760E11F3" w14:textId="77777777">
            <w:pPr>
              <w:contextualSpacing/>
            </w:pPr>
            <w:r>
              <w:t>2017</w:t>
            </w:r>
          </w:p>
        </w:tc>
        <w:tc>
          <w:tcPr>
            <w:tcW w:w="3150" w:type="dxa"/>
          </w:tcPr>
          <w:p w:rsidR="00FB0972" w:rsidP="000107A1" w14:paraId="14D3954F" w14:textId="77777777">
            <w:pPr>
              <w:contextualSpacing/>
              <w:jc w:val="right"/>
            </w:pPr>
            <w:r w:rsidRPr="001F6245">
              <w:t>63,885</w:t>
            </w:r>
          </w:p>
        </w:tc>
        <w:tc>
          <w:tcPr>
            <w:tcW w:w="2070" w:type="dxa"/>
          </w:tcPr>
          <w:p w:rsidR="00FB0972" w:rsidP="000107A1" w14:paraId="1413BF42" w14:textId="77777777">
            <w:pPr>
              <w:contextualSpacing/>
              <w:jc w:val="right"/>
            </w:pPr>
            <w:r w:rsidRPr="00EC1AAE">
              <w:t>7,549</w:t>
            </w:r>
          </w:p>
        </w:tc>
      </w:tr>
      <w:tr w14:paraId="75EA8497" w14:textId="77777777" w:rsidTr="00C93883">
        <w:tblPrEx>
          <w:tblW w:w="0" w:type="auto"/>
          <w:tblLook w:val="04A0"/>
        </w:tblPrEx>
        <w:tc>
          <w:tcPr>
            <w:tcW w:w="1435" w:type="dxa"/>
          </w:tcPr>
          <w:p w:rsidR="00FB0972" w:rsidP="000107A1" w14:paraId="27F006E8" w14:textId="77777777">
            <w:pPr>
              <w:contextualSpacing/>
            </w:pPr>
            <w:r>
              <w:t>2018</w:t>
            </w:r>
          </w:p>
        </w:tc>
        <w:tc>
          <w:tcPr>
            <w:tcW w:w="3150" w:type="dxa"/>
          </w:tcPr>
          <w:p w:rsidR="00FB0972" w:rsidP="000107A1" w14:paraId="3E45B1D2" w14:textId="77777777">
            <w:pPr>
              <w:contextualSpacing/>
              <w:jc w:val="right"/>
            </w:pPr>
            <w:r w:rsidRPr="001F6245">
              <w:t>67,077</w:t>
            </w:r>
          </w:p>
        </w:tc>
        <w:tc>
          <w:tcPr>
            <w:tcW w:w="2070" w:type="dxa"/>
          </w:tcPr>
          <w:p w:rsidR="00FB0972" w:rsidP="000107A1" w14:paraId="12C3A054" w14:textId="77777777">
            <w:pPr>
              <w:contextualSpacing/>
              <w:jc w:val="right"/>
            </w:pPr>
            <w:r w:rsidRPr="00EC1AAE">
              <w:t>3,192</w:t>
            </w:r>
          </w:p>
        </w:tc>
      </w:tr>
      <w:tr w14:paraId="636B1AF3" w14:textId="77777777" w:rsidTr="00C93883">
        <w:tblPrEx>
          <w:tblW w:w="0" w:type="auto"/>
          <w:tblLook w:val="04A0"/>
        </w:tblPrEx>
        <w:tc>
          <w:tcPr>
            <w:tcW w:w="1435" w:type="dxa"/>
          </w:tcPr>
          <w:p w:rsidR="00FB0972" w:rsidP="000107A1" w14:paraId="40ED7909" w14:textId="77777777">
            <w:pPr>
              <w:contextualSpacing/>
            </w:pPr>
            <w:r>
              <w:t>2019</w:t>
            </w:r>
          </w:p>
        </w:tc>
        <w:tc>
          <w:tcPr>
            <w:tcW w:w="3150" w:type="dxa"/>
          </w:tcPr>
          <w:p w:rsidR="00FB0972" w:rsidP="000107A1" w14:paraId="71492290" w14:textId="77777777">
            <w:pPr>
              <w:contextualSpacing/>
              <w:jc w:val="right"/>
            </w:pPr>
            <w:r w:rsidRPr="001F6245">
              <w:t>79,093</w:t>
            </w:r>
          </w:p>
        </w:tc>
        <w:tc>
          <w:tcPr>
            <w:tcW w:w="2070" w:type="dxa"/>
          </w:tcPr>
          <w:p w:rsidR="00FB0972" w:rsidP="000107A1" w14:paraId="1DBFD56B" w14:textId="77777777">
            <w:pPr>
              <w:contextualSpacing/>
              <w:jc w:val="right"/>
            </w:pPr>
            <w:r w:rsidRPr="00EC1AAE">
              <w:t>12,016</w:t>
            </w:r>
          </w:p>
        </w:tc>
      </w:tr>
      <w:tr w14:paraId="3F1B278D" w14:textId="77777777" w:rsidTr="00C93883">
        <w:tblPrEx>
          <w:tblW w:w="0" w:type="auto"/>
          <w:tblLook w:val="04A0"/>
        </w:tblPrEx>
        <w:tc>
          <w:tcPr>
            <w:tcW w:w="1435" w:type="dxa"/>
          </w:tcPr>
          <w:p w:rsidR="00FB0972" w:rsidP="000107A1" w14:paraId="1EF5B525" w14:textId="77777777">
            <w:pPr>
              <w:contextualSpacing/>
            </w:pPr>
            <w:r>
              <w:t>2020</w:t>
            </w:r>
          </w:p>
        </w:tc>
        <w:tc>
          <w:tcPr>
            <w:tcW w:w="3150" w:type="dxa"/>
          </w:tcPr>
          <w:p w:rsidR="00FB0972" w:rsidP="000107A1" w14:paraId="53331040" w14:textId="77777777">
            <w:pPr>
              <w:contextualSpacing/>
              <w:jc w:val="right"/>
            </w:pPr>
            <w:r w:rsidRPr="001F6245">
              <w:t>83,076</w:t>
            </w:r>
          </w:p>
        </w:tc>
        <w:tc>
          <w:tcPr>
            <w:tcW w:w="2070" w:type="dxa"/>
          </w:tcPr>
          <w:p w:rsidR="00FB0972" w:rsidP="000107A1" w14:paraId="69034FD9" w14:textId="77777777">
            <w:pPr>
              <w:contextualSpacing/>
              <w:jc w:val="right"/>
            </w:pPr>
            <w:r w:rsidRPr="00EC1AAE">
              <w:t>3,983</w:t>
            </w:r>
          </w:p>
        </w:tc>
      </w:tr>
      <w:tr w14:paraId="447F97DE" w14:textId="77777777" w:rsidTr="00C93883">
        <w:tblPrEx>
          <w:tblW w:w="0" w:type="auto"/>
          <w:tblLook w:val="04A0"/>
        </w:tblPrEx>
        <w:tc>
          <w:tcPr>
            <w:tcW w:w="1435" w:type="dxa"/>
          </w:tcPr>
          <w:p w:rsidR="00FB0972" w:rsidP="000107A1" w14:paraId="0FC91F65" w14:textId="77777777">
            <w:pPr>
              <w:contextualSpacing/>
            </w:pPr>
            <w:r>
              <w:t>2021</w:t>
            </w:r>
          </w:p>
        </w:tc>
        <w:tc>
          <w:tcPr>
            <w:tcW w:w="3150" w:type="dxa"/>
          </w:tcPr>
          <w:p w:rsidR="00FB0972" w:rsidP="000107A1" w14:paraId="31C630FF" w14:textId="77777777">
            <w:pPr>
              <w:contextualSpacing/>
              <w:jc w:val="right"/>
            </w:pPr>
            <w:r w:rsidRPr="001F6245">
              <w:t>84,677</w:t>
            </w:r>
          </w:p>
        </w:tc>
        <w:tc>
          <w:tcPr>
            <w:tcW w:w="2070" w:type="dxa"/>
          </w:tcPr>
          <w:p w:rsidR="00FB0972" w:rsidP="000107A1" w14:paraId="1B526F2B" w14:textId="77777777">
            <w:pPr>
              <w:contextualSpacing/>
              <w:jc w:val="right"/>
            </w:pPr>
            <w:r w:rsidRPr="00EC1AAE">
              <w:t>1,601</w:t>
            </w:r>
          </w:p>
        </w:tc>
      </w:tr>
    </w:tbl>
    <w:p w:rsidR="00FB0972" w:rsidP="000107A1" w14:paraId="6DF1F1EB" w14:textId="77777777">
      <w:pPr>
        <w:contextualSpacing/>
      </w:pPr>
    </w:p>
    <w:p w:rsidR="005E5AE4" w:rsidP="000107A1" w14:paraId="0D894B9A" w14:textId="77777777">
      <w:pPr>
        <w:rPr>
          <w:rFonts w:ascii="Arial" w:hAnsi="Arial" w:cs="Arial"/>
          <w:b/>
          <w:color w:val="000000" w:themeColor="text1"/>
          <w:sz w:val="23"/>
          <w:szCs w:val="28"/>
        </w:rPr>
      </w:pPr>
    </w:p>
    <w:p w:rsidR="00AC1896" w:rsidRPr="00FC7CA1" w:rsidP="00173654" w14:paraId="383F2BC8" w14:textId="77777777">
      <w:pPr>
        <w:pStyle w:val="Heading2"/>
      </w:pPr>
      <w:bookmarkStart w:id="10" w:name="_Toc113866996"/>
      <w:r w:rsidRPr="00FC7CA1">
        <w:t>Alternatives Considered in the Current Analysis</w:t>
      </w:r>
      <w:bookmarkEnd w:id="10"/>
    </w:p>
    <w:p w:rsidR="677F2EA2" w:rsidP="000107A1" w14:paraId="2BF2ABF7" w14:textId="29C1756D"/>
    <w:p w:rsidR="00E14F23" w:rsidP="000107A1" w14:paraId="39D5A820" w14:textId="21FFB390">
      <w:r>
        <w:t>In the course of developing the proposed rule, the D</w:t>
      </w:r>
      <w:r>
        <w:t xml:space="preserve">epartment </w:t>
      </w:r>
      <w:r>
        <w:t xml:space="preserve">considered three </w:t>
      </w:r>
      <w:r w:rsidR="0047076D">
        <w:t xml:space="preserve">main </w:t>
      </w:r>
      <w:r>
        <w:t xml:space="preserve">alternatives. The first alternative was no-action, or no </w:t>
      </w:r>
      <w:r w:rsidR="00FD0CEB">
        <w:t>revision</w:t>
      </w:r>
      <w:r>
        <w:t xml:space="preserve"> of </w:t>
      </w:r>
      <w:r w:rsidR="00FD0CEB">
        <w:t xml:space="preserve">the existing </w:t>
      </w:r>
      <w:r>
        <w:t xml:space="preserve">regulations. The </w:t>
      </w:r>
      <w:r>
        <w:t xml:space="preserve">second alternative was a less restrictive </w:t>
      </w:r>
      <w:r w:rsidR="00FD0CEB">
        <w:t>regulatory action</w:t>
      </w:r>
      <w:r>
        <w:t xml:space="preserve">. The third was a </w:t>
      </w:r>
      <w:r w:rsidR="003F6E49">
        <w:t>new</w:t>
      </w:r>
      <w:r>
        <w:t xml:space="preserve"> </w:t>
      </w:r>
      <w:r w:rsidR="00F2259C">
        <w:t>administrative regulatory</w:t>
      </w:r>
      <w:r w:rsidR="00FD0CEB">
        <w:t xml:space="preserve"> </w:t>
      </w:r>
      <w:r w:rsidR="003F6E49">
        <w:t>process</w:t>
      </w:r>
      <w:r>
        <w:t xml:space="preserve">. The reasons for dismissing these alternatives are explained below. </w:t>
      </w:r>
      <w:r w:rsidR="00BB0328">
        <w:t>The Department prefers a full revision of the existing regulations to clarify and improve the regulatory process with specific timelines to facilitate the required disposition and repatriation. The preferred alternative provides a step-by-step roadmap for completing the regulatory process using accessible language, fewer ambiguities, and improved efficiencies.</w:t>
      </w:r>
    </w:p>
    <w:p w:rsidR="00E14F23" w:rsidP="000107A1" w14:paraId="0C7B23A8" w14:textId="77777777"/>
    <w:p w:rsidR="00E14F23" w:rsidRPr="00A9521B" w:rsidP="000107A1" w14:paraId="6A40810B" w14:textId="77777777">
      <w:pPr>
        <w:rPr>
          <w:i/>
          <w:iCs/>
        </w:rPr>
      </w:pPr>
      <w:r w:rsidRPr="00A9521B">
        <w:rPr>
          <w:i/>
          <w:iCs/>
        </w:rPr>
        <w:t xml:space="preserve">Alternative 1 (no action/no rule) </w:t>
      </w:r>
    </w:p>
    <w:p w:rsidR="00C26CB5" w:rsidP="000107A1" w14:paraId="48A3A870" w14:textId="750BD2B2">
      <w:r>
        <w:t>Under this alternative, the D</w:t>
      </w:r>
      <w:r w:rsidR="00E14F23">
        <w:t xml:space="preserve">epartment </w:t>
      </w:r>
      <w:r>
        <w:t xml:space="preserve">would not </w:t>
      </w:r>
      <w:r w:rsidR="00273A13">
        <w:t>publish the proposed regulatory action revising the existing regulations</w:t>
      </w:r>
      <w:r>
        <w:t>. The D</w:t>
      </w:r>
      <w:r w:rsidR="00E14F23">
        <w:t>epartment</w:t>
      </w:r>
      <w:r>
        <w:t xml:space="preserve"> dismissed this alternative because it would not </w:t>
      </w:r>
      <w:r w:rsidR="00972965">
        <w:t xml:space="preserve">be responsive to the </w:t>
      </w:r>
      <w:r w:rsidR="00C600EB">
        <w:t xml:space="preserve">multiple and varied </w:t>
      </w:r>
      <w:r w:rsidR="00972965">
        <w:t>requests</w:t>
      </w:r>
      <w:r w:rsidR="005D010E">
        <w:t xml:space="preserve"> </w:t>
      </w:r>
      <w:r w:rsidR="005060E4">
        <w:t>we have</w:t>
      </w:r>
      <w:r w:rsidR="005D010E">
        <w:t xml:space="preserve"> received </w:t>
      </w:r>
      <w:r w:rsidR="00EC635F">
        <w:t>since 2010</w:t>
      </w:r>
      <w:r w:rsidR="00972965">
        <w:t xml:space="preserve"> from </w:t>
      </w:r>
      <w:r w:rsidR="0022244E">
        <w:t>lineal descendants, Indian Tribes, NHOs, museums, and Federal agencies</w:t>
      </w:r>
      <w:r w:rsidR="00C600EB">
        <w:t xml:space="preserve"> on the need </w:t>
      </w:r>
      <w:r w:rsidRPr="00CD49B9" w:rsidR="00C600EB">
        <w:rPr>
          <w:bCs/>
        </w:rPr>
        <w:t>to improve</w:t>
      </w:r>
      <w:r w:rsidR="00273A13">
        <w:rPr>
          <w:bCs/>
        </w:rPr>
        <w:t xml:space="preserve"> and revise</w:t>
      </w:r>
      <w:r w:rsidRPr="00CD49B9" w:rsidR="00C600EB">
        <w:rPr>
          <w:bCs/>
        </w:rPr>
        <w:t xml:space="preserve"> implementation of the Act.</w:t>
      </w:r>
      <w:r w:rsidR="00F73DD1">
        <w:t xml:space="preserve"> </w:t>
      </w:r>
      <w:r w:rsidR="005D010E">
        <w:t xml:space="preserve">In addition, </w:t>
      </w:r>
      <w:r w:rsidR="00F541D9">
        <w:t xml:space="preserve">the Department dismissed this alternative because it </w:t>
      </w:r>
      <w:r w:rsidR="006A291A">
        <w:t xml:space="preserve">would not be responsive to the </w:t>
      </w:r>
      <w:r w:rsidR="001C4AD8">
        <w:t>feedback received</w:t>
      </w:r>
      <w:r w:rsidR="003544A0">
        <w:t xml:space="preserve"> </w:t>
      </w:r>
      <w:r w:rsidR="006A291A">
        <w:t>during consultation</w:t>
      </w:r>
      <w:r w:rsidR="003544A0">
        <w:t xml:space="preserve"> with Indian Tribes and NHOs</w:t>
      </w:r>
      <w:r w:rsidR="006A291A">
        <w:t xml:space="preserve"> in 2021. </w:t>
      </w:r>
      <w:r w:rsidR="00C81E4D">
        <w:t xml:space="preserve">Finally, </w:t>
      </w:r>
      <w:r w:rsidR="00BC07E5">
        <w:t xml:space="preserve">the Department dismissed this alternative because it would not provide </w:t>
      </w:r>
      <w:r w:rsidR="005E3C09">
        <w:t xml:space="preserve">an </w:t>
      </w:r>
      <w:r>
        <w:t>opportunity for public notice and comment</w:t>
      </w:r>
      <w:r w:rsidR="00BC07E5">
        <w:t xml:space="preserve"> on the proposed regulatory action</w:t>
      </w:r>
      <w:r>
        <w:t xml:space="preserve">. </w:t>
      </w:r>
      <w:r w:rsidR="00D01859">
        <w:t xml:space="preserve">The Department released a draft text of the proposed regulatory action for consultation but has not </w:t>
      </w:r>
      <w:r w:rsidR="00F32867">
        <w:t>yet received comments from museum and scientific organizations</w:t>
      </w:r>
      <w:r w:rsidR="00716A14">
        <w:t xml:space="preserve"> on the proposal</w:t>
      </w:r>
      <w:r w:rsidR="00EC635F">
        <w:t>, and</w:t>
      </w:r>
      <w:r w:rsidR="00716A14">
        <w:t xml:space="preserve"> many </w:t>
      </w:r>
      <w:r w:rsidR="001C4AD8">
        <w:t xml:space="preserve">tribal </w:t>
      </w:r>
      <w:r w:rsidR="00716A14">
        <w:t xml:space="preserve">organizations declined to comment during the tribal consultation period. </w:t>
      </w:r>
      <w:r>
        <w:t xml:space="preserve">The status quo is the same as the no action alternative, under which </w:t>
      </w:r>
      <w:r w:rsidR="00BC07E5">
        <w:t>the existing regulations would continue to govern the disposition and repatriation process</w:t>
      </w:r>
      <w:r>
        <w:t xml:space="preserve">. The current </w:t>
      </w:r>
      <w:r w:rsidR="00710397">
        <w:t xml:space="preserve">regulatory </w:t>
      </w:r>
      <w:r>
        <w:t xml:space="preserve">framework </w:t>
      </w:r>
      <w:r w:rsidR="00206302">
        <w:t xml:space="preserve">is </w:t>
      </w:r>
      <w:r w:rsidR="00B63A11">
        <w:t>ambiguous</w:t>
      </w:r>
      <w:r w:rsidR="00710397">
        <w:t>, inaccurate,</w:t>
      </w:r>
      <w:r w:rsidR="00B63A11">
        <w:t xml:space="preserve"> and inconsistent, includes duplicative and circular language, </w:t>
      </w:r>
      <w:r w:rsidR="00E11EA9">
        <w:t>lacks a consistent writing style, and provides few timelines and deadlines</w:t>
      </w:r>
      <w:r>
        <w:t xml:space="preserve">. </w:t>
      </w:r>
    </w:p>
    <w:p w:rsidR="00C26CB5" w:rsidP="000107A1" w14:paraId="11940AE5" w14:textId="77777777"/>
    <w:p w:rsidR="00C26CB5" w:rsidRPr="00A9521B" w:rsidP="000107A1" w14:paraId="05C6D068" w14:textId="77777777">
      <w:pPr>
        <w:rPr>
          <w:i/>
          <w:iCs/>
        </w:rPr>
      </w:pPr>
      <w:r w:rsidRPr="00A9521B">
        <w:rPr>
          <w:i/>
          <w:iCs/>
        </w:rPr>
        <w:t xml:space="preserve">Alternative 2 (less restrictive regulations) </w:t>
      </w:r>
    </w:p>
    <w:p w:rsidR="002356AC" w:rsidP="000107A1" w14:paraId="15C139F5" w14:textId="54D120A2">
      <w:r>
        <w:t xml:space="preserve">Under this alternative, the </w:t>
      </w:r>
      <w:r w:rsidR="008B31CF">
        <w:t>proposed regulatory action</w:t>
      </w:r>
      <w:r>
        <w:t xml:space="preserve"> would </w:t>
      </w:r>
      <w:r w:rsidR="00F027BC">
        <w:t xml:space="preserve">revise only the </w:t>
      </w:r>
      <w:r w:rsidRPr="0041046A" w:rsidR="00F027BC">
        <w:t xml:space="preserve">administrative or procedural </w:t>
      </w:r>
      <w:r w:rsidR="00F279FF">
        <w:t xml:space="preserve">requirements </w:t>
      </w:r>
      <w:r w:rsidRPr="0041046A" w:rsidR="00F027BC">
        <w:t xml:space="preserve">to provide clarification or </w:t>
      </w:r>
      <w:r w:rsidRPr="0041046A" w:rsidR="00F027BC">
        <w:rPr>
          <w:bCs/>
          <w:iCs/>
        </w:rPr>
        <w:t xml:space="preserve">make the </w:t>
      </w:r>
      <w:r w:rsidR="00F027BC">
        <w:rPr>
          <w:bCs/>
          <w:iCs/>
        </w:rPr>
        <w:t xml:space="preserve">existing </w:t>
      </w:r>
      <w:r w:rsidRPr="0041046A" w:rsidR="00F027BC">
        <w:rPr>
          <w:bCs/>
          <w:iCs/>
        </w:rPr>
        <w:t xml:space="preserve">regulations more user-friendly. </w:t>
      </w:r>
      <w:r w:rsidR="00F279FF">
        <w:rPr>
          <w:bCs/>
          <w:iCs/>
        </w:rPr>
        <w:t>This would include r</w:t>
      </w:r>
      <w:r w:rsidRPr="0041046A" w:rsidR="00F027BC">
        <w:rPr>
          <w:bCs/>
          <w:iCs/>
        </w:rPr>
        <w:t xml:space="preserve">educing the number of sections and removing duplicative </w:t>
      </w:r>
      <w:r w:rsidR="008F0CB5">
        <w:rPr>
          <w:bCs/>
          <w:iCs/>
        </w:rPr>
        <w:t xml:space="preserve">language </w:t>
      </w:r>
      <w:r w:rsidR="00F279FF">
        <w:rPr>
          <w:bCs/>
          <w:iCs/>
        </w:rPr>
        <w:t>into</w:t>
      </w:r>
      <w:r w:rsidRPr="007F4659" w:rsidR="00F027BC">
        <w:rPr>
          <w:bCs/>
          <w:iCs/>
        </w:rPr>
        <w:t xml:space="preserve"> a clear, easy to follow, step-by-step process</w:t>
      </w:r>
      <w:r w:rsidR="008F0CB5">
        <w:rPr>
          <w:bCs/>
          <w:iCs/>
        </w:rPr>
        <w:t>, c</w:t>
      </w:r>
      <w:r w:rsidRPr="007F4659" w:rsidR="00F027BC">
        <w:rPr>
          <w:bCs/>
          <w:iCs/>
        </w:rPr>
        <w:t>orrect</w:t>
      </w:r>
      <w:r w:rsidR="00F027BC">
        <w:rPr>
          <w:bCs/>
          <w:iCs/>
        </w:rPr>
        <w:t>ing</w:t>
      </w:r>
      <w:r w:rsidRPr="007F4659" w:rsidR="00F027BC">
        <w:rPr>
          <w:bCs/>
          <w:iCs/>
        </w:rPr>
        <w:t xml:space="preserve"> inaccuracies and ambiguities in the </w:t>
      </w:r>
      <w:r w:rsidR="00F027BC">
        <w:rPr>
          <w:bCs/>
          <w:iCs/>
        </w:rPr>
        <w:t>existing</w:t>
      </w:r>
      <w:r w:rsidRPr="007F4659" w:rsidR="00F027BC">
        <w:rPr>
          <w:bCs/>
          <w:iCs/>
        </w:rPr>
        <w:t xml:space="preserve"> regulations by using consistent language and clearly defined terms</w:t>
      </w:r>
      <w:r w:rsidR="008F0CB5">
        <w:rPr>
          <w:bCs/>
          <w:iCs/>
        </w:rPr>
        <w:t>, and c</w:t>
      </w:r>
      <w:r w:rsidR="00F027BC">
        <w:rPr>
          <w:bCs/>
          <w:iCs/>
        </w:rPr>
        <w:t>reating</w:t>
      </w:r>
      <w:r w:rsidRPr="007F4659" w:rsidR="00F027BC">
        <w:rPr>
          <w:bCs/>
          <w:iCs/>
        </w:rPr>
        <w:t xml:space="preserve"> a consistent writing style with clear, concise headings that describe each specific regulatory step.</w:t>
      </w:r>
      <w:r w:rsidR="008F0CB5">
        <w:rPr>
          <w:bCs/>
          <w:iCs/>
        </w:rPr>
        <w:t xml:space="preserve"> </w:t>
      </w:r>
      <w:r>
        <w:rPr>
          <w:bCs/>
          <w:iCs/>
        </w:rPr>
        <w:t xml:space="preserve">This alternative would not impose </w:t>
      </w:r>
      <w:r w:rsidRPr="007F4659" w:rsidR="00F027BC">
        <w:rPr>
          <w:bCs/>
          <w:iCs/>
        </w:rPr>
        <w:t>specific timelines and deadlines</w:t>
      </w:r>
      <w:r>
        <w:rPr>
          <w:bCs/>
          <w:iCs/>
        </w:rPr>
        <w:t xml:space="preserve"> for </w:t>
      </w:r>
      <w:r w:rsidR="00E32023">
        <w:rPr>
          <w:bCs/>
          <w:iCs/>
        </w:rPr>
        <w:t>disposition or repatriation</w:t>
      </w:r>
      <w:r w:rsidR="00023EE4">
        <w:rPr>
          <w:bCs/>
          <w:iCs/>
        </w:rPr>
        <w:t xml:space="preserve"> </w:t>
      </w:r>
      <w:r w:rsidR="00B01F94">
        <w:rPr>
          <w:bCs/>
        </w:rPr>
        <w:t>nor</w:t>
      </w:r>
      <w:r w:rsidR="001A3086">
        <w:rPr>
          <w:bCs/>
        </w:rPr>
        <w:t xml:space="preserve"> would it</w:t>
      </w:r>
      <w:r w:rsidR="003444FE">
        <w:rPr>
          <w:bCs/>
        </w:rPr>
        <w:t xml:space="preserve"> include new requirements</w:t>
      </w:r>
      <w:r w:rsidR="00B01F94">
        <w:rPr>
          <w:bCs/>
        </w:rPr>
        <w:t xml:space="preserve"> for</w:t>
      </w:r>
      <w:r w:rsidR="00F57098">
        <w:rPr>
          <w:bCs/>
        </w:rPr>
        <w:t xml:space="preserve"> disposition and</w:t>
      </w:r>
      <w:r w:rsidR="00B01F94">
        <w:rPr>
          <w:bCs/>
        </w:rPr>
        <w:t xml:space="preserve"> repatriation.</w:t>
      </w:r>
      <w:r w:rsidR="0028766D">
        <w:rPr>
          <w:bCs/>
        </w:rPr>
        <w:t xml:space="preserve"> The Department dismissed this alternative because it would not improve the efficiency</w:t>
      </w:r>
      <w:r w:rsidR="00D66B47">
        <w:rPr>
          <w:bCs/>
        </w:rPr>
        <w:t xml:space="preserve"> in the systematic process for disposition and repatriation. This alternative would not ensure timely </w:t>
      </w:r>
      <w:r w:rsidR="00544F60">
        <w:rPr>
          <w:bCs/>
        </w:rPr>
        <w:t>and</w:t>
      </w:r>
      <w:r w:rsidR="00D66B47">
        <w:rPr>
          <w:bCs/>
        </w:rPr>
        <w:t xml:space="preserve"> effective disposition or repatriation</w:t>
      </w:r>
      <w:r w:rsidR="00544F60">
        <w:rPr>
          <w:bCs/>
        </w:rPr>
        <w:t xml:space="preserve"> and </w:t>
      </w:r>
      <w:r>
        <w:t xml:space="preserve">would </w:t>
      </w:r>
      <w:r w:rsidR="003444FE">
        <w:t xml:space="preserve">likely </w:t>
      </w:r>
      <w:r>
        <w:t xml:space="preserve">result in </w:t>
      </w:r>
      <w:r w:rsidR="009A1A62">
        <w:t xml:space="preserve">a continuation of the </w:t>
      </w:r>
      <w:r w:rsidR="007E52C9">
        <w:t xml:space="preserve">lengthy and time-consuming process </w:t>
      </w:r>
      <w:r w:rsidR="006D338B">
        <w:t xml:space="preserve">for disposition and repatriation </w:t>
      </w:r>
      <w:r w:rsidR="007E52C9">
        <w:t xml:space="preserve">that has occurred over the last </w:t>
      </w:r>
      <w:r w:rsidR="001C7D62">
        <w:t xml:space="preserve">almost </w:t>
      </w:r>
      <w:r w:rsidR="007E52C9">
        <w:t xml:space="preserve">32 years. </w:t>
      </w:r>
      <w:r>
        <w:t xml:space="preserve">For example, </w:t>
      </w:r>
      <w:r w:rsidR="002C5686">
        <w:t>without requiring a response to a request for repatriation within a specific timeframe, a museum or Federal agency could continue to request information and consult on a single item in a collection for years or decades before agreeing</w:t>
      </w:r>
      <w:r w:rsidR="00373134">
        <w:t xml:space="preserve"> or refusing</w:t>
      </w:r>
      <w:r w:rsidR="002C5686">
        <w:t xml:space="preserve"> to repatriat</w:t>
      </w:r>
      <w:r w:rsidR="00373134">
        <w:t>e the item</w:t>
      </w:r>
      <w:r w:rsidR="002C5686">
        <w:t xml:space="preserve">. The requesting </w:t>
      </w:r>
      <w:r w:rsidR="00373134">
        <w:t xml:space="preserve">lineal descendant, </w:t>
      </w:r>
      <w:r w:rsidR="002C5686">
        <w:t>Indian Tribe</w:t>
      </w:r>
      <w:r w:rsidR="00373134">
        <w:t>,</w:t>
      </w:r>
      <w:r w:rsidR="002C5686">
        <w:t xml:space="preserve"> or NHO would have</w:t>
      </w:r>
      <w:r w:rsidR="00072860">
        <w:t xml:space="preserve"> little</w:t>
      </w:r>
      <w:r w:rsidR="002C5686">
        <w:t xml:space="preserve"> recourse</w:t>
      </w:r>
      <w:r w:rsidR="00AE0865">
        <w:t xml:space="preserve"> to move the process forward</w:t>
      </w:r>
      <w:r w:rsidR="006D338B">
        <w:t xml:space="preserve"> without clear deadlines</w:t>
      </w:r>
      <w:r w:rsidR="00995330">
        <w:t xml:space="preserve">. Under this alternative, as under the existing regulations, the Indian Tribe or NHO would </w:t>
      </w:r>
      <w:r w:rsidR="00687B92">
        <w:t xml:space="preserve">not have access to </w:t>
      </w:r>
      <w:r w:rsidR="00072860">
        <w:t>some of the</w:t>
      </w:r>
      <w:r w:rsidR="00687B92">
        <w:t xml:space="preserve"> remedies provided for in the Act or the regulations (such as civil penalties or</w:t>
      </w:r>
      <w:r w:rsidR="00072860">
        <w:t xml:space="preserve"> possible</w:t>
      </w:r>
      <w:r w:rsidR="00687B92">
        <w:t xml:space="preserve"> actions in court) until the museum or Federal agency rejected the request for repatriation. </w:t>
      </w:r>
    </w:p>
    <w:p w:rsidR="002356AC" w:rsidP="000107A1" w14:paraId="1440675E" w14:textId="77777777"/>
    <w:p w:rsidR="00257035" w:rsidRPr="00A9521B" w:rsidP="000107A1" w14:paraId="005D1255" w14:textId="395B214B">
      <w:pPr>
        <w:rPr>
          <w:i/>
          <w:iCs/>
        </w:rPr>
      </w:pPr>
      <w:r w:rsidRPr="00A9521B">
        <w:rPr>
          <w:i/>
          <w:iCs/>
        </w:rPr>
        <w:t>Alternative 3 (</w:t>
      </w:r>
      <w:r w:rsidR="00556C84">
        <w:rPr>
          <w:i/>
          <w:iCs/>
        </w:rPr>
        <w:t xml:space="preserve">new </w:t>
      </w:r>
      <w:r w:rsidRPr="001C7D62" w:rsidR="001C7D62">
        <w:rPr>
          <w:i/>
          <w:iCs/>
        </w:rPr>
        <w:t xml:space="preserve">Review Committee and Secretary </w:t>
      </w:r>
      <w:r w:rsidRPr="00A9521B" w:rsidR="008D0317">
        <w:rPr>
          <w:i/>
          <w:iCs/>
        </w:rPr>
        <w:t>administrative</w:t>
      </w:r>
      <w:r w:rsidR="001C7D62">
        <w:rPr>
          <w:i/>
          <w:iCs/>
        </w:rPr>
        <w:t xml:space="preserve"> process</w:t>
      </w:r>
      <w:r w:rsidRPr="00A9521B">
        <w:rPr>
          <w:i/>
          <w:iCs/>
        </w:rPr>
        <w:t xml:space="preserve">) </w:t>
      </w:r>
    </w:p>
    <w:p w:rsidR="00F643B3" w:rsidP="000107A1" w14:paraId="6097CD23" w14:textId="6C203A3C">
      <w:r>
        <w:t>Under this alternative, the</w:t>
      </w:r>
      <w:r w:rsidR="00A117A4">
        <w:t xml:space="preserve"> Review Committee and the Secretary </w:t>
      </w:r>
      <w:r w:rsidR="00AE1A34">
        <w:t>would facilitate a</w:t>
      </w:r>
      <w:r w:rsidR="003E5115">
        <w:t xml:space="preserve">n administrative process </w:t>
      </w:r>
      <w:r w:rsidR="009F5C05">
        <w:t>by which Indian Tribes and NHOs request repatriation</w:t>
      </w:r>
      <w:r w:rsidR="00AA760F">
        <w:t xml:space="preserve"> </w:t>
      </w:r>
      <w:r w:rsidR="003E5115">
        <w:t xml:space="preserve">of certain human remains and associated funerary objects. </w:t>
      </w:r>
      <w:r w:rsidR="00AE239F">
        <w:t>This alternative was proposed by several comments</w:t>
      </w:r>
      <w:r w:rsidR="00D52115">
        <w:t xml:space="preserve"> received during consultation in 2021. </w:t>
      </w:r>
      <w:r w:rsidR="00A96270">
        <w:t>This</w:t>
      </w:r>
      <w:r w:rsidR="00D52115">
        <w:t xml:space="preserve"> alternative</w:t>
      </w:r>
      <w:r w:rsidR="00A96270">
        <w:t xml:space="preserve"> process would result in recommendations </w:t>
      </w:r>
      <w:r w:rsidR="00D52115">
        <w:t xml:space="preserve">by the Review Committee and the Secretary </w:t>
      </w:r>
      <w:r w:rsidR="00A96270">
        <w:t>to a museum or Federal agency</w:t>
      </w:r>
      <w:r w:rsidR="00C7558B">
        <w:t xml:space="preserve"> </w:t>
      </w:r>
      <w:r w:rsidR="00E522AF">
        <w:t>to repatriate to the requesting</w:t>
      </w:r>
      <w:r w:rsidR="00C7558B">
        <w:t xml:space="preserve"> Indian Tribes or NHOs. </w:t>
      </w:r>
      <w:r w:rsidR="00B11A8D">
        <w:t>Within a set timeframe, the museum or Federal agency would be required to respond to the request</w:t>
      </w:r>
      <w:r w:rsidR="00032570">
        <w:t xml:space="preserve"> and recommendation</w:t>
      </w:r>
      <w:r w:rsidR="00B11A8D">
        <w:t xml:space="preserve"> and publish a notice</w:t>
      </w:r>
      <w:r w:rsidR="00642776">
        <w:t xml:space="preserve">, unless certain exceptions applied. </w:t>
      </w:r>
      <w:r>
        <w:t>The D</w:t>
      </w:r>
      <w:r w:rsidR="00642776">
        <w:t>epartment</w:t>
      </w:r>
      <w:r>
        <w:t xml:space="preserve"> determined this</w:t>
      </w:r>
      <w:r w:rsidR="00642776">
        <w:t xml:space="preserve"> alternative</w:t>
      </w:r>
      <w:r>
        <w:t xml:space="preserve"> was not advisable because </w:t>
      </w:r>
      <w:r w:rsidR="00761D2A">
        <w:t xml:space="preserve">of the limited </w:t>
      </w:r>
      <w:r w:rsidR="001C332A">
        <w:t xml:space="preserve">advisory </w:t>
      </w:r>
      <w:r w:rsidR="00761D2A">
        <w:t xml:space="preserve">authority </w:t>
      </w:r>
      <w:r w:rsidR="00631D55">
        <w:t xml:space="preserve">given to the Review Committee and the Secretary under the Act. </w:t>
      </w:r>
      <w:r w:rsidR="00F818BA">
        <w:t>In addition, the Department determined this alternative did not achieve one of the main objectives of the proposed regulatory action</w:t>
      </w:r>
      <w:r w:rsidR="00B934E2">
        <w:t xml:space="preserve">, to shift the burden of the regulatory process from Indian Tribes and NHOs to museums and Federal agencies. This alternative would still require </w:t>
      </w:r>
      <w:r w:rsidR="00D8268E">
        <w:t>an initial request from the Indian Tribes and NHOs</w:t>
      </w:r>
      <w:r w:rsidR="00032570">
        <w:t>,</w:t>
      </w:r>
      <w:r w:rsidR="00D8268E">
        <w:t xml:space="preserve"> and the Department is unsure if this alternative would produce a different result than the existing regulatory process</w:t>
      </w:r>
      <w:r w:rsidR="001E5D1C">
        <w:t>, except by requiring a response from the museum or Federal agency within a set timeframe.</w:t>
      </w:r>
      <w:r>
        <w:t xml:space="preserve"> Further, adding this </w:t>
      </w:r>
      <w:r w:rsidR="00547C8F">
        <w:t xml:space="preserve">administrative </w:t>
      </w:r>
      <w:r>
        <w:t xml:space="preserve">process to the </w:t>
      </w:r>
      <w:r w:rsidR="00547C8F">
        <w:t xml:space="preserve">existing </w:t>
      </w:r>
      <w:r>
        <w:t xml:space="preserve">regulations </w:t>
      </w:r>
      <w:r w:rsidR="00353263">
        <w:t>seems</w:t>
      </w:r>
      <w:r>
        <w:t xml:space="preserve"> unnecessary. Under the </w:t>
      </w:r>
      <w:r w:rsidR="00547C8F">
        <w:t xml:space="preserve">existing regulations, </w:t>
      </w:r>
      <w:r w:rsidR="00EC4940">
        <w:t xml:space="preserve">any Indian Tribe or NHO may bring a request to the Review Committee regarding the cultural affiliation or return of human remains and associated funerary objects. </w:t>
      </w:r>
      <w:r w:rsidR="00353263">
        <w:t>A</w:t>
      </w:r>
      <w:r w:rsidR="00A017B6">
        <w:t xml:space="preserve">s the Review Committee’s recommendation is advisory only, nothing compels the museum or Federal agency to repatriate based on that </w:t>
      </w:r>
      <w:r>
        <w:t xml:space="preserve">recommendation. </w:t>
      </w:r>
      <w:r>
        <w:t>The D</w:t>
      </w:r>
      <w:r>
        <w:t xml:space="preserve">epartment </w:t>
      </w:r>
      <w:r>
        <w:t xml:space="preserve">determined this </w:t>
      </w:r>
      <w:r>
        <w:t xml:space="preserve">alternative </w:t>
      </w:r>
      <w:r>
        <w:t xml:space="preserve">was not advisable because </w:t>
      </w:r>
      <w:r w:rsidR="008C7CAB">
        <w:t>it would add an additional layer of administrative oversight to the process without necessarily</w:t>
      </w:r>
      <w:r w:rsidR="00542E12">
        <w:t xml:space="preserve"> resulting in more expeditious repatriations.</w:t>
      </w:r>
    </w:p>
    <w:p w:rsidR="00542E12" w:rsidP="000107A1" w14:paraId="7F5737E9" w14:textId="77777777"/>
    <w:p w:rsidR="00EB387D" w:rsidP="000107A1" w14:paraId="09672AC8" w14:textId="6EC1656C">
      <w:r>
        <w:t xml:space="preserve">Finally, all three of the dismissed alternatives would be inconsistent with the </w:t>
      </w:r>
      <w:r w:rsidR="00542E12">
        <w:t>intent and purpose of the Act itself</w:t>
      </w:r>
      <w:r w:rsidR="006F5740">
        <w:t>-to facilitate disposition and repatriation.</w:t>
      </w:r>
      <w:r>
        <w:t xml:space="preserve"> For all of these reasons, the </w:t>
      </w:r>
      <w:r w:rsidR="00D70CDB">
        <w:t>proposed regulatory action</w:t>
      </w:r>
      <w:r>
        <w:t xml:space="preserve"> considered in this analysis represents the best alternative for </w:t>
      </w:r>
      <w:r w:rsidR="00D70CDB">
        <w:t>the regulations implementing the Act</w:t>
      </w:r>
      <w:r>
        <w:t>.</w:t>
      </w:r>
    </w:p>
    <w:p w:rsidR="00EB387D" w:rsidP="000107A1" w14:paraId="3208156B" w14:textId="77777777"/>
    <w:p w:rsidR="007E24B5" w:rsidRPr="00442C5A" w:rsidP="00AF635B" w14:paraId="2A31D22E" w14:textId="77777777">
      <w:pPr>
        <w:rPr>
          <w:bCs/>
          <w:iCs/>
        </w:rPr>
      </w:pPr>
    </w:p>
    <w:p w:rsidR="00A81445" w:rsidRPr="008A47D4" w:rsidP="00173654" w14:paraId="09BE9C08" w14:textId="52C04664">
      <w:pPr>
        <w:pStyle w:val="Heading2"/>
      </w:pPr>
      <w:bookmarkStart w:id="11" w:name="_Toc113866997"/>
      <w:r w:rsidRPr="008A47D4">
        <w:t>Baseline Conditions</w:t>
      </w:r>
      <w:bookmarkEnd w:id="11"/>
    </w:p>
    <w:p w:rsidR="00A81445" w:rsidRPr="00A81445" w:rsidP="00AF635B" w14:paraId="70749A06" w14:textId="1342C0D5"/>
    <w:p w:rsidR="00AC1896" w:rsidP="00AF635B" w14:paraId="3648B4A2" w14:textId="4F02DED4">
      <w:r w:rsidRPr="00A81445">
        <w:t xml:space="preserve">The costs and benefits of a regulatory action are measured with respect to its baseline conditions. Guidance from the Office of Management and Budget (OMB) for a regulatory analysis suggests that the baseline </w:t>
      </w:r>
      <w:r w:rsidR="00EE6A57">
        <w:t xml:space="preserve">conditions </w:t>
      </w:r>
      <w:r w:rsidRPr="00A81445">
        <w:t>should represent the agency’s best assessment of the way the world would look absent the proposed action.</w:t>
      </w:r>
      <w:r>
        <w:rPr>
          <w:rStyle w:val="FootnoteReference"/>
        </w:rPr>
        <w:footnoteReference w:id="6"/>
      </w:r>
      <w:r w:rsidRPr="00A81445">
        <w:t xml:space="preserve"> Therefore, all costs and benefits included in this analysis are incremental to the baseline conditions. That is, any future impacts that would occur without the proposed action, as well as any past impacts that have already occurred, are not included in this analysis.</w:t>
      </w:r>
    </w:p>
    <w:p w:rsidR="005A6262" w:rsidP="00AF635B" w14:paraId="1DB05569" w14:textId="77777777"/>
    <w:p w:rsidR="00930CEE" w:rsidP="00232B25" w14:paraId="694056C5" w14:textId="6A24440A">
      <w:r>
        <w:t>The baseline conditions are described in the regulatory requirements at 43 CFR Part 10.</w:t>
      </w:r>
      <w:r w:rsidR="00F362A2">
        <w:t xml:space="preserve"> </w:t>
      </w:r>
      <w:r w:rsidR="00C858BB">
        <w:t xml:space="preserve">In estimating the baseline conditions under the existing regulations, </w:t>
      </w:r>
      <w:r w:rsidR="00EE49AE">
        <w:t xml:space="preserve">the </w:t>
      </w:r>
      <w:r w:rsidR="00C858BB">
        <w:t>NPS relies on the number of annual submissions it currently receives</w:t>
      </w:r>
      <w:r w:rsidR="00B70B64">
        <w:t xml:space="preserve"> to estimate the annual </w:t>
      </w:r>
      <w:r w:rsidR="00DD14E8">
        <w:t xml:space="preserve">number of responses, </w:t>
      </w:r>
      <w:r w:rsidR="00B70B64">
        <w:t>hours</w:t>
      </w:r>
      <w:r w:rsidR="00DD14E8">
        <w:t>,</w:t>
      </w:r>
      <w:r w:rsidR="00B70B64">
        <w:t xml:space="preserve"> and costs</w:t>
      </w:r>
      <w:r w:rsidRPr="00F407F3" w:rsidR="00C858BB">
        <w:t>.</w:t>
      </w:r>
      <w:r w:rsidR="00C858BB">
        <w:t xml:space="preserve"> </w:t>
      </w:r>
      <w:r w:rsidR="00DD14E8">
        <w:t>W</w:t>
      </w:r>
      <w:r w:rsidRPr="007B76B3" w:rsidR="00C858BB">
        <w:t xml:space="preserve">e have estimated an average time per response </w:t>
      </w:r>
      <w:r w:rsidR="00813861">
        <w:t xml:space="preserve">based on the regulatory requirements, </w:t>
      </w:r>
      <w:r w:rsidRPr="007B76B3" w:rsidR="00C858BB">
        <w:t>although the actual time required may vary widely because of difference in size and complexity</w:t>
      </w:r>
      <w:r w:rsidR="00E45DC6">
        <w:t xml:space="preserve"> of the required response</w:t>
      </w:r>
      <w:r w:rsidRPr="007B76B3" w:rsidR="00C858BB">
        <w:t xml:space="preserve">. </w:t>
      </w:r>
      <w:r w:rsidR="002A4FF0">
        <w:t>Table 2 summarizes the responsible parties and regulatory requirements under baseline conditions.</w:t>
      </w:r>
    </w:p>
    <w:p w:rsidR="00930CEE" w:rsidP="00232B25" w14:paraId="12B31867" w14:textId="77777777"/>
    <w:p w:rsidR="00BF4D50" w:rsidP="00232B25" w14:paraId="5D5D8BA9" w14:textId="77777777"/>
    <w:p w:rsidR="00BF4D50" w:rsidRPr="00902333" w:rsidP="00BF4D50" w14:paraId="5D362E51" w14:textId="38D26784">
      <w:pPr>
        <w:pStyle w:val="Heading3"/>
      </w:pPr>
      <w:bookmarkStart w:id="12" w:name="_Toc113867028"/>
      <w:r w:rsidRPr="00902333">
        <w:t xml:space="preserve">Table </w:t>
      </w:r>
      <w:r>
        <w:t>2</w:t>
      </w:r>
      <w:r w:rsidRPr="00902333">
        <w:t>.</w:t>
      </w:r>
      <w:r>
        <w:t xml:space="preserve">  Baseline regulatory requirements</w:t>
      </w:r>
      <w:bookmarkEnd w:id="12"/>
    </w:p>
    <w:tbl>
      <w:tblPr>
        <w:tblStyle w:val="TableGrid"/>
        <w:tblW w:w="9360" w:type="dxa"/>
        <w:tblInd w:w="-5" w:type="dxa"/>
        <w:tblLook w:val="04A0"/>
      </w:tblPr>
      <w:tblGrid>
        <w:gridCol w:w="2970"/>
        <w:gridCol w:w="6390"/>
      </w:tblGrid>
      <w:tr w14:paraId="552BAFC6" w14:textId="77777777" w:rsidTr="0074675D">
        <w:tblPrEx>
          <w:tblW w:w="9360" w:type="dxa"/>
          <w:tblInd w:w="-5" w:type="dxa"/>
          <w:tblLook w:val="04A0"/>
        </w:tblPrEx>
        <w:tc>
          <w:tcPr>
            <w:tcW w:w="2970" w:type="dxa"/>
            <w:vAlign w:val="center"/>
          </w:tcPr>
          <w:p w:rsidR="00BF4D50" w:rsidRPr="00902333" w:rsidP="0074675D" w14:paraId="029BBF42" w14:textId="77777777">
            <w:pPr>
              <w:rPr>
                <w:b/>
                <w:bCs/>
              </w:rPr>
            </w:pPr>
            <w:r w:rsidRPr="00902333">
              <w:rPr>
                <w:b/>
                <w:bCs/>
              </w:rPr>
              <w:t>Responsible party</w:t>
            </w:r>
          </w:p>
        </w:tc>
        <w:tc>
          <w:tcPr>
            <w:tcW w:w="6390" w:type="dxa"/>
            <w:vAlign w:val="center"/>
          </w:tcPr>
          <w:p w:rsidR="00BF4D50" w:rsidRPr="00902333" w:rsidP="0074675D" w14:paraId="2C04F4AF" w14:textId="77777777">
            <w:pPr>
              <w:rPr>
                <w:b/>
                <w:bCs/>
              </w:rPr>
            </w:pPr>
            <w:r w:rsidRPr="00902333">
              <w:rPr>
                <w:b/>
                <w:bCs/>
              </w:rPr>
              <w:t>Regulatory Requirement</w:t>
            </w:r>
          </w:p>
        </w:tc>
      </w:tr>
      <w:tr w14:paraId="227F10ED" w14:textId="77777777" w:rsidTr="0074675D">
        <w:tblPrEx>
          <w:tblW w:w="9360" w:type="dxa"/>
          <w:tblInd w:w="-5" w:type="dxa"/>
          <w:tblLook w:val="04A0"/>
        </w:tblPrEx>
        <w:tc>
          <w:tcPr>
            <w:tcW w:w="2970" w:type="dxa"/>
            <w:vAlign w:val="center"/>
          </w:tcPr>
          <w:p w:rsidR="00BF4D50" w:rsidP="0074675D" w14:paraId="08031361" w14:textId="77777777">
            <w:r>
              <w:t>Any person</w:t>
            </w:r>
          </w:p>
        </w:tc>
        <w:tc>
          <w:tcPr>
            <w:tcW w:w="6390" w:type="dxa"/>
            <w:vAlign w:val="center"/>
          </w:tcPr>
          <w:p w:rsidR="00BF4D50" w:rsidP="0074675D" w14:paraId="790B188C" w14:textId="77777777">
            <w:r>
              <w:t>Report a discovery on Federal or Tribal lands</w:t>
            </w:r>
          </w:p>
          <w:p w:rsidR="00BF4D50" w:rsidRPr="002C643E" w:rsidP="0074675D" w14:paraId="39B9A86C" w14:textId="77777777">
            <w:r>
              <w:t>File an allegation of failure to comply</w:t>
            </w:r>
          </w:p>
        </w:tc>
      </w:tr>
      <w:tr w14:paraId="380FC8A4" w14:textId="77777777" w:rsidTr="0074675D">
        <w:tblPrEx>
          <w:tblW w:w="9360" w:type="dxa"/>
          <w:tblInd w:w="-5" w:type="dxa"/>
          <w:tblLook w:val="04A0"/>
        </w:tblPrEx>
        <w:tc>
          <w:tcPr>
            <w:tcW w:w="2970" w:type="dxa"/>
            <w:vAlign w:val="center"/>
          </w:tcPr>
          <w:p w:rsidR="00BF4D50" w:rsidP="0074675D" w14:paraId="7FB917D4" w14:textId="77777777">
            <w:r>
              <w:t>Any affected party</w:t>
            </w:r>
          </w:p>
        </w:tc>
        <w:tc>
          <w:tcPr>
            <w:tcW w:w="6390" w:type="dxa"/>
            <w:vAlign w:val="center"/>
          </w:tcPr>
          <w:p w:rsidR="00BF4D50" w:rsidP="0074675D" w14:paraId="7AD42802" w14:textId="77777777">
            <w:r w:rsidRPr="002C643E">
              <w:t>Request assistance of the Review Committee</w:t>
            </w:r>
          </w:p>
        </w:tc>
      </w:tr>
      <w:tr w14:paraId="02395E14" w14:textId="77777777" w:rsidTr="0074675D">
        <w:tblPrEx>
          <w:tblW w:w="9360" w:type="dxa"/>
          <w:tblInd w:w="-5" w:type="dxa"/>
          <w:tblLook w:val="04A0"/>
        </w:tblPrEx>
        <w:tc>
          <w:tcPr>
            <w:tcW w:w="2970" w:type="dxa"/>
            <w:vAlign w:val="center"/>
          </w:tcPr>
          <w:p w:rsidR="00BF4D50" w:rsidP="0074675D" w14:paraId="5091156B" w14:textId="77777777">
            <w:r>
              <w:t>Lineal desce</w:t>
            </w:r>
            <w:r w:rsidRPr="00865564">
              <w:t xml:space="preserve">ndants, </w:t>
            </w:r>
            <w:r w:rsidRPr="00865564">
              <w:rPr>
                <w:color w:val="000000"/>
              </w:rPr>
              <w:t>Indian Tribes</w:t>
            </w:r>
            <w:r w:rsidRPr="00865564">
              <w:t>, or NHOs</w:t>
            </w:r>
          </w:p>
        </w:tc>
        <w:tc>
          <w:tcPr>
            <w:tcW w:w="6390" w:type="dxa"/>
            <w:vAlign w:val="center"/>
          </w:tcPr>
          <w:p w:rsidR="00BF4D50" w:rsidP="0074675D" w14:paraId="68EF7B8A" w14:textId="77777777">
            <w:bookmarkStart w:id="13" w:name="_Hlk112676134"/>
            <w:r>
              <w:t>Respond to a discovery</w:t>
            </w:r>
          </w:p>
          <w:p w:rsidR="00BF4D50" w:rsidP="0074675D" w14:paraId="46635CE3" w14:textId="77777777">
            <w:r>
              <w:t>Consent to an excavation</w:t>
            </w:r>
          </w:p>
          <w:p w:rsidR="006E7BA4" w:rsidP="001B5AB9" w14:paraId="0FAD7EFB" w14:textId="229910AD">
            <w:r>
              <w:t>Submit a claim for disposition</w:t>
            </w:r>
          </w:p>
          <w:p w:rsidR="00A7723B" w:rsidP="0074675D" w14:paraId="0F803F67" w14:textId="526F1825">
            <w:r>
              <w:t>Submit a r</w:t>
            </w:r>
            <w:r w:rsidR="00BF4D50">
              <w:t xml:space="preserve">equest </w:t>
            </w:r>
            <w:r>
              <w:t>to</w:t>
            </w:r>
            <w:r w:rsidR="001A5102">
              <w:t xml:space="preserve"> consult</w:t>
            </w:r>
            <w:r w:rsidR="00234267">
              <w:t xml:space="preserve"> (Subpart C)</w:t>
            </w:r>
            <w:r>
              <w:rPr>
                <w:rStyle w:val="FootnoteReference"/>
              </w:rPr>
              <w:footnoteReference w:id="7"/>
            </w:r>
          </w:p>
          <w:p w:rsidR="00BF4D50" w:rsidP="0074675D" w14:paraId="39215D24" w14:textId="77777777">
            <w:r>
              <w:t>Submit a request for repatriation</w:t>
            </w:r>
          </w:p>
          <w:p w:rsidR="00BF4D50" w:rsidP="0074675D" w14:paraId="4FFEEF91" w14:textId="77777777">
            <w:r>
              <w:t>Request transfer of human remains or cultural items</w:t>
            </w:r>
            <w:bookmarkEnd w:id="13"/>
          </w:p>
        </w:tc>
      </w:tr>
      <w:tr w14:paraId="496C5CC0" w14:textId="77777777" w:rsidTr="0074675D">
        <w:tblPrEx>
          <w:tblW w:w="9360" w:type="dxa"/>
          <w:tblInd w:w="-5" w:type="dxa"/>
          <w:tblLook w:val="04A0"/>
        </w:tblPrEx>
        <w:tc>
          <w:tcPr>
            <w:tcW w:w="2970" w:type="dxa"/>
            <w:vAlign w:val="center"/>
          </w:tcPr>
          <w:p w:rsidR="00BF4D50" w:rsidP="0074675D" w14:paraId="6DDAD4EB" w14:textId="77777777">
            <w:r>
              <w:t>Federal agencies</w:t>
            </w:r>
          </w:p>
        </w:tc>
        <w:tc>
          <w:tcPr>
            <w:tcW w:w="6390" w:type="dxa"/>
            <w:vAlign w:val="center"/>
          </w:tcPr>
          <w:p w:rsidR="00BF4D50" w:rsidP="0074675D" w14:paraId="7F27294A" w14:textId="77777777">
            <w:r>
              <w:t>Respond to a discovery</w:t>
            </w:r>
          </w:p>
          <w:p w:rsidR="00BF4D50" w:rsidP="0074675D" w14:paraId="1C67FEA3" w14:textId="77777777">
            <w:r>
              <w:t>Authorize an excavation</w:t>
            </w:r>
          </w:p>
          <w:p w:rsidR="00BF4D50" w:rsidP="0074675D" w14:paraId="105CA84E" w14:textId="43FD04A6">
            <w:r>
              <w:t>C</w:t>
            </w:r>
            <w:r>
              <w:t>onduct consultation</w:t>
            </w:r>
            <w:r w:rsidR="00846DD1">
              <w:t xml:space="preserve"> (Subpart B)</w:t>
            </w:r>
            <w:r>
              <w:t>Complete a plan of action</w:t>
            </w:r>
          </w:p>
          <w:p w:rsidR="00BF4D50" w:rsidP="0074675D" w14:paraId="4DB168D0" w14:textId="77777777">
            <w:r>
              <w:t>Publish notices of intended disposition</w:t>
            </w:r>
          </w:p>
          <w:p w:rsidR="00BF4D50" w:rsidP="0074675D" w14:paraId="2A0EE169" w14:textId="77777777">
            <w:r>
              <w:t>Evaluate competing claims for disposition</w:t>
            </w:r>
          </w:p>
          <w:p w:rsidR="00BF4D50" w:rsidP="0074675D" w14:paraId="17EA3790" w14:textId="77777777">
            <w:r>
              <w:t>Transfer or reinter unclaimed human remains or cultural items</w:t>
            </w:r>
          </w:p>
          <w:p w:rsidR="00BF4D50" w:rsidP="0074675D" w14:paraId="0F624E8E" w14:textId="77777777">
            <w:r w:rsidRPr="00362FB5">
              <w:t>Identify holdings or collection in museum custody</w:t>
            </w:r>
          </w:p>
        </w:tc>
      </w:tr>
      <w:tr w14:paraId="7750308B" w14:textId="77777777" w:rsidTr="0074675D">
        <w:tblPrEx>
          <w:tblW w:w="9360" w:type="dxa"/>
          <w:tblInd w:w="-5" w:type="dxa"/>
          <w:tblLook w:val="04A0"/>
        </w:tblPrEx>
        <w:tc>
          <w:tcPr>
            <w:tcW w:w="2970" w:type="dxa"/>
            <w:vAlign w:val="center"/>
          </w:tcPr>
          <w:p w:rsidR="00BF4D50" w:rsidP="0074675D" w14:paraId="5D2F104F" w14:textId="77777777">
            <w:r>
              <w:t>Museums</w:t>
            </w:r>
          </w:p>
        </w:tc>
        <w:tc>
          <w:tcPr>
            <w:tcW w:w="6390" w:type="dxa"/>
            <w:vAlign w:val="center"/>
          </w:tcPr>
          <w:p w:rsidR="00BF4D50" w:rsidP="0074675D" w14:paraId="71918961" w14:textId="77777777">
            <w:r w:rsidRPr="003B221C">
              <w:rPr>
                <w:color w:val="000000"/>
              </w:rPr>
              <w:t>Respond to a civil penalty action</w:t>
            </w:r>
          </w:p>
        </w:tc>
      </w:tr>
      <w:tr w14:paraId="0F09A676" w14:textId="77777777" w:rsidTr="0074675D">
        <w:tblPrEx>
          <w:tblW w:w="9360" w:type="dxa"/>
          <w:tblInd w:w="-5" w:type="dxa"/>
          <w:tblLook w:val="04A0"/>
        </w:tblPrEx>
        <w:tc>
          <w:tcPr>
            <w:tcW w:w="2970" w:type="dxa"/>
            <w:vAlign w:val="center"/>
          </w:tcPr>
          <w:p w:rsidR="00BF4D50" w:rsidP="0074675D" w14:paraId="5A632A53" w14:textId="77777777">
            <w:r>
              <w:t>Museums/Federal agencies</w:t>
            </w:r>
          </w:p>
        </w:tc>
        <w:tc>
          <w:tcPr>
            <w:tcW w:w="6390" w:type="dxa"/>
            <w:vAlign w:val="center"/>
          </w:tcPr>
          <w:p w:rsidR="00D87801" w:rsidRPr="003B221C" w:rsidP="00D87801" w14:paraId="61922E64" w14:textId="77777777">
            <w:pPr>
              <w:rPr>
                <w:color w:val="000000"/>
              </w:rPr>
            </w:pPr>
            <w:r>
              <w:rPr>
                <w:color w:val="000000"/>
              </w:rPr>
              <w:t xml:space="preserve">Initiate consultation </w:t>
            </w:r>
            <w:r w:rsidRPr="003B221C">
              <w:rPr>
                <w:color w:val="000000"/>
              </w:rPr>
              <w:t>and request information</w:t>
            </w:r>
          </w:p>
          <w:p w:rsidR="00BF4D50" w:rsidRPr="003B221C" w:rsidP="0074675D" w14:paraId="295B864C" w14:textId="70699069">
            <w:pPr>
              <w:rPr>
                <w:color w:val="000000"/>
              </w:rPr>
            </w:pPr>
            <w:r>
              <w:rPr>
                <w:color w:val="000000"/>
              </w:rPr>
              <w:t>C</w:t>
            </w:r>
            <w:r w:rsidRPr="003B221C">
              <w:rPr>
                <w:color w:val="000000"/>
              </w:rPr>
              <w:t>onduct consultation</w:t>
            </w:r>
            <w:r w:rsidR="00846DD1">
              <w:rPr>
                <w:color w:val="000000"/>
              </w:rPr>
              <w:t xml:space="preserve"> (Subpart C)</w:t>
            </w:r>
          </w:p>
          <w:p w:rsidR="00BF4D50" w:rsidRPr="003B221C" w:rsidP="0074675D" w14:paraId="373BEAC6" w14:textId="77777777">
            <w:pPr>
              <w:rPr>
                <w:color w:val="000000"/>
              </w:rPr>
            </w:pPr>
            <w:r w:rsidRPr="003B221C">
              <w:rPr>
                <w:color w:val="000000"/>
              </w:rPr>
              <w:t>Submit a new inventory</w:t>
            </w:r>
          </w:p>
          <w:p w:rsidR="00BF4D50" w:rsidRPr="003B221C" w:rsidP="0074675D" w14:paraId="10AA8D9E" w14:textId="77777777">
            <w:pPr>
              <w:rPr>
                <w:color w:val="000000"/>
              </w:rPr>
            </w:pPr>
            <w:r w:rsidRPr="003B221C">
              <w:rPr>
                <w:color w:val="000000"/>
              </w:rPr>
              <w:t>Submit a new summary</w:t>
            </w:r>
          </w:p>
          <w:p w:rsidR="00BF4D50" w:rsidRPr="003B221C" w:rsidP="0074675D" w14:paraId="7A079826" w14:textId="77777777">
            <w:pPr>
              <w:rPr>
                <w:color w:val="000000"/>
              </w:rPr>
            </w:pPr>
            <w:r w:rsidRPr="003B221C">
              <w:rPr>
                <w:color w:val="000000"/>
              </w:rPr>
              <w:t>Update inventory data</w:t>
            </w:r>
          </w:p>
          <w:p w:rsidR="00BF4D50" w:rsidRPr="003B221C" w:rsidP="0074675D" w14:paraId="1064DB06" w14:textId="77777777">
            <w:pPr>
              <w:rPr>
                <w:color w:val="000000"/>
              </w:rPr>
            </w:pPr>
            <w:r w:rsidRPr="003B221C">
              <w:rPr>
                <w:color w:val="000000"/>
              </w:rPr>
              <w:t>Update summary data</w:t>
            </w:r>
          </w:p>
          <w:p w:rsidR="00BF4D50" w:rsidRPr="003B221C" w:rsidP="0074675D" w14:paraId="08333A58" w14:textId="77777777">
            <w:pPr>
              <w:rPr>
                <w:color w:val="000000"/>
              </w:rPr>
            </w:pPr>
            <w:r w:rsidRPr="003B221C">
              <w:rPr>
                <w:color w:val="000000"/>
              </w:rPr>
              <w:t>Submit notices of intent to repatriate</w:t>
            </w:r>
          </w:p>
          <w:p w:rsidR="00BF4D50" w:rsidRPr="003B221C" w:rsidP="0074675D" w14:paraId="3051E82F" w14:textId="77777777">
            <w:pPr>
              <w:rPr>
                <w:color w:val="000000"/>
              </w:rPr>
            </w:pPr>
            <w:r w:rsidRPr="003B221C">
              <w:rPr>
                <w:color w:val="000000"/>
              </w:rPr>
              <w:t>Submit notices of inventory completion</w:t>
            </w:r>
          </w:p>
          <w:p w:rsidR="00BF4D50" w:rsidRPr="003B221C" w:rsidP="0074675D" w14:paraId="63C236BB" w14:textId="77777777">
            <w:pPr>
              <w:rPr>
                <w:color w:val="000000"/>
              </w:rPr>
            </w:pPr>
            <w:r w:rsidRPr="003B221C">
              <w:rPr>
                <w:color w:val="000000"/>
              </w:rPr>
              <w:t>Document physical transfer</w:t>
            </w:r>
          </w:p>
          <w:p w:rsidR="00BF4D50" w:rsidRPr="00902333" w:rsidP="0074675D" w14:paraId="2CBAA2F0" w14:textId="77777777">
            <w:pPr>
              <w:rPr>
                <w:color w:val="000000"/>
              </w:rPr>
            </w:pPr>
            <w:r w:rsidRPr="003B221C">
              <w:rPr>
                <w:color w:val="000000"/>
              </w:rPr>
              <w:t>Evaluate competing requests and resolve stays of repatriation</w:t>
            </w:r>
          </w:p>
        </w:tc>
      </w:tr>
    </w:tbl>
    <w:p w:rsidR="00BF4D50" w:rsidP="00BF4D50" w14:paraId="0043A51C" w14:textId="77777777">
      <w:pPr>
        <w:pStyle w:val="ListParagraph"/>
        <w:ind w:left="0"/>
        <w:rPr>
          <w:rFonts w:ascii="Arial" w:hAnsi="Arial" w:cs="Arial"/>
          <w:b/>
          <w:bCs/>
          <w:sz w:val="23"/>
          <w:szCs w:val="23"/>
        </w:rPr>
      </w:pPr>
    </w:p>
    <w:p w:rsidR="00BF4D50" w:rsidP="00232B25" w14:paraId="79737400" w14:textId="77777777"/>
    <w:p w:rsidR="00461894" w:rsidP="00232B25" w14:paraId="1A82C3E4" w14:textId="4DD088EF">
      <w:r>
        <w:t xml:space="preserve">Table </w:t>
      </w:r>
      <w:r w:rsidR="00BF4D50">
        <w:t>3</w:t>
      </w:r>
      <w:r>
        <w:t xml:space="preserve"> summarizes </w:t>
      </w:r>
      <w:r w:rsidRPr="007B76B3" w:rsidR="00C858BB">
        <w:t>th</w:t>
      </w:r>
      <w:r w:rsidR="00C858BB">
        <w:t xml:space="preserve">e baseline conditions </w:t>
      </w:r>
      <w:r>
        <w:t xml:space="preserve">for each subpart of the </w:t>
      </w:r>
      <w:r w:rsidR="00A301C1">
        <w:t xml:space="preserve">existing regulations. We estimate the existing regulations </w:t>
      </w:r>
      <w:r w:rsidR="00C858BB">
        <w:t>require</w:t>
      </w:r>
      <w:r w:rsidRPr="007B76B3" w:rsidR="00C858BB">
        <w:t xml:space="preserve">, annually, </w:t>
      </w:r>
      <w:r w:rsidRPr="007B76B3" w:rsidR="00C858BB">
        <w:rPr>
          <w:b/>
          <w:bCs/>
        </w:rPr>
        <w:t>1,</w:t>
      </w:r>
      <w:r w:rsidR="00B63D08">
        <w:rPr>
          <w:b/>
          <w:bCs/>
        </w:rPr>
        <w:t>298</w:t>
      </w:r>
      <w:r w:rsidRPr="007B76B3" w:rsidR="00C858BB">
        <w:rPr>
          <w:b/>
          <w:bCs/>
        </w:rPr>
        <w:t xml:space="preserve"> responses</w:t>
      </w:r>
      <w:r w:rsidRPr="007B76B3" w:rsidR="00C858BB">
        <w:t xml:space="preserve"> totaling </w:t>
      </w:r>
      <w:r w:rsidRPr="00084CC0" w:rsidR="00C858BB">
        <w:rPr>
          <w:b/>
          <w:bCs/>
        </w:rPr>
        <w:t>37,</w:t>
      </w:r>
      <w:r w:rsidR="00E8016A">
        <w:rPr>
          <w:b/>
          <w:bCs/>
        </w:rPr>
        <w:t>9</w:t>
      </w:r>
      <w:r w:rsidR="00B63D08">
        <w:rPr>
          <w:b/>
          <w:bCs/>
        </w:rPr>
        <w:t>51</w:t>
      </w:r>
      <w:r w:rsidR="00B70B64">
        <w:rPr>
          <w:b/>
          <w:bCs/>
        </w:rPr>
        <w:t>.5</w:t>
      </w:r>
      <w:r w:rsidR="00B63D08">
        <w:rPr>
          <w:b/>
          <w:bCs/>
        </w:rPr>
        <w:t>0</w:t>
      </w:r>
      <w:r w:rsidRPr="007B76B3" w:rsidR="00C858BB">
        <w:rPr>
          <w:b/>
          <w:bCs/>
        </w:rPr>
        <w:t xml:space="preserve"> annual hour</w:t>
      </w:r>
      <w:r w:rsidRPr="00E45DC6" w:rsidR="00E45DC6">
        <w:rPr>
          <w:b/>
          <w:bCs/>
        </w:rPr>
        <w:t>s</w:t>
      </w:r>
      <w:r w:rsidRPr="007B76B3" w:rsidR="00C858BB">
        <w:t xml:space="preserve">. We estimate the annual dollar value is </w:t>
      </w:r>
      <w:r w:rsidRPr="007B76B3" w:rsidR="00C858BB">
        <w:rPr>
          <w:b/>
          <w:bCs/>
        </w:rPr>
        <w:t>$</w:t>
      </w:r>
      <w:r w:rsidR="00C858BB">
        <w:rPr>
          <w:b/>
          <w:bCs/>
        </w:rPr>
        <w:t>2</w:t>
      </w:r>
      <w:r w:rsidRPr="007B76B3" w:rsidR="00C858BB">
        <w:rPr>
          <w:b/>
          <w:bCs/>
        </w:rPr>
        <w:t>,</w:t>
      </w:r>
      <w:r w:rsidR="00E8016A">
        <w:rPr>
          <w:b/>
          <w:bCs/>
        </w:rPr>
        <w:t>43</w:t>
      </w:r>
      <w:r w:rsidR="00B63D08">
        <w:rPr>
          <w:b/>
          <w:bCs/>
        </w:rPr>
        <w:t>8</w:t>
      </w:r>
      <w:r w:rsidRPr="007B76B3" w:rsidR="00C858BB">
        <w:rPr>
          <w:b/>
          <w:bCs/>
        </w:rPr>
        <w:t>,</w:t>
      </w:r>
      <w:r w:rsidR="00E8016A">
        <w:rPr>
          <w:b/>
          <w:bCs/>
        </w:rPr>
        <w:t>0</w:t>
      </w:r>
      <w:r w:rsidR="00B63D08">
        <w:rPr>
          <w:b/>
          <w:bCs/>
        </w:rPr>
        <w:t>32</w:t>
      </w:r>
      <w:r w:rsidRPr="007B76B3" w:rsidR="00C858BB">
        <w:rPr>
          <w:b/>
          <w:bCs/>
        </w:rPr>
        <w:t xml:space="preserve"> </w:t>
      </w:r>
      <w:r w:rsidRPr="007B76B3" w:rsidR="00C858BB">
        <w:t xml:space="preserve">(rounded). </w:t>
      </w:r>
    </w:p>
    <w:p w:rsidR="007B76B3" w:rsidP="007B76B3" w14:paraId="52819EFE" w14:textId="77777777">
      <w:pPr>
        <w:pStyle w:val="ListParagraph"/>
        <w:rPr>
          <w:i/>
          <w:iCs/>
        </w:rPr>
      </w:pPr>
    </w:p>
    <w:p w:rsidR="004C6759" w:rsidRPr="007B76B3" w:rsidP="007B76B3" w14:paraId="3D12B2D2" w14:textId="77777777">
      <w:pPr>
        <w:pStyle w:val="ListParagraph"/>
        <w:rPr>
          <w:i/>
          <w:iCs/>
        </w:rPr>
      </w:pPr>
    </w:p>
    <w:p w:rsidR="007B76B3" w:rsidRPr="007B76B3" w:rsidP="00C37CE5" w14:paraId="51BD6B16" w14:textId="17C23B6F">
      <w:pPr>
        <w:pStyle w:val="Heading3"/>
      </w:pPr>
      <w:bookmarkStart w:id="14" w:name="_Toc113867029"/>
      <w:r w:rsidRPr="00CF25F1">
        <w:t xml:space="preserve">Table </w:t>
      </w:r>
      <w:r w:rsidR="00BF4D50">
        <w:t>3</w:t>
      </w:r>
      <w:r w:rsidRPr="00CF25F1">
        <w:t>.</w:t>
      </w:r>
      <w:r w:rsidR="004C6759">
        <w:t xml:space="preserve"> </w:t>
      </w:r>
      <w:r w:rsidRPr="00CF25F1">
        <w:t xml:space="preserve"> </w:t>
      </w:r>
      <w:r w:rsidR="00C23B7A">
        <w:t>Estimated b</w:t>
      </w:r>
      <w:r w:rsidRPr="00CF25F1">
        <w:t xml:space="preserve">aseline </w:t>
      </w:r>
      <w:r w:rsidR="008010E6">
        <w:t>costs</w:t>
      </w:r>
      <w:r>
        <w:t xml:space="preserve"> by </w:t>
      </w:r>
      <w:r w:rsidR="00894F28">
        <w:t>s</w:t>
      </w:r>
      <w:r>
        <w:t>ubpart</w:t>
      </w:r>
      <w:bookmarkEnd w:id="14"/>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1440"/>
        <w:gridCol w:w="1260"/>
        <w:gridCol w:w="1440"/>
      </w:tblGrid>
      <w:tr w14:paraId="02C1D7F2" w14:textId="77777777" w:rsidTr="00784F9F">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5490" w:type="dxa"/>
            <w:shd w:val="clear" w:color="auto" w:fill="auto"/>
            <w:vAlign w:val="center"/>
          </w:tcPr>
          <w:p w:rsidR="005401EB" w:rsidRPr="00C83AB3" w:rsidP="00CF25F1" w14:paraId="3145C549" w14:textId="3978B752">
            <w:pPr>
              <w:pStyle w:val="ListParagraph"/>
              <w:ind w:left="-19"/>
              <w:rPr>
                <w:b/>
                <w:bCs/>
              </w:rPr>
            </w:pPr>
            <w:r>
              <w:rPr>
                <w:b/>
                <w:bCs/>
              </w:rPr>
              <w:t xml:space="preserve">Existing </w:t>
            </w:r>
            <w:r w:rsidR="00C23B7A">
              <w:rPr>
                <w:b/>
                <w:bCs/>
              </w:rPr>
              <w:t>Subparts</w:t>
            </w:r>
          </w:p>
        </w:tc>
        <w:tc>
          <w:tcPr>
            <w:tcW w:w="1440" w:type="dxa"/>
            <w:shd w:val="clear" w:color="auto" w:fill="auto"/>
            <w:vAlign w:val="center"/>
          </w:tcPr>
          <w:p w:rsidR="005401EB" w:rsidRPr="00C83AB3" w:rsidP="005576FA" w14:paraId="48A6A2AF" w14:textId="397A62CF">
            <w:pPr>
              <w:pStyle w:val="ListParagraph"/>
              <w:ind w:left="78"/>
              <w:jc w:val="center"/>
              <w:rPr>
                <w:b/>
                <w:bCs/>
              </w:rPr>
            </w:pPr>
            <w:r>
              <w:rPr>
                <w:b/>
                <w:bCs/>
              </w:rPr>
              <w:t>Number of</w:t>
            </w:r>
            <w:r w:rsidRPr="00C83AB3">
              <w:rPr>
                <w:b/>
                <w:bCs/>
              </w:rPr>
              <w:t xml:space="preserve"> Responses</w:t>
            </w:r>
          </w:p>
        </w:tc>
        <w:tc>
          <w:tcPr>
            <w:tcW w:w="1260" w:type="dxa"/>
            <w:shd w:val="clear" w:color="auto" w:fill="auto"/>
            <w:vAlign w:val="center"/>
          </w:tcPr>
          <w:p w:rsidR="005401EB" w:rsidRPr="00C83AB3" w:rsidP="005576FA" w14:paraId="316AC5E2" w14:textId="464BF40E">
            <w:pPr>
              <w:pStyle w:val="ListParagraph"/>
              <w:ind w:left="78"/>
              <w:jc w:val="center"/>
              <w:rPr>
                <w:b/>
                <w:bCs/>
              </w:rPr>
            </w:pPr>
            <w:r w:rsidRPr="00C83AB3">
              <w:rPr>
                <w:b/>
                <w:bCs/>
              </w:rPr>
              <w:t>Annual Hour</w:t>
            </w:r>
            <w:r w:rsidR="00D95A98">
              <w:rPr>
                <w:b/>
                <w:bCs/>
              </w:rPr>
              <w:t>s</w:t>
            </w:r>
          </w:p>
        </w:tc>
        <w:tc>
          <w:tcPr>
            <w:tcW w:w="1440" w:type="dxa"/>
            <w:shd w:val="clear" w:color="auto" w:fill="auto"/>
            <w:vAlign w:val="center"/>
          </w:tcPr>
          <w:p w:rsidR="005401EB" w:rsidRPr="00C83AB3" w:rsidP="005576FA" w14:paraId="683635FB" w14:textId="7003471A">
            <w:pPr>
              <w:pStyle w:val="ListParagraph"/>
              <w:ind w:left="78"/>
              <w:jc w:val="center"/>
              <w:rPr>
                <w:b/>
                <w:bCs/>
              </w:rPr>
            </w:pPr>
            <w:r>
              <w:rPr>
                <w:b/>
                <w:bCs/>
              </w:rPr>
              <w:t>Annual Cost</w:t>
            </w:r>
          </w:p>
        </w:tc>
      </w:tr>
      <w:tr w14:paraId="6CB33AC5" w14:textId="77777777" w:rsidTr="00784F9F">
        <w:tblPrEx>
          <w:tblW w:w="9630" w:type="dxa"/>
          <w:tblLayout w:type="fixed"/>
          <w:tblLook w:val="01E0"/>
        </w:tblPrEx>
        <w:trPr>
          <w:trHeight w:val="360"/>
        </w:trPr>
        <w:tc>
          <w:tcPr>
            <w:tcW w:w="5490" w:type="dxa"/>
            <w:shd w:val="clear" w:color="auto" w:fill="auto"/>
            <w:vAlign w:val="center"/>
          </w:tcPr>
          <w:p w:rsidR="005401EB" w:rsidRPr="00C83AB3" w:rsidP="00CF25F1" w14:paraId="618618C2" w14:textId="5953411B">
            <w:pPr>
              <w:pStyle w:val="ListParagraph"/>
              <w:ind w:left="-19"/>
            </w:pPr>
            <w:r w:rsidRPr="00C83AB3">
              <w:t xml:space="preserve">Subpart B </w:t>
            </w:r>
            <w:r w:rsidRPr="00C83AB3" w:rsidR="00C06CAB">
              <w:t>–</w:t>
            </w:r>
            <w:r w:rsidR="00C06CAB">
              <w:t xml:space="preserve"> </w:t>
            </w:r>
            <w:r w:rsidR="0081577B">
              <w:t>From</w:t>
            </w:r>
            <w:r w:rsidRPr="00C83AB3">
              <w:t xml:space="preserve"> Federal or Tribal Lands </w:t>
            </w:r>
          </w:p>
        </w:tc>
        <w:tc>
          <w:tcPr>
            <w:tcW w:w="1440" w:type="dxa"/>
            <w:shd w:val="clear" w:color="auto" w:fill="auto"/>
            <w:vAlign w:val="center"/>
          </w:tcPr>
          <w:p w:rsidR="005401EB" w:rsidRPr="00C83AB3" w:rsidP="00EB13FF" w14:paraId="2DAA111A" w14:textId="43C6DDB8">
            <w:pPr>
              <w:pStyle w:val="ListParagraph"/>
              <w:ind w:left="78"/>
              <w:jc w:val="right"/>
            </w:pPr>
            <w:r w:rsidRPr="00C83AB3">
              <w:t>6</w:t>
            </w:r>
            <w:r w:rsidR="006A602F">
              <w:t>5</w:t>
            </w:r>
          </w:p>
        </w:tc>
        <w:tc>
          <w:tcPr>
            <w:tcW w:w="1260" w:type="dxa"/>
            <w:shd w:val="clear" w:color="auto" w:fill="auto"/>
            <w:vAlign w:val="center"/>
          </w:tcPr>
          <w:p w:rsidR="005401EB" w:rsidRPr="00C83AB3" w:rsidP="00EB13FF" w14:paraId="705ED128" w14:textId="428B4B0B">
            <w:pPr>
              <w:pStyle w:val="ListParagraph"/>
              <w:ind w:left="78"/>
              <w:jc w:val="right"/>
            </w:pPr>
            <w:r>
              <w:t>465.50</w:t>
            </w:r>
          </w:p>
        </w:tc>
        <w:tc>
          <w:tcPr>
            <w:tcW w:w="1440" w:type="dxa"/>
            <w:vAlign w:val="center"/>
          </w:tcPr>
          <w:p w:rsidR="005401EB" w:rsidRPr="00C83AB3" w:rsidP="00EB13FF" w14:paraId="008AED03" w14:textId="75FD2AFD">
            <w:pPr>
              <w:pStyle w:val="ListParagraph"/>
              <w:ind w:left="78"/>
              <w:jc w:val="right"/>
            </w:pPr>
            <w:r>
              <w:t>$29,738</w:t>
            </w:r>
          </w:p>
        </w:tc>
      </w:tr>
      <w:tr w14:paraId="36E09259" w14:textId="77777777" w:rsidTr="00784F9F">
        <w:tblPrEx>
          <w:tblW w:w="9630" w:type="dxa"/>
          <w:tblLayout w:type="fixed"/>
          <w:tblLook w:val="01E0"/>
        </w:tblPrEx>
        <w:trPr>
          <w:trHeight w:val="360"/>
        </w:trPr>
        <w:tc>
          <w:tcPr>
            <w:tcW w:w="5490" w:type="dxa"/>
            <w:shd w:val="clear" w:color="auto" w:fill="auto"/>
            <w:vAlign w:val="center"/>
          </w:tcPr>
          <w:p w:rsidR="005401EB" w:rsidRPr="00C83AB3" w:rsidP="00CF25F1" w14:paraId="32E277A0" w14:textId="5A5895B8">
            <w:pPr>
              <w:pStyle w:val="ListParagraph"/>
              <w:ind w:left="-19"/>
            </w:pPr>
            <w:r w:rsidRPr="00C83AB3">
              <w:t xml:space="preserve">Subpart C – </w:t>
            </w:r>
            <w:r w:rsidR="0081577B">
              <w:t>In</w:t>
            </w:r>
            <w:r w:rsidRPr="00C83AB3">
              <w:t xml:space="preserve"> Museum</w:t>
            </w:r>
            <w:r w:rsidR="00DB64E2">
              <w:t xml:space="preserve">s and </w:t>
            </w:r>
            <w:r w:rsidRPr="00C83AB3" w:rsidR="00EB13FF">
              <w:t xml:space="preserve">Federal </w:t>
            </w:r>
            <w:r w:rsidR="00DB64E2">
              <w:t>collections</w:t>
            </w:r>
          </w:p>
        </w:tc>
        <w:tc>
          <w:tcPr>
            <w:tcW w:w="1440" w:type="dxa"/>
            <w:shd w:val="clear" w:color="auto" w:fill="auto"/>
            <w:vAlign w:val="center"/>
          </w:tcPr>
          <w:p w:rsidR="005401EB" w:rsidRPr="00C83AB3" w:rsidP="00EB13FF" w14:paraId="5E80608A" w14:textId="46586ABF">
            <w:pPr>
              <w:pStyle w:val="ListParagraph"/>
              <w:ind w:left="78"/>
              <w:jc w:val="right"/>
            </w:pPr>
            <w:r w:rsidRPr="00C83AB3">
              <w:t>1,</w:t>
            </w:r>
            <w:r w:rsidRPr="00C83AB3" w:rsidR="00084CC0">
              <w:t>21</w:t>
            </w:r>
            <w:r w:rsidRPr="00C83AB3" w:rsidR="00E8016A">
              <w:t>8</w:t>
            </w:r>
          </w:p>
        </w:tc>
        <w:tc>
          <w:tcPr>
            <w:tcW w:w="1260" w:type="dxa"/>
            <w:shd w:val="clear" w:color="auto" w:fill="auto"/>
            <w:vAlign w:val="center"/>
          </w:tcPr>
          <w:p w:rsidR="005401EB" w:rsidRPr="00C83AB3" w:rsidP="00EB13FF" w14:paraId="7E04669F" w14:textId="0F11DA3D">
            <w:pPr>
              <w:pStyle w:val="ListParagraph"/>
              <w:ind w:left="78"/>
              <w:jc w:val="right"/>
            </w:pPr>
            <w:r w:rsidRPr="00C83AB3">
              <w:t>36,</w:t>
            </w:r>
            <w:r w:rsidRPr="00C83AB3" w:rsidR="00E8016A">
              <w:t>75</w:t>
            </w:r>
            <w:r w:rsidRPr="00C83AB3">
              <w:t>0</w:t>
            </w:r>
            <w:r w:rsidR="00B74C49">
              <w:t>.25</w:t>
            </w:r>
          </w:p>
        </w:tc>
        <w:tc>
          <w:tcPr>
            <w:tcW w:w="1440" w:type="dxa"/>
            <w:vAlign w:val="center"/>
          </w:tcPr>
          <w:p w:rsidR="005401EB" w:rsidRPr="00C83AB3" w:rsidP="00EB13FF" w14:paraId="09E1CF76" w14:textId="6662B569">
            <w:pPr>
              <w:pStyle w:val="ListParagraph"/>
              <w:ind w:left="78"/>
              <w:jc w:val="right"/>
            </w:pPr>
            <w:r w:rsidRPr="00C83AB3">
              <w:t>$2,3</w:t>
            </w:r>
            <w:r w:rsidRPr="00C83AB3" w:rsidR="00E8016A">
              <w:t>6</w:t>
            </w:r>
            <w:r w:rsidRPr="00C83AB3">
              <w:t>1,</w:t>
            </w:r>
            <w:r w:rsidRPr="00C83AB3" w:rsidR="00E8016A">
              <w:t>014</w:t>
            </w:r>
          </w:p>
        </w:tc>
      </w:tr>
      <w:tr w14:paraId="7C9317A8" w14:textId="77777777" w:rsidTr="00784F9F">
        <w:tblPrEx>
          <w:tblW w:w="9630" w:type="dxa"/>
          <w:tblLayout w:type="fixed"/>
          <w:tblLook w:val="01E0"/>
        </w:tblPrEx>
        <w:trPr>
          <w:trHeight w:val="360"/>
        </w:trPr>
        <w:tc>
          <w:tcPr>
            <w:tcW w:w="5490" w:type="dxa"/>
            <w:shd w:val="clear" w:color="auto" w:fill="auto"/>
            <w:vAlign w:val="center"/>
          </w:tcPr>
          <w:p w:rsidR="005401EB" w:rsidRPr="00C83AB3" w:rsidP="00CF25F1" w14:paraId="605B27D0" w14:textId="314D65D1">
            <w:pPr>
              <w:pStyle w:val="ListParagraph"/>
              <w:ind w:left="-19"/>
            </w:pPr>
            <w:r w:rsidRPr="00C83AB3">
              <w:t xml:space="preserve">Subpart D – </w:t>
            </w:r>
            <w:r w:rsidR="00DB64E2">
              <w:t xml:space="preserve">General; </w:t>
            </w:r>
            <w:r w:rsidRPr="00C83AB3">
              <w:t xml:space="preserve">Review Committee </w:t>
            </w:r>
          </w:p>
        </w:tc>
        <w:tc>
          <w:tcPr>
            <w:tcW w:w="1440" w:type="dxa"/>
            <w:shd w:val="clear" w:color="auto" w:fill="auto"/>
            <w:vAlign w:val="center"/>
          </w:tcPr>
          <w:p w:rsidR="005401EB" w:rsidRPr="00C83AB3" w:rsidP="00EB13FF" w14:paraId="10D85E36" w14:textId="24586EF2">
            <w:pPr>
              <w:pStyle w:val="ListParagraph"/>
              <w:ind w:left="78"/>
              <w:jc w:val="right"/>
            </w:pPr>
            <w:r w:rsidRPr="00C83AB3">
              <w:t>15</w:t>
            </w:r>
          </w:p>
        </w:tc>
        <w:tc>
          <w:tcPr>
            <w:tcW w:w="1260" w:type="dxa"/>
            <w:shd w:val="clear" w:color="auto" w:fill="auto"/>
            <w:vAlign w:val="center"/>
          </w:tcPr>
          <w:p w:rsidR="005401EB" w:rsidRPr="00C83AB3" w:rsidP="00EB13FF" w14:paraId="57A2FCC8" w14:textId="3872F868">
            <w:pPr>
              <w:pStyle w:val="ListParagraph"/>
              <w:ind w:left="78"/>
              <w:jc w:val="right"/>
            </w:pPr>
            <w:r w:rsidRPr="00C83AB3">
              <w:t>73</w:t>
            </w:r>
            <w:r w:rsidR="00B74C49">
              <w:t>5.75</w:t>
            </w:r>
          </w:p>
        </w:tc>
        <w:tc>
          <w:tcPr>
            <w:tcW w:w="1440" w:type="dxa"/>
            <w:vAlign w:val="center"/>
          </w:tcPr>
          <w:p w:rsidR="005401EB" w:rsidRPr="00C83AB3" w:rsidP="00EB13FF" w14:paraId="22C86338" w14:textId="6A34A39C">
            <w:pPr>
              <w:pStyle w:val="ListParagraph"/>
              <w:ind w:left="78"/>
              <w:jc w:val="right"/>
            </w:pPr>
            <w:r w:rsidRPr="00C83AB3">
              <w:t>$4</w:t>
            </w:r>
            <w:r w:rsidRPr="00C83AB3" w:rsidR="00BD4EFD">
              <w:t>7,280</w:t>
            </w:r>
          </w:p>
        </w:tc>
      </w:tr>
      <w:tr w14:paraId="18E4ACFC" w14:textId="77777777" w:rsidTr="00784F9F">
        <w:tblPrEx>
          <w:tblW w:w="9630" w:type="dxa"/>
          <w:tblLayout w:type="fixed"/>
          <w:tblLook w:val="01E0"/>
        </w:tblPrEx>
        <w:trPr>
          <w:trHeight w:val="360"/>
        </w:trPr>
        <w:tc>
          <w:tcPr>
            <w:tcW w:w="5490" w:type="dxa"/>
            <w:shd w:val="clear" w:color="auto" w:fill="auto"/>
            <w:vAlign w:val="center"/>
          </w:tcPr>
          <w:p w:rsidR="005401EB" w:rsidRPr="00C83AB3" w:rsidP="000D7E39" w14:paraId="31FF90B4" w14:textId="77777777">
            <w:pPr>
              <w:pStyle w:val="ListParagraph"/>
              <w:ind w:left="-19"/>
              <w:jc w:val="right"/>
              <w:rPr>
                <w:b/>
                <w:bCs/>
              </w:rPr>
            </w:pPr>
            <w:r w:rsidRPr="00C83AB3">
              <w:rPr>
                <w:b/>
                <w:bCs/>
              </w:rPr>
              <w:t xml:space="preserve">Total </w:t>
            </w:r>
          </w:p>
        </w:tc>
        <w:tc>
          <w:tcPr>
            <w:tcW w:w="1440" w:type="dxa"/>
            <w:shd w:val="clear" w:color="auto" w:fill="auto"/>
            <w:vAlign w:val="center"/>
          </w:tcPr>
          <w:p w:rsidR="005401EB" w:rsidRPr="00C83AB3" w:rsidP="00EB13FF" w14:paraId="3CE38DA1" w14:textId="3D013F57">
            <w:pPr>
              <w:pStyle w:val="ListParagraph"/>
              <w:ind w:left="78"/>
              <w:jc w:val="right"/>
              <w:rPr>
                <w:b/>
                <w:bCs/>
              </w:rPr>
            </w:pPr>
            <w:r>
              <w:rPr>
                <w:b/>
                <w:bCs/>
              </w:rPr>
              <w:t>1,298</w:t>
            </w:r>
            <w:r w:rsidRPr="00C83AB3">
              <w:rPr>
                <w:b/>
                <w:bCs/>
              </w:rPr>
              <w:fldChar w:fldCharType="begin"/>
            </w:r>
            <w:r w:rsidRPr="00C83AB3">
              <w:rPr>
                <w:b/>
                <w:bCs/>
              </w:rPr>
              <w:instrText xml:space="preserve">  </w:instrText>
            </w:r>
            <w:r w:rsidRPr="00C83AB3">
              <w:fldChar w:fldCharType="end"/>
            </w:r>
          </w:p>
        </w:tc>
        <w:tc>
          <w:tcPr>
            <w:tcW w:w="1260" w:type="dxa"/>
            <w:shd w:val="clear" w:color="auto" w:fill="auto"/>
            <w:vAlign w:val="center"/>
          </w:tcPr>
          <w:p w:rsidR="005401EB" w:rsidRPr="00C83AB3" w:rsidP="00EB13FF" w14:paraId="00BD2BB0" w14:textId="09103EFA">
            <w:pPr>
              <w:pStyle w:val="ListParagraph"/>
              <w:ind w:left="78"/>
              <w:jc w:val="right"/>
              <w:rPr>
                <w:b/>
                <w:bCs/>
              </w:rPr>
            </w:pPr>
            <w:r>
              <w:rPr>
                <w:b/>
                <w:bCs/>
              </w:rPr>
              <w:t>37,951.50</w:t>
            </w:r>
          </w:p>
        </w:tc>
        <w:tc>
          <w:tcPr>
            <w:tcW w:w="1440" w:type="dxa"/>
            <w:vAlign w:val="center"/>
          </w:tcPr>
          <w:p w:rsidR="005401EB" w:rsidRPr="00C83AB3" w:rsidP="00EB13FF" w14:paraId="7441BC60" w14:textId="734B518E">
            <w:pPr>
              <w:pStyle w:val="ListParagraph"/>
              <w:ind w:left="78"/>
              <w:jc w:val="right"/>
              <w:rPr>
                <w:b/>
                <w:bCs/>
              </w:rPr>
            </w:pPr>
            <w:r>
              <w:rPr>
                <w:b/>
                <w:bCs/>
              </w:rPr>
              <w:t>$2,438,032</w:t>
            </w:r>
          </w:p>
        </w:tc>
      </w:tr>
    </w:tbl>
    <w:p w:rsidR="00930CEE" w:rsidP="00930CEE" w14:paraId="31F45B84" w14:textId="4DF2C7C7">
      <w:pPr>
        <w:pStyle w:val="ListParagraph"/>
        <w:ind w:left="0"/>
        <w:rPr>
          <w:b/>
          <w:bCs/>
          <w:i/>
          <w:iCs/>
        </w:rPr>
      </w:pPr>
    </w:p>
    <w:p w:rsidR="001545F5" w:rsidP="00930CEE" w14:paraId="29FF75A0" w14:textId="77777777">
      <w:pPr>
        <w:pStyle w:val="ListParagraph"/>
        <w:ind w:left="0"/>
        <w:rPr>
          <w:b/>
          <w:bCs/>
          <w:i/>
          <w:iCs/>
        </w:rPr>
      </w:pPr>
    </w:p>
    <w:p w:rsidR="005056BA" w:rsidP="0051089F" w14:paraId="4550E630" w14:textId="78D8E048">
      <w:pPr>
        <w:pStyle w:val="ListParagraph"/>
        <w:ind w:left="0"/>
      </w:pPr>
      <w:r w:rsidRPr="00930CEE">
        <w:t>Under</w:t>
      </w:r>
      <w:r w:rsidR="001545F5">
        <w:t xml:space="preserve"> the existing regulatory framework</w:t>
      </w:r>
      <w:r w:rsidRPr="00930CEE">
        <w:t xml:space="preserve">, </w:t>
      </w:r>
      <w:r>
        <w:t xml:space="preserve">different parties are responsible for carrying out the </w:t>
      </w:r>
      <w:r w:rsidR="00190D26">
        <w:t xml:space="preserve">various </w:t>
      </w:r>
      <w:r>
        <w:t>regulatory requirements</w:t>
      </w:r>
      <w:r w:rsidR="00F954A9">
        <w:t xml:space="preserve"> in each subpart. The Appendix to this report provides detailed information on each regulatory requirement and the</w:t>
      </w:r>
      <w:r w:rsidR="00E0118A">
        <w:t xml:space="preserve"> data and</w:t>
      </w:r>
      <w:r w:rsidR="00F954A9">
        <w:t xml:space="preserve"> method for creating this estimate. </w:t>
      </w:r>
      <w:r w:rsidR="0051089F">
        <w:t>Table 4 summarizes the baseline costs for each responsible party.</w:t>
      </w:r>
      <w:bookmarkStart w:id="15" w:name="_Hlk108510965"/>
    </w:p>
    <w:p w:rsidR="0051089F" w:rsidP="0051089F" w14:paraId="0E08540F" w14:textId="77777777">
      <w:pPr>
        <w:pStyle w:val="ListParagraph"/>
        <w:ind w:left="0"/>
      </w:pPr>
    </w:p>
    <w:bookmarkEnd w:id="15"/>
    <w:p w:rsidR="00784F9F" w:rsidP="00CC1FD1" w14:paraId="32CB86FD" w14:textId="77777777">
      <w:pPr>
        <w:pStyle w:val="ListParagraph"/>
        <w:ind w:left="0"/>
        <w:rPr>
          <w:rFonts w:ascii="Arial" w:hAnsi="Arial" w:cs="Arial"/>
          <w:b/>
          <w:bCs/>
          <w:sz w:val="23"/>
          <w:szCs w:val="23"/>
        </w:rPr>
      </w:pPr>
    </w:p>
    <w:p w:rsidR="00930CEE" w:rsidP="00C37CE5" w14:paraId="7FC6A82D" w14:textId="6EB64951">
      <w:pPr>
        <w:pStyle w:val="Heading3"/>
      </w:pPr>
      <w:bookmarkStart w:id="16" w:name="_Toc113867030"/>
      <w:r>
        <w:t>T</w:t>
      </w:r>
      <w:r w:rsidRPr="00CF25F1">
        <w:t xml:space="preserve">able </w:t>
      </w:r>
      <w:r>
        <w:t>4</w:t>
      </w:r>
      <w:r w:rsidRPr="00CF25F1">
        <w:t xml:space="preserve">. </w:t>
      </w:r>
      <w:r w:rsidR="004F26DA">
        <w:t xml:space="preserve"> Estimated b</w:t>
      </w:r>
      <w:r w:rsidRPr="00CF25F1">
        <w:t xml:space="preserve">aseline </w:t>
      </w:r>
      <w:r>
        <w:t>costs by responsible party</w:t>
      </w:r>
      <w:bookmarkEnd w:id="16"/>
    </w:p>
    <w:tbl>
      <w:tblPr>
        <w:tblStyle w:val="TableGrid"/>
        <w:tblW w:w="9180" w:type="dxa"/>
        <w:tblLayout w:type="fixed"/>
        <w:tblLook w:val="04A0"/>
      </w:tblPr>
      <w:tblGrid>
        <w:gridCol w:w="2610"/>
        <w:gridCol w:w="1350"/>
        <w:gridCol w:w="1440"/>
        <w:gridCol w:w="1350"/>
        <w:gridCol w:w="990"/>
        <w:gridCol w:w="1440"/>
      </w:tblGrid>
      <w:tr w14:paraId="151A5E59" w14:textId="77777777" w:rsidTr="00FE2400">
        <w:tblPrEx>
          <w:tblW w:w="9180" w:type="dxa"/>
          <w:tblLayout w:type="fixed"/>
          <w:tblLook w:val="04A0"/>
        </w:tblPrEx>
        <w:trPr>
          <w:trHeight w:val="360"/>
        </w:trPr>
        <w:tc>
          <w:tcPr>
            <w:tcW w:w="2610" w:type="dxa"/>
            <w:vAlign w:val="center"/>
          </w:tcPr>
          <w:p w:rsidR="00930CEE" w:rsidRPr="00204D03" w:rsidP="00631247" w14:paraId="032EBF5C" w14:textId="77777777">
            <w:pPr>
              <w:pStyle w:val="ListParagraph"/>
              <w:ind w:left="0"/>
              <w:rPr>
                <w:b/>
                <w:bCs/>
              </w:rPr>
            </w:pPr>
            <w:r w:rsidRPr="00204D03">
              <w:rPr>
                <w:b/>
                <w:bCs/>
              </w:rPr>
              <w:t>Responsible party</w:t>
            </w:r>
          </w:p>
        </w:tc>
        <w:tc>
          <w:tcPr>
            <w:tcW w:w="1350" w:type="dxa"/>
            <w:vAlign w:val="center"/>
          </w:tcPr>
          <w:p w:rsidR="00930CEE" w:rsidRPr="00204D03" w:rsidP="00631247" w14:paraId="336FED63" w14:textId="77777777">
            <w:pPr>
              <w:pStyle w:val="ListParagraph"/>
              <w:ind w:left="0"/>
              <w:jc w:val="center"/>
              <w:rPr>
                <w:b/>
                <w:bCs/>
              </w:rPr>
            </w:pPr>
            <w:r w:rsidRPr="00204D03">
              <w:rPr>
                <w:b/>
                <w:bCs/>
              </w:rPr>
              <w:t>Number of responses</w:t>
            </w:r>
          </w:p>
        </w:tc>
        <w:tc>
          <w:tcPr>
            <w:tcW w:w="1440" w:type="dxa"/>
            <w:vAlign w:val="center"/>
          </w:tcPr>
          <w:p w:rsidR="00930CEE" w:rsidRPr="00204D03" w:rsidP="00631247" w14:paraId="67F2B4F3" w14:textId="77777777">
            <w:pPr>
              <w:pStyle w:val="ListParagraph"/>
              <w:ind w:left="0"/>
              <w:jc w:val="center"/>
              <w:rPr>
                <w:b/>
                <w:bCs/>
              </w:rPr>
            </w:pPr>
            <w:r w:rsidRPr="00204D03">
              <w:rPr>
                <w:b/>
                <w:bCs/>
              </w:rPr>
              <w:t>Time per response</w:t>
            </w:r>
          </w:p>
        </w:tc>
        <w:tc>
          <w:tcPr>
            <w:tcW w:w="1350" w:type="dxa"/>
            <w:vAlign w:val="center"/>
          </w:tcPr>
          <w:p w:rsidR="00930CEE" w:rsidRPr="00204D03" w:rsidP="00631247" w14:paraId="6514B1C8" w14:textId="77777777">
            <w:pPr>
              <w:pStyle w:val="ListParagraph"/>
              <w:ind w:left="0"/>
              <w:jc w:val="center"/>
              <w:rPr>
                <w:b/>
                <w:bCs/>
              </w:rPr>
            </w:pPr>
            <w:r w:rsidRPr="00204D03">
              <w:rPr>
                <w:b/>
                <w:bCs/>
              </w:rPr>
              <w:t>Annual Hours</w:t>
            </w:r>
          </w:p>
        </w:tc>
        <w:tc>
          <w:tcPr>
            <w:tcW w:w="990" w:type="dxa"/>
            <w:vAlign w:val="center"/>
          </w:tcPr>
          <w:p w:rsidR="00930CEE" w:rsidRPr="00204D03" w:rsidP="00631247" w14:paraId="65F527E3" w14:textId="77777777">
            <w:pPr>
              <w:pStyle w:val="ListParagraph"/>
              <w:ind w:left="0"/>
              <w:jc w:val="center"/>
              <w:rPr>
                <w:b/>
                <w:bCs/>
              </w:rPr>
            </w:pPr>
            <w:r w:rsidRPr="00204D03">
              <w:rPr>
                <w:b/>
                <w:bCs/>
              </w:rPr>
              <w:t>Hourly Rate</w:t>
            </w:r>
          </w:p>
        </w:tc>
        <w:tc>
          <w:tcPr>
            <w:tcW w:w="1440" w:type="dxa"/>
            <w:vAlign w:val="center"/>
          </w:tcPr>
          <w:p w:rsidR="00930CEE" w:rsidRPr="00204D03" w:rsidP="00631247" w14:paraId="09080E54" w14:textId="77777777">
            <w:pPr>
              <w:pStyle w:val="ListParagraph"/>
              <w:ind w:left="0"/>
              <w:jc w:val="center"/>
              <w:rPr>
                <w:b/>
                <w:bCs/>
              </w:rPr>
            </w:pPr>
            <w:r w:rsidRPr="00204D03">
              <w:rPr>
                <w:b/>
                <w:bCs/>
              </w:rPr>
              <w:t>Annual Costs</w:t>
            </w:r>
          </w:p>
        </w:tc>
      </w:tr>
      <w:tr w14:paraId="78F93356" w14:textId="77777777" w:rsidTr="00FE2400">
        <w:tblPrEx>
          <w:tblW w:w="9180" w:type="dxa"/>
          <w:tblLayout w:type="fixed"/>
          <w:tblLook w:val="04A0"/>
        </w:tblPrEx>
        <w:trPr>
          <w:trHeight w:val="360"/>
        </w:trPr>
        <w:tc>
          <w:tcPr>
            <w:tcW w:w="2610" w:type="dxa"/>
            <w:vAlign w:val="center"/>
          </w:tcPr>
          <w:p w:rsidR="00930CEE" w:rsidRPr="00204D03" w:rsidP="00631247" w14:paraId="2FA227CB" w14:textId="77777777">
            <w:pPr>
              <w:pStyle w:val="ListParagraph"/>
              <w:ind w:left="0"/>
            </w:pPr>
            <w:r w:rsidRPr="00204D03">
              <w:t>Any person</w:t>
            </w:r>
          </w:p>
        </w:tc>
        <w:tc>
          <w:tcPr>
            <w:tcW w:w="1350" w:type="dxa"/>
            <w:vAlign w:val="center"/>
          </w:tcPr>
          <w:p w:rsidR="00930CEE" w:rsidRPr="00204D03" w:rsidP="00631247" w14:paraId="7ADD57B5" w14:textId="77777777">
            <w:pPr>
              <w:pStyle w:val="ListParagraph"/>
              <w:ind w:left="0"/>
              <w:jc w:val="right"/>
            </w:pPr>
            <w:r w:rsidRPr="00204D03">
              <w:t>1</w:t>
            </w:r>
            <w:r>
              <w:t>7</w:t>
            </w:r>
          </w:p>
        </w:tc>
        <w:tc>
          <w:tcPr>
            <w:tcW w:w="1440" w:type="dxa"/>
            <w:vAlign w:val="center"/>
          </w:tcPr>
          <w:p w:rsidR="00930CEE" w:rsidRPr="00204D03" w:rsidP="00631247" w14:paraId="187AA71A" w14:textId="77777777">
            <w:pPr>
              <w:pStyle w:val="ListParagraph"/>
              <w:ind w:left="0"/>
              <w:jc w:val="right"/>
            </w:pPr>
            <w:r w:rsidRPr="00204D03">
              <w:t>0.50</w:t>
            </w:r>
            <w:r>
              <w:t>-1.25</w:t>
            </w:r>
          </w:p>
        </w:tc>
        <w:tc>
          <w:tcPr>
            <w:tcW w:w="1350" w:type="dxa"/>
            <w:vAlign w:val="center"/>
          </w:tcPr>
          <w:p w:rsidR="00930CEE" w:rsidRPr="00204D03" w:rsidP="00631247" w14:paraId="34695D19" w14:textId="77777777">
            <w:pPr>
              <w:pStyle w:val="ListParagraph"/>
              <w:ind w:left="0"/>
              <w:jc w:val="right"/>
            </w:pPr>
            <w:r>
              <w:t>10.00</w:t>
            </w:r>
          </w:p>
        </w:tc>
        <w:tc>
          <w:tcPr>
            <w:tcW w:w="990" w:type="dxa"/>
            <w:vAlign w:val="center"/>
          </w:tcPr>
          <w:p w:rsidR="00930CEE" w:rsidRPr="00204D03" w:rsidP="00631247" w14:paraId="49255AF4" w14:textId="77777777">
            <w:pPr>
              <w:pStyle w:val="ListParagraph"/>
              <w:ind w:left="0"/>
              <w:jc w:val="right"/>
            </w:pPr>
            <w:r w:rsidRPr="00204D03">
              <w:t>$40.90</w:t>
            </w:r>
          </w:p>
        </w:tc>
        <w:tc>
          <w:tcPr>
            <w:tcW w:w="1440" w:type="dxa"/>
            <w:vAlign w:val="center"/>
          </w:tcPr>
          <w:p w:rsidR="00930CEE" w:rsidRPr="00204D03" w:rsidP="00631247" w14:paraId="391F186F" w14:textId="77777777">
            <w:pPr>
              <w:pStyle w:val="ListParagraph"/>
              <w:ind w:left="0"/>
              <w:jc w:val="right"/>
            </w:pPr>
            <w:r w:rsidRPr="00204D03">
              <w:t>$</w:t>
            </w:r>
            <w:r>
              <w:t>4</w:t>
            </w:r>
            <w:r w:rsidRPr="00204D03">
              <w:t>0</w:t>
            </w:r>
            <w:r>
              <w:t>9</w:t>
            </w:r>
          </w:p>
        </w:tc>
      </w:tr>
      <w:tr w14:paraId="0B343F9B" w14:textId="77777777" w:rsidTr="00FE2400">
        <w:tblPrEx>
          <w:tblW w:w="9180" w:type="dxa"/>
          <w:tblLayout w:type="fixed"/>
          <w:tblLook w:val="04A0"/>
        </w:tblPrEx>
        <w:trPr>
          <w:trHeight w:val="360"/>
        </w:trPr>
        <w:tc>
          <w:tcPr>
            <w:tcW w:w="2610" w:type="dxa"/>
            <w:vAlign w:val="center"/>
          </w:tcPr>
          <w:p w:rsidR="00930CEE" w:rsidRPr="00204D03" w:rsidP="00631247" w14:paraId="0B33625B" w14:textId="77777777">
            <w:pPr>
              <w:pStyle w:val="ListParagraph"/>
              <w:ind w:left="0"/>
            </w:pPr>
            <w:r>
              <w:t>Lineal descendants</w:t>
            </w:r>
          </w:p>
        </w:tc>
        <w:tc>
          <w:tcPr>
            <w:tcW w:w="1350" w:type="dxa"/>
            <w:vAlign w:val="center"/>
          </w:tcPr>
          <w:p w:rsidR="00930CEE" w:rsidRPr="00204D03" w:rsidP="00631247" w14:paraId="4D50F721" w14:textId="77777777">
            <w:pPr>
              <w:pStyle w:val="ListParagraph"/>
              <w:ind w:left="0"/>
              <w:jc w:val="right"/>
            </w:pPr>
            <w:r>
              <w:t>6</w:t>
            </w:r>
          </w:p>
        </w:tc>
        <w:tc>
          <w:tcPr>
            <w:tcW w:w="1440" w:type="dxa"/>
            <w:vAlign w:val="center"/>
          </w:tcPr>
          <w:p w:rsidR="00930CEE" w:rsidRPr="00204D03" w:rsidP="00631247" w14:paraId="36257E10" w14:textId="77777777">
            <w:pPr>
              <w:pStyle w:val="ListParagraph"/>
              <w:ind w:left="0"/>
              <w:jc w:val="right"/>
            </w:pPr>
            <w:r>
              <w:t>1.25-5.25</w:t>
            </w:r>
          </w:p>
        </w:tc>
        <w:tc>
          <w:tcPr>
            <w:tcW w:w="1350" w:type="dxa"/>
            <w:vAlign w:val="center"/>
          </w:tcPr>
          <w:p w:rsidR="00930CEE" w:rsidRPr="00204D03" w:rsidP="00631247" w14:paraId="5761F3D1" w14:textId="77777777">
            <w:pPr>
              <w:pStyle w:val="ListParagraph"/>
              <w:ind w:left="0"/>
              <w:jc w:val="right"/>
            </w:pPr>
            <w:r>
              <w:t>19.50</w:t>
            </w:r>
          </w:p>
        </w:tc>
        <w:tc>
          <w:tcPr>
            <w:tcW w:w="990" w:type="dxa"/>
            <w:vAlign w:val="center"/>
          </w:tcPr>
          <w:p w:rsidR="00930CEE" w:rsidRPr="00204D03" w:rsidP="00631247" w14:paraId="63D3881E" w14:textId="77777777">
            <w:pPr>
              <w:pStyle w:val="ListParagraph"/>
              <w:ind w:left="0"/>
              <w:jc w:val="right"/>
            </w:pPr>
            <w:r>
              <w:t>$38.61</w:t>
            </w:r>
          </w:p>
        </w:tc>
        <w:tc>
          <w:tcPr>
            <w:tcW w:w="1440" w:type="dxa"/>
            <w:vAlign w:val="center"/>
          </w:tcPr>
          <w:p w:rsidR="00930CEE" w:rsidRPr="00204D03" w:rsidP="00631247" w14:paraId="4519D604" w14:textId="77777777">
            <w:pPr>
              <w:pStyle w:val="ListParagraph"/>
              <w:ind w:left="0"/>
              <w:jc w:val="right"/>
            </w:pPr>
            <w:r>
              <w:t>$753</w:t>
            </w:r>
          </w:p>
        </w:tc>
      </w:tr>
      <w:tr w14:paraId="662D35A6" w14:textId="77777777" w:rsidTr="00FE2400">
        <w:tblPrEx>
          <w:tblW w:w="9180" w:type="dxa"/>
          <w:tblLayout w:type="fixed"/>
          <w:tblLook w:val="04A0"/>
        </w:tblPrEx>
        <w:trPr>
          <w:trHeight w:val="360"/>
        </w:trPr>
        <w:tc>
          <w:tcPr>
            <w:tcW w:w="2610" w:type="dxa"/>
            <w:vAlign w:val="center"/>
          </w:tcPr>
          <w:p w:rsidR="00930CEE" w:rsidRPr="00204D03" w:rsidP="00631247" w14:paraId="6E78E337" w14:textId="77777777">
            <w:pPr>
              <w:pStyle w:val="ListParagraph"/>
              <w:ind w:left="0"/>
            </w:pPr>
            <w:r w:rsidRPr="00204D03">
              <w:t xml:space="preserve">Any </w:t>
            </w:r>
            <w:r>
              <w:t>affected party</w:t>
            </w:r>
          </w:p>
        </w:tc>
        <w:tc>
          <w:tcPr>
            <w:tcW w:w="1350" w:type="dxa"/>
            <w:vAlign w:val="center"/>
          </w:tcPr>
          <w:p w:rsidR="00930CEE" w:rsidRPr="00204D03" w:rsidP="00631247" w14:paraId="2EB1A0E1" w14:textId="77777777">
            <w:pPr>
              <w:pStyle w:val="ListParagraph"/>
              <w:ind w:left="0"/>
              <w:jc w:val="right"/>
            </w:pPr>
            <w:r>
              <w:t>3</w:t>
            </w:r>
          </w:p>
        </w:tc>
        <w:tc>
          <w:tcPr>
            <w:tcW w:w="1440" w:type="dxa"/>
            <w:vAlign w:val="center"/>
          </w:tcPr>
          <w:p w:rsidR="00930CEE" w:rsidRPr="00204D03" w:rsidP="00631247" w14:paraId="6F75A0CA" w14:textId="77777777">
            <w:pPr>
              <w:pStyle w:val="ListParagraph"/>
              <w:ind w:left="0"/>
              <w:jc w:val="right"/>
            </w:pPr>
            <w:r>
              <w:t>25.25</w:t>
            </w:r>
          </w:p>
        </w:tc>
        <w:tc>
          <w:tcPr>
            <w:tcW w:w="1350" w:type="dxa"/>
            <w:vAlign w:val="center"/>
          </w:tcPr>
          <w:p w:rsidR="00930CEE" w:rsidRPr="00204D03" w:rsidP="00631247" w14:paraId="0EA66969" w14:textId="77777777">
            <w:pPr>
              <w:pStyle w:val="ListParagraph"/>
              <w:ind w:left="0"/>
              <w:jc w:val="right"/>
            </w:pPr>
            <w:r>
              <w:t>75.75</w:t>
            </w:r>
          </w:p>
        </w:tc>
        <w:tc>
          <w:tcPr>
            <w:tcW w:w="990" w:type="dxa"/>
            <w:vAlign w:val="center"/>
          </w:tcPr>
          <w:p w:rsidR="00930CEE" w:rsidRPr="00204D03" w:rsidP="00631247" w14:paraId="212696B8" w14:textId="77777777">
            <w:pPr>
              <w:pStyle w:val="ListParagraph"/>
              <w:ind w:left="0"/>
              <w:jc w:val="right"/>
            </w:pPr>
            <w:r w:rsidRPr="00204D03">
              <w:t>$</w:t>
            </w:r>
            <w:r>
              <w:t>64.26</w:t>
            </w:r>
          </w:p>
        </w:tc>
        <w:tc>
          <w:tcPr>
            <w:tcW w:w="1440" w:type="dxa"/>
            <w:vAlign w:val="center"/>
          </w:tcPr>
          <w:p w:rsidR="00930CEE" w:rsidRPr="00204D03" w:rsidP="00631247" w14:paraId="6070E5D0" w14:textId="77777777">
            <w:pPr>
              <w:pStyle w:val="ListParagraph"/>
              <w:ind w:left="0"/>
              <w:jc w:val="right"/>
            </w:pPr>
            <w:r>
              <w:t>$4,868</w:t>
            </w:r>
          </w:p>
        </w:tc>
      </w:tr>
      <w:tr w14:paraId="79F382FD" w14:textId="77777777" w:rsidTr="00FE2400">
        <w:tblPrEx>
          <w:tblW w:w="9180" w:type="dxa"/>
          <w:tblLayout w:type="fixed"/>
          <w:tblLook w:val="04A0"/>
        </w:tblPrEx>
        <w:trPr>
          <w:trHeight w:val="360"/>
        </w:trPr>
        <w:tc>
          <w:tcPr>
            <w:tcW w:w="2610" w:type="dxa"/>
            <w:vAlign w:val="center"/>
          </w:tcPr>
          <w:p w:rsidR="00930CEE" w:rsidRPr="00204D03" w:rsidP="00631247" w14:paraId="6F702061" w14:textId="77777777">
            <w:pPr>
              <w:pStyle w:val="ListParagraph"/>
              <w:ind w:left="0"/>
            </w:pPr>
            <w:r w:rsidRPr="00204D03">
              <w:t>Indian Tribes/NHOs</w:t>
            </w:r>
          </w:p>
        </w:tc>
        <w:tc>
          <w:tcPr>
            <w:tcW w:w="1350" w:type="dxa"/>
            <w:vAlign w:val="center"/>
          </w:tcPr>
          <w:p w:rsidR="00930CEE" w:rsidRPr="00204D03" w:rsidP="00631247" w14:paraId="3B972BD7" w14:textId="77777777">
            <w:pPr>
              <w:pStyle w:val="ListParagraph"/>
              <w:ind w:left="0"/>
              <w:jc w:val="right"/>
            </w:pPr>
            <w:r>
              <w:t>391</w:t>
            </w:r>
          </w:p>
        </w:tc>
        <w:tc>
          <w:tcPr>
            <w:tcW w:w="1440" w:type="dxa"/>
            <w:vAlign w:val="center"/>
          </w:tcPr>
          <w:p w:rsidR="00930CEE" w:rsidRPr="00204D03" w:rsidP="00631247" w14:paraId="3179A1A9" w14:textId="77777777">
            <w:pPr>
              <w:pStyle w:val="ListParagraph"/>
              <w:ind w:left="0"/>
              <w:jc w:val="right"/>
            </w:pPr>
            <w:r>
              <w:t>1.25-55.00</w:t>
            </w:r>
          </w:p>
        </w:tc>
        <w:tc>
          <w:tcPr>
            <w:tcW w:w="1350" w:type="dxa"/>
            <w:vAlign w:val="center"/>
          </w:tcPr>
          <w:p w:rsidR="00930CEE" w:rsidRPr="00204D03" w:rsidP="00631247" w14:paraId="223B9FF8" w14:textId="77777777">
            <w:pPr>
              <w:pStyle w:val="ListParagraph"/>
              <w:ind w:left="0"/>
              <w:jc w:val="right"/>
            </w:pPr>
            <w:r>
              <w:t>1,491.25</w:t>
            </w:r>
          </w:p>
        </w:tc>
        <w:tc>
          <w:tcPr>
            <w:tcW w:w="990" w:type="dxa"/>
            <w:vAlign w:val="center"/>
          </w:tcPr>
          <w:p w:rsidR="00930CEE" w:rsidRPr="00204D03" w:rsidP="00631247" w14:paraId="6474C32F" w14:textId="77777777">
            <w:pPr>
              <w:pStyle w:val="ListParagraph"/>
              <w:ind w:left="0"/>
              <w:jc w:val="right"/>
            </w:pPr>
            <w:r w:rsidRPr="00204D03">
              <w:t>$64.26</w:t>
            </w:r>
          </w:p>
        </w:tc>
        <w:tc>
          <w:tcPr>
            <w:tcW w:w="1440" w:type="dxa"/>
            <w:vAlign w:val="center"/>
          </w:tcPr>
          <w:p w:rsidR="00930CEE" w:rsidRPr="00204D03" w:rsidP="00631247" w14:paraId="6E70D6F6" w14:textId="77777777">
            <w:pPr>
              <w:pStyle w:val="ListParagraph"/>
              <w:ind w:left="0"/>
              <w:jc w:val="right"/>
            </w:pPr>
            <w:r>
              <w:t>$95,827</w:t>
            </w:r>
          </w:p>
        </w:tc>
      </w:tr>
      <w:tr w14:paraId="4A5372AA" w14:textId="77777777" w:rsidTr="00FE2400">
        <w:tblPrEx>
          <w:tblW w:w="9180" w:type="dxa"/>
          <w:tblLayout w:type="fixed"/>
          <w:tblLook w:val="04A0"/>
        </w:tblPrEx>
        <w:trPr>
          <w:trHeight w:val="360"/>
        </w:trPr>
        <w:tc>
          <w:tcPr>
            <w:tcW w:w="2610" w:type="dxa"/>
            <w:vAlign w:val="center"/>
          </w:tcPr>
          <w:p w:rsidR="00930CEE" w:rsidRPr="00204D03" w:rsidP="00631247" w14:paraId="0DF52C35" w14:textId="77777777">
            <w:pPr>
              <w:pStyle w:val="ListParagraph"/>
              <w:ind w:left="0"/>
            </w:pPr>
            <w:r w:rsidRPr="00204D03">
              <w:t>Federal agencies</w:t>
            </w:r>
          </w:p>
        </w:tc>
        <w:tc>
          <w:tcPr>
            <w:tcW w:w="1350" w:type="dxa"/>
            <w:vAlign w:val="center"/>
          </w:tcPr>
          <w:p w:rsidR="00930CEE" w:rsidRPr="00204D03" w:rsidP="00631247" w14:paraId="11ADB051" w14:textId="1A4E2215">
            <w:pPr>
              <w:pStyle w:val="ListParagraph"/>
              <w:ind w:left="0"/>
              <w:jc w:val="right"/>
            </w:pPr>
            <w:r>
              <w:t>13</w:t>
            </w:r>
            <w:r w:rsidR="007F411E">
              <w:t>6</w:t>
            </w:r>
          </w:p>
        </w:tc>
        <w:tc>
          <w:tcPr>
            <w:tcW w:w="1440" w:type="dxa"/>
            <w:vAlign w:val="center"/>
          </w:tcPr>
          <w:p w:rsidR="00930CEE" w:rsidRPr="00204D03" w:rsidP="00631247" w14:paraId="4F51DCB4" w14:textId="77777777">
            <w:pPr>
              <w:pStyle w:val="ListParagraph"/>
              <w:ind w:left="0"/>
              <w:jc w:val="right"/>
            </w:pPr>
            <w:r>
              <w:t>2</w:t>
            </w:r>
            <w:r w:rsidRPr="00204D03">
              <w:t>.</w:t>
            </w:r>
            <w:r>
              <w:t>7</w:t>
            </w:r>
            <w:r w:rsidRPr="00204D03">
              <w:t>5-</w:t>
            </w:r>
            <w:r>
              <w:t>155.00</w:t>
            </w:r>
          </w:p>
        </w:tc>
        <w:tc>
          <w:tcPr>
            <w:tcW w:w="1350" w:type="dxa"/>
            <w:vAlign w:val="center"/>
          </w:tcPr>
          <w:p w:rsidR="00930CEE" w:rsidRPr="00204D03" w:rsidP="00631247" w14:paraId="128CD7F6" w14:textId="245B8CBD">
            <w:pPr>
              <w:pStyle w:val="ListParagraph"/>
              <w:ind w:left="0"/>
              <w:jc w:val="right"/>
            </w:pPr>
            <w:r>
              <w:t>3,126.50</w:t>
            </w:r>
          </w:p>
        </w:tc>
        <w:tc>
          <w:tcPr>
            <w:tcW w:w="990" w:type="dxa"/>
            <w:vAlign w:val="center"/>
          </w:tcPr>
          <w:p w:rsidR="00930CEE" w:rsidRPr="00204D03" w:rsidP="00631247" w14:paraId="4045A16E" w14:textId="77777777">
            <w:pPr>
              <w:pStyle w:val="ListParagraph"/>
              <w:ind w:left="0"/>
              <w:jc w:val="right"/>
            </w:pPr>
            <w:r w:rsidRPr="00204D03">
              <w:t>$64.26</w:t>
            </w:r>
          </w:p>
        </w:tc>
        <w:tc>
          <w:tcPr>
            <w:tcW w:w="1440" w:type="dxa"/>
            <w:vAlign w:val="center"/>
          </w:tcPr>
          <w:p w:rsidR="00930CEE" w:rsidRPr="00204D03" w:rsidP="00631247" w14:paraId="4A4EC11E" w14:textId="2699986C">
            <w:pPr>
              <w:pStyle w:val="ListParagraph"/>
              <w:ind w:left="0"/>
              <w:jc w:val="right"/>
            </w:pPr>
            <w:r>
              <w:t>$200,910</w:t>
            </w:r>
          </w:p>
        </w:tc>
      </w:tr>
      <w:tr w14:paraId="521B7710" w14:textId="77777777" w:rsidTr="00FE2400">
        <w:tblPrEx>
          <w:tblW w:w="9180" w:type="dxa"/>
          <w:tblLayout w:type="fixed"/>
          <w:tblLook w:val="04A0"/>
        </w:tblPrEx>
        <w:trPr>
          <w:trHeight w:val="360"/>
        </w:trPr>
        <w:tc>
          <w:tcPr>
            <w:tcW w:w="2610" w:type="dxa"/>
            <w:vAlign w:val="center"/>
          </w:tcPr>
          <w:p w:rsidR="00930CEE" w:rsidRPr="00204D03" w:rsidP="00631247" w14:paraId="7E62CAA2" w14:textId="77777777">
            <w:pPr>
              <w:pStyle w:val="ListParagraph"/>
              <w:ind w:left="0"/>
            </w:pPr>
            <w:r>
              <w:t>Museums</w:t>
            </w:r>
          </w:p>
        </w:tc>
        <w:tc>
          <w:tcPr>
            <w:tcW w:w="1350" w:type="dxa"/>
            <w:vAlign w:val="center"/>
          </w:tcPr>
          <w:p w:rsidR="00930CEE" w:rsidRPr="00204D03" w:rsidP="00631247" w14:paraId="2F0491C1" w14:textId="77777777">
            <w:pPr>
              <w:pStyle w:val="ListParagraph"/>
              <w:ind w:left="0"/>
              <w:jc w:val="right"/>
            </w:pPr>
            <w:r>
              <w:t>745</w:t>
            </w:r>
          </w:p>
        </w:tc>
        <w:tc>
          <w:tcPr>
            <w:tcW w:w="1440" w:type="dxa"/>
            <w:vAlign w:val="center"/>
          </w:tcPr>
          <w:p w:rsidR="00930CEE" w:rsidRPr="00204D03" w:rsidP="00631247" w14:paraId="5D5857FA" w14:textId="77777777">
            <w:pPr>
              <w:pStyle w:val="ListParagraph"/>
              <w:ind w:left="0"/>
              <w:jc w:val="right"/>
            </w:pPr>
            <w:r>
              <w:t>2.75-155.00</w:t>
            </w:r>
          </w:p>
        </w:tc>
        <w:tc>
          <w:tcPr>
            <w:tcW w:w="1350" w:type="dxa"/>
            <w:vAlign w:val="center"/>
          </w:tcPr>
          <w:p w:rsidR="00930CEE" w:rsidRPr="00204D03" w:rsidP="00631247" w14:paraId="2133FADF" w14:textId="77777777">
            <w:pPr>
              <w:pStyle w:val="ListParagraph"/>
              <w:ind w:left="0"/>
              <w:jc w:val="right"/>
            </w:pPr>
            <w:r>
              <w:t>33,228.50</w:t>
            </w:r>
          </w:p>
        </w:tc>
        <w:tc>
          <w:tcPr>
            <w:tcW w:w="990" w:type="dxa"/>
            <w:vAlign w:val="center"/>
          </w:tcPr>
          <w:p w:rsidR="00930CEE" w:rsidRPr="00204D03" w:rsidP="00631247" w14:paraId="622C09D0" w14:textId="77777777">
            <w:pPr>
              <w:pStyle w:val="ListParagraph"/>
              <w:ind w:left="0"/>
              <w:jc w:val="right"/>
            </w:pPr>
            <w:r>
              <w:t>$64.26</w:t>
            </w:r>
          </w:p>
        </w:tc>
        <w:tc>
          <w:tcPr>
            <w:tcW w:w="1440" w:type="dxa"/>
            <w:vAlign w:val="center"/>
          </w:tcPr>
          <w:p w:rsidR="00930CEE" w:rsidRPr="00204D03" w:rsidP="00631247" w14:paraId="4E81515F" w14:textId="77777777">
            <w:pPr>
              <w:pStyle w:val="ListParagraph"/>
              <w:ind w:left="0"/>
              <w:jc w:val="right"/>
            </w:pPr>
            <w:r>
              <w:t>$2,135,265</w:t>
            </w:r>
          </w:p>
        </w:tc>
      </w:tr>
      <w:tr w14:paraId="093420A7" w14:textId="77777777" w:rsidTr="00FE2400">
        <w:tblPrEx>
          <w:tblW w:w="9180" w:type="dxa"/>
          <w:tblLayout w:type="fixed"/>
          <w:tblLook w:val="04A0"/>
        </w:tblPrEx>
        <w:trPr>
          <w:trHeight w:val="360"/>
        </w:trPr>
        <w:tc>
          <w:tcPr>
            <w:tcW w:w="2610" w:type="dxa"/>
            <w:vAlign w:val="center"/>
          </w:tcPr>
          <w:p w:rsidR="00930CEE" w:rsidRPr="00075C32" w:rsidP="00993DFA" w14:paraId="02B37A95" w14:textId="77777777">
            <w:pPr>
              <w:pStyle w:val="ListParagraph"/>
              <w:ind w:left="0"/>
              <w:jc w:val="right"/>
              <w:rPr>
                <w:b/>
                <w:bCs/>
              </w:rPr>
            </w:pPr>
            <w:r w:rsidRPr="00075C32">
              <w:rPr>
                <w:b/>
                <w:bCs/>
              </w:rPr>
              <w:t>Total</w:t>
            </w:r>
          </w:p>
        </w:tc>
        <w:tc>
          <w:tcPr>
            <w:tcW w:w="1350" w:type="dxa"/>
            <w:vAlign w:val="center"/>
          </w:tcPr>
          <w:p w:rsidR="00930CEE" w:rsidRPr="00075C32" w:rsidP="00631247" w14:paraId="3A724A78" w14:textId="67DE0E9A">
            <w:pPr>
              <w:pStyle w:val="ListParagraph"/>
              <w:ind w:left="0"/>
              <w:jc w:val="right"/>
              <w:rPr>
                <w:b/>
                <w:bCs/>
              </w:rPr>
            </w:pPr>
            <w:r w:rsidRPr="00075C32">
              <w:rPr>
                <w:b/>
                <w:bCs/>
              </w:rPr>
              <w:t>1,</w:t>
            </w:r>
            <w:r w:rsidR="008B4E9A">
              <w:rPr>
                <w:b/>
                <w:bCs/>
              </w:rPr>
              <w:t>298</w:t>
            </w:r>
          </w:p>
        </w:tc>
        <w:tc>
          <w:tcPr>
            <w:tcW w:w="1440" w:type="dxa"/>
            <w:vAlign w:val="center"/>
          </w:tcPr>
          <w:p w:rsidR="00930CEE" w:rsidRPr="00075C32" w:rsidP="00631247" w14:paraId="4D9FBB1B" w14:textId="77777777">
            <w:pPr>
              <w:pStyle w:val="ListParagraph"/>
              <w:ind w:left="0"/>
              <w:jc w:val="right"/>
              <w:rPr>
                <w:b/>
                <w:bCs/>
              </w:rPr>
            </w:pPr>
          </w:p>
        </w:tc>
        <w:tc>
          <w:tcPr>
            <w:tcW w:w="1350" w:type="dxa"/>
            <w:vAlign w:val="center"/>
          </w:tcPr>
          <w:p w:rsidR="00930CEE" w:rsidRPr="00075C32" w:rsidP="00631247" w14:paraId="03D9DFAB" w14:textId="08AAF410">
            <w:pPr>
              <w:pStyle w:val="ListParagraph"/>
              <w:ind w:left="0"/>
              <w:jc w:val="right"/>
              <w:rPr>
                <w:b/>
                <w:bCs/>
              </w:rPr>
            </w:pPr>
            <w:r>
              <w:rPr>
                <w:b/>
                <w:bCs/>
              </w:rPr>
              <w:t>37,951.50</w:t>
            </w:r>
          </w:p>
        </w:tc>
        <w:tc>
          <w:tcPr>
            <w:tcW w:w="990" w:type="dxa"/>
            <w:vAlign w:val="center"/>
          </w:tcPr>
          <w:p w:rsidR="00930CEE" w:rsidRPr="00075C32" w:rsidP="00631247" w14:paraId="586642F7" w14:textId="77777777">
            <w:pPr>
              <w:pStyle w:val="ListParagraph"/>
              <w:ind w:left="0"/>
              <w:jc w:val="right"/>
              <w:rPr>
                <w:b/>
                <w:bCs/>
              </w:rPr>
            </w:pPr>
          </w:p>
        </w:tc>
        <w:tc>
          <w:tcPr>
            <w:tcW w:w="1440" w:type="dxa"/>
            <w:vAlign w:val="center"/>
          </w:tcPr>
          <w:p w:rsidR="00930CEE" w:rsidRPr="00075C32" w:rsidP="00631247" w14:paraId="6623DF23" w14:textId="03D6A21B">
            <w:pPr>
              <w:pStyle w:val="ListParagraph"/>
              <w:ind w:left="0"/>
              <w:jc w:val="right"/>
              <w:rPr>
                <w:b/>
                <w:bCs/>
              </w:rPr>
            </w:pPr>
            <w:r>
              <w:rPr>
                <w:b/>
                <w:bCs/>
              </w:rPr>
              <w:t>$2,438,032</w:t>
            </w:r>
          </w:p>
        </w:tc>
      </w:tr>
    </w:tbl>
    <w:p w:rsidR="004548A3" w:rsidRPr="00FB23E3" w:rsidP="00D41A12" w14:paraId="020E78F6" w14:textId="4ADA3E9D">
      <w:pPr>
        <w:rPr>
          <w:sz w:val="20"/>
          <w:szCs w:val="20"/>
        </w:rPr>
      </w:pPr>
      <w:r w:rsidRPr="00FB23E3">
        <w:rPr>
          <w:sz w:val="20"/>
          <w:szCs w:val="20"/>
        </w:rPr>
        <w:t>Please see the Appendix for a detailed accounting of estimated baseline costs by regulatory requirement.</w:t>
      </w:r>
    </w:p>
    <w:p w:rsidR="004548A3" w:rsidP="00D41A12" w14:paraId="2A1CA9AA" w14:textId="77777777"/>
    <w:p w:rsidR="00D41A12" w:rsidP="00D41A12" w14:paraId="73A16A6D" w14:textId="77777777"/>
    <w:p w:rsidR="00C45C1C" w:rsidRPr="00DB4114" w:rsidP="00FE2400" w14:paraId="73E0DB27" w14:textId="05C86398">
      <w:pPr>
        <w:pStyle w:val="Heading2"/>
      </w:pPr>
      <w:bookmarkStart w:id="17" w:name="_Toc113866998"/>
      <w:r w:rsidRPr="00DB4114">
        <w:t>Other</w:t>
      </w:r>
      <w:r w:rsidRPr="00DB4114" w:rsidR="00C66E72">
        <w:t xml:space="preserve"> Baseline</w:t>
      </w:r>
      <w:r w:rsidRPr="00DB4114">
        <w:t xml:space="preserve"> Estimates Considered</w:t>
      </w:r>
      <w:bookmarkEnd w:id="17"/>
      <w:r w:rsidRPr="00DB4114">
        <w:t xml:space="preserve"> </w:t>
      </w:r>
    </w:p>
    <w:p w:rsidR="00FE2400" w:rsidP="00C45C1C" w14:paraId="6EC6C6EE" w14:textId="77777777">
      <w:pPr>
        <w:contextualSpacing/>
      </w:pPr>
    </w:p>
    <w:p w:rsidR="00C45C1C" w:rsidP="00C45C1C" w14:paraId="134A71AC" w14:textId="226744CA">
      <w:pPr>
        <w:contextualSpacing/>
      </w:pPr>
      <w:r>
        <w:t>In 2022, NPS received and considered multiple estimates from non-governmental entities regarding the costs associated with the existing regulations.</w:t>
      </w:r>
    </w:p>
    <w:p w:rsidR="00C45C1C" w:rsidP="00C45C1C" w14:paraId="29F79892" w14:textId="77777777">
      <w:pPr>
        <w:contextualSpacing/>
      </w:pPr>
    </w:p>
    <w:p w:rsidR="00C45C1C" w:rsidP="00C45C1C" w14:paraId="1AA4DEA6" w14:textId="74EC7438">
      <w:pPr>
        <w:contextualSpacing/>
      </w:pPr>
      <w:r>
        <w:t>The Society for American Archaeology (SAA) estimated annual cost</w:t>
      </w:r>
      <w:r w:rsidR="00D64062">
        <w:t>s</w:t>
      </w:r>
      <w:r>
        <w:t xml:space="preserve"> of $250 million over the next 10 years for repatriation of human remains and funerary objects. This estimate is based on the current </w:t>
      </w:r>
      <w:r w:rsidR="00A13595">
        <w:t xml:space="preserve">museum </w:t>
      </w:r>
      <w:r>
        <w:t>completion rate of 21%, the amount of funding awarded through grants ($50 million</w:t>
      </w:r>
      <w:r w:rsidR="00A13595">
        <w:t xml:space="preserve"> since 1994</w:t>
      </w:r>
      <w:r>
        <w:t>), and a multiplying factor of 10, representing additional funds provided by museums, Federal agencies, and Indian Tribes outside of grant funds.</w:t>
      </w:r>
      <w:r>
        <w:rPr>
          <w:rStyle w:val="FootnoteReference"/>
        </w:rPr>
        <w:footnoteReference w:id="8"/>
      </w:r>
      <w:r>
        <w:t xml:space="preserve"> </w:t>
      </w:r>
    </w:p>
    <w:p w:rsidR="00C45C1C" w:rsidP="00C45C1C" w14:paraId="41FE5654" w14:textId="77777777">
      <w:pPr>
        <w:contextualSpacing/>
      </w:pPr>
    </w:p>
    <w:p w:rsidR="00C45C1C" w:rsidP="00C45C1C" w14:paraId="5542AE0E" w14:textId="0A57D131">
      <w:pPr>
        <w:contextualSpacing/>
        <w:rPr>
          <w:bCs/>
          <w:iCs/>
        </w:rPr>
      </w:pPr>
      <w:r>
        <w:rPr>
          <w:bCs/>
          <w:iCs/>
        </w:rPr>
        <w:t>One museum estimated annual cost</w:t>
      </w:r>
      <w:r w:rsidR="00D64062">
        <w:rPr>
          <w:bCs/>
          <w:iCs/>
        </w:rPr>
        <w:t>s</w:t>
      </w:r>
      <w:r>
        <w:rPr>
          <w:bCs/>
          <w:iCs/>
        </w:rPr>
        <w:t xml:space="preserve"> of more than $117 million over the next 10 years for repatriation of human remains and funerary objects. This estimate is based on the costs incurred by the museum over the past 20 years to repatriate 3,490 items multiplied by the number of human remains and</w:t>
      </w:r>
      <w:r w:rsidR="0063242A">
        <w:rPr>
          <w:bCs/>
          <w:iCs/>
        </w:rPr>
        <w:t xml:space="preserve"> associated</w:t>
      </w:r>
      <w:r>
        <w:rPr>
          <w:bCs/>
          <w:iCs/>
        </w:rPr>
        <w:t xml:space="preserve"> funerary objects currently pending repatriation.</w:t>
      </w:r>
      <w:r>
        <w:rPr>
          <w:rStyle w:val="FootnoteReference"/>
          <w:bCs/>
          <w:iCs/>
        </w:rPr>
        <w:footnoteReference w:id="9"/>
      </w:r>
    </w:p>
    <w:p w:rsidR="00C45C1C" w:rsidP="00C45C1C" w14:paraId="7A1C2B3F" w14:textId="77777777">
      <w:pPr>
        <w:contextualSpacing/>
        <w:rPr>
          <w:bCs/>
          <w:iCs/>
        </w:rPr>
      </w:pPr>
    </w:p>
    <w:p w:rsidR="00C45C1C" w:rsidP="00C45C1C" w14:paraId="25B3F9C3" w14:textId="50D98F97">
      <w:pPr>
        <w:contextualSpacing/>
        <w:rPr>
          <w:bCs/>
          <w:iCs/>
        </w:rPr>
      </w:pPr>
      <w:r>
        <w:rPr>
          <w:bCs/>
          <w:iCs/>
        </w:rPr>
        <w:t>O</w:t>
      </w:r>
      <w:r w:rsidRPr="00D655DA">
        <w:rPr>
          <w:bCs/>
          <w:iCs/>
        </w:rPr>
        <w:t>ne comment</w:t>
      </w:r>
      <w:r>
        <w:rPr>
          <w:bCs/>
          <w:iCs/>
        </w:rPr>
        <w:t xml:space="preserve"> from an individual estimated annual cost</w:t>
      </w:r>
      <w:r w:rsidR="00D64062">
        <w:rPr>
          <w:bCs/>
          <w:iCs/>
        </w:rPr>
        <w:t>s</w:t>
      </w:r>
      <w:r>
        <w:rPr>
          <w:bCs/>
          <w:iCs/>
        </w:rPr>
        <w:t xml:space="preserve"> of</w:t>
      </w:r>
      <w:r w:rsidRPr="00D655DA">
        <w:rPr>
          <w:bCs/>
          <w:iCs/>
        </w:rPr>
        <w:t xml:space="preserve"> nearly $20 million</w:t>
      </w:r>
      <w:r>
        <w:rPr>
          <w:bCs/>
          <w:iCs/>
        </w:rPr>
        <w:t xml:space="preserve"> over 30 months for repatriation of human remains and funerary objects</w:t>
      </w:r>
      <w:r w:rsidRPr="00D655DA">
        <w:rPr>
          <w:bCs/>
          <w:iCs/>
        </w:rPr>
        <w:t xml:space="preserve">. </w:t>
      </w:r>
      <w:r>
        <w:rPr>
          <w:bCs/>
          <w:iCs/>
        </w:rPr>
        <w:t>This estimate is based on a detailed analysis of grants awarded to museums since 2011 and the resulting number of notices published by those museums. The estimate then applies an average cost per notice to the number of human remains pending notification un</w:t>
      </w:r>
      <w:r w:rsidR="00556C84">
        <w:rPr>
          <w:bCs/>
          <w:iCs/>
        </w:rPr>
        <w:t>d</w:t>
      </w:r>
      <w:r>
        <w:rPr>
          <w:bCs/>
          <w:iCs/>
        </w:rPr>
        <w:t xml:space="preserve">er the existing regulations. The shorter timeframe in this estimate (30 months) is based on changes </w:t>
      </w:r>
      <w:r w:rsidR="00766B71">
        <w:rPr>
          <w:bCs/>
          <w:iCs/>
        </w:rPr>
        <w:t xml:space="preserve">in the proposed regulatory action </w:t>
      </w:r>
      <w:r>
        <w:rPr>
          <w:bCs/>
          <w:iCs/>
        </w:rPr>
        <w:t xml:space="preserve">requiring notice publication within two years and six months </w:t>
      </w:r>
      <w:r w:rsidR="001E29E8">
        <w:t>after promulgation of a final rule</w:t>
      </w:r>
      <w:r>
        <w:rPr>
          <w:bCs/>
          <w:iCs/>
        </w:rPr>
        <w:t>.</w:t>
      </w:r>
      <w:r>
        <w:rPr>
          <w:rStyle w:val="FootnoteReference"/>
          <w:bCs/>
          <w:iCs/>
        </w:rPr>
        <w:footnoteReference w:id="10"/>
      </w:r>
    </w:p>
    <w:p w:rsidR="00C45C1C" w:rsidP="00C45C1C" w14:paraId="04817AA5" w14:textId="77777777">
      <w:pPr>
        <w:contextualSpacing/>
        <w:rPr>
          <w:bCs/>
          <w:iCs/>
        </w:rPr>
      </w:pPr>
    </w:p>
    <w:p w:rsidR="00C45C1C" w:rsidRPr="00DB016D" w:rsidP="00C45C1C" w14:paraId="764AC662" w14:textId="155F918B">
      <w:pPr>
        <w:contextualSpacing/>
      </w:pPr>
      <w:r>
        <w:t xml:space="preserve">Each of these estimates uses a different method to estimate costs </w:t>
      </w:r>
      <w:r w:rsidR="00CC7E28">
        <w:t>for repatriation of human remains and associated funerary objects</w:t>
      </w:r>
      <w:r>
        <w:t xml:space="preserve">, but NPS does not feel they accurately estimate the costs of compliance with </w:t>
      </w:r>
      <w:r w:rsidR="00CC7E28">
        <w:t xml:space="preserve">either </w:t>
      </w:r>
      <w:r>
        <w:t>the existing regulations</w:t>
      </w:r>
      <w:r w:rsidR="00CC7E28">
        <w:t xml:space="preserve"> or the proposed regulatory action</w:t>
      </w:r>
      <w:r>
        <w:t>. In the SAA estimate, NPS questions that there is a correlation between the number of museums who have completed the regulatory process and the grant funds awarded</w:t>
      </w:r>
      <w:r w:rsidR="007C12D3">
        <w:t>, as well as the multiplying factor</w:t>
      </w:r>
      <w:r>
        <w:t>.</w:t>
      </w:r>
      <w:r w:rsidR="007C12D3">
        <w:t xml:space="preserve"> </w:t>
      </w:r>
      <w:r>
        <w:t>In the museum estimate, NPS questions adding the number of human remains and funerary objects together to arrive at the estimate. Under the existing regulations</w:t>
      </w:r>
      <w:r w:rsidR="007C12D3">
        <w:t xml:space="preserve"> and the proposed regulatory action</w:t>
      </w:r>
      <w:r>
        <w:t xml:space="preserve">, each individual set of human remains and each associated funerary objects does not incur a unique cost and adding these numbers together inflates the overall estimate dramatically. In the individual estimate, NPS questions the assumption that each grant to a museum directly results in a notice. Many grants awarded to museums fund consultation meetings or other projects that ultimately result in repatriation but may not be directly connected to a notice published by the museum. Similarly, </w:t>
      </w:r>
      <w:r w:rsidRPr="00F140FD" w:rsidR="00F140FD">
        <w:t>one notice might be published for thousands of human remains or one single human remain, so notice publication is not a good indicator of the overall costs of repatriation</w:t>
      </w:r>
      <w:r>
        <w:t xml:space="preserve">. </w:t>
      </w:r>
      <w:r w:rsidR="00556C84">
        <w:t>NPS welcomes further data from these entities and from the general public on th</w:t>
      </w:r>
      <w:r w:rsidRPr="00DB016D" w:rsidR="00556C84">
        <w:t>e expected costs of complying with the proposed rule.</w:t>
      </w:r>
    </w:p>
    <w:p w:rsidR="00C45C1C" w:rsidP="008A47D4" w14:paraId="1009F91D" w14:textId="54C522BC">
      <w:pPr>
        <w:rPr>
          <w:rFonts w:ascii="Arial" w:hAnsi="Arial" w:cs="Arial"/>
          <w:b/>
          <w:color w:val="000000" w:themeColor="text1"/>
          <w:sz w:val="23"/>
          <w:szCs w:val="28"/>
        </w:rPr>
      </w:pPr>
    </w:p>
    <w:p w:rsidR="00C45C1C" w:rsidP="008A47D4" w14:paraId="32C18C7F" w14:textId="77777777">
      <w:pPr>
        <w:rPr>
          <w:rFonts w:ascii="Arial" w:hAnsi="Arial" w:cs="Arial"/>
          <w:b/>
          <w:color w:val="000000" w:themeColor="text1"/>
          <w:sz w:val="23"/>
          <w:szCs w:val="28"/>
        </w:rPr>
      </w:pPr>
    </w:p>
    <w:p w:rsidR="008A47D4" w:rsidRPr="00165E16" w:rsidP="00173654" w14:paraId="7E643C2E" w14:textId="0BBB1A72">
      <w:pPr>
        <w:pStyle w:val="Heading2"/>
      </w:pPr>
      <w:bookmarkStart w:id="18" w:name="_Toc113866999"/>
      <w:r>
        <w:t>Proposed Regulatory Action</w:t>
      </w:r>
      <w:bookmarkEnd w:id="18"/>
    </w:p>
    <w:p w:rsidR="008A47D4" w:rsidP="0055679B" w14:paraId="6B19F9A5" w14:textId="38C07DAD">
      <w:pPr>
        <w:rPr>
          <w:b/>
        </w:rPr>
      </w:pPr>
    </w:p>
    <w:p w:rsidR="008A47D4" w:rsidP="008A47D4" w14:paraId="6B12870C" w14:textId="300AC861">
      <w:r w:rsidRPr="0070210E">
        <w:t xml:space="preserve">This section describes the expected </w:t>
      </w:r>
      <w:r w:rsidR="006C0DE9">
        <w:t>c</w:t>
      </w:r>
      <w:r w:rsidRPr="0070210E">
        <w:t>osts</w:t>
      </w:r>
      <w:r w:rsidR="006C0DE9">
        <w:t xml:space="preserve"> and benefits</w:t>
      </w:r>
      <w:r w:rsidRPr="0070210E">
        <w:t xml:space="preserve"> associated with the proposed </w:t>
      </w:r>
      <w:r w:rsidR="00B10B68">
        <w:t xml:space="preserve">regulatory action </w:t>
      </w:r>
      <w:r w:rsidRPr="0070210E">
        <w:t xml:space="preserve">compared to the current baseline conditions. </w:t>
      </w:r>
      <w:r w:rsidR="001E2205">
        <w:t>The</w:t>
      </w:r>
      <w:r w:rsidRPr="0070210E">
        <w:t xml:space="preserve"> NPS believes this approach provides an appropriate means to characterize the relevant costs</w:t>
      </w:r>
      <w:r w:rsidR="006C0DE9">
        <w:t xml:space="preserve"> and benefits</w:t>
      </w:r>
      <w:r w:rsidRPr="0070210E">
        <w:t xml:space="preserve"> associated with this proposed regulatory action. </w:t>
      </w:r>
    </w:p>
    <w:p w:rsidR="00253B13" w:rsidP="008A47D4" w14:paraId="055842C3" w14:textId="77777777"/>
    <w:p w:rsidR="00F71C71" w:rsidP="00944391" w14:paraId="0086CBE8" w14:textId="77777777">
      <w:pPr>
        <w:pStyle w:val="Heading4"/>
      </w:pPr>
      <w:r w:rsidRPr="00253B13">
        <w:t>Summary of Costs</w:t>
      </w:r>
      <w:r>
        <w:t xml:space="preserve"> and Benefits</w:t>
      </w:r>
      <w:r w:rsidRPr="00253B13">
        <w:t xml:space="preserve"> </w:t>
      </w:r>
    </w:p>
    <w:p w:rsidR="00FE2400" w:rsidRPr="00FE2400" w:rsidP="00FE2400" w14:paraId="21F1CA29" w14:textId="77777777"/>
    <w:p w:rsidR="00E07A2C" w:rsidP="00E07A2C" w14:paraId="0C63F842" w14:textId="44A6C31D">
      <w:pPr>
        <w:rPr>
          <w:color w:val="000000" w:themeColor="text1"/>
        </w:rPr>
      </w:pPr>
      <w:r w:rsidRPr="5452BB15">
        <w:rPr>
          <w:color w:val="000000" w:themeColor="text1"/>
        </w:rPr>
        <w:t>The goal of the</w:t>
      </w:r>
      <w:r>
        <w:rPr>
          <w:color w:val="000000" w:themeColor="text1"/>
        </w:rPr>
        <w:t xml:space="preserve"> proposed regulatory action</w:t>
      </w:r>
      <w:r w:rsidRPr="5452BB15">
        <w:rPr>
          <w:color w:val="000000" w:themeColor="text1"/>
        </w:rPr>
        <w:t xml:space="preserve"> is to increase the number of repatriations by </w:t>
      </w:r>
      <w:r w:rsidRPr="0B8FC134">
        <w:rPr>
          <w:color w:val="000000" w:themeColor="text1"/>
        </w:rPr>
        <w:t xml:space="preserve">clarifying </w:t>
      </w:r>
      <w:r w:rsidRPr="683DAB2C">
        <w:rPr>
          <w:color w:val="000000" w:themeColor="text1"/>
        </w:rPr>
        <w:t xml:space="preserve">requirements and </w:t>
      </w:r>
      <w:r w:rsidRPr="59DD1798">
        <w:rPr>
          <w:color w:val="000000" w:themeColor="text1"/>
        </w:rPr>
        <w:t xml:space="preserve">establishing </w:t>
      </w:r>
      <w:r w:rsidRPr="368B0191">
        <w:rPr>
          <w:color w:val="000000" w:themeColor="text1"/>
        </w:rPr>
        <w:t>timelines</w:t>
      </w:r>
      <w:r w:rsidRPr="6FE6D582">
        <w:rPr>
          <w:color w:val="000000" w:themeColor="text1"/>
        </w:rPr>
        <w:t xml:space="preserve">. </w:t>
      </w:r>
      <w:r w:rsidRPr="305F9397">
        <w:rPr>
          <w:color w:val="000000" w:themeColor="text1"/>
        </w:rPr>
        <w:t xml:space="preserve">Due to the overall improved efficiency in the systematic process, this </w:t>
      </w:r>
      <w:r>
        <w:rPr>
          <w:color w:val="000000" w:themeColor="text1"/>
        </w:rPr>
        <w:t xml:space="preserve">regulatory </w:t>
      </w:r>
      <w:r w:rsidRPr="305F9397">
        <w:rPr>
          <w:color w:val="000000" w:themeColor="text1"/>
        </w:rPr>
        <w:t>action is expected to generate benefits</w:t>
      </w:r>
      <w:r>
        <w:rPr>
          <w:color w:val="000000" w:themeColor="text1"/>
        </w:rPr>
        <w:t xml:space="preserve"> fo</w:t>
      </w:r>
      <w:r w:rsidRPr="305F9397">
        <w:rPr>
          <w:color w:val="000000" w:themeColor="text1"/>
        </w:rPr>
        <w:t>r museums, Federal agencies, Indian Tribes, and N</w:t>
      </w:r>
      <w:r>
        <w:rPr>
          <w:color w:val="000000" w:themeColor="text1"/>
        </w:rPr>
        <w:t>HO</w:t>
      </w:r>
      <w:r w:rsidRPr="305F9397">
        <w:rPr>
          <w:color w:val="000000" w:themeColor="text1"/>
        </w:rPr>
        <w:t>s that are greater than the temporary increase in costs for museums</w:t>
      </w:r>
      <w:r w:rsidR="00AB793B">
        <w:rPr>
          <w:color w:val="000000" w:themeColor="text1"/>
        </w:rPr>
        <w:t>,</w:t>
      </w:r>
      <w:r>
        <w:rPr>
          <w:color w:val="000000" w:themeColor="text1"/>
        </w:rPr>
        <w:t xml:space="preserve"> Federal agencies</w:t>
      </w:r>
      <w:r w:rsidR="00AB793B">
        <w:rPr>
          <w:color w:val="000000" w:themeColor="text1"/>
        </w:rPr>
        <w:t xml:space="preserve">, </w:t>
      </w:r>
      <w:r w:rsidRPr="305F9397" w:rsidR="00AB793B">
        <w:rPr>
          <w:color w:val="000000" w:themeColor="text1"/>
        </w:rPr>
        <w:t>Indian Tribes, and N</w:t>
      </w:r>
      <w:r w:rsidR="00AB793B">
        <w:rPr>
          <w:color w:val="000000" w:themeColor="text1"/>
        </w:rPr>
        <w:t>HO</w:t>
      </w:r>
      <w:r w:rsidRPr="305F9397" w:rsidR="00AB793B">
        <w:rPr>
          <w:color w:val="000000" w:themeColor="text1"/>
        </w:rPr>
        <w:t>s</w:t>
      </w:r>
      <w:r>
        <w:rPr>
          <w:color w:val="000000" w:themeColor="text1"/>
        </w:rPr>
        <w:t xml:space="preserve"> quantified </w:t>
      </w:r>
      <w:r w:rsidR="00BB4066">
        <w:rPr>
          <w:color w:val="000000" w:themeColor="text1"/>
        </w:rPr>
        <w:t>below</w:t>
      </w:r>
      <w:r w:rsidRPr="305F9397">
        <w:rPr>
          <w:color w:val="000000" w:themeColor="text1"/>
        </w:rPr>
        <w:t>.</w:t>
      </w:r>
      <w:r>
        <w:rPr>
          <w:color w:val="000000" w:themeColor="text1"/>
        </w:rPr>
        <w:t xml:space="preserve"> T</w:t>
      </w:r>
      <w:r>
        <w:t>he NPS anticipates the proposed regulatory action will also reduce the overall costs for curation and collections management by museums and Federal agencies.</w:t>
      </w:r>
      <w:r w:rsidRPr="7226ADFC">
        <w:rPr>
          <w:color w:val="000000" w:themeColor="text1"/>
        </w:rPr>
        <w:t xml:space="preserve"> </w:t>
      </w:r>
      <w:r>
        <w:rPr>
          <w:color w:val="000000" w:themeColor="text1"/>
        </w:rPr>
        <w:t>Lastly, while not quantified in this analysis,</w:t>
      </w:r>
      <w:r w:rsidRPr="5B86C8D1">
        <w:rPr>
          <w:color w:val="000000" w:themeColor="text1"/>
        </w:rPr>
        <w:t xml:space="preserve"> Indian Tribes and NHOs</w:t>
      </w:r>
      <w:r>
        <w:rPr>
          <w:color w:val="000000" w:themeColor="text1"/>
        </w:rPr>
        <w:t xml:space="preserve"> have</w:t>
      </w:r>
      <w:r w:rsidRPr="5B86C8D1">
        <w:rPr>
          <w:color w:val="000000" w:themeColor="text1"/>
        </w:rPr>
        <w:t xml:space="preserve"> expressed </w:t>
      </w:r>
      <w:r w:rsidRPr="04ED293A">
        <w:rPr>
          <w:color w:val="000000" w:themeColor="text1"/>
        </w:rPr>
        <w:t>immeasurable benefit</w:t>
      </w:r>
      <w:r w:rsidR="003A7DEB">
        <w:rPr>
          <w:color w:val="000000" w:themeColor="text1"/>
        </w:rPr>
        <w:t>s</w:t>
      </w:r>
      <w:r w:rsidRPr="4314E66A">
        <w:rPr>
          <w:color w:val="000000" w:themeColor="text1"/>
        </w:rPr>
        <w:t xml:space="preserve"> </w:t>
      </w:r>
      <w:r w:rsidR="003A7DEB">
        <w:rPr>
          <w:color w:val="000000" w:themeColor="text1"/>
        </w:rPr>
        <w:t>of</w:t>
      </w:r>
      <w:r w:rsidRPr="4314E66A">
        <w:rPr>
          <w:color w:val="000000" w:themeColor="text1"/>
        </w:rPr>
        <w:t xml:space="preserve"> repatriation to their </w:t>
      </w:r>
      <w:r w:rsidRPr="04ED293A">
        <w:rPr>
          <w:color w:val="000000" w:themeColor="text1"/>
        </w:rPr>
        <w:t xml:space="preserve">communities. </w:t>
      </w:r>
    </w:p>
    <w:p w:rsidR="008F6CAC" w:rsidP="00E07A2C" w14:paraId="40EF792B" w14:textId="77777777">
      <w:pPr>
        <w:rPr>
          <w:color w:val="000000" w:themeColor="text1"/>
        </w:rPr>
      </w:pPr>
    </w:p>
    <w:p w:rsidR="008F6CAC" w:rsidP="008F6CAC" w14:paraId="2F599626" w14:textId="25996C8F">
      <w:r>
        <w:t>In estimating the costs of the proposed regulatory action, the NPS relies on the number of annual submissions it currently receives and other available data to estimate the annual</w:t>
      </w:r>
      <w:r w:rsidR="009A3C9B">
        <w:t xml:space="preserve"> number of responses,</w:t>
      </w:r>
      <w:r>
        <w:t xml:space="preserve"> hours</w:t>
      </w:r>
      <w:r w:rsidR="009A3C9B">
        <w:t>,</w:t>
      </w:r>
      <w:r>
        <w:t xml:space="preserve"> and costs</w:t>
      </w:r>
      <w:r w:rsidRPr="00F407F3">
        <w:t>.</w:t>
      </w:r>
      <w:r>
        <w:t xml:space="preserve"> </w:t>
      </w:r>
      <w:r w:rsidRPr="007B76B3">
        <w:t xml:space="preserve">We have estimated an average time per response </w:t>
      </w:r>
      <w:r>
        <w:t xml:space="preserve">based on the proposed regulatory action requirements, </w:t>
      </w:r>
      <w:r w:rsidRPr="007B76B3">
        <w:t>although the actual time required may vary widely because of difference in size and complexity</w:t>
      </w:r>
      <w:r w:rsidR="009A3C9B">
        <w:t xml:space="preserve"> of the required response</w:t>
      </w:r>
      <w:r w:rsidRPr="007B76B3">
        <w:t xml:space="preserve">. </w:t>
      </w:r>
    </w:p>
    <w:p w:rsidR="004E5956" w:rsidP="00E07A2C" w14:paraId="63A7CE7D" w14:textId="77777777">
      <w:pPr>
        <w:rPr>
          <w:color w:val="000000" w:themeColor="text1"/>
        </w:rPr>
      </w:pPr>
    </w:p>
    <w:p w:rsidR="00F71C71" w:rsidP="004E5956" w14:paraId="3039218E" w14:textId="10EEAC9B">
      <w:pPr>
        <w:rPr>
          <w:color w:val="000000" w:themeColor="text1"/>
        </w:rPr>
      </w:pPr>
      <w:r>
        <w:rPr>
          <w:color w:val="000000" w:themeColor="text1"/>
        </w:rPr>
        <w:t>For the first three years</w:t>
      </w:r>
      <w:r>
        <w:rPr>
          <w:rStyle w:val="FootnoteReference"/>
          <w:color w:val="000000" w:themeColor="text1"/>
        </w:rPr>
        <w:footnoteReference w:id="11"/>
      </w:r>
      <w:r>
        <w:rPr>
          <w:color w:val="000000" w:themeColor="text1"/>
        </w:rPr>
        <w:t xml:space="preserve"> after implementation, the NPS anticipates a temporary increase of 9,</w:t>
      </w:r>
      <w:r w:rsidR="009F488E">
        <w:rPr>
          <w:color w:val="000000" w:themeColor="text1"/>
        </w:rPr>
        <w:t>347</w:t>
      </w:r>
      <w:r>
        <w:rPr>
          <w:color w:val="000000" w:themeColor="text1"/>
        </w:rPr>
        <w:t>.</w:t>
      </w:r>
      <w:r w:rsidR="009F488E">
        <w:rPr>
          <w:color w:val="000000" w:themeColor="text1"/>
        </w:rPr>
        <w:t>75</w:t>
      </w:r>
      <w:r>
        <w:rPr>
          <w:color w:val="000000" w:themeColor="text1"/>
        </w:rPr>
        <w:t xml:space="preserve"> hours and </w:t>
      </w:r>
      <w:r w:rsidRPr="006B7084">
        <w:rPr>
          <w:color w:val="000000" w:themeColor="text1"/>
        </w:rPr>
        <w:t>$</w:t>
      </w:r>
      <w:r w:rsidR="00E16195">
        <w:rPr>
          <w:color w:val="000000" w:themeColor="text1"/>
        </w:rPr>
        <w:t>600</w:t>
      </w:r>
      <w:r w:rsidRPr="006B7084">
        <w:rPr>
          <w:color w:val="000000" w:themeColor="text1"/>
        </w:rPr>
        <w:t>,</w:t>
      </w:r>
      <w:r w:rsidR="00E16195">
        <w:rPr>
          <w:color w:val="000000" w:themeColor="text1"/>
        </w:rPr>
        <w:t>387</w:t>
      </w:r>
      <w:r w:rsidRPr="006B7084">
        <w:rPr>
          <w:color w:val="000000" w:themeColor="text1"/>
        </w:rPr>
        <w:t xml:space="preserve"> in</w:t>
      </w:r>
      <w:r>
        <w:rPr>
          <w:color w:val="000000" w:themeColor="text1"/>
        </w:rPr>
        <w:t xml:space="preserve"> annual </w:t>
      </w:r>
      <w:r w:rsidRPr="006B7084">
        <w:rPr>
          <w:color w:val="000000" w:themeColor="text1"/>
        </w:rPr>
        <w:t xml:space="preserve">costs under the proposed </w:t>
      </w:r>
      <w:r>
        <w:rPr>
          <w:color w:val="000000" w:themeColor="text1"/>
        </w:rPr>
        <w:t>regulatory action</w:t>
      </w:r>
      <w:r w:rsidRPr="006B7084">
        <w:rPr>
          <w:color w:val="000000" w:themeColor="text1"/>
        </w:rPr>
        <w:t xml:space="preserve"> compared to baseline conditions. </w:t>
      </w:r>
      <w:r w:rsidRPr="00832BA0">
        <w:rPr>
          <w:color w:val="000000" w:themeColor="text1"/>
        </w:rPr>
        <w:t xml:space="preserve">The increase associated with the proposed </w:t>
      </w:r>
      <w:r>
        <w:rPr>
          <w:color w:val="000000" w:themeColor="text1"/>
        </w:rPr>
        <w:t>regulatory action</w:t>
      </w:r>
      <w:r w:rsidRPr="00832BA0">
        <w:rPr>
          <w:color w:val="000000" w:themeColor="text1"/>
        </w:rPr>
        <w:t xml:space="preserve"> is temporary and will not exist after museums and Federal agencies complete the regulatory process for updating inventories and submitting notices of inventory completion</w:t>
      </w:r>
      <w:r>
        <w:rPr>
          <w:color w:val="000000" w:themeColor="text1"/>
        </w:rPr>
        <w:t xml:space="preserve"> under the proposed regulatory action</w:t>
      </w:r>
      <w:r w:rsidRPr="00832BA0">
        <w:rPr>
          <w:color w:val="000000" w:themeColor="text1"/>
        </w:rPr>
        <w:t xml:space="preserve">. </w:t>
      </w:r>
    </w:p>
    <w:p w:rsidR="00F71C71" w:rsidP="004E5956" w14:paraId="2EFA8048" w14:textId="77777777">
      <w:pPr>
        <w:rPr>
          <w:color w:val="000000" w:themeColor="text1"/>
        </w:rPr>
      </w:pPr>
    </w:p>
    <w:p w:rsidR="004E5956" w:rsidP="004E5956" w14:paraId="454085CD" w14:textId="5F824A04">
      <w:pPr>
        <w:rPr>
          <w:color w:val="000000" w:themeColor="text1"/>
        </w:rPr>
      </w:pPr>
      <w:r w:rsidRPr="00832BA0">
        <w:rPr>
          <w:color w:val="000000" w:themeColor="text1"/>
        </w:rPr>
        <w:t xml:space="preserve">By year four, </w:t>
      </w:r>
      <w:r>
        <w:rPr>
          <w:color w:val="000000" w:themeColor="text1"/>
        </w:rPr>
        <w:t xml:space="preserve">the </w:t>
      </w:r>
      <w:r w:rsidRPr="00832BA0">
        <w:rPr>
          <w:color w:val="000000" w:themeColor="text1"/>
        </w:rPr>
        <w:t xml:space="preserve">NPS estimates </w:t>
      </w:r>
      <w:r w:rsidRPr="009D6AC4">
        <w:rPr>
          <w:color w:val="000000" w:themeColor="text1"/>
        </w:rPr>
        <w:t>a</w:t>
      </w:r>
      <w:r>
        <w:rPr>
          <w:color w:val="000000" w:themeColor="text1"/>
        </w:rPr>
        <w:t xml:space="preserve"> reduction of 28,</w:t>
      </w:r>
      <w:r w:rsidR="0007640F">
        <w:rPr>
          <w:color w:val="000000" w:themeColor="text1"/>
        </w:rPr>
        <w:t>799</w:t>
      </w:r>
      <w:r>
        <w:rPr>
          <w:color w:val="000000" w:themeColor="text1"/>
        </w:rPr>
        <w:t>.</w:t>
      </w:r>
      <w:r w:rsidR="0007640F">
        <w:rPr>
          <w:color w:val="000000" w:themeColor="text1"/>
        </w:rPr>
        <w:t>75</w:t>
      </w:r>
      <w:r>
        <w:rPr>
          <w:color w:val="000000" w:themeColor="text1"/>
        </w:rPr>
        <w:t xml:space="preserve"> hours and</w:t>
      </w:r>
      <w:r w:rsidRPr="009D6AC4">
        <w:rPr>
          <w:color w:val="000000" w:themeColor="text1"/>
        </w:rPr>
        <w:t xml:space="preserve"> $1.8</w:t>
      </w:r>
      <w:r w:rsidR="005A377C">
        <w:rPr>
          <w:color w:val="000000" w:themeColor="text1"/>
        </w:rPr>
        <w:t>5</w:t>
      </w:r>
      <w:r>
        <w:rPr>
          <w:color w:val="000000" w:themeColor="text1"/>
        </w:rPr>
        <w:t xml:space="preserve"> million </w:t>
      </w:r>
      <w:r w:rsidRPr="00832BA0">
        <w:rPr>
          <w:color w:val="000000" w:themeColor="text1"/>
        </w:rPr>
        <w:t>in</w:t>
      </w:r>
      <w:r>
        <w:rPr>
          <w:color w:val="000000" w:themeColor="text1"/>
        </w:rPr>
        <w:t xml:space="preserve"> annual </w:t>
      </w:r>
      <w:r w:rsidRPr="00832BA0">
        <w:rPr>
          <w:color w:val="000000" w:themeColor="text1"/>
        </w:rPr>
        <w:t>cost</w:t>
      </w:r>
      <w:r>
        <w:rPr>
          <w:color w:val="000000" w:themeColor="text1"/>
        </w:rPr>
        <w:t>s</w:t>
      </w:r>
      <w:r w:rsidRPr="00832BA0">
        <w:rPr>
          <w:color w:val="000000" w:themeColor="text1"/>
        </w:rPr>
        <w:t xml:space="preserve"> </w:t>
      </w:r>
      <w:r>
        <w:rPr>
          <w:color w:val="000000" w:themeColor="text1"/>
        </w:rPr>
        <w:t xml:space="preserve">under the proposed regulatory action </w:t>
      </w:r>
      <w:r w:rsidRPr="006B7084">
        <w:rPr>
          <w:color w:val="000000" w:themeColor="text1"/>
        </w:rPr>
        <w:t>compared to baseline conditions.</w:t>
      </w:r>
      <w:r>
        <w:rPr>
          <w:color w:val="000000" w:themeColor="text1"/>
        </w:rPr>
        <w:t xml:space="preserve"> </w:t>
      </w:r>
      <w:r w:rsidRPr="00832BA0">
        <w:rPr>
          <w:color w:val="000000" w:themeColor="text1"/>
        </w:rPr>
        <w:t xml:space="preserve">The </w:t>
      </w:r>
      <w:r>
        <w:rPr>
          <w:color w:val="000000" w:themeColor="text1"/>
        </w:rPr>
        <w:t>decrease</w:t>
      </w:r>
      <w:r w:rsidR="00B9718F">
        <w:rPr>
          <w:color w:val="000000" w:themeColor="text1"/>
        </w:rPr>
        <w:t xml:space="preserve"> </w:t>
      </w:r>
      <w:r w:rsidRPr="00832BA0">
        <w:rPr>
          <w:color w:val="000000" w:themeColor="text1"/>
        </w:rPr>
        <w:t xml:space="preserve">associated with the proposed </w:t>
      </w:r>
      <w:r>
        <w:rPr>
          <w:color w:val="000000" w:themeColor="text1"/>
        </w:rPr>
        <w:t>regulatory action</w:t>
      </w:r>
      <w:r w:rsidRPr="00832BA0">
        <w:rPr>
          <w:color w:val="000000" w:themeColor="text1"/>
        </w:rPr>
        <w:t xml:space="preserve"> </w:t>
      </w:r>
      <w:r>
        <w:rPr>
          <w:color w:val="000000" w:themeColor="text1"/>
        </w:rPr>
        <w:t>will continue indefinitely as new collections and holdings are required to be repatriated.</w:t>
      </w:r>
    </w:p>
    <w:p w:rsidR="00EA73D1" w:rsidRPr="001702C5" w:rsidP="00E07A2C" w14:paraId="4BB0999D" w14:textId="77777777">
      <w:pPr>
        <w:rPr>
          <w:color w:val="000000" w:themeColor="text1"/>
        </w:rPr>
      </w:pPr>
    </w:p>
    <w:p w:rsidR="00EE6D3F" w:rsidP="00944391" w14:paraId="66FEC8D9" w14:textId="3AE87765">
      <w:pPr>
        <w:pStyle w:val="Heading4"/>
      </w:pPr>
      <w:r w:rsidRPr="00DB4114">
        <w:t>Costs of the proposed regulatory action</w:t>
      </w:r>
    </w:p>
    <w:p w:rsidR="00330F60" w:rsidRPr="00330F60" w:rsidP="00330F60" w14:paraId="5F5B85DA" w14:textId="77777777"/>
    <w:p w:rsidR="00E56C81" w:rsidP="00A70C57" w14:paraId="04B658A3" w14:textId="43AD6D36">
      <w:r>
        <w:t xml:space="preserve">In general, </w:t>
      </w:r>
      <w:r w:rsidR="00C33A5F">
        <w:t>requirements</w:t>
      </w:r>
      <w:r>
        <w:t xml:space="preserve"> in the proposed regulatory action</w:t>
      </w:r>
      <w:r w:rsidRPr="003443A6">
        <w:t xml:space="preserve"> </w:t>
      </w:r>
      <w:r w:rsidR="009C388D">
        <w:t>are</w:t>
      </w:r>
      <w:r w:rsidRPr="003443A6">
        <w:t xml:space="preserve"> the same as under the </w:t>
      </w:r>
      <w:r>
        <w:t>existing</w:t>
      </w:r>
      <w:r w:rsidRPr="003443A6">
        <w:t xml:space="preserve"> regulations</w:t>
      </w:r>
      <w:r>
        <w:t xml:space="preserve"> described at 43 CFR Part 10 and summarized</w:t>
      </w:r>
      <w:r w:rsidR="00153C94">
        <w:t xml:space="preserve"> above</w:t>
      </w:r>
      <w:r>
        <w:t xml:space="preserve"> in Table 3</w:t>
      </w:r>
      <w:r w:rsidRPr="003443A6">
        <w:t xml:space="preserve">. </w:t>
      </w:r>
      <w:r w:rsidR="00FA1767">
        <w:t xml:space="preserve">The proposed regulatory action </w:t>
      </w:r>
      <w:r w:rsidR="009C388D">
        <w:t xml:space="preserve">revises </w:t>
      </w:r>
      <w:r w:rsidR="000E5836">
        <w:t xml:space="preserve">some </w:t>
      </w:r>
      <w:r w:rsidR="009C388D">
        <w:t>existing requirements</w:t>
      </w:r>
      <w:r w:rsidR="00E41AE4">
        <w:t xml:space="preserve"> by adding new deadlines</w:t>
      </w:r>
      <w:r w:rsidR="009C388D">
        <w:t xml:space="preserve"> and adds</w:t>
      </w:r>
      <w:r w:rsidR="00A70C57">
        <w:t xml:space="preserve"> </w:t>
      </w:r>
      <w:r w:rsidR="00F62BAD">
        <w:t xml:space="preserve">new </w:t>
      </w:r>
      <w:r>
        <w:t>requirements</w:t>
      </w:r>
      <w:r w:rsidR="00FA1767">
        <w:t xml:space="preserve"> for </w:t>
      </w:r>
      <w:r w:rsidR="0025723D">
        <w:t xml:space="preserve">any affected party, </w:t>
      </w:r>
      <w:r>
        <w:t>Indian Tribes, NHOs, museums, and Federal agencies</w:t>
      </w:r>
      <w:r w:rsidRPr="003443A6">
        <w:t>.</w:t>
      </w:r>
      <w:r w:rsidR="009759BE">
        <w:t xml:space="preserve"> Table 5 summarizes the new and revised regulatory requirements under the proposed regulatory action.</w:t>
      </w:r>
    </w:p>
    <w:p w:rsidR="00E56C81" w:rsidP="00A70C57" w14:paraId="73FFF60C" w14:textId="77777777"/>
    <w:p w:rsidR="009759BE" w:rsidP="009759BE" w14:paraId="7172E400" w14:textId="77777777"/>
    <w:p w:rsidR="009759BE" w:rsidRPr="00902333" w:rsidP="009759BE" w14:paraId="5FA1D5C6" w14:textId="768EF5A8">
      <w:pPr>
        <w:pStyle w:val="Heading3"/>
      </w:pPr>
      <w:bookmarkStart w:id="19" w:name="_Toc113867031"/>
      <w:r w:rsidRPr="00902333">
        <w:t xml:space="preserve">Table </w:t>
      </w:r>
      <w:r>
        <w:t>5</w:t>
      </w:r>
      <w:r w:rsidRPr="00902333">
        <w:t xml:space="preserve">. </w:t>
      </w:r>
      <w:r>
        <w:t xml:space="preserve"> </w:t>
      </w:r>
      <w:r w:rsidR="008F6CAC">
        <w:t>P</w:t>
      </w:r>
      <w:r w:rsidRPr="00902333">
        <w:t>roposed regulatory action</w:t>
      </w:r>
      <w:r w:rsidR="008F6CAC">
        <w:t xml:space="preserve"> requirements (new and revised)</w:t>
      </w:r>
      <w:bookmarkEnd w:id="19"/>
    </w:p>
    <w:tbl>
      <w:tblPr>
        <w:tblStyle w:val="TableGrid"/>
        <w:tblW w:w="9360" w:type="dxa"/>
        <w:tblInd w:w="-5" w:type="dxa"/>
        <w:tblLook w:val="04A0"/>
      </w:tblPr>
      <w:tblGrid>
        <w:gridCol w:w="990"/>
        <w:gridCol w:w="2160"/>
        <w:gridCol w:w="6210"/>
      </w:tblGrid>
      <w:tr w14:paraId="5B8523E6" w14:textId="77777777" w:rsidTr="00631247">
        <w:tblPrEx>
          <w:tblW w:w="9360" w:type="dxa"/>
          <w:tblInd w:w="-5" w:type="dxa"/>
          <w:tblLook w:val="04A0"/>
        </w:tblPrEx>
        <w:tc>
          <w:tcPr>
            <w:tcW w:w="990" w:type="dxa"/>
          </w:tcPr>
          <w:p w:rsidR="009759BE" w:rsidRPr="00902333" w:rsidP="00631247" w14:paraId="5E92FDD8" w14:textId="77777777">
            <w:pPr>
              <w:rPr>
                <w:b/>
                <w:bCs/>
              </w:rPr>
            </w:pPr>
          </w:p>
        </w:tc>
        <w:tc>
          <w:tcPr>
            <w:tcW w:w="2160" w:type="dxa"/>
            <w:vAlign w:val="center"/>
          </w:tcPr>
          <w:p w:rsidR="009759BE" w:rsidRPr="00902333" w:rsidP="00631247" w14:paraId="48213D68" w14:textId="77777777">
            <w:pPr>
              <w:rPr>
                <w:b/>
                <w:bCs/>
              </w:rPr>
            </w:pPr>
            <w:r w:rsidRPr="00902333">
              <w:rPr>
                <w:b/>
                <w:bCs/>
              </w:rPr>
              <w:t>Responsible party</w:t>
            </w:r>
          </w:p>
        </w:tc>
        <w:tc>
          <w:tcPr>
            <w:tcW w:w="6210" w:type="dxa"/>
            <w:vAlign w:val="center"/>
          </w:tcPr>
          <w:p w:rsidR="009759BE" w:rsidRPr="00902333" w:rsidP="00631247" w14:paraId="3E3D94E0" w14:textId="77777777">
            <w:pPr>
              <w:rPr>
                <w:b/>
                <w:bCs/>
              </w:rPr>
            </w:pPr>
            <w:r w:rsidRPr="00902333">
              <w:rPr>
                <w:b/>
                <w:bCs/>
              </w:rPr>
              <w:t>Regulatory Requirement</w:t>
            </w:r>
          </w:p>
        </w:tc>
      </w:tr>
      <w:tr w14:paraId="2F8FF2E2" w14:textId="77777777" w:rsidTr="00631247">
        <w:tblPrEx>
          <w:tblW w:w="9360" w:type="dxa"/>
          <w:tblInd w:w="-5" w:type="dxa"/>
          <w:tblLook w:val="04A0"/>
        </w:tblPrEx>
        <w:tc>
          <w:tcPr>
            <w:tcW w:w="990" w:type="dxa"/>
            <w:vMerge w:val="restart"/>
            <w:vAlign w:val="center"/>
          </w:tcPr>
          <w:p w:rsidR="009759BE" w:rsidP="00631247" w14:paraId="1DBF162F" w14:textId="77777777">
            <w:r>
              <w:t>New</w:t>
            </w:r>
          </w:p>
        </w:tc>
        <w:tc>
          <w:tcPr>
            <w:tcW w:w="2160" w:type="dxa"/>
            <w:vAlign w:val="center"/>
          </w:tcPr>
          <w:p w:rsidR="009759BE" w:rsidP="00631247" w14:paraId="46C2C491" w14:textId="77777777">
            <w:r>
              <w:t>Any affected party</w:t>
            </w:r>
          </w:p>
        </w:tc>
        <w:tc>
          <w:tcPr>
            <w:tcW w:w="6210" w:type="dxa"/>
            <w:vAlign w:val="center"/>
          </w:tcPr>
          <w:p w:rsidR="009759BE" w:rsidP="00631247" w14:paraId="38FBD10F" w14:textId="77777777">
            <w:pPr>
              <w:ind w:left="-13"/>
            </w:pPr>
            <w:r>
              <w:t>Submit nominations to the NAGPRA Review Committee</w:t>
            </w:r>
          </w:p>
        </w:tc>
      </w:tr>
      <w:tr w14:paraId="40D5948B" w14:textId="77777777" w:rsidTr="00631247">
        <w:tblPrEx>
          <w:tblW w:w="9360" w:type="dxa"/>
          <w:tblInd w:w="-5" w:type="dxa"/>
          <w:tblLook w:val="04A0"/>
        </w:tblPrEx>
        <w:tc>
          <w:tcPr>
            <w:tcW w:w="990" w:type="dxa"/>
            <w:vMerge/>
          </w:tcPr>
          <w:p w:rsidR="009759BE" w:rsidP="00631247" w14:paraId="4065980D" w14:textId="77777777"/>
        </w:tc>
        <w:tc>
          <w:tcPr>
            <w:tcW w:w="2160" w:type="dxa"/>
            <w:vAlign w:val="center"/>
          </w:tcPr>
          <w:p w:rsidR="009759BE" w:rsidP="00631247" w14:paraId="1486FD4C" w14:textId="77777777">
            <w:r>
              <w:t>Indian Tribes/NHOs</w:t>
            </w:r>
          </w:p>
        </w:tc>
        <w:tc>
          <w:tcPr>
            <w:tcW w:w="6210" w:type="dxa"/>
            <w:vAlign w:val="center"/>
          </w:tcPr>
          <w:p w:rsidR="009759BE" w:rsidP="00631247" w14:paraId="19B00688" w14:textId="77777777">
            <w:pPr>
              <w:ind w:left="-13"/>
              <w:rPr>
                <w:color w:val="000000"/>
              </w:rPr>
            </w:pPr>
            <w:bookmarkStart w:id="20" w:name="_Hlk112680784"/>
            <w:r w:rsidRPr="00392343">
              <w:rPr>
                <w:color w:val="000000"/>
              </w:rPr>
              <w:t>Delegate or accept responsibility on Tribal lands</w:t>
            </w:r>
          </w:p>
          <w:p w:rsidR="00A809CB" w:rsidRPr="00392343" w:rsidP="00631247" w14:paraId="7843DC2F" w14:textId="5CCE0379">
            <w:pPr>
              <w:ind w:left="-13"/>
              <w:rPr>
                <w:color w:val="000000"/>
              </w:rPr>
            </w:pPr>
            <w:r>
              <w:rPr>
                <w:color w:val="000000"/>
              </w:rPr>
              <w:t>Submit a request to consult (Subpart B)</w:t>
            </w:r>
            <w:r>
              <w:rPr>
                <w:rStyle w:val="FootnoteReference"/>
                <w:color w:val="000000"/>
              </w:rPr>
              <w:footnoteReference w:id="12"/>
            </w:r>
          </w:p>
          <w:p w:rsidR="009759BE" w:rsidP="00631247" w14:paraId="0C735D79" w14:textId="5465C058">
            <w:pPr>
              <w:ind w:left="-13"/>
            </w:pPr>
            <w:r w:rsidRPr="00392343">
              <w:rPr>
                <w:color w:val="000000"/>
              </w:rPr>
              <w:t>Send or complete a disposition statement</w:t>
            </w:r>
            <w:bookmarkEnd w:id="20"/>
          </w:p>
        </w:tc>
      </w:tr>
      <w:tr w14:paraId="03EA439E" w14:textId="77777777" w:rsidTr="00631247">
        <w:tblPrEx>
          <w:tblW w:w="9360" w:type="dxa"/>
          <w:tblInd w:w="-5" w:type="dxa"/>
          <w:tblLook w:val="04A0"/>
        </w:tblPrEx>
        <w:tc>
          <w:tcPr>
            <w:tcW w:w="990" w:type="dxa"/>
            <w:vMerge/>
          </w:tcPr>
          <w:p w:rsidR="009759BE" w:rsidP="00631247" w14:paraId="5CB06B11" w14:textId="77777777"/>
        </w:tc>
        <w:tc>
          <w:tcPr>
            <w:tcW w:w="2160" w:type="dxa"/>
            <w:vAlign w:val="center"/>
          </w:tcPr>
          <w:p w:rsidR="009759BE" w:rsidP="00631247" w14:paraId="77084B75" w14:textId="77777777">
            <w:r>
              <w:t>Federal agencies</w:t>
            </w:r>
          </w:p>
        </w:tc>
        <w:tc>
          <w:tcPr>
            <w:tcW w:w="6210" w:type="dxa"/>
            <w:vAlign w:val="center"/>
          </w:tcPr>
          <w:p w:rsidR="009759BE" w:rsidP="00631247" w14:paraId="1443B102" w14:textId="77777777">
            <w:pPr>
              <w:ind w:left="-13"/>
            </w:pPr>
            <w:r>
              <w:t>Send a disposition statement</w:t>
            </w:r>
          </w:p>
        </w:tc>
      </w:tr>
      <w:tr w14:paraId="60251883" w14:textId="77777777" w:rsidTr="00631247">
        <w:tblPrEx>
          <w:tblW w:w="9360" w:type="dxa"/>
          <w:tblInd w:w="-5" w:type="dxa"/>
          <w:tblLook w:val="04A0"/>
        </w:tblPrEx>
        <w:tc>
          <w:tcPr>
            <w:tcW w:w="990" w:type="dxa"/>
            <w:vMerge/>
          </w:tcPr>
          <w:p w:rsidR="009759BE" w:rsidP="00631247" w14:paraId="4D30A61E" w14:textId="77777777"/>
        </w:tc>
        <w:tc>
          <w:tcPr>
            <w:tcW w:w="2160" w:type="dxa"/>
            <w:vAlign w:val="center"/>
          </w:tcPr>
          <w:p w:rsidR="009759BE" w:rsidP="00631247" w14:paraId="5E619CB2" w14:textId="77777777">
            <w:r>
              <w:t>Museums/Federal agencies</w:t>
            </w:r>
          </w:p>
        </w:tc>
        <w:tc>
          <w:tcPr>
            <w:tcW w:w="6210" w:type="dxa"/>
            <w:vAlign w:val="center"/>
          </w:tcPr>
          <w:p w:rsidR="009759BE" w:rsidRPr="00392343" w:rsidP="00631247" w14:paraId="61C543A9" w14:textId="77777777">
            <w:pPr>
              <w:ind w:left="-13"/>
              <w:rPr>
                <w:color w:val="000000"/>
              </w:rPr>
            </w:pPr>
            <w:r w:rsidRPr="00392343">
              <w:rPr>
                <w:color w:val="000000"/>
              </w:rPr>
              <w:t>Submit or respond to statements describing holdings or collections</w:t>
            </w:r>
          </w:p>
          <w:p w:rsidR="009759BE" w:rsidRPr="00392343" w:rsidP="00631247" w14:paraId="67C192EB" w14:textId="77777777">
            <w:pPr>
              <w:ind w:left="-13"/>
              <w:rPr>
                <w:color w:val="000000"/>
              </w:rPr>
            </w:pPr>
            <w:r w:rsidRPr="00392343">
              <w:rPr>
                <w:color w:val="000000"/>
              </w:rPr>
              <w:t>Make a record of consultation</w:t>
            </w:r>
          </w:p>
          <w:p w:rsidR="009759BE" w:rsidRPr="00392343" w:rsidP="00631247" w14:paraId="082E2A20" w14:textId="77777777">
            <w:pPr>
              <w:ind w:left="-13"/>
              <w:rPr>
                <w:color w:val="000000"/>
              </w:rPr>
            </w:pPr>
            <w:r w:rsidRPr="00392343">
              <w:rPr>
                <w:color w:val="000000"/>
              </w:rPr>
              <w:t>Respond to a request for repatriation</w:t>
            </w:r>
          </w:p>
          <w:p w:rsidR="009759BE" w:rsidRPr="00902333" w:rsidP="00631247" w14:paraId="6E12BE8D" w14:textId="77777777">
            <w:pPr>
              <w:ind w:left="-13"/>
              <w:rPr>
                <w:color w:val="000000"/>
              </w:rPr>
            </w:pPr>
            <w:r w:rsidRPr="00392343">
              <w:rPr>
                <w:color w:val="000000"/>
              </w:rPr>
              <w:t>Send a repatriation statement</w:t>
            </w:r>
          </w:p>
        </w:tc>
      </w:tr>
      <w:tr w14:paraId="69FC1327" w14:textId="77777777" w:rsidTr="00631247">
        <w:tblPrEx>
          <w:tblW w:w="9360" w:type="dxa"/>
          <w:tblInd w:w="-5" w:type="dxa"/>
          <w:tblLook w:val="04A0"/>
        </w:tblPrEx>
        <w:tc>
          <w:tcPr>
            <w:tcW w:w="990" w:type="dxa"/>
            <w:vMerge w:val="restart"/>
            <w:vAlign w:val="center"/>
          </w:tcPr>
          <w:p w:rsidR="009759BE" w:rsidP="00631247" w14:paraId="0A2A4C02" w14:textId="77777777">
            <w:r>
              <w:t>Revised</w:t>
            </w:r>
          </w:p>
        </w:tc>
        <w:tc>
          <w:tcPr>
            <w:tcW w:w="2160" w:type="dxa"/>
            <w:vAlign w:val="center"/>
          </w:tcPr>
          <w:p w:rsidR="009759BE" w:rsidP="00631247" w14:paraId="13B2AA38" w14:textId="77777777">
            <w:r>
              <w:t>Lineal descendants, Indian Tribes, or NHOs</w:t>
            </w:r>
          </w:p>
        </w:tc>
        <w:tc>
          <w:tcPr>
            <w:tcW w:w="6210" w:type="dxa"/>
            <w:vAlign w:val="center"/>
          </w:tcPr>
          <w:p w:rsidR="009759BE" w:rsidRPr="00392343" w:rsidP="00631247" w14:paraId="4838D061" w14:textId="27C44782">
            <w:pPr>
              <w:ind w:left="-13"/>
              <w:rPr>
                <w:color w:val="000000"/>
              </w:rPr>
            </w:pPr>
            <w:bookmarkStart w:id="21" w:name="_Hlk112680838"/>
            <w:r>
              <w:rPr>
                <w:color w:val="000000"/>
              </w:rPr>
              <w:t>Submit a r</w:t>
            </w:r>
            <w:r w:rsidRPr="00392343">
              <w:rPr>
                <w:color w:val="000000"/>
              </w:rPr>
              <w:t xml:space="preserve">equest </w:t>
            </w:r>
            <w:r>
              <w:rPr>
                <w:color w:val="000000"/>
              </w:rPr>
              <w:t xml:space="preserve">to </w:t>
            </w:r>
            <w:r w:rsidR="001E6123">
              <w:t>consult</w:t>
            </w:r>
            <w:r w:rsidR="003F642B">
              <w:t xml:space="preserve"> (Subpart C)</w:t>
            </w:r>
            <w:r>
              <w:rPr>
                <w:rStyle w:val="FootnoteReference"/>
              </w:rPr>
              <w:footnoteReference w:id="13"/>
            </w:r>
          </w:p>
          <w:p w:rsidR="009759BE" w:rsidRPr="00392343" w:rsidP="00631247" w14:paraId="469EEF42" w14:textId="77777777">
            <w:pPr>
              <w:ind w:left="-13"/>
              <w:rPr>
                <w:color w:val="000000"/>
              </w:rPr>
            </w:pPr>
            <w:r w:rsidRPr="00392343">
              <w:rPr>
                <w:color w:val="000000"/>
              </w:rPr>
              <w:t>Submit a request for repatriation</w:t>
            </w:r>
          </w:p>
          <w:p w:rsidR="009759BE" w:rsidRPr="00392343" w:rsidP="00631247" w14:paraId="5A4D7E88" w14:textId="6D7D93D9">
            <w:pPr>
              <w:ind w:left="-13"/>
              <w:rPr>
                <w:color w:val="000000"/>
              </w:rPr>
            </w:pPr>
            <w:r w:rsidRPr="00392343">
              <w:rPr>
                <w:color w:val="000000"/>
              </w:rPr>
              <w:t>Request transfer of human remains or cultural items</w:t>
            </w:r>
            <w:bookmarkEnd w:id="21"/>
          </w:p>
        </w:tc>
      </w:tr>
      <w:tr w14:paraId="6B1ABD52" w14:textId="77777777" w:rsidTr="00631247">
        <w:tblPrEx>
          <w:tblW w:w="9360" w:type="dxa"/>
          <w:tblInd w:w="-5" w:type="dxa"/>
          <w:tblLook w:val="04A0"/>
        </w:tblPrEx>
        <w:tc>
          <w:tcPr>
            <w:tcW w:w="990" w:type="dxa"/>
            <w:vMerge/>
          </w:tcPr>
          <w:p w:rsidR="009759BE" w:rsidP="00631247" w14:paraId="0677A0A7" w14:textId="77777777"/>
        </w:tc>
        <w:tc>
          <w:tcPr>
            <w:tcW w:w="2160" w:type="dxa"/>
            <w:vAlign w:val="center"/>
          </w:tcPr>
          <w:p w:rsidR="009759BE" w:rsidP="00631247" w14:paraId="365AE635" w14:textId="77777777">
            <w:r>
              <w:t>Federal agencies</w:t>
            </w:r>
          </w:p>
        </w:tc>
        <w:tc>
          <w:tcPr>
            <w:tcW w:w="6210" w:type="dxa"/>
            <w:vAlign w:val="center"/>
          </w:tcPr>
          <w:p w:rsidR="00E75429" w:rsidP="00631247" w14:paraId="77FC371C" w14:textId="77777777">
            <w:pPr>
              <w:ind w:left="-13"/>
            </w:pPr>
            <w:r>
              <w:t>Authorize an excavation</w:t>
            </w:r>
          </w:p>
          <w:p w:rsidR="000B4740" w:rsidP="00631247" w14:paraId="196B8969" w14:textId="69AD1C9C">
            <w:pPr>
              <w:ind w:left="-13"/>
            </w:pPr>
            <w:r>
              <w:t>Conduct consultation (Subpart B)</w:t>
            </w:r>
          </w:p>
          <w:p w:rsidR="009759BE" w:rsidRPr="00392343" w:rsidP="00631247" w14:paraId="583E5A4A" w14:textId="348F494F">
            <w:pPr>
              <w:ind w:left="-13"/>
              <w:rPr>
                <w:color w:val="000000"/>
              </w:rPr>
            </w:pPr>
            <w:r>
              <w:t>Complete a plan of action</w:t>
            </w:r>
          </w:p>
        </w:tc>
      </w:tr>
      <w:tr w14:paraId="75F734D1" w14:textId="77777777" w:rsidTr="00631247">
        <w:tblPrEx>
          <w:tblW w:w="9360" w:type="dxa"/>
          <w:tblInd w:w="-5" w:type="dxa"/>
          <w:tblLook w:val="04A0"/>
        </w:tblPrEx>
        <w:tc>
          <w:tcPr>
            <w:tcW w:w="990" w:type="dxa"/>
            <w:vMerge/>
          </w:tcPr>
          <w:p w:rsidR="009759BE" w:rsidP="00631247" w14:paraId="7BDDD6F7" w14:textId="77777777"/>
        </w:tc>
        <w:tc>
          <w:tcPr>
            <w:tcW w:w="2160" w:type="dxa"/>
            <w:vAlign w:val="center"/>
          </w:tcPr>
          <w:p w:rsidR="009759BE" w:rsidP="00631247" w14:paraId="088CBC64" w14:textId="77777777">
            <w:r>
              <w:t>Museums/Federal agencies</w:t>
            </w:r>
          </w:p>
        </w:tc>
        <w:tc>
          <w:tcPr>
            <w:tcW w:w="6210" w:type="dxa"/>
            <w:vAlign w:val="center"/>
          </w:tcPr>
          <w:p w:rsidR="00DD0196" w:rsidRPr="00392343" w:rsidP="00DD0196" w14:paraId="23EEE315" w14:textId="77777777">
            <w:pPr>
              <w:ind w:left="-13"/>
              <w:rPr>
                <w:color w:val="000000"/>
              </w:rPr>
            </w:pPr>
            <w:r>
              <w:rPr>
                <w:color w:val="000000"/>
              </w:rPr>
              <w:t>Initiate consultation</w:t>
            </w:r>
            <w:r w:rsidRPr="00392343">
              <w:rPr>
                <w:color w:val="000000"/>
              </w:rPr>
              <w:t xml:space="preserve"> and request information</w:t>
            </w:r>
          </w:p>
          <w:p w:rsidR="009759BE" w:rsidRPr="00392343" w:rsidP="00631247" w14:paraId="1A240925" w14:textId="71E515F0">
            <w:pPr>
              <w:ind w:left="-13"/>
              <w:rPr>
                <w:color w:val="000000"/>
              </w:rPr>
            </w:pPr>
            <w:r>
              <w:rPr>
                <w:color w:val="000000"/>
              </w:rPr>
              <w:t>C</w:t>
            </w:r>
            <w:r w:rsidRPr="00392343">
              <w:rPr>
                <w:color w:val="000000"/>
              </w:rPr>
              <w:t>onduct consultation</w:t>
            </w:r>
            <w:r w:rsidR="000B4740">
              <w:rPr>
                <w:color w:val="000000"/>
              </w:rPr>
              <w:t xml:space="preserve"> (Subpart C)</w:t>
            </w:r>
          </w:p>
          <w:p w:rsidR="009759BE" w:rsidRPr="00392343" w:rsidP="00631247" w14:paraId="737F887C" w14:textId="77777777">
            <w:pPr>
              <w:ind w:left="-13"/>
              <w:rPr>
                <w:color w:val="000000"/>
              </w:rPr>
            </w:pPr>
            <w:r w:rsidRPr="00392343">
              <w:rPr>
                <w:color w:val="000000"/>
              </w:rPr>
              <w:t>Update inventory data</w:t>
            </w:r>
          </w:p>
          <w:p w:rsidR="009759BE" w:rsidRPr="00392343" w:rsidP="00631247" w14:paraId="7EA3F827" w14:textId="77777777">
            <w:pPr>
              <w:ind w:left="-13"/>
              <w:rPr>
                <w:color w:val="000000"/>
              </w:rPr>
            </w:pPr>
            <w:r w:rsidRPr="00392343">
              <w:rPr>
                <w:color w:val="000000"/>
              </w:rPr>
              <w:t>Submit notices of inventory completion</w:t>
            </w:r>
          </w:p>
          <w:p w:rsidR="009759BE" w:rsidRPr="00392343" w:rsidP="00631247" w14:paraId="3E9D6381" w14:textId="77777777">
            <w:pPr>
              <w:ind w:left="-13"/>
              <w:rPr>
                <w:color w:val="000000"/>
              </w:rPr>
            </w:pPr>
            <w:r w:rsidRPr="00392343">
              <w:rPr>
                <w:color w:val="000000"/>
              </w:rPr>
              <w:t>Document physical transfer</w:t>
            </w:r>
          </w:p>
          <w:p w:rsidR="009759BE" w:rsidRPr="00392343" w:rsidP="00631247" w14:paraId="36FF29E6" w14:textId="77777777">
            <w:pPr>
              <w:ind w:left="-13"/>
              <w:rPr>
                <w:color w:val="000000"/>
              </w:rPr>
            </w:pPr>
            <w:r w:rsidRPr="00392343">
              <w:rPr>
                <w:color w:val="000000"/>
              </w:rPr>
              <w:t>Transfer or reinter human remains and associated funerary objects</w:t>
            </w:r>
          </w:p>
        </w:tc>
      </w:tr>
    </w:tbl>
    <w:p w:rsidR="009759BE" w:rsidP="00A70C57" w14:paraId="2EA4558E" w14:textId="77777777"/>
    <w:p w:rsidR="00912101" w:rsidP="00A70C57" w14:paraId="319D6FF1" w14:textId="77777777"/>
    <w:p w:rsidR="00912101" w:rsidP="00912101" w14:paraId="1F05DE2A" w14:textId="683728FA">
      <w:r>
        <w:t>In the short-term, t</w:t>
      </w:r>
      <w:r>
        <w:t xml:space="preserve">he proposed regulatory action </w:t>
      </w:r>
      <w:r>
        <w:rPr>
          <w:bCs/>
          <w:iCs/>
        </w:rPr>
        <w:t>is likely to increase</w:t>
      </w:r>
      <w:r>
        <w:rPr>
          <w:bCs/>
          <w:iCs/>
        </w:rPr>
        <w:t xml:space="preserve"> the number of responses,</w:t>
      </w:r>
      <w:r>
        <w:rPr>
          <w:bCs/>
          <w:iCs/>
        </w:rPr>
        <w:t xml:space="preserve"> hours</w:t>
      </w:r>
      <w:r>
        <w:rPr>
          <w:bCs/>
          <w:iCs/>
        </w:rPr>
        <w:t>,</w:t>
      </w:r>
      <w:r>
        <w:rPr>
          <w:bCs/>
          <w:iCs/>
        </w:rPr>
        <w:t xml:space="preserve"> and costs to </w:t>
      </w:r>
      <w:r w:rsidRPr="00EA08EB">
        <w:rPr>
          <w:color w:val="000000"/>
          <w:sz w:val="22"/>
          <w:szCs w:val="22"/>
        </w:rPr>
        <w:t>Indian Tribes</w:t>
      </w:r>
      <w:r>
        <w:rPr>
          <w:bCs/>
          <w:iCs/>
        </w:rPr>
        <w:t xml:space="preserve">, NHOs, museums, and Federal agencies. </w:t>
      </w:r>
      <w:r>
        <w:t>While t</w:t>
      </w:r>
      <w:r w:rsidRPr="003A5A7F">
        <w:t xml:space="preserve">he proposed </w:t>
      </w:r>
      <w:r>
        <w:t>regulatory action</w:t>
      </w:r>
      <w:r w:rsidRPr="003A5A7F">
        <w:t xml:space="preserve"> </w:t>
      </w:r>
      <w:r>
        <w:t>contains new requirements compared to baseline conditions</w:t>
      </w:r>
      <w:r w:rsidRPr="003A5A7F">
        <w:t xml:space="preserve">, </w:t>
      </w:r>
      <w:r>
        <w:t>it also</w:t>
      </w:r>
      <w:r w:rsidRPr="003A5A7F">
        <w:t xml:space="preserve"> streamlines the requirements for</w:t>
      </w:r>
      <w:r>
        <w:t xml:space="preserve"> all parties which will lessen</w:t>
      </w:r>
      <w:r w:rsidRPr="003A5A7F">
        <w:t xml:space="preserve"> the </w:t>
      </w:r>
      <w:r>
        <w:t xml:space="preserve">long-term </w:t>
      </w:r>
      <w:r w:rsidRPr="003A5A7F">
        <w:t>impact of</w:t>
      </w:r>
      <w:r>
        <w:t xml:space="preserve"> the regulatory requirements.</w:t>
      </w:r>
    </w:p>
    <w:p w:rsidR="009759BE" w:rsidP="00A70C57" w14:paraId="75663D0A" w14:textId="77777777"/>
    <w:p w:rsidR="004444F1" w:rsidP="00235FB9" w14:paraId="41929FCA" w14:textId="28690202">
      <w:r>
        <w:t xml:space="preserve">For the first three years of the proposed regulatory action, </w:t>
      </w:r>
      <w:r>
        <w:t xml:space="preserve">Table </w:t>
      </w:r>
      <w:r w:rsidR="00B27249">
        <w:t>6</w:t>
      </w:r>
      <w:r>
        <w:t xml:space="preserve"> summarizes </w:t>
      </w:r>
      <w:r w:rsidRPr="007B76B3">
        <w:t>th</w:t>
      </w:r>
      <w:r>
        <w:t xml:space="preserve">e </w:t>
      </w:r>
      <w:r w:rsidR="00EA73D1">
        <w:t>estimated costs by subpart</w:t>
      </w:r>
      <w:r>
        <w:t>. We estimate the</w:t>
      </w:r>
      <w:r w:rsidR="00EA73D1">
        <w:t xml:space="preserve"> proposed regulatory action will</w:t>
      </w:r>
      <w:r>
        <w:t xml:space="preserve"> require</w:t>
      </w:r>
      <w:r w:rsidRPr="007B76B3">
        <w:t>, annually</w:t>
      </w:r>
      <w:r>
        <w:t xml:space="preserve"> for three years</w:t>
      </w:r>
      <w:r w:rsidRPr="007B76B3">
        <w:t xml:space="preserve">, </w:t>
      </w:r>
      <w:r w:rsidRPr="00EA73D1" w:rsidR="00EA73D1">
        <w:rPr>
          <w:b/>
          <w:bCs/>
        </w:rPr>
        <w:t>3,091</w:t>
      </w:r>
      <w:r w:rsidRPr="007B76B3">
        <w:rPr>
          <w:b/>
          <w:bCs/>
        </w:rPr>
        <w:t xml:space="preserve"> responses</w:t>
      </w:r>
      <w:r w:rsidRPr="007B76B3">
        <w:t xml:space="preserve"> totaling </w:t>
      </w:r>
      <w:r w:rsidR="00EA73D1">
        <w:rPr>
          <w:b/>
          <w:bCs/>
        </w:rPr>
        <w:t>47,299.25</w:t>
      </w:r>
      <w:r w:rsidRPr="007B76B3">
        <w:rPr>
          <w:b/>
          <w:bCs/>
        </w:rPr>
        <w:t xml:space="preserve"> annual hour</w:t>
      </w:r>
      <w:r w:rsidR="00702FE6">
        <w:rPr>
          <w:b/>
          <w:bCs/>
        </w:rPr>
        <w:t>s</w:t>
      </w:r>
      <w:r w:rsidRPr="007B76B3">
        <w:t xml:space="preserve">. We estimate the annual dollar value is </w:t>
      </w:r>
      <w:r w:rsidRPr="007B76B3">
        <w:rPr>
          <w:b/>
          <w:bCs/>
        </w:rPr>
        <w:t>$</w:t>
      </w:r>
      <w:r w:rsidR="00E56C81">
        <w:rPr>
          <w:b/>
          <w:bCs/>
        </w:rPr>
        <w:t>3</w:t>
      </w:r>
      <w:r w:rsidRPr="007B76B3">
        <w:rPr>
          <w:b/>
          <w:bCs/>
        </w:rPr>
        <w:t>,</w:t>
      </w:r>
      <w:r w:rsidR="00E56C81">
        <w:rPr>
          <w:b/>
          <w:bCs/>
        </w:rPr>
        <w:t>038</w:t>
      </w:r>
      <w:r w:rsidRPr="007B76B3">
        <w:rPr>
          <w:b/>
          <w:bCs/>
        </w:rPr>
        <w:t>,</w:t>
      </w:r>
      <w:r>
        <w:rPr>
          <w:b/>
          <w:bCs/>
        </w:rPr>
        <w:t>4</w:t>
      </w:r>
      <w:r w:rsidR="00E56C81">
        <w:rPr>
          <w:b/>
          <w:bCs/>
        </w:rPr>
        <w:t>19</w:t>
      </w:r>
      <w:r w:rsidRPr="007B76B3">
        <w:rPr>
          <w:b/>
          <w:bCs/>
        </w:rPr>
        <w:t xml:space="preserve"> </w:t>
      </w:r>
      <w:r w:rsidRPr="007B76B3">
        <w:t xml:space="preserve">(rounded). </w:t>
      </w:r>
    </w:p>
    <w:p w:rsidR="00A73792" w:rsidP="00235FB9" w14:paraId="7ED37290" w14:textId="77777777"/>
    <w:p w:rsidR="00EA73D1" w:rsidRPr="007B76B3" w:rsidP="00C37CE5" w14:paraId="77E61D26" w14:textId="6D7F7316">
      <w:pPr>
        <w:pStyle w:val="Heading3"/>
      </w:pPr>
      <w:bookmarkStart w:id="22" w:name="_Toc113867032"/>
      <w:r w:rsidRPr="00CF25F1">
        <w:t xml:space="preserve">Table </w:t>
      </w:r>
      <w:r w:rsidR="00B27249">
        <w:t>6</w:t>
      </w:r>
      <w:r w:rsidRPr="00CF25F1">
        <w:t xml:space="preserve">. </w:t>
      </w:r>
      <w:r w:rsidR="00B27249">
        <w:t xml:space="preserve"> Estimated p</w:t>
      </w:r>
      <w:r>
        <w:t>roposed action costs (years 1-3)</w:t>
      </w:r>
      <w:r w:rsidRPr="00CF25F1">
        <w:t xml:space="preserve"> </w:t>
      </w:r>
      <w:r>
        <w:t xml:space="preserve">by </w:t>
      </w:r>
      <w:r w:rsidR="00E52720">
        <w:t>s</w:t>
      </w:r>
      <w:r>
        <w:t>ubpart</w:t>
      </w:r>
      <w:bookmarkEnd w:id="22"/>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530"/>
        <w:gridCol w:w="1260"/>
        <w:gridCol w:w="1440"/>
      </w:tblGrid>
      <w:tr w14:paraId="1BB5DC5E" w14:textId="77777777" w:rsidTr="00784F9F">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5400" w:type="dxa"/>
            <w:shd w:val="clear" w:color="auto" w:fill="auto"/>
            <w:vAlign w:val="center"/>
          </w:tcPr>
          <w:p w:rsidR="00EA73D1" w:rsidRPr="009E096B" w:rsidP="00631247" w14:paraId="51F922F4" w14:textId="77777777">
            <w:pPr>
              <w:pStyle w:val="ListParagraph"/>
              <w:ind w:left="-19"/>
              <w:rPr>
                <w:b/>
                <w:bCs/>
              </w:rPr>
            </w:pPr>
            <w:r>
              <w:rPr>
                <w:b/>
                <w:bCs/>
              </w:rPr>
              <w:t>Proposed Regulatory Requirements</w:t>
            </w:r>
          </w:p>
        </w:tc>
        <w:tc>
          <w:tcPr>
            <w:tcW w:w="1530" w:type="dxa"/>
            <w:shd w:val="clear" w:color="auto" w:fill="auto"/>
            <w:vAlign w:val="center"/>
          </w:tcPr>
          <w:p w:rsidR="00EA73D1" w:rsidRPr="009E096B" w:rsidP="00631247" w14:paraId="5DBED70F" w14:textId="77777777">
            <w:pPr>
              <w:pStyle w:val="ListParagraph"/>
              <w:ind w:left="78"/>
              <w:jc w:val="center"/>
              <w:rPr>
                <w:b/>
                <w:bCs/>
              </w:rPr>
            </w:pPr>
            <w:r w:rsidRPr="009E096B">
              <w:rPr>
                <w:b/>
                <w:bCs/>
              </w:rPr>
              <w:t>Number of Responses</w:t>
            </w:r>
          </w:p>
        </w:tc>
        <w:tc>
          <w:tcPr>
            <w:tcW w:w="1260" w:type="dxa"/>
            <w:shd w:val="clear" w:color="auto" w:fill="auto"/>
            <w:vAlign w:val="center"/>
          </w:tcPr>
          <w:p w:rsidR="00EA73D1" w:rsidRPr="009E096B" w:rsidP="00631247" w14:paraId="7D4D5447" w14:textId="77777777">
            <w:pPr>
              <w:pStyle w:val="ListParagraph"/>
              <w:ind w:left="78"/>
              <w:jc w:val="center"/>
              <w:rPr>
                <w:b/>
                <w:bCs/>
              </w:rPr>
            </w:pPr>
            <w:r w:rsidRPr="009E096B">
              <w:rPr>
                <w:b/>
                <w:bCs/>
              </w:rPr>
              <w:t>Annual Hours</w:t>
            </w:r>
          </w:p>
        </w:tc>
        <w:tc>
          <w:tcPr>
            <w:tcW w:w="1440" w:type="dxa"/>
            <w:shd w:val="clear" w:color="auto" w:fill="auto"/>
            <w:vAlign w:val="center"/>
          </w:tcPr>
          <w:p w:rsidR="00EA73D1" w:rsidRPr="009E096B" w:rsidP="00631247" w14:paraId="1AA73556" w14:textId="77777777">
            <w:pPr>
              <w:pStyle w:val="ListParagraph"/>
              <w:ind w:left="78"/>
              <w:jc w:val="center"/>
              <w:rPr>
                <w:b/>
                <w:bCs/>
              </w:rPr>
            </w:pPr>
            <w:r w:rsidRPr="009E096B">
              <w:rPr>
                <w:b/>
                <w:bCs/>
              </w:rPr>
              <w:t>Annual Cost</w:t>
            </w:r>
          </w:p>
        </w:tc>
      </w:tr>
      <w:tr w14:paraId="6EF3FE8C" w14:textId="77777777" w:rsidTr="00784F9F">
        <w:tblPrEx>
          <w:tblW w:w="9630" w:type="dxa"/>
          <w:tblLayout w:type="fixed"/>
          <w:tblLook w:val="01E0"/>
        </w:tblPrEx>
        <w:trPr>
          <w:trHeight w:val="360"/>
        </w:trPr>
        <w:tc>
          <w:tcPr>
            <w:tcW w:w="5400" w:type="dxa"/>
            <w:shd w:val="clear" w:color="auto" w:fill="auto"/>
            <w:vAlign w:val="center"/>
          </w:tcPr>
          <w:p w:rsidR="00EA73D1" w:rsidRPr="009E096B" w:rsidP="00631247" w14:paraId="2AD3B780" w14:textId="77777777">
            <w:pPr>
              <w:pStyle w:val="ListParagraph"/>
              <w:ind w:left="-19"/>
            </w:pPr>
            <w:r w:rsidRPr="009E096B">
              <w:t xml:space="preserve">Subpart B </w:t>
            </w:r>
            <w:r w:rsidRPr="00C83AB3">
              <w:t>–</w:t>
            </w:r>
            <w:r w:rsidRPr="009E096B">
              <w:t xml:space="preserve"> Protection on Federal or Tribal Lands </w:t>
            </w:r>
          </w:p>
        </w:tc>
        <w:tc>
          <w:tcPr>
            <w:tcW w:w="1530" w:type="dxa"/>
            <w:shd w:val="clear" w:color="auto" w:fill="auto"/>
            <w:vAlign w:val="center"/>
          </w:tcPr>
          <w:p w:rsidR="00EA73D1" w:rsidRPr="009E096B" w:rsidP="00631247" w14:paraId="17336991" w14:textId="77777777">
            <w:pPr>
              <w:pStyle w:val="ListParagraph"/>
              <w:ind w:left="78"/>
              <w:jc w:val="right"/>
            </w:pPr>
            <w:r w:rsidRPr="009E096B">
              <w:t>124</w:t>
            </w:r>
          </w:p>
        </w:tc>
        <w:tc>
          <w:tcPr>
            <w:tcW w:w="1260" w:type="dxa"/>
            <w:shd w:val="clear" w:color="auto" w:fill="auto"/>
            <w:vAlign w:val="center"/>
          </w:tcPr>
          <w:p w:rsidR="00EA73D1" w:rsidRPr="009E096B" w:rsidP="00631247" w14:paraId="2A659EC4" w14:textId="77777777">
            <w:pPr>
              <w:pStyle w:val="ListParagraph"/>
              <w:ind w:left="78"/>
              <w:jc w:val="right"/>
            </w:pPr>
            <w:r w:rsidRPr="009E096B">
              <w:t>95</w:t>
            </w:r>
            <w:r>
              <w:t>0.75</w:t>
            </w:r>
          </w:p>
        </w:tc>
        <w:tc>
          <w:tcPr>
            <w:tcW w:w="1440" w:type="dxa"/>
            <w:shd w:val="clear" w:color="auto" w:fill="auto"/>
            <w:vAlign w:val="center"/>
          </w:tcPr>
          <w:p w:rsidR="00EA73D1" w:rsidRPr="009E096B" w:rsidP="00631247" w14:paraId="17889CCC" w14:textId="77777777">
            <w:pPr>
              <w:pStyle w:val="ListParagraph"/>
              <w:ind w:left="78"/>
              <w:jc w:val="right"/>
            </w:pPr>
            <w:r w:rsidRPr="009E096B">
              <w:t>$60,921</w:t>
            </w:r>
          </w:p>
        </w:tc>
      </w:tr>
      <w:tr w14:paraId="74F84BF6" w14:textId="77777777" w:rsidTr="00784F9F">
        <w:tblPrEx>
          <w:tblW w:w="9630" w:type="dxa"/>
          <w:tblLayout w:type="fixed"/>
          <w:tblLook w:val="01E0"/>
        </w:tblPrEx>
        <w:trPr>
          <w:trHeight w:val="360"/>
        </w:trPr>
        <w:tc>
          <w:tcPr>
            <w:tcW w:w="5400" w:type="dxa"/>
            <w:shd w:val="clear" w:color="auto" w:fill="auto"/>
            <w:vAlign w:val="center"/>
          </w:tcPr>
          <w:p w:rsidR="00EA73D1" w:rsidRPr="009E096B" w:rsidP="00631247" w14:paraId="217922CB" w14:textId="77777777">
            <w:pPr>
              <w:pStyle w:val="ListParagraph"/>
              <w:ind w:left="-19"/>
            </w:pPr>
            <w:r w:rsidRPr="009E096B">
              <w:t>Subpart C – Repatriation by Museum</w:t>
            </w:r>
            <w:r>
              <w:t>/</w:t>
            </w:r>
            <w:r w:rsidRPr="009E096B">
              <w:t>Federal agenc</w:t>
            </w:r>
            <w:r>
              <w:t>y</w:t>
            </w:r>
          </w:p>
        </w:tc>
        <w:tc>
          <w:tcPr>
            <w:tcW w:w="1530" w:type="dxa"/>
            <w:shd w:val="clear" w:color="auto" w:fill="auto"/>
            <w:vAlign w:val="center"/>
          </w:tcPr>
          <w:p w:rsidR="00EA73D1" w:rsidRPr="009E096B" w:rsidP="00631247" w14:paraId="3F3888CF" w14:textId="77777777">
            <w:pPr>
              <w:pStyle w:val="ListParagraph"/>
              <w:ind w:left="78"/>
              <w:jc w:val="right"/>
            </w:pPr>
            <w:r w:rsidRPr="009E096B">
              <w:t>2,962</w:t>
            </w:r>
          </w:p>
        </w:tc>
        <w:tc>
          <w:tcPr>
            <w:tcW w:w="1260" w:type="dxa"/>
            <w:shd w:val="clear" w:color="auto" w:fill="auto"/>
            <w:vAlign w:val="center"/>
          </w:tcPr>
          <w:p w:rsidR="00EA73D1" w:rsidRPr="009E096B" w:rsidP="00631247" w14:paraId="76E5367A" w14:textId="77777777">
            <w:pPr>
              <w:pStyle w:val="ListParagraph"/>
              <w:ind w:left="78"/>
              <w:jc w:val="right"/>
            </w:pPr>
            <w:r w:rsidRPr="009E096B">
              <w:t>46,262</w:t>
            </w:r>
            <w:r>
              <w:t>.25</w:t>
            </w:r>
          </w:p>
        </w:tc>
        <w:tc>
          <w:tcPr>
            <w:tcW w:w="1440" w:type="dxa"/>
            <w:shd w:val="clear" w:color="auto" w:fill="auto"/>
            <w:vAlign w:val="center"/>
          </w:tcPr>
          <w:p w:rsidR="00EA73D1" w:rsidRPr="009E096B" w:rsidP="00631247" w14:paraId="5267D8E3" w14:textId="77777777">
            <w:pPr>
              <w:pStyle w:val="ListParagraph"/>
              <w:ind w:left="78"/>
              <w:jc w:val="right"/>
            </w:pPr>
            <w:r w:rsidRPr="009E096B">
              <w:t>$2,971,955</w:t>
            </w:r>
          </w:p>
        </w:tc>
      </w:tr>
      <w:tr w14:paraId="64D25BE3" w14:textId="77777777" w:rsidTr="00784F9F">
        <w:tblPrEx>
          <w:tblW w:w="9630" w:type="dxa"/>
          <w:tblLayout w:type="fixed"/>
          <w:tblLook w:val="01E0"/>
        </w:tblPrEx>
        <w:trPr>
          <w:trHeight w:val="360"/>
        </w:trPr>
        <w:tc>
          <w:tcPr>
            <w:tcW w:w="5400" w:type="dxa"/>
            <w:shd w:val="clear" w:color="auto" w:fill="auto"/>
            <w:vAlign w:val="center"/>
          </w:tcPr>
          <w:p w:rsidR="00EA73D1" w:rsidRPr="009E096B" w:rsidP="00631247" w14:paraId="748711DA" w14:textId="77777777">
            <w:pPr>
              <w:pStyle w:val="ListParagraph"/>
              <w:ind w:left="-19"/>
            </w:pPr>
            <w:r w:rsidRPr="009E096B">
              <w:t xml:space="preserve">Subpart D – Review Committee </w:t>
            </w:r>
          </w:p>
        </w:tc>
        <w:tc>
          <w:tcPr>
            <w:tcW w:w="1530" w:type="dxa"/>
            <w:shd w:val="clear" w:color="auto" w:fill="auto"/>
            <w:vAlign w:val="center"/>
          </w:tcPr>
          <w:p w:rsidR="00EA73D1" w:rsidRPr="009E096B" w:rsidP="00631247" w14:paraId="7CC4D133" w14:textId="77777777">
            <w:pPr>
              <w:pStyle w:val="ListParagraph"/>
              <w:ind w:left="78"/>
              <w:jc w:val="right"/>
            </w:pPr>
            <w:r w:rsidRPr="009E096B">
              <w:t>5</w:t>
            </w:r>
          </w:p>
        </w:tc>
        <w:tc>
          <w:tcPr>
            <w:tcW w:w="1260" w:type="dxa"/>
            <w:shd w:val="clear" w:color="auto" w:fill="auto"/>
            <w:vAlign w:val="center"/>
          </w:tcPr>
          <w:p w:rsidR="00EA73D1" w:rsidRPr="009E096B" w:rsidP="00631247" w14:paraId="259A9F38" w14:textId="77777777">
            <w:pPr>
              <w:pStyle w:val="ListParagraph"/>
              <w:ind w:left="78"/>
              <w:jc w:val="right"/>
            </w:pPr>
            <w:r w:rsidRPr="009E096B">
              <w:t>86</w:t>
            </w:r>
            <w:r>
              <w:t>.25</w:t>
            </w:r>
          </w:p>
        </w:tc>
        <w:tc>
          <w:tcPr>
            <w:tcW w:w="1440" w:type="dxa"/>
            <w:shd w:val="clear" w:color="auto" w:fill="auto"/>
            <w:vAlign w:val="center"/>
          </w:tcPr>
          <w:p w:rsidR="00EA73D1" w:rsidRPr="009E096B" w:rsidP="00631247" w14:paraId="37DAED67" w14:textId="77777777">
            <w:pPr>
              <w:pStyle w:val="ListParagraph"/>
              <w:ind w:left="78"/>
              <w:jc w:val="right"/>
            </w:pPr>
            <w:r w:rsidRPr="009E096B">
              <w:t>$5,543</w:t>
            </w:r>
          </w:p>
        </w:tc>
      </w:tr>
      <w:tr w14:paraId="35312D0F" w14:textId="77777777" w:rsidTr="00784F9F">
        <w:tblPrEx>
          <w:tblW w:w="9630" w:type="dxa"/>
          <w:tblLayout w:type="fixed"/>
          <w:tblLook w:val="01E0"/>
        </w:tblPrEx>
        <w:trPr>
          <w:trHeight w:val="360"/>
        </w:trPr>
        <w:tc>
          <w:tcPr>
            <w:tcW w:w="5400" w:type="dxa"/>
            <w:shd w:val="clear" w:color="auto" w:fill="auto"/>
            <w:vAlign w:val="center"/>
          </w:tcPr>
          <w:p w:rsidR="00EA73D1" w:rsidRPr="009E096B" w:rsidP="00631247" w14:paraId="751BFAA3" w14:textId="77777777">
            <w:pPr>
              <w:pStyle w:val="ListParagraph"/>
              <w:ind w:left="-19"/>
              <w:jc w:val="right"/>
              <w:rPr>
                <w:b/>
                <w:bCs/>
              </w:rPr>
            </w:pPr>
            <w:r w:rsidRPr="009E096B">
              <w:rPr>
                <w:b/>
                <w:bCs/>
              </w:rPr>
              <w:t xml:space="preserve">Total </w:t>
            </w:r>
          </w:p>
        </w:tc>
        <w:tc>
          <w:tcPr>
            <w:tcW w:w="1530" w:type="dxa"/>
            <w:shd w:val="clear" w:color="auto" w:fill="auto"/>
            <w:vAlign w:val="center"/>
          </w:tcPr>
          <w:p w:rsidR="00EA73D1" w:rsidRPr="009E096B" w:rsidP="00631247" w14:paraId="4D6B43FD" w14:textId="77777777">
            <w:pPr>
              <w:pStyle w:val="ListParagraph"/>
              <w:ind w:left="78"/>
              <w:jc w:val="right"/>
              <w:rPr>
                <w:b/>
                <w:bCs/>
              </w:rPr>
            </w:pPr>
            <w:r w:rsidRPr="009E096B">
              <w:rPr>
                <w:b/>
                <w:bCs/>
              </w:rPr>
              <w:t>3,091</w:t>
            </w:r>
            <w:r w:rsidRPr="009E096B">
              <w:rPr>
                <w:b/>
                <w:bCs/>
              </w:rPr>
              <w:fldChar w:fldCharType="begin"/>
            </w:r>
            <w:r w:rsidRPr="009E096B">
              <w:rPr>
                <w:b/>
                <w:bCs/>
              </w:rPr>
              <w:instrText xml:space="preserve">  </w:instrText>
            </w:r>
            <w:r w:rsidRPr="009E096B">
              <w:fldChar w:fldCharType="end"/>
            </w:r>
          </w:p>
        </w:tc>
        <w:tc>
          <w:tcPr>
            <w:tcW w:w="1260" w:type="dxa"/>
            <w:shd w:val="clear" w:color="auto" w:fill="auto"/>
            <w:vAlign w:val="center"/>
          </w:tcPr>
          <w:p w:rsidR="00EA73D1" w:rsidRPr="009E096B" w:rsidP="00631247" w14:paraId="271C15A8" w14:textId="77777777">
            <w:pPr>
              <w:pStyle w:val="ListParagraph"/>
              <w:ind w:left="78"/>
              <w:jc w:val="right"/>
              <w:rPr>
                <w:b/>
                <w:bCs/>
              </w:rPr>
            </w:pPr>
            <w:r w:rsidRPr="009E096B">
              <w:rPr>
                <w:b/>
                <w:bCs/>
              </w:rPr>
              <w:t>47,299</w:t>
            </w:r>
            <w:r>
              <w:rPr>
                <w:b/>
                <w:bCs/>
              </w:rPr>
              <w:t>.25</w:t>
            </w:r>
          </w:p>
        </w:tc>
        <w:tc>
          <w:tcPr>
            <w:tcW w:w="1440" w:type="dxa"/>
            <w:shd w:val="clear" w:color="auto" w:fill="auto"/>
            <w:vAlign w:val="center"/>
          </w:tcPr>
          <w:p w:rsidR="00EA73D1" w:rsidRPr="009E096B" w:rsidP="00631247" w14:paraId="7B779236" w14:textId="77777777">
            <w:pPr>
              <w:pStyle w:val="ListParagraph"/>
              <w:ind w:left="78"/>
              <w:jc w:val="right"/>
              <w:rPr>
                <w:b/>
                <w:bCs/>
              </w:rPr>
            </w:pPr>
            <w:r w:rsidRPr="009E096B">
              <w:rPr>
                <w:b/>
                <w:bCs/>
              </w:rPr>
              <w:t>$3,038,419</w:t>
            </w:r>
          </w:p>
        </w:tc>
      </w:tr>
    </w:tbl>
    <w:p w:rsidR="00EA73D1" w:rsidP="00235FB9" w14:paraId="52F6EAE3" w14:textId="77777777">
      <w:pPr>
        <w:rPr>
          <w:b/>
          <w:bCs/>
          <w:i/>
          <w:iCs/>
        </w:rPr>
      </w:pPr>
    </w:p>
    <w:p w:rsidR="00A73792" w:rsidP="00235FB9" w14:paraId="21CEC968" w14:textId="77777777">
      <w:pPr>
        <w:rPr>
          <w:b/>
          <w:bCs/>
          <w:i/>
          <w:iCs/>
        </w:rPr>
      </w:pPr>
    </w:p>
    <w:p w:rsidR="00C34B7D" w:rsidP="00136425" w14:paraId="2452A442" w14:textId="398F7C3C">
      <w:pPr>
        <w:pStyle w:val="ListParagraph"/>
        <w:ind w:left="0"/>
      </w:pPr>
      <w:r w:rsidRPr="00930CEE">
        <w:t xml:space="preserve">Under </w:t>
      </w:r>
      <w:r w:rsidR="00E52720">
        <w:t>the proposed regulatory action</w:t>
      </w:r>
      <w:r w:rsidRPr="00930CEE">
        <w:t xml:space="preserve">, </w:t>
      </w:r>
      <w:r>
        <w:t xml:space="preserve">different parties are responsible for carrying out the various regulatory requirements in each subpart. The Appendix to this report provides detailed information on each regulatory requirement and the method for creating this estimate. Table </w:t>
      </w:r>
      <w:r w:rsidR="00E52720">
        <w:t>7</w:t>
      </w:r>
      <w:r>
        <w:t xml:space="preserve"> summarizes the </w:t>
      </w:r>
      <w:r w:rsidR="00ED28CD">
        <w:t xml:space="preserve">proposed regulatory action </w:t>
      </w:r>
      <w:r>
        <w:t>costs</w:t>
      </w:r>
      <w:r w:rsidR="00136425">
        <w:t>, annually for three years,</w:t>
      </w:r>
      <w:r>
        <w:t xml:space="preserve"> for each responsible party.</w:t>
      </w:r>
    </w:p>
    <w:p w:rsidR="00A43A0A" w:rsidP="00B36541" w14:paraId="54090F51" w14:textId="1B5A5A5E"/>
    <w:p w:rsidR="00767284" w:rsidP="00B36541" w14:paraId="1287C307" w14:textId="77777777"/>
    <w:p w:rsidR="00BD0712" w:rsidP="00C37CE5" w14:paraId="67320D0E" w14:textId="7D89BE1F">
      <w:pPr>
        <w:pStyle w:val="Heading3"/>
      </w:pPr>
      <w:bookmarkStart w:id="23" w:name="_Toc113867033"/>
      <w:r>
        <w:t>T</w:t>
      </w:r>
      <w:r w:rsidRPr="00CF25F1">
        <w:t xml:space="preserve">able </w:t>
      </w:r>
      <w:r w:rsidR="009B7666">
        <w:t>7</w:t>
      </w:r>
      <w:r w:rsidRPr="00CF25F1">
        <w:t xml:space="preserve">. </w:t>
      </w:r>
      <w:r w:rsidR="00A33CF4">
        <w:t xml:space="preserve"> </w:t>
      </w:r>
      <w:r w:rsidR="00767284">
        <w:t>Estimated</w:t>
      </w:r>
      <w:r w:rsidRPr="00CF25F1">
        <w:t xml:space="preserve"> </w:t>
      </w:r>
      <w:r w:rsidR="00251D4F">
        <w:t>proposed action</w:t>
      </w:r>
      <w:r w:rsidR="00132608">
        <w:t xml:space="preserve"> costs</w:t>
      </w:r>
      <w:r w:rsidR="00251D4F">
        <w:t xml:space="preserve"> (years 1-3)</w:t>
      </w:r>
      <w:r>
        <w:t xml:space="preserve"> by responsible party</w:t>
      </w:r>
      <w:bookmarkEnd w:id="23"/>
    </w:p>
    <w:tbl>
      <w:tblPr>
        <w:tblStyle w:val="TableGrid"/>
        <w:tblW w:w="9180" w:type="dxa"/>
        <w:tblLayout w:type="fixed"/>
        <w:tblLook w:val="04A0"/>
      </w:tblPr>
      <w:tblGrid>
        <w:gridCol w:w="2610"/>
        <w:gridCol w:w="1350"/>
        <w:gridCol w:w="1440"/>
        <w:gridCol w:w="1350"/>
        <w:gridCol w:w="990"/>
        <w:gridCol w:w="1440"/>
      </w:tblGrid>
      <w:tr w14:paraId="47B5A69B" w14:textId="77777777" w:rsidTr="00767284">
        <w:tblPrEx>
          <w:tblW w:w="9180" w:type="dxa"/>
          <w:tblLayout w:type="fixed"/>
          <w:tblLook w:val="04A0"/>
        </w:tblPrEx>
        <w:trPr>
          <w:trHeight w:val="360"/>
        </w:trPr>
        <w:tc>
          <w:tcPr>
            <w:tcW w:w="2610" w:type="dxa"/>
            <w:vAlign w:val="center"/>
          </w:tcPr>
          <w:p w:rsidR="00132608" w:rsidRPr="00204D03" w:rsidP="009D0B2E" w14:paraId="4C8F453B" w14:textId="77777777">
            <w:pPr>
              <w:pStyle w:val="ListParagraph"/>
              <w:ind w:left="0"/>
              <w:rPr>
                <w:b/>
                <w:bCs/>
              </w:rPr>
            </w:pPr>
            <w:r w:rsidRPr="00204D03">
              <w:rPr>
                <w:b/>
                <w:bCs/>
              </w:rPr>
              <w:t>Responsible party</w:t>
            </w:r>
          </w:p>
        </w:tc>
        <w:tc>
          <w:tcPr>
            <w:tcW w:w="1350" w:type="dxa"/>
            <w:vAlign w:val="center"/>
          </w:tcPr>
          <w:p w:rsidR="00132608" w:rsidRPr="00204D03" w:rsidP="009D0B2E" w14:paraId="2F5FBB3B" w14:textId="77777777">
            <w:pPr>
              <w:pStyle w:val="ListParagraph"/>
              <w:ind w:left="0"/>
              <w:jc w:val="center"/>
              <w:rPr>
                <w:b/>
                <w:bCs/>
              </w:rPr>
            </w:pPr>
            <w:r w:rsidRPr="00204D03">
              <w:rPr>
                <w:b/>
                <w:bCs/>
              </w:rPr>
              <w:t>Number of responses</w:t>
            </w:r>
          </w:p>
        </w:tc>
        <w:tc>
          <w:tcPr>
            <w:tcW w:w="1440" w:type="dxa"/>
            <w:vAlign w:val="center"/>
          </w:tcPr>
          <w:p w:rsidR="00132608" w:rsidRPr="00204D03" w:rsidP="009D0B2E" w14:paraId="069E9543" w14:textId="77777777">
            <w:pPr>
              <w:pStyle w:val="ListParagraph"/>
              <w:ind w:left="0"/>
              <w:jc w:val="center"/>
              <w:rPr>
                <w:b/>
                <w:bCs/>
              </w:rPr>
            </w:pPr>
            <w:r w:rsidRPr="00204D03">
              <w:rPr>
                <w:b/>
                <w:bCs/>
              </w:rPr>
              <w:t>Time per response</w:t>
            </w:r>
          </w:p>
        </w:tc>
        <w:tc>
          <w:tcPr>
            <w:tcW w:w="1350" w:type="dxa"/>
            <w:vAlign w:val="center"/>
          </w:tcPr>
          <w:p w:rsidR="00132608" w:rsidRPr="00204D03" w:rsidP="009D0B2E" w14:paraId="0CD0E21E" w14:textId="77777777">
            <w:pPr>
              <w:pStyle w:val="ListParagraph"/>
              <w:ind w:left="0"/>
              <w:jc w:val="center"/>
              <w:rPr>
                <w:b/>
                <w:bCs/>
              </w:rPr>
            </w:pPr>
            <w:r w:rsidRPr="00204D03">
              <w:rPr>
                <w:b/>
                <w:bCs/>
              </w:rPr>
              <w:t>Annual Hours</w:t>
            </w:r>
          </w:p>
        </w:tc>
        <w:tc>
          <w:tcPr>
            <w:tcW w:w="990" w:type="dxa"/>
            <w:vAlign w:val="center"/>
          </w:tcPr>
          <w:p w:rsidR="00132608" w:rsidRPr="00204D03" w:rsidP="009D0B2E" w14:paraId="447F43E8" w14:textId="77777777">
            <w:pPr>
              <w:pStyle w:val="ListParagraph"/>
              <w:ind w:left="0"/>
              <w:jc w:val="center"/>
              <w:rPr>
                <w:b/>
                <w:bCs/>
              </w:rPr>
            </w:pPr>
            <w:r w:rsidRPr="00204D03">
              <w:rPr>
                <w:b/>
                <w:bCs/>
              </w:rPr>
              <w:t>Hourly Rate</w:t>
            </w:r>
          </w:p>
        </w:tc>
        <w:tc>
          <w:tcPr>
            <w:tcW w:w="1440" w:type="dxa"/>
            <w:vAlign w:val="center"/>
          </w:tcPr>
          <w:p w:rsidR="00132608" w:rsidRPr="00204D03" w:rsidP="009D0B2E" w14:paraId="615CFF29" w14:textId="77777777">
            <w:pPr>
              <w:pStyle w:val="ListParagraph"/>
              <w:ind w:left="0"/>
              <w:jc w:val="center"/>
              <w:rPr>
                <w:b/>
                <w:bCs/>
              </w:rPr>
            </w:pPr>
            <w:r w:rsidRPr="00204D03">
              <w:rPr>
                <w:b/>
                <w:bCs/>
              </w:rPr>
              <w:t>Annual Costs</w:t>
            </w:r>
          </w:p>
        </w:tc>
      </w:tr>
      <w:tr w14:paraId="4C32A158" w14:textId="77777777" w:rsidTr="00767284">
        <w:tblPrEx>
          <w:tblW w:w="9180" w:type="dxa"/>
          <w:tblLayout w:type="fixed"/>
          <w:tblLook w:val="04A0"/>
        </w:tblPrEx>
        <w:trPr>
          <w:trHeight w:val="360"/>
        </w:trPr>
        <w:tc>
          <w:tcPr>
            <w:tcW w:w="2610" w:type="dxa"/>
            <w:vAlign w:val="center"/>
          </w:tcPr>
          <w:p w:rsidR="00132608" w:rsidRPr="00204D03" w:rsidP="009D0B2E" w14:paraId="0E51AE6C" w14:textId="77777777">
            <w:pPr>
              <w:pStyle w:val="ListParagraph"/>
              <w:ind w:left="0"/>
            </w:pPr>
            <w:r w:rsidRPr="00204D03">
              <w:t>Any person</w:t>
            </w:r>
          </w:p>
        </w:tc>
        <w:tc>
          <w:tcPr>
            <w:tcW w:w="1350" w:type="dxa"/>
            <w:vAlign w:val="center"/>
          </w:tcPr>
          <w:p w:rsidR="00132608" w:rsidRPr="00204D03" w:rsidP="009D0B2E" w14:paraId="6E9D2D03" w14:textId="77777777">
            <w:pPr>
              <w:pStyle w:val="ListParagraph"/>
              <w:ind w:left="0"/>
              <w:jc w:val="right"/>
            </w:pPr>
            <w:r w:rsidRPr="00204D03">
              <w:t>1</w:t>
            </w:r>
            <w:r>
              <w:t>7</w:t>
            </w:r>
          </w:p>
        </w:tc>
        <w:tc>
          <w:tcPr>
            <w:tcW w:w="1440" w:type="dxa"/>
            <w:vAlign w:val="center"/>
          </w:tcPr>
          <w:p w:rsidR="00132608" w:rsidRPr="00204D03" w:rsidP="009D0B2E" w14:paraId="1ED4CCBE" w14:textId="77777777">
            <w:pPr>
              <w:pStyle w:val="ListParagraph"/>
              <w:ind w:left="0"/>
              <w:jc w:val="right"/>
            </w:pPr>
            <w:r w:rsidRPr="00204D03">
              <w:t>0.50</w:t>
            </w:r>
            <w:r>
              <w:t>-1.25</w:t>
            </w:r>
          </w:p>
        </w:tc>
        <w:tc>
          <w:tcPr>
            <w:tcW w:w="1350" w:type="dxa"/>
            <w:vAlign w:val="center"/>
          </w:tcPr>
          <w:p w:rsidR="00132608" w:rsidRPr="00204D03" w:rsidP="009D0B2E" w14:paraId="64BF6A37" w14:textId="77777777">
            <w:pPr>
              <w:pStyle w:val="ListParagraph"/>
              <w:ind w:left="0"/>
              <w:jc w:val="right"/>
            </w:pPr>
            <w:r>
              <w:t>10.00</w:t>
            </w:r>
          </w:p>
        </w:tc>
        <w:tc>
          <w:tcPr>
            <w:tcW w:w="990" w:type="dxa"/>
            <w:vAlign w:val="center"/>
          </w:tcPr>
          <w:p w:rsidR="00132608" w:rsidRPr="00204D03" w:rsidP="009D0B2E" w14:paraId="1E5AADFA" w14:textId="77777777">
            <w:pPr>
              <w:pStyle w:val="ListParagraph"/>
              <w:ind w:left="0"/>
              <w:jc w:val="right"/>
            </w:pPr>
            <w:r w:rsidRPr="00204D03">
              <w:t>$40.90</w:t>
            </w:r>
          </w:p>
        </w:tc>
        <w:tc>
          <w:tcPr>
            <w:tcW w:w="1440" w:type="dxa"/>
            <w:vAlign w:val="center"/>
          </w:tcPr>
          <w:p w:rsidR="00132608" w:rsidRPr="00204D03" w:rsidP="009D0B2E" w14:paraId="17D11C2D" w14:textId="77777777">
            <w:pPr>
              <w:pStyle w:val="ListParagraph"/>
              <w:ind w:left="0"/>
              <w:jc w:val="right"/>
            </w:pPr>
            <w:r w:rsidRPr="00204D03">
              <w:t>$</w:t>
            </w:r>
            <w:r>
              <w:t>4</w:t>
            </w:r>
            <w:r w:rsidRPr="00204D03">
              <w:t>0</w:t>
            </w:r>
            <w:r>
              <w:t>9</w:t>
            </w:r>
          </w:p>
        </w:tc>
      </w:tr>
      <w:tr w14:paraId="7A0BDF19" w14:textId="77777777" w:rsidTr="00767284">
        <w:tblPrEx>
          <w:tblW w:w="9180" w:type="dxa"/>
          <w:tblLayout w:type="fixed"/>
          <w:tblLook w:val="04A0"/>
        </w:tblPrEx>
        <w:trPr>
          <w:trHeight w:val="360"/>
        </w:trPr>
        <w:tc>
          <w:tcPr>
            <w:tcW w:w="2610" w:type="dxa"/>
            <w:vAlign w:val="center"/>
          </w:tcPr>
          <w:p w:rsidR="00132608" w:rsidRPr="00204D03" w:rsidP="009D0B2E" w14:paraId="2671AF68" w14:textId="77777777">
            <w:pPr>
              <w:pStyle w:val="ListParagraph"/>
              <w:ind w:left="0"/>
            </w:pPr>
            <w:r>
              <w:t>Lineal descendants</w:t>
            </w:r>
          </w:p>
        </w:tc>
        <w:tc>
          <w:tcPr>
            <w:tcW w:w="1350" w:type="dxa"/>
            <w:vAlign w:val="center"/>
          </w:tcPr>
          <w:p w:rsidR="00132608" w:rsidRPr="00204D03" w:rsidP="009D0B2E" w14:paraId="7262E240" w14:textId="71A91882">
            <w:pPr>
              <w:pStyle w:val="ListParagraph"/>
              <w:ind w:left="0"/>
              <w:jc w:val="right"/>
            </w:pPr>
            <w:r>
              <w:t>9</w:t>
            </w:r>
          </w:p>
        </w:tc>
        <w:tc>
          <w:tcPr>
            <w:tcW w:w="1440" w:type="dxa"/>
            <w:vAlign w:val="center"/>
          </w:tcPr>
          <w:p w:rsidR="00132608" w:rsidRPr="00204D03" w:rsidP="009D0B2E" w14:paraId="568E974D" w14:textId="77777777">
            <w:pPr>
              <w:pStyle w:val="ListParagraph"/>
              <w:ind w:left="0"/>
              <w:jc w:val="right"/>
            </w:pPr>
            <w:r>
              <w:t>1.25-5.25</w:t>
            </w:r>
          </w:p>
        </w:tc>
        <w:tc>
          <w:tcPr>
            <w:tcW w:w="1350" w:type="dxa"/>
            <w:vAlign w:val="center"/>
          </w:tcPr>
          <w:p w:rsidR="00132608" w:rsidRPr="00204D03" w:rsidP="009D0B2E" w14:paraId="374F4E19" w14:textId="391B6143">
            <w:pPr>
              <w:pStyle w:val="ListParagraph"/>
              <w:ind w:left="0"/>
              <w:jc w:val="right"/>
            </w:pPr>
            <w:r>
              <w:t>31.25</w:t>
            </w:r>
          </w:p>
        </w:tc>
        <w:tc>
          <w:tcPr>
            <w:tcW w:w="990" w:type="dxa"/>
            <w:vAlign w:val="center"/>
          </w:tcPr>
          <w:p w:rsidR="00132608" w:rsidRPr="00204D03" w:rsidP="009D0B2E" w14:paraId="7873E8D9" w14:textId="77777777">
            <w:pPr>
              <w:pStyle w:val="ListParagraph"/>
              <w:ind w:left="0"/>
              <w:jc w:val="right"/>
            </w:pPr>
            <w:r>
              <w:t>$38.61</w:t>
            </w:r>
          </w:p>
        </w:tc>
        <w:tc>
          <w:tcPr>
            <w:tcW w:w="1440" w:type="dxa"/>
            <w:vAlign w:val="center"/>
          </w:tcPr>
          <w:p w:rsidR="00132608" w:rsidRPr="00204D03" w:rsidP="009D0B2E" w14:paraId="11B8CFE3" w14:textId="1EC31FE7">
            <w:pPr>
              <w:pStyle w:val="ListParagraph"/>
              <w:ind w:left="0"/>
              <w:jc w:val="right"/>
            </w:pPr>
            <w:r>
              <w:t>$1,207</w:t>
            </w:r>
          </w:p>
        </w:tc>
      </w:tr>
      <w:tr w14:paraId="3B5A4677" w14:textId="77777777" w:rsidTr="00767284">
        <w:tblPrEx>
          <w:tblW w:w="9180" w:type="dxa"/>
          <w:tblLayout w:type="fixed"/>
          <w:tblLook w:val="04A0"/>
        </w:tblPrEx>
        <w:trPr>
          <w:trHeight w:val="360"/>
        </w:trPr>
        <w:tc>
          <w:tcPr>
            <w:tcW w:w="2610" w:type="dxa"/>
            <w:vAlign w:val="center"/>
          </w:tcPr>
          <w:p w:rsidR="009569AE" w:rsidRPr="00204D03" w:rsidP="009569AE" w14:paraId="12592753" w14:textId="77777777">
            <w:pPr>
              <w:pStyle w:val="ListParagraph"/>
              <w:ind w:left="0"/>
            </w:pPr>
            <w:r w:rsidRPr="00204D03">
              <w:t xml:space="preserve">Any </w:t>
            </w:r>
            <w:r>
              <w:t>affected party</w:t>
            </w:r>
          </w:p>
        </w:tc>
        <w:tc>
          <w:tcPr>
            <w:tcW w:w="1350" w:type="dxa"/>
            <w:vAlign w:val="center"/>
          </w:tcPr>
          <w:p w:rsidR="009569AE" w:rsidRPr="00204D03" w:rsidP="009569AE" w14:paraId="014654A0" w14:textId="77777777">
            <w:pPr>
              <w:pStyle w:val="ListParagraph"/>
              <w:ind w:left="0"/>
              <w:jc w:val="right"/>
            </w:pPr>
            <w:r>
              <w:t>5</w:t>
            </w:r>
          </w:p>
        </w:tc>
        <w:tc>
          <w:tcPr>
            <w:tcW w:w="1440" w:type="dxa"/>
            <w:vAlign w:val="center"/>
          </w:tcPr>
          <w:p w:rsidR="009569AE" w:rsidRPr="00204D03" w:rsidP="009569AE" w14:paraId="02293DD1" w14:textId="77777777">
            <w:pPr>
              <w:pStyle w:val="ListParagraph"/>
              <w:ind w:left="0"/>
              <w:jc w:val="right"/>
            </w:pPr>
            <w:r>
              <w:t>5.25-25.25</w:t>
            </w:r>
          </w:p>
        </w:tc>
        <w:tc>
          <w:tcPr>
            <w:tcW w:w="1350" w:type="dxa"/>
            <w:vAlign w:val="center"/>
          </w:tcPr>
          <w:p w:rsidR="009569AE" w:rsidRPr="00204D03" w:rsidP="009569AE" w14:paraId="03353D8B" w14:textId="77777777">
            <w:pPr>
              <w:pStyle w:val="ListParagraph"/>
              <w:ind w:left="0"/>
              <w:jc w:val="right"/>
            </w:pPr>
            <w:r>
              <w:t>86.25</w:t>
            </w:r>
          </w:p>
        </w:tc>
        <w:tc>
          <w:tcPr>
            <w:tcW w:w="990" w:type="dxa"/>
            <w:vAlign w:val="center"/>
          </w:tcPr>
          <w:p w:rsidR="009569AE" w:rsidRPr="00204D03" w:rsidP="009569AE" w14:paraId="2C86A877" w14:textId="77777777">
            <w:pPr>
              <w:pStyle w:val="ListParagraph"/>
              <w:ind w:left="0"/>
              <w:jc w:val="right"/>
            </w:pPr>
            <w:r w:rsidRPr="00204D03">
              <w:t>$</w:t>
            </w:r>
            <w:r>
              <w:t>64.26</w:t>
            </w:r>
          </w:p>
        </w:tc>
        <w:tc>
          <w:tcPr>
            <w:tcW w:w="1440" w:type="dxa"/>
            <w:vAlign w:val="center"/>
          </w:tcPr>
          <w:p w:rsidR="009569AE" w:rsidRPr="00204D03" w:rsidP="009569AE" w14:paraId="44F9B9D0" w14:textId="77777777">
            <w:pPr>
              <w:pStyle w:val="ListParagraph"/>
              <w:ind w:left="0"/>
              <w:jc w:val="right"/>
            </w:pPr>
            <w:r>
              <w:t>$5,543</w:t>
            </w:r>
          </w:p>
        </w:tc>
      </w:tr>
      <w:tr w14:paraId="1856BE9F" w14:textId="77777777" w:rsidTr="00767284">
        <w:tblPrEx>
          <w:tblW w:w="9180" w:type="dxa"/>
          <w:tblLayout w:type="fixed"/>
          <w:tblLook w:val="04A0"/>
        </w:tblPrEx>
        <w:trPr>
          <w:trHeight w:val="360"/>
        </w:trPr>
        <w:tc>
          <w:tcPr>
            <w:tcW w:w="2610" w:type="dxa"/>
            <w:vAlign w:val="center"/>
          </w:tcPr>
          <w:p w:rsidR="00132608" w:rsidRPr="00204D03" w:rsidP="009D0B2E" w14:paraId="66F12826" w14:textId="77777777">
            <w:pPr>
              <w:pStyle w:val="ListParagraph"/>
              <w:ind w:left="0"/>
            </w:pPr>
            <w:r w:rsidRPr="00204D03">
              <w:t>Indian Tribes/NHOs</w:t>
            </w:r>
          </w:p>
        </w:tc>
        <w:tc>
          <w:tcPr>
            <w:tcW w:w="1350" w:type="dxa"/>
            <w:vAlign w:val="center"/>
          </w:tcPr>
          <w:p w:rsidR="00132608" w:rsidRPr="00204D03" w:rsidP="009D0B2E" w14:paraId="4C9E26FA" w14:textId="46728008">
            <w:pPr>
              <w:pStyle w:val="ListParagraph"/>
              <w:ind w:left="0"/>
              <w:jc w:val="right"/>
            </w:pPr>
            <w:r>
              <w:t>590</w:t>
            </w:r>
          </w:p>
        </w:tc>
        <w:tc>
          <w:tcPr>
            <w:tcW w:w="1440" w:type="dxa"/>
            <w:vAlign w:val="center"/>
          </w:tcPr>
          <w:p w:rsidR="00132608" w:rsidRPr="00204D03" w:rsidP="009D0B2E" w14:paraId="6A4A113F" w14:textId="7B00803E">
            <w:pPr>
              <w:pStyle w:val="ListParagraph"/>
              <w:ind w:left="0"/>
              <w:jc w:val="right"/>
            </w:pPr>
            <w:r>
              <w:t>0.50-5.25</w:t>
            </w:r>
          </w:p>
        </w:tc>
        <w:tc>
          <w:tcPr>
            <w:tcW w:w="1350" w:type="dxa"/>
            <w:vAlign w:val="center"/>
          </w:tcPr>
          <w:p w:rsidR="00132608" w:rsidRPr="00204D03" w:rsidP="009D0B2E" w14:paraId="36848237" w14:textId="7FFAACD2">
            <w:pPr>
              <w:pStyle w:val="ListParagraph"/>
              <w:ind w:left="0"/>
              <w:jc w:val="right"/>
            </w:pPr>
            <w:r>
              <w:t>2,078.50</w:t>
            </w:r>
          </w:p>
        </w:tc>
        <w:tc>
          <w:tcPr>
            <w:tcW w:w="990" w:type="dxa"/>
            <w:vAlign w:val="center"/>
          </w:tcPr>
          <w:p w:rsidR="00132608" w:rsidRPr="00204D03" w:rsidP="009D0B2E" w14:paraId="14845A24" w14:textId="77777777">
            <w:pPr>
              <w:pStyle w:val="ListParagraph"/>
              <w:ind w:left="0"/>
              <w:jc w:val="right"/>
            </w:pPr>
            <w:r w:rsidRPr="00204D03">
              <w:t>$64.26</w:t>
            </w:r>
          </w:p>
        </w:tc>
        <w:tc>
          <w:tcPr>
            <w:tcW w:w="1440" w:type="dxa"/>
            <w:vAlign w:val="center"/>
          </w:tcPr>
          <w:p w:rsidR="00132608" w:rsidRPr="00204D03" w:rsidP="009D0B2E" w14:paraId="3482C89B" w14:textId="196C574C">
            <w:pPr>
              <w:pStyle w:val="ListParagraph"/>
              <w:ind w:left="0"/>
              <w:jc w:val="right"/>
            </w:pPr>
            <w:r>
              <w:t>$133,564</w:t>
            </w:r>
          </w:p>
        </w:tc>
      </w:tr>
      <w:tr w14:paraId="219B61C6" w14:textId="77777777" w:rsidTr="00767284">
        <w:tblPrEx>
          <w:tblW w:w="9180" w:type="dxa"/>
          <w:tblLayout w:type="fixed"/>
          <w:tblLook w:val="04A0"/>
        </w:tblPrEx>
        <w:trPr>
          <w:trHeight w:val="360"/>
        </w:trPr>
        <w:tc>
          <w:tcPr>
            <w:tcW w:w="2610" w:type="dxa"/>
            <w:vAlign w:val="center"/>
          </w:tcPr>
          <w:p w:rsidR="00132608" w:rsidRPr="00204D03" w:rsidP="009D0B2E" w14:paraId="6752F6E5" w14:textId="77777777">
            <w:pPr>
              <w:pStyle w:val="ListParagraph"/>
              <w:ind w:left="0"/>
            </w:pPr>
            <w:r w:rsidRPr="00204D03">
              <w:t>Federal agencies</w:t>
            </w:r>
          </w:p>
        </w:tc>
        <w:tc>
          <w:tcPr>
            <w:tcW w:w="1350" w:type="dxa"/>
            <w:vAlign w:val="center"/>
          </w:tcPr>
          <w:p w:rsidR="00132608" w:rsidRPr="00204D03" w:rsidP="009D0B2E" w14:paraId="74D6AC18" w14:textId="01151FB1">
            <w:pPr>
              <w:pStyle w:val="ListParagraph"/>
              <w:ind w:left="0"/>
              <w:jc w:val="right"/>
            </w:pPr>
            <w:r>
              <w:t>636</w:t>
            </w:r>
          </w:p>
        </w:tc>
        <w:tc>
          <w:tcPr>
            <w:tcW w:w="1440" w:type="dxa"/>
            <w:vAlign w:val="center"/>
          </w:tcPr>
          <w:p w:rsidR="00132608" w:rsidRPr="00204D03" w:rsidP="009D0B2E" w14:paraId="6A950D0D" w14:textId="77777777">
            <w:pPr>
              <w:pStyle w:val="ListParagraph"/>
              <w:ind w:left="0"/>
              <w:jc w:val="right"/>
            </w:pPr>
            <w:r>
              <w:t>2</w:t>
            </w:r>
            <w:r w:rsidRPr="00204D03">
              <w:t>.</w:t>
            </w:r>
            <w:r>
              <w:t>7</w:t>
            </w:r>
            <w:r w:rsidRPr="00204D03">
              <w:t>5-</w:t>
            </w:r>
            <w:r>
              <w:t>155.00</w:t>
            </w:r>
          </w:p>
        </w:tc>
        <w:tc>
          <w:tcPr>
            <w:tcW w:w="1350" w:type="dxa"/>
            <w:vAlign w:val="center"/>
          </w:tcPr>
          <w:p w:rsidR="00132608" w:rsidRPr="00204D03" w:rsidP="009D0B2E" w14:paraId="7322A122" w14:textId="19EAA99D">
            <w:pPr>
              <w:pStyle w:val="ListParagraph"/>
              <w:ind w:left="0"/>
              <w:jc w:val="right"/>
            </w:pPr>
            <w:r>
              <w:t>10,756.25</w:t>
            </w:r>
          </w:p>
        </w:tc>
        <w:tc>
          <w:tcPr>
            <w:tcW w:w="990" w:type="dxa"/>
            <w:vAlign w:val="center"/>
          </w:tcPr>
          <w:p w:rsidR="00132608" w:rsidRPr="00204D03" w:rsidP="009D0B2E" w14:paraId="128C8765" w14:textId="77777777">
            <w:pPr>
              <w:pStyle w:val="ListParagraph"/>
              <w:ind w:left="0"/>
              <w:jc w:val="right"/>
            </w:pPr>
            <w:r w:rsidRPr="00204D03">
              <w:t>$64.26</w:t>
            </w:r>
          </w:p>
        </w:tc>
        <w:tc>
          <w:tcPr>
            <w:tcW w:w="1440" w:type="dxa"/>
            <w:vAlign w:val="center"/>
          </w:tcPr>
          <w:p w:rsidR="00132608" w:rsidRPr="00204D03" w:rsidP="009D0B2E" w14:paraId="3432F2DA" w14:textId="5E3C9CC7">
            <w:pPr>
              <w:pStyle w:val="ListParagraph"/>
              <w:ind w:left="0"/>
              <w:jc w:val="right"/>
            </w:pPr>
            <w:r>
              <w:t>$691,198</w:t>
            </w:r>
          </w:p>
        </w:tc>
      </w:tr>
      <w:tr w14:paraId="231B8F6D" w14:textId="77777777" w:rsidTr="00767284">
        <w:tblPrEx>
          <w:tblW w:w="9180" w:type="dxa"/>
          <w:tblLayout w:type="fixed"/>
          <w:tblLook w:val="04A0"/>
        </w:tblPrEx>
        <w:trPr>
          <w:trHeight w:val="360"/>
        </w:trPr>
        <w:tc>
          <w:tcPr>
            <w:tcW w:w="2610" w:type="dxa"/>
            <w:vAlign w:val="center"/>
          </w:tcPr>
          <w:p w:rsidR="00132608" w:rsidRPr="00204D03" w:rsidP="009D0B2E" w14:paraId="159CFAE4" w14:textId="77777777">
            <w:pPr>
              <w:pStyle w:val="ListParagraph"/>
              <w:ind w:left="0"/>
            </w:pPr>
            <w:r>
              <w:t>Museums</w:t>
            </w:r>
          </w:p>
        </w:tc>
        <w:tc>
          <w:tcPr>
            <w:tcW w:w="1350" w:type="dxa"/>
            <w:vAlign w:val="center"/>
          </w:tcPr>
          <w:p w:rsidR="00132608" w:rsidRPr="00204D03" w:rsidP="009D0B2E" w14:paraId="4251ABBC" w14:textId="791146C7">
            <w:pPr>
              <w:pStyle w:val="ListParagraph"/>
              <w:ind w:left="0"/>
              <w:jc w:val="right"/>
            </w:pPr>
            <w:r>
              <w:t>1,834</w:t>
            </w:r>
          </w:p>
        </w:tc>
        <w:tc>
          <w:tcPr>
            <w:tcW w:w="1440" w:type="dxa"/>
            <w:vAlign w:val="center"/>
          </w:tcPr>
          <w:p w:rsidR="00132608" w:rsidRPr="00204D03" w:rsidP="009D0B2E" w14:paraId="523619E5" w14:textId="77777777">
            <w:pPr>
              <w:pStyle w:val="ListParagraph"/>
              <w:ind w:left="0"/>
              <w:jc w:val="right"/>
            </w:pPr>
            <w:r>
              <w:t>2.75-155.00</w:t>
            </w:r>
          </w:p>
        </w:tc>
        <w:tc>
          <w:tcPr>
            <w:tcW w:w="1350" w:type="dxa"/>
            <w:vAlign w:val="center"/>
          </w:tcPr>
          <w:p w:rsidR="00132608" w:rsidRPr="00204D03" w:rsidP="009D0B2E" w14:paraId="008C54CA" w14:textId="34383750">
            <w:pPr>
              <w:pStyle w:val="ListParagraph"/>
              <w:ind w:left="0"/>
              <w:jc w:val="right"/>
            </w:pPr>
            <w:r>
              <w:t>34,337</w:t>
            </w:r>
          </w:p>
        </w:tc>
        <w:tc>
          <w:tcPr>
            <w:tcW w:w="990" w:type="dxa"/>
            <w:vAlign w:val="center"/>
          </w:tcPr>
          <w:p w:rsidR="00132608" w:rsidRPr="00204D03" w:rsidP="009D0B2E" w14:paraId="229D80C2" w14:textId="77777777">
            <w:pPr>
              <w:pStyle w:val="ListParagraph"/>
              <w:ind w:left="0"/>
              <w:jc w:val="right"/>
            </w:pPr>
            <w:r>
              <w:t>$64.26</w:t>
            </w:r>
          </w:p>
        </w:tc>
        <w:tc>
          <w:tcPr>
            <w:tcW w:w="1440" w:type="dxa"/>
            <w:vAlign w:val="center"/>
          </w:tcPr>
          <w:p w:rsidR="00132608" w:rsidRPr="00204D03" w:rsidP="009D0B2E" w14:paraId="0F614EE0" w14:textId="31DCAB21">
            <w:pPr>
              <w:pStyle w:val="ListParagraph"/>
              <w:ind w:left="0"/>
              <w:jc w:val="right"/>
            </w:pPr>
            <w:r>
              <w:t>$2,206,498</w:t>
            </w:r>
          </w:p>
        </w:tc>
      </w:tr>
      <w:tr w14:paraId="721B97B7" w14:textId="77777777" w:rsidTr="00767284">
        <w:tblPrEx>
          <w:tblW w:w="9180" w:type="dxa"/>
          <w:tblLayout w:type="fixed"/>
          <w:tblLook w:val="04A0"/>
        </w:tblPrEx>
        <w:trPr>
          <w:trHeight w:val="360"/>
        </w:trPr>
        <w:tc>
          <w:tcPr>
            <w:tcW w:w="2610" w:type="dxa"/>
            <w:vAlign w:val="center"/>
          </w:tcPr>
          <w:p w:rsidR="00132608" w:rsidRPr="00075C32" w:rsidP="00243113" w14:paraId="6187FFB6" w14:textId="77777777">
            <w:pPr>
              <w:pStyle w:val="ListParagraph"/>
              <w:ind w:left="0"/>
              <w:jc w:val="right"/>
              <w:rPr>
                <w:b/>
                <w:bCs/>
              </w:rPr>
            </w:pPr>
            <w:r w:rsidRPr="00075C32">
              <w:rPr>
                <w:b/>
                <w:bCs/>
              </w:rPr>
              <w:t>Total</w:t>
            </w:r>
          </w:p>
        </w:tc>
        <w:tc>
          <w:tcPr>
            <w:tcW w:w="1350" w:type="dxa"/>
            <w:vAlign w:val="center"/>
          </w:tcPr>
          <w:p w:rsidR="00132608" w:rsidRPr="00075C32" w:rsidP="009D0B2E" w14:paraId="3969CB0D" w14:textId="24C875A6">
            <w:pPr>
              <w:pStyle w:val="ListParagraph"/>
              <w:ind w:left="0"/>
              <w:jc w:val="right"/>
              <w:rPr>
                <w:b/>
                <w:bCs/>
              </w:rPr>
            </w:pPr>
            <w:r>
              <w:rPr>
                <w:b/>
                <w:bCs/>
              </w:rPr>
              <w:t>3,091</w:t>
            </w:r>
          </w:p>
        </w:tc>
        <w:tc>
          <w:tcPr>
            <w:tcW w:w="1440" w:type="dxa"/>
            <w:vAlign w:val="center"/>
          </w:tcPr>
          <w:p w:rsidR="00132608" w:rsidRPr="00075C32" w:rsidP="009D0B2E" w14:paraId="2A9F74B6" w14:textId="77777777">
            <w:pPr>
              <w:pStyle w:val="ListParagraph"/>
              <w:ind w:left="0"/>
              <w:jc w:val="right"/>
              <w:rPr>
                <w:b/>
                <w:bCs/>
              </w:rPr>
            </w:pPr>
          </w:p>
        </w:tc>
        <w:tc>
          <w:tcPr>
            <w:tcW w:w="1350" w:type="dxa"/>
            <w:vAlign w:val="center"/>
          </w:tcPr>
          <w:p w:rsidR="00132608" w:rsidRPr="00075C32" w:rsidP="009D0B2E" w14:paraId="424D2C6E" w14:textId="3F181DEC">
            <w:pPr>
              <w:pStyle w:val="ListParagraph"/>
              <w:ind w:left="0"/>
              <w:jc w:val="right"/>
              <w:rPr>
                <w:b/>
                <w:bCs/>
              </w:rPr>
            </w:pPr>
            <w:r>
              <w:rPr>
                <w:b/>
                <w:bCs/>
              </w:rPr>
              <w:t>47,299.25</w:t>
            </w:r>
          </w:p>
        </w:tc>
        <w:tc>
          <w:tcPr>
            <w:tcW w:w="990" w:type="dxa"/>
            <w:vAlign w:val="center"/>
          </w:tcPr>
          <w:p w:rsidR="00132608" w:rsidRPr="00075C32" w:rsidP="009D0B2E" w14:paraId="25AE4849" w14:textId="77777777">
            <w:pPr>
              <w:pStyle w:val="ListParagraph"/>
              <w:ind w:left="0"/>
              <w:jc w:val="right"/>
              <w:rPr>
                <w:b/>
                <w:bCs/>
              </w:rPr>
            </w:pPr>
          </w:p>
        </w:tc>
        <w:tc>
          <w:tcPr>
            <w:tcW w:w="1440" w:type="dxa"/>
            <w:vAlign w:val="center"/>
          </w:tcPr>
          <w:p w:rsidR="00132608" w:rsidRPr="00075C32" w:rsidP="009D0B2E" w14:paraId="2A17E792" w14:textId="37B7959A">
            <w:pPr>
              <w:pStyle w:val="ListParagraph"/>
              <w:ind w:left="0"/>
              <w:jc w:val="right"/>
              <w:rPr>
                <w:b/>
                <w:bCs/>
              </w:rPr>
            </w:pPr>
            <w:r>
              <w:rPr>
                <w:b/>
                <w:bCs/>
              </w:rPr>
              <w:t>$3,038,419</w:t>
            </w:r>
          </w:p>
        </w:tc>
      </w:tr>
    </w:tbl>
    <w:p w:rsidR="00AB793B" w:rsidRPr="00BF7566" w:rsidP="00AB793B" w14:paraId="274AFDC4" w14:textId="77777777">
      <w:pPr>
        <w:rPr>
          <w:sz w:val="20"/>
          <w:szCs w:val="20"/>
        </w:rPr>
      </w:pPr>
      <w:r w:rsidRPr="00BF7566">
        <w:rPr>
          <w:sz w:val="20"/>
          <w:szCs w:val="20"/>
        </w:rPr>
        <w:t>Please see the Appendix for a detailed accounting of estimated proposed action costs by regulatory requirement.</w:t>
      </w:r>
    </w:p>
    <w:p w:rsidR="00E55370" w:rsidP="00B36541" w14:paraId="1C0E4EF5" w14:textId="77777777"/>
    <w:p w:rsidR="002D327D" w:rsidP="00CA0BC7" w14:paraId="5EC848EC" w14:textId="77777777"/>
    <w:p w:rsidR="002D327D" w:rsidP="003C184F" w14:paraId="259DCC0A" w14:textId="773E558F">
      <w:r w:rsidRPr="00DC7B9E">
        <w:t>T</w:t>
      </w:r>
      <w:r w:rsidRPr="00BB0635">
        <w:t xml:space="preserve">he increase </w:t>
      </w:r>
      <w:r w:rsidR="003B5D1C">
        <w:t xml:space="preserve">in </w:t>
      </w:r>
      <w:r w:rsidR="00E94A82">
        <w:t>the number of responses,</w:t>
      </w:r>
      <w:r w:rsidRPr="00BB0635">
        <w:t xml:space="preserve"> </w:t>
      </w:r>
      <w:r>
        <w:t>hours</w:t>
      </w:r>
      <w:r w:rsidR="00E94A82">
        <w:t>,</w:t>
      </w:r>
      <w:r w:rsidR="003B5D1C">
        <w:t xml:space="preserve"> and costs</w:t>
      </w:r>
      <w:r>
        <w:t xml:space="preserve"> </w:t>
      </w:r>
      <w:r w:rsidRPr="00BB0635">
        <w:t xml:space="preserve">associated with the </w:t>
      </w:r>
      <w:r>
        <w:t>proposed regulatory action</w:t>
      </w:r>
      <w:r w:rsidRPr="00BB0635">
        <w:t xml:space="preserve"> is temporary and will not exist after </w:t>
      </w:r>
      <w:r>
        <w:t>museums and Federal agencies</w:t>
      </w:r>
      <w:r w:rsidRPr="00BB0635">
        <w:t xml:space="preserve"> comp</w:t>
      </w:r>
      <w:r>
        <w:t xml:space="preserve">lete </w:t>
      </w:r>
      <w:r>
        <w:t>the regulatory process for updating inventories and submitting notices of inventory completion,</w:t>
      </w:r>
      <w:r w:rsidRPr="00BB0635">
        <w:t xml:space="preserve"> which is expected to happen within three years of implementation. </w:t>
      </w:r>
    </w:p>
    <w:p w:rsidR="002D327D" w:rsidP="003C184F" w14:paraId="4B23CA9D" w14:textId="77777777"/>
    <w:p w:rsidR="003C32B4" w:rsidP="003C32B4" w14:paraId="3A76A45B" w14:textId="5389F4A6">
      <w:pPr>
        <w:rPr>
          <w:b/>
          <w:bCs/>
          <w:i/>
          <w:iCs/>
        </w:rPr>
      </w:pPr>
      <w:r>
        <w:t xml:space="preserve">Table </w:t>
      </w:r>
      <w:r w:rsidR="006253AD">
        <w:t>8</w:t>
      </w:r>
      <w:r>
        <w:t xml:space="preserve"> summarizes </w:t>
      </w:r>
      <w:r w:rsidRPr="007B76B3">
        <w:t>th</w:t>
      </w:r>
      <w:r>
        <w:t xml:space="preserve">e estimated costs </w:t>
      </w:r>
      <w:r w:rsidR="00C245BD">
        <w:t xml:space="preserve">that will begin in year four </w:t>
      </w:r>
      <w:r w:rsidR="00207005">
        <w:t>of</w:t>
      </w:r>
      <w:r>
        <w:t xml:space="preserve"> the proposed regulatory action. </w:t>
      </w:r>
      <w:r w:rsidR="00C245BD">
        <w:t>Starting in year four</w:t>
      </w:r>
      <w:r>
        <w:t>, we estimate the proposed regulatory action will require</w:t>
      </w:r>
      <w:r w:rsidRPr="007B76B3">
        <w:t xml:space="preserve">, annually, </w:t>
      </w:r>
      <w:r w:rsidRPr="007D75E8">
        <w:rPr>
          <w:b/>
          <w:bCs/>
        </w:rPr>
        <w:t>592</w:t>
      </w:r>
      <w:r w:rsidRPr="007B76B3">
        <w:rPr>
          <w:b/>
          <w:bCs/>
        </w:rPr>
        <w:t xml:space="preserve"> responses</w:t>
      </w:r>
      <w:r w:rsidRPr="007B76B3">
        <w:t xml:space="preserve"> totaling </w:t>
      </w:r>
      <w:r>
        <w:rPr>
          <w:b/>
          <w:bCs/>
        </w:rPr>
        <w:t>9,151.75</w:t>
      </w:r>
      <w:r w:rsidRPr="007B76B3">
        <w:rPr>
          <w:b/>
          <w:bCs/>
        </w:rPr>
        <w:t xml:space="preserve"> annual hour</w:t>
      </w:r>
      <w:r w:rsidR="00C245BD">
        <w:rPr>
          <w:b/>
          <w:bCs/>
        </w:rPr>
        <w:t>s</w:t>
      </w:r>
      <w:r w:rsidRPr="007B76B3">
        <w:t xml:space="preserve">. We estimate the annual dollar value is </w:t>
      </w:r>
      <w:r w:rsidRPr="007B76B3">
        <w:rPr>
          <w:b/>
          <w:bCs/>
        </w:rPr>
        <w:t>$</w:t>
      </w:r>
      <w:r>
        <w:rPr>
          <w:b/>
          <w:bCs/>
        </w:rPr>
        <w:t>587,061</w:t>
      </w:r>
      <w:r w:rsidRPr="007B76B3">
        <w:rPr>
          <w:b/>
          <w:bCs/>
        </w:rPr>
        <w:t xml:space="preserve"> </w:t>
      </w:r>
      <w:r w:rsidRPr="007B76B3">
        <w:t>(rounded)</w:t>
      </w:r>
      <w:r>
        <w:t>.</w:t>
      </w:r>
    </w:p>
    <w:p w:rsidR="003C32B4" w:rsidP="003C184F" w14:paraId="07D967FA" w14:textId="77777777"/>
    <w:p w:rsidR="0026218D" w:rsidP="0026218D" w14:paraId="53FAABEC" w14:textId="77777777">
      <w:pPr>
        <w:pStyle w:val="ListParagraph"/>
        <w:ind w:left="0"/>
      </w:pPr>
    </w:p>
    <w:p w:rsidR="0026218D" w:rsidP="0026218D" w14:paraId="52A26F13" w14:textId="37719811">
      <w:pPr>
        <w:pStyle w:val="Heading3"/>
      </w:pPr>
      <w:bookmarkStart w:id="24" w:name="_Toc113867034"/>
      <w:r>
        <w:t>T</w:t>
      </w:r>
      <w:r w:rsidRPr="00CF25F1">
        <w:t xml:space="preserve">able </w:t>
      </w:r>
      <w:r>
        <w:t>8</w:t>
      </w:r>
      <w:r w:rsidRPr="00CF25F1">
        <w:t xml:space="preserve">. </w:t>
      </w:r>
      <w:r>
        <w:t xml:space="preserve"> Estimated</w:t>
      </w:r>
      <w:r w:rsidRPr="00CF25F1">
        <w:t xml:space="preserve"> </w:t>
      </w:r>
      <w:r>
        <w:t>proposed action costs (years 4 +) by responsible party</w:t>
      </w:r>
      <w:bookmarkEnd w:id="24"/>
    </w:p>
    <w:tbl>
      <w:tblPr>
        <w:tblStyle w:val="TableGrid"/>
        <w:tblW w:w="9180" w:type="dxa"/>
        <w:tblLayout w:type="fixed"/>
        <w:tblLook w:val="04A0"/>
      </w:tblPr>
      <w:tblGrid>
        <w:gridCol w:w="2610"/>
        <w:gridCol w:w="1350"/>
        <w:gridCol w:w="1440"/>
        <w:gridCol w:w="1350"/>
        <w:gridCol w:w="990"/>
        <w:gridCol w:w="1440"/>
      </w:tblGrid>
      <w:tr w14:paraId="6F7E8651" w14:textId="77777777" w:rsidTr="0074675D">
        <w:tblPrEx>
          <w:tblW w:w="9180" w:type="dxa"/>
          <w:tblLayout w:type="fixed"/>
          <w:tblLook w:val="04A0"/>
        </w:tblPrEx>
        <w:trPr>
          <w:trHeight w:val="360"/>
        </w:trPr>
        <w:tc>
          <w:tcPr>
            <w:tcW w:w="2610" w:type="dxa"/>
            <w:vAlign w:val="center"/>
          </w:tcPr>
          <w:p w:rsidR="0026218D" w:rsidRPr="00204D03" w:rsidP="0074675D" w14:paraId="3C8C0CC9" w14:textId="77777777">
            <w:pPr>
              <w:pStyle w:val="ListParagraph"/>
              <w:ind w:left="0"/>
              <w:rPr>
                <w:b/>
                <w:bCs/>
              </w:rPr>
            </w:pPr>
            <w:r w:rsidRPr="00204D03">
              <w:rPr>
                <w:b/>
                <w:bCs/>
              </w:rPr>
              <w:t>Responsible party</w:t>
            </w:r>
          </w:p>
        </w:tc>
        <w:tc>
          <w:tcPr>
            <w:tcW w:w="1350" w:type="dxa"/>
            <w:vAlign w:val="center"/>
          </w:tcPr>
          <w:p w:rsidR="0026218D" w:rsidRPr="00204D03" w:rsidP="0074675D" w14:paraId="63D34F89" w14:textId="77777777">
            <w:pPr>
              <w:pStyle w:val="ListParagraph"/>
              <w:ind w:left="0"/>
              <w:jc w:val="center"/>
              <w:rPr>
                <w:b/>
                <w:bCs/>
              </w:rPr>
            </w:pPr>
            <w:r w:rsidRPr="00204D03">
              <w:rPr>
                <w:b/>
                <w:bCs/>
              </w:rPr>
              <w:t>Number of responses</w:t>
            </w:r>
          </w:p>
        </w:tc>
        <w:tc>
          <w:tcPr>
            <w:tcW w:w="1440" w:type="dxa"/>
            <w:vAlign w:val="center"/>
          </w:tcPr>
          <w:p w:rsidR="0026218D" w:rsidRPr="00204D03" w:rsidP="0074675D" w14:paraId="3C9F36C7" w14:textId="77777777">
            <w:pPr>
              <w:pStyle w:val="ListParagraph"/>
              <w:ind w:left="0"/>
              <w:jc w:val="center"/>
              <w:rPr>
                <w:b/>
                <w:bCs/>
              </w:rPr>
            </w:pPr>
            <w:r w:rsidRPr="00204D03">
              <w:rPr>
                <w:b/>
                <w:bCs/>
              </w:rPr>
              <w:t>Time per response</w:t>
            </w:r>
          </w:p>
        </w:tc>
        <w:tc>
          <w:tcPr>
            <w:tcW w:w="1350" w:type="dxa"/>
            <w:vAlign w:val="center"/>
          </w:tcPr>
          <w:p w:rsidR="0026218D" w:rsidRPr="00204D03" w:rsidP="0074675D" w14:paraId="43053B5F" w14:textId="77777777">
            <w:pPr>
              <w:pStyle w:val="ListParagraph"/>
              <w:ind w:left="0"/>
              <w:jc w:val="center"/>
              <w:rPr>
                <w:b/>
                <w:bCs/>
              </w:rPr>
            </w:pPr>
            <w:r w:rsidRPr="00204D03">
              <w:rPr>
                <w:b/>
                <w:bCs/>
              </w:rPr>
              <w:t>Annual Hours</w:t>
            </w:r>
          </w:p>
        </w:tc>
        <w:tc>
          <w:tcPr>
            <w:tcW w:w="990" w:type="dxa"/>
            <w:vAlign w:val="center"/>
          </w:tcPr>
          <w:p w:rsidR="0026218D" w:rsidRPr="00204D03" w:rsidP="0074675D" w14:paraId="3AC38580" w14:textId="77777777">
            <w:pPr>
              <w:pStyle w:val="ListParagraph"/>
              <w:ind w:left="0"/>
              <w:jc w:val="center"/>
              <w:rPr>
                <w:b/>
                <w:bCs/>
              </w:rPr>
            </w:pPr>
            <w:r w:rsidRPr="00204D03">
              <w:rPr>
                <w:b/>
                <w:bCs/>
              </w:rPr>
              <w:t>Hourly Rate</w:t>
            </w:r>
          </w:p>
        </w:tc>
        <w:tc>
          <w:tcPr>
            <w:tcW w:w="1440" w:type="dxa"/>
            <w:vAlign w:val="center"/>
          </w:tcPr>
          <w:p w:rsidR="0026218D" w:rsidRPr="00204D03" w:rsidP="0074675D" w14:paraId="79E55F1B" w14:textId="77777777">
            <w:pPr>
              <w:pStyle w:val="ListParagraph"/>
              <w:ind w:left="0"/>
              <w:jc w:val="center"/>
              <w:rPr>
                <w:b/>
                <w:bCs/>
              </w:rPr>
            </w:pPr>
            <w:r w:rsidRPr="00204D03">
              <w:rPr>
                <w:b/>
                <w:bCs/>
              </w:rPr>
              <w:t>Annual Costs</w:t>
            </w:r>
          </w:p>
        </w:tc>
      </w:tr>
      <w:tr w14:paraId="4A547DA2" w14:textId="77777777" w:rsidTr="0074675D">
        <w:tblPrEx>
          <w:tblW w:w="9180" w:type="dxa"/>
          <w:tblLayout w:type="fixed"/>
          <w:tblLook w:val="04A0"/>
        </w:tblPrEx>
        <w:trPr>
          <w:trHeight w:val="360"/>
        </w:trPr>
        <w:tc>
          <w:tcPr>
            <w:tcW w:w="2610" w:type="dxa"/>
            <w:vAlign w:val="center"/>
          </w:tcPr>
          <w:p w:rsidR="0026218D" w:rsidRPr="00204D03" w:rsidP="0074675D" w14:paraId="63F3C6D6" w14:textId="77777777">
            <w:pPr>
              <w:pStyle w:val="ListParagraph"/>
              <w:ind w:left="0"/>
            </w:pPr>
            <w:r w:rsidRPr="00204D03">
              <w:t>Any person</w:t>
            </w:r>
          </w:p>
        </w:tc>
        <w:tc>
          <w:tcPr>
            <w:tcW w:w="1350" w:type="dxa"/>
            <w:vAlign w:val="center"/>
          </w:tcPr>
          <w:p w:rsidR="0026218D" w:rsidRPr="00204D03" w:rsidP="0074675D" w14:paraId="1A1FF1DC" w14:textId="77777777">
            <w:pPr>
              <w:pStyle w:val="ListParagraph"/>
              <w:ind w:left="0"/>
              <w:jc w:val="right"/>
            </w:pPr>
            <w:r w:rsidRPr="00204D03">
              <w:t>1</w:t>
            </w:r>
            <w:r>
              <w:t>7</w:t>
            </w:r>
          </w:p>
        </w:tc>
        <w:tc>
          <w:tcPr>
            <w:tcW w:w="1440" w:type="dxa"/>
            <w:vAlign w:val="center"/>
          </w:tcPr>
          <w:p w:rsidR="0026218D" w:rsidRPr="00204D03" w:rsidP="0074675D" w14:paraId="568E50E6" w14:textId="77777777">
            <w:pPr>
              <w:pStyle w:val="ListParagraph"/>
              <w:ind w:left="0"/>
              <w:jc w:val="right"/>
            </w:pPr>
            <w:r w:rsidRPr="00204D03">
              <w:t>0.50</w:t>
            </w:r>
            <w:r>
              <w:t>-1.25</w:t>
            </w:r>
          </w:p>
        </w:tc>
        <w:tc>
          <w:tcPr>
            <w:tcW w:w="1350" w:type="dxa"/>
            <w:vAlign w:val="center"/>
          </w:tcPr>
          <w:p w:rsidR="0026218D" w:rsidRPr="00204D03" w:rsidP="0074675D" w14:paraId="2CC26870" w14:textId="77777777">
            <w:pPr>
              <w:pStyle w:val="ListParagraph"/>
              <w:ind w:left="0"/>
              <w:jc w:val="right"/>
            </w:pPr>
            <w:r>
              <w:t>10.00</w:t>
            </w:r>
          </w:p>
        </w:tc>
        <w:tc>
          <w:tcPr>
            <w:tcW w:w="990" w:type="dxa"/>
            <w:vAlign w:val="center"/>
          </w:tcPr>
          <w:p w:rsidR="0026218D" w:rsidRPr="00204D03" w:rsidP="0074675D" w14:paraId="392D6535" w14:textId="77777777">
            <w:pPr>
              <w:pStyle w:val="ListParagraph"/>
              <w:ind w:left="0"/>
              <w:jc w:val="right"/>
            </w:pPr>
            <w:r w:rsidRPr="00204D03">
              <w:t>$40.90</w:t>
            </w:r>
          </w:p>
        </w:tc>
        <w:tc>
          <w:tcPr>
            <w:tcW w:w="1440" w:type="dxa"/>
            <w:vAlign w:val="center"/>
          </w:tcPr>
          <w:p w:rsidR="0026218D" w:rsidRPr="00204D03" w:rsidP="0074675D" w14:paraId="1D9077E6" w14:textId="77777777">
            <w:pPr>
              <w:pStyle w:val="ListParagraph"/>
              <w:ind w:left="0"/>
              <w:jc w:val="right"/>
            </w:pPr>
            <w:r w:rsidRPr="00204D03">
              <w:t>$</w:t>
            </w:r>
            <w:r>
              <w:t>4</w:t>
            </w:r>
            <w:r w:rsidRPr="00204D03">
              <w:t>0</w:t>
            </w:r>
            <w:r>
              <w:t>9</w:t>
            </w:r>
          </w:p>
        </w:tc>
      </w:tr>
      <w:tr w14:paraId="29F4DAC9" w14:textId="77777777" w:rsidTr="0074675D">
        <w:tblPrEx>
          <w:tblW w:w="9180" w:type="dxa"/>
          <w:tblLayout w:type="fixed"/>
          <w:tblLook w:val="04A0"/>
        </w:tblPrEx>
        <w:trPr>
          <w:trHeight w:val="360"/>
        </w:trPr>
        <w:tc>
          <w:tcPr>
            <w:tcW w:w="2610" w:type="dxa"/>
            <w:vAlign w:val="center"/>
          </w:tcPr>
          <w:p w:rsidR="0026218D" w:rsidRPr="00204D03" w:rsidP="0074675D" w14:paraId="266489D8" w14:textId="77777777">
            <w:pPr>
              <w:pStyle w:val="ListParagraph"/>
              <w:ind w:left="0"/>
            </w:pPr>
            <w:r>
              <w:t>Lineal descendants</w:t>
            </w:r>
          </w:p>
        </w:tc>
        <w:tc>
          <w:tcPr>
            <w:tcW w:w="1350" w:type="dxa"/>
            <w:vAlign w:val="center"/>
          </w:tcPr>
          <w:p w:rsidR="0026218D" w:rsidRPr="00204D03" w:rsidP="0074675D" w14:paraId="7A08DCB6" w14:textId="77777777">
            <w:pPr>
              <w:pStyle w:val="ListParagraph"/>
              <w:ind w:left="0"/>
              <w:jc w:val="right"/>
            </w:pPr>
            <w:r>
              <w:t>9</w:t>
            </w:r>
          </w:p>
        </w:tc>
        <w:tc>
          <w:tcPr>
            <w:tcW w:w="1440" w:type="dxa"/>
            <w:vAlign w:val="center"/>
          </w:tcPr>
          <w:p w:rsidR="0026218D" w:rsidRPr="00204D03" w:rsidP="0074675D" w14:paraId="410829A1" w14:textId="77777777">
            <w:pPr>
              <w:pStyle w:val="ListParagraph"/>
              <w:ind w:left="0"/>
              <w:jc w:val="right"/>
            </w:pPr>
            <w:r>
              <w:t>1.25-5.25</w:t>
            </w:r>
          </w:p>
        </w:tc>
        <w:tc>
          <w:tcPr>
            <w:tcW w:w="1350" w:type="dxa"/>
            <w:vAlign w:val="center"/>
          </w:tcPr>
          <w:p w:rsidR="0026218D" w:rsidRPr="00204D03" w:rsidP="0074675D" w14:paraId="7131D489" w14:textId="77777777">
            <w:pPr>
              <w:pStyle w:val="ListParagraph"/>
              <w:ind w:left="0"/>
              <w:jc w:val="right"/>
            </w:pPr>
            <w:r>
              <w:t>31.25</w:t>
            </w:r>
          </w:p>
        </w:tc>
        <w:tc>
          <w:tcPr>
            <w:tcW w:w="990" w:type="dxa"/>
            <w:vAlign w:val="center"/>
          </w:tcPr>
          <w:p w:rsidR="0026218D" w:rsidRPr="00204D03" w:rsidP="0074675D" w14:paraId="1FB37DD0" w14:textId="77777777">
            <w:pPr>
              <w:pStyle w:val="ListParagraph"/>
              <w:ind w:left="0"/>
              <w:jc w:val="right"/>
            </w:pPr>
            <w:r>
              <w:t>$38.61</w:t>
            </w:r>
          </w:p>
        </w:tc>
        <w:tc>
          <w:tcPr>
            <w:tcW w:w="1440" w:type="dxa"/>
            <w:vAlign w:val="center"/>
          </w:tcPr>
          <w:p w:rsidR="0026218D" w:rsidRPr="00204D03" w:rsidP="0074675D" w14:paraId="43EE59B9" w14:textId="77777777">
            <w:pPr>
              <w:pStyle w:val="ListParagraph"/>
              <w:ind w:left="0"/>
              <w:jc w:val="right"/>
            </w:pPr>
            <w:r>
              <w:t>$1,207</w:t>
            </w:r>
          </w:p>
        </w:tc>
      </w:tr>
      <w:tr w14:paraId="6ACF3ADF" w14:textId="77777777" w:rsidTr="0074675D">
        <w:tblPrEx>
          <w:tblW w:w="9180" w:type="dxa"/>
          <w:tblLayout w:type="fixed"/>
          <w:tblLook w:val="04A0"/>
        </w:tblPrEx>
        <w:trPr>
          <w:trHeight w:val="360"/>
        </w:trPr>
        <w:tc>
          <w:tcPr>
            <w:tcW w:w="2610" w:type="dxa"/>
            <w:vAlign w:val="center"/>
          </w:tcPr>
          <w:p w:rsidR="0026218D" w:rsidRPr="00204D03" w:rsidP="0074675D" w14:paraId="317A1CEC" w14:textId="77777777">
            <w:pPr>
              <w:pStyle w:val="ListParagraph"/>
              <w:ind w:left="0"/>
            </w:pPr>
            <w:r w:rsidRPr="00204D03">
              <w:t xml:space="preserve">Any </w:t>
            </w:r>
            <w:r>
              <w:t>affected party</w:t>
            </w:r>
          </w:p>
        </w:tc>
        <w:tc>
          <w:tcPr>
            <w:tcW w:w="1350" w:type="dxa"/>
            <w:vAlign w:val="center"/>
          </w:tcPr>
          <w:p w:rsidR="0026218D" w:rsidRPr="00204D03" w:rsidP="0074675D" w14:paraId="34B463A6" w14:textId="77777777">
            <w:pPr>
              <w:pStyle w:val="ListParagraph"/>
              <w:ind w:left="0"/>
              <w:jc w:val="right"/>
            </w:pPr>
            <w:r>
              <w:t>5</w:t>
            </w:r>
          </w:p>
        </w:tc>
        <w:tc>
          <w:tcPr>
            <w:tcW w:w="1440" w:type="dxa"/>
            <w:vAlign w:val="center"/>
          </w:tcPr>
          <w:p w:rsidR="0026218D" w:rsidRPr="00204D03" w:rsidP="0074675D" w14:paraId="075FAFF3" w14:textId="77777777">
            <w:pPr>
              <w:pStyle w:val="ListParagraph"/>
              <w:ind w:left="0"/>
              <w:jc w:val="right"/>
            </w:pPr>
            <w:r>
              <w:t>5.25-25.25</w:t>
            </w:r>
          </w:p>
        </w:tc>
        <w:tc>
          <w:tcPr>
            <w:tcW w:w="1350" w:type="dxa"/>
            <w:vAlign w:val="center"/>
          </w:tcPr>
          <w:p w:rsidR="0026218D" w:rsidRPr="00204D03" w:rsidP="0074675D" w14:paraId="7CEDAC2E" w14:textId="77777777">
            <w:pPr>
              <w:pStyle w:val="ListParagraph"/>
              <w:ind w:left="0"/>
              <w:jc w:val="right"/>
            </w:pPr>
            <w:r>
              <w:t>86.25</w:t>
            </w:r>
          </w:p>
        </w:tc>
        <w:tc>
          <w:tcPr>
            <w:tcW w:w="990" w:type="dxa"/>
            <w:vAlign w:val="center"/>
          </w:tcPr>
          <w:p w:rsidR="0026218D" w:rsidRPr="00204D03" w:rsidP="0074675D" w14:paraId="44F355AD" w14:textId="77777777">
            <w:pPr>
              <w:pStyle w:val="ListParagraph"/>
              <w:ind w:left="0"/>
              <w:jc w:val="right"/>
            </w:pPr>
            <w:r w:rsidRPr="00204D03">
              <w:t>$</w:t>
            </w:r>
            <w:r>
              <w:t>64.26</w:t>
            </w:r>
          </w:p>
        </w:tc>
        <w:tc>
          <w:tcPr>
            <w:tcW w:w="1440" w:type="dxa"/>
            <w:vAlign w:val="center"/>
          </w:tcPr>
          <w:p w:rsidR="0026218D" w:rsidRPr="00204D03" w:rsidP="0074675D" w14:paraId="462A9627" w14:textId="77777777">
            <w:pPr>
              <w:pStyle w:val="ListParagraph"/>
              <w:ind w:left="0"/>
              <w:jc w:val="right"/>
            </w:pPr>
            <w:r>
              <w:t>$5,543</w:t>
            </w:r>
          </w:p>
        </w:tc>
      </w:tr>
      <w:tr w14:paraId="329F90BC" w14:textId="77777777" w:rsidTr="0074675D">
        <w:tblPrEx>
          <w:tblW w:w="9180" w:type="dxa"/>
          <w:tblLayout w:type="fixed"/>
          <w:tblLook w:val="04A0"/>
        </w:tblPrEx>
        <w:trPr>
          <w:trHeight w:val="360"/>
        </w:trPr>
        <w:tc>
          <w:tcPr>
            <w:tcW w:w="2610" w:type="dxa"/>
            <w:vAlign w:val="center"/>
          </w:tcPr>
          <w:p w:rsidR="0026218D" w:rsidRPr="00204D03" w:rsidP="0074675D" w14:paraId="2B125BA6" w14:textId="77777777">
            <w:pPr>
              <w:pStyle w:val="ListParagraph"/>
              <w:ind w:left="0"/>
            </w:pPr>
            <w:r w:rsidRPr="00204D03">
              <w:t>Indian Tribes/NHOs</w:t>
            </w:r>
          </w:p>
        </w:tc>
        <w:tc>
          <w:tcPr>
            <w:tcW w:w="1350" w:type="dxa"/>
            <w:vAlign w:val="center"/>
          </w:tcPr>
          <w:p w:rsidR="0026218D" w:rsidRPr="00204D03" w:rsidP="0074675D" w14:paraId="7A52B2A9" w14:textId="77777777">
            <w:pPr>
              <w:pStyle w:val="ListParagraph"/>
              <w:ind w:left="0"/>
              <w:jc w:val="right"/>
            </w:pPr>
            <w:r>
              <w:t>132</w:t>
            </w:r>
          </w:p>
        </w:tc>
        <w:tc>
          <w:tcPr>
            <w:tcW w:w="1440" w:type="dxa"/>
            <w:vAlign w:val="center"/>
          </w:tcPr>
          <w:p w:rsidR="0026218D" w:rsidRPr="00204D03" w:rsidP="0074675D" w14:paraId="519D08E9" w14:textId="77777777">
            <w:pPr>
              <w:pStyle w:val="ListParagraph"/>
              <w:ind w:left="0"/>
              <w:jc w:val="right"/>
            </w:pPr>
            <w:r>
              <w:t>0.50-5.25</w:t>
            </w:r>
          </w:p>
        </w:tc>
        <w:tc>
          <w:tcPr>
            <w:tcW w:w="1350" w:type="dxa"/>
            <w:vAlign w:val="center"/>
          </w:tcPr>
          <w:p w:rsidR="0026218D" w:rsidRPr="00204D03" w:rsidP="0074675D" w14:paraId="106BB4E1" w14:textId="77777777">
            <w:pPr>
              <w:pStyle w:val="ListParagraph"/>
              <w:ind w:left="0"/>
              <w:jc w:val="right"/>
            </w:pPr>
            <w:r>
              <w:t>394.00</w:t>
            </w:r>
          </w:p>
        </w:tc>
        <w:tc>
          <w:tcPr>
            <w:tcW w:w="990" w:type="dxa"/>
            <w:vAlign w:val="center"/>
          </w:tcPr>
          <w:p w:rsidR="0026218D" w:rsidRPr="00204D03" w:rsidP="0074675D" w14:paraId="0F06D43D" w14:textId="77777777">
            <w:pPr>
              <w:pStyle w:val="ListParagraph"/>
              <w:ind w:left="0"/>
              <w:jc w:val="right"/>
            </w:pPr>
            <w:r w:rsidRPr="00204D03">
              <w:t>$64.26</w:t>
            </w:r>
          </w:p>
        </w:tc>
        <w:tc>
          <w:tcPr>
            <w:tcW w:w="1440" w:type="dxa"/>
            <w:vAlign w:val="center"/>
          </w:tcPr>
          <w:p w:rsidR="0026218D" w:rsidRPr="00204D03" w:rsidP="0074675D" w14:paraId="1408D9FE" w14:textId="77777777">
            <w:pPr>
              <w:pStyle w:val="ListParagraph"/>
              <w:ind w:left="0"/>
              <w:jc w:val="right"/>
            </w:pPr>
            <w:r>
              <w:t>$25,318</w:t>
            </w:r>
          </w:p>
        </w:tc>
      </w:tr>
      <w:tr w14:paraId="019DAE63" w14:textId="77777777" w:rsidTr="0074675D">
        <w:tblPrEx>
          <w:tblW w:w="9180" w:type="dxa"/>
          <w:tblLayout w:type="fixed"/>
          <w:tblLook w:val="04A0"/>
        </w:tblPrEx>
        <w:trPr>
          <w:trHeight w:val="360"/>
        </w:trPr>
        <w:tc>
          <w:tcPr>
            <w:tcW w:w="2610" w:type="dxa"/>
            <w:vAlign w:val="center"/>
          </w:tcPr>
          <w:p w:rsidR="0026218D" w:rsidRPr="00204D03" w:rsidP="0074675D" w14:paraId="2E803D43" w14:textId="77777777">
            <w:pPr>
              <w:pStyle w:val="ListParagraph"/>
              <w:ind w:left="0"/>
            </w:pPr>
            <w:r w:rsidRPr="00204D03">
              <w:t>Federal agencies</w:t>
            </w:r>
          </w:p>
        </w:tc>
        <w:tc>
          <w:tcPr>
            <w:tcW w:w="1350" w:type="dxa"/>
            <w:vAlign w:val="center"/>
          </w:tcPr>
          <w:p w:rsidR="0026218D" w:rsidRPr="00204D03" w:rsidP="0074675D" w14:paraId="08BAF954" w14:textId="77777777">
            <w:pPr>
              <w:pStyle w:val="ListParagraph"/>
              <w:ind w:left="0"/>
              <w:jc w:val="right"/>
            </w:pPr>
            <w:r>
              <w:t>110</w:t>
            </w:r>
          </w:p>
        </w:tc>
        <w:tc>
          <w:tcPr>
            <w:tcW w:w="1440" w:type="dxa"/>
            <w:vAlign w:val="center"/>
          </w:tcPr>
          <w:p w:rsidR="0026218D" w:rsidRPr="00204D03" w:rsidP="0074675D" w14:paraId="07FBB1A8" w14:textId="77777777">
            <w:pPr>
              <w:pStyle w:val="ListParagraph"/>
              <w:ind w:left="0"/>
              <w:jc w:val="right"/>
            </w:pPr>
            <w:r>
              <w:t>2</w:t>
            </w:r>
            <w:r w:rsidRPr="00204D03">
              <w:t>.</w:t>
            </w:r>
            <w:r>
              <w:t>7</w:t>
            </w:r>
            <w:r w:rsidRPr="00204D03">
              <w:t>5-</w:t>
            </w:r>
            <w:r>
              <w:t>155.00</w:t>
            </w:r>
          </w:p>
        </w:tc>
        <w:tc>
          <w:tcPr>
            <w:tcW w:w="1350" w:type="dxa"/>
            <w:vAlign w:val="center"/>
          </w:tcPr>
          <w:p w:rsidR="0026218D" w:rsidRPr="00204D03" w:rsidP="0074675D" w14:paraId="5DDB3EF7" w14:textId="77777777">
            <w:pPr>
              <w:pStyle w:val="ListParagraph"/>
              <w:ind w:left="0"/>
              <w:jc w:val="right"/>
            </w:pPr>
            <w:r>
              <w:t>1,877.00</w:t>
            </w:r>
          </w:p>
        </w:tc>
        <w:tc>
          <w:tcPr>
            <w:tcW w:w="990" w:type="dxa"/>
            <w:vAlign w:val="center"/>
          </w:tcPr>
          <w:p w:rsidR="0026218D" w:rsidRPr="00204D03" w:rsidP="0074675D" w14:paraId="3F0B67C4" w14:textId="77777777">
            <w:pPr>
              <w:pStyle w:val="ListParagraph"/>
              <w:ind w:left="0"/>
              <w:jc w:val="right"/>
            </w:pPr>
            <w:r w:rsidRPr="00204D03">
              <w:t>$64.26</w:t>
            </w:r>
          </w:p>
        </w:tc>
        <w:tc>
          <w:tcPr>
            <w:tcW w:w="1440" w:type="dxa"/>
            <w:vAlign w:val="center"/>
          </w:tcPr>
          <w:p w:rsidR="0026218D" w:rsidRPr="00204D03" w:rsidP="0074675D" w14:paraId="3398A278" w14:textId="77777777">
            <w:pPr>
              <w:pStyle w:val="ListParagraph"/>
              <w:ind w:left="0"/>
              <w:jc w:val="right"/>
            </w:pPr>
            <w:r>
              <w:t>$120,617</w:t>
            </w:r>
          </w:p>
        </w:tc>
      </w:tr>
      <w:tr w14:paraId="021880C5" w14:textId="77777777" w:rsidTr="0074675D">
        <w:tblPrEx>
          <w:tblW w:w="9180" w:type="dxa"/>
          <w:tblLayout w:type="fixed"/>
          <w:tblLook w:val="04A0"/>
        </w:tblPrEx>
        <w:trPr>
          <w:trHeight w:val="360"/>
        </w:trPr>
        <w:tc>
          <w:tcPr>
            <w:tcW w:w="2610" w:type="dxa"/>
            <w:vAlign w:val="center"/>
          </w:tcPr>
          <w:p w:rsidR="0026218D" w:rsidRPr="00204D03" w:rsidP="0074675D" w14:paraId="1937C8CF" w14:textId="77777777">
            <w:pPr>
              <w:pStyle w:val="ListParagraph"/>
              <w:ind w:left="0"/>
            </w:pPr>
            <w:r>
              <w:t>Museums</w:t>
            </w:r>
          </w:p>
        </w:tc>
        <w:tc>
          <w:tcPr>
            <w:tcW w:w="1350" w:type="dxa"/>
            <w:vAlign w:val="center"/>
          </w:tcPr>
          <w:p w:rsidR="0026218D" w:rsidRPr="00204D03" w:rsidP="0074675D" w14:paraId="0C1F7390" w14:textId="77777777">
            <w:pPr>
              <w:pStyle w:val="ListParagraph"/>
              <w:ind w:left="0"/>
              <w:jc w:val="right"/>
            </w:pPr>
            <w:r>
              <w:t>319</w:t>
            </w:r>
          </w:p>
        </w:tc>
        <w:tc>
          <w:tcPr>
            <w:tcW w:w="1440" w:type="dxa"/>
            <w:vAlign w:val="center"/>
          </w:tcPr>
          <w:p w:rsidR="0026218D" w:rsidRPr="00204D03" w:rsidP="0074675D" w14:paraId="2DA1096F" w14:textId="77777777">
            <w:pPr>
              <w:pStyle w:val="ListParagraph"/>
              <w:ind w:left="0"/>
              <w:jc w:val="right"/>
            </w:pPr>
            <w:r>
              <w:t>2.75-155.00</w:t>
            </w:r>
          </w:p>
        </w:tc>
        <w:tc>
          <w:tcPr>
            <w:tcW w:w="1350" w:type="dxa"/>
            <w:vAlign w:val="center"/>
          </w:tcPr>
          <w:p w:rsidR="0026218D" w:rsidRPr="00204D03" w:rsidP="0074675D" w14:paraId="15F3A64E" w14:textId="77777777">
            <w:pPr>
              <w:pStyle w:val="ListParagraph"/>
              <w:ind w:left="0"/>
              <w:jc w:val="right"/>
            </w:pPr>
            <w:r>
              <w:t>6,753.25</w:t>
            </w:r>
          </w:p>
        </w:tc>
        <w:tc>
          <w:tcPr>
            <w:tcW w:w="990" w:type="dxa"/>
            <w:vAlign w:val="center"/>
          </w:tcPr>
          <w:p w:rsidR="0026218D" w:rsidRPr="00204D03" w:rsidP="0074675D" w14:paraId="3F3FB84B" w14:textId="77777777">
            <w:pPr>
              <w:pStyle w:val="ListParagraph"/>
              <w:ind w:left="0"/>
              <w:jc w:val="right"/>
            </w:pPr>
            <w:r>
              <w:t>$64.26</w:t>
            </w:r>
          </w:p>
        </w:tc>
        <w:tc>
          <w:tcPr>
            <w:tcW w:w="1440" w:type="dxa"/>
            <w:vAlign w:val="center"/>
          </w:tcPr>
          <w:p w:rsidR="0026218D" w:rsidRPr="00204D03" w:rsidP="0074675D" w14:paraId="0A8DEF0D" w14:textId="77777777">
            <w:pPr>
              <w:pStyle w:val="ListParagraph"/>
              <w:ind w:left="0"/>
              <w:jc w:val="right"/>
            </w:pPr>
            <w:r>
              <w:t>$433,967</w:t>
            </w:r>
          </w:p>
        </w:tc>
      </w:tr>
      <w:tr w14:paraId="09925FCA" w14:textId="77777777" w:rsidTr="0074675D">
        <w:tblPrEx>
          <w:tblW w:w="9180" w:type="dxa"/>
          <w:tblLayout w:type="fixed"/>
          <w:tblLook w:val="04A0"/>
        </w:tblPrEx>
        <w:trPr>
          <w:trHeight w:val="360"/>
        </w:trPr>
        <w:tc>
          <w:tcPr>
            <w:tcW w:w="2610" w:type="dxa"/>
            <w:vAlign w:val="center"/>
          </w:tcPr>
          <w:p w:rsidR="0026218D" w:rsidRPr="00075C32" w:rsidP="0074675D" w14:paraId="0110BE24" w14:textId="77777777">
            <w:pPr>
              <w:pStyle w:val="ListParagraph"/>
              <w:ind w:left="0"/>
              <w:jc w:val="right"/>
              <w:rPr>
                <w:b/>
                <w:bCs/>
              </w:rPr>
            </w:pPr>
            <w:r w:rsidRPr="00075C32">
              <w:rPr>
                <w:b/>
                <w:bCs/>
              </w:rPr>
              <w:t>Total</w:t>
            </w:r>
          </w:p>
        </w:tc>
        <w:tc>
          <w:tcPr>
            <w:tcW w:w="1350" w:type="dxa"/>
            <w:vAlign w:val="center"/>
          </w:tcPr>
          <w:p w:rsidR="0026218D" w:rsidRPr="00075C32" w:rsidP="0074675D" w14:paraId="7A5B23DF" w14:textId="77777777">
            <w:pPr>
              <w:pStyle w:val="ListParagraph"/>
              <w:ind w:left="0"/>
              <w:jc w:val="right"/>
              <w:rPr>
                <w:b/>
                <w:bCs/>
              </w:rPr>
            </w:pPr>
            <w:r>
              <w:rPr>
                <w:b/>
                <w:bCs/>
              </w:rPr>
              <w:t>592</w:t>
            </w:r>
          </w:p>
        </w:tc>
        <w:tc>
          <w:tcPr>
            <w:tcW w:w="1440" w:type="dxa"/>
            <w:vAlign w:val="center"/>
          </w:tcPr>
          <w:p w:rsidR="0026218D" w:rsidRPr="00075C32" w:rsidP="0074675D" w14:paraId="157C2D13" w14:textId="77777777">
            <w:pPr>
              <w:pStyle w:val="ListParagraph"/>
              <w:ind w:left="0"/>
              <w:jc w:val="right"/>
              <w:rPr>
                <w:b/>
                <w:bCs/>
              </w:rPr>
            </w:pPr>
          </w:p>
        </w:tc>
        <w:tc>
          <w:tcPr>
            <w:tcW w:w="1350" w:type="dxa"/>
            <w:vAlign w:val="center"/>
          </w:tcPr>
          <w:p w:rsidR="0026218D" w:rsidRPr="00075C32" w:rsidP="0074675D" w14:paraId="57D9FD81" w14:textId="77777777">
            <w:pPr>
              <w:pStyle w:val="ListParagraph"/>
              <w:ind w:left="0"/>
              <w:jc w:val="right"/>
              <w:rPr>
                <w:b/>
                <w:bCs/>
              </w:rPr>
            </w:pPr>
            <w:r>
              <w:rPr>
                <w:b/>
                <w:bCs/>
              </w:rPr>
              <w:t>9,151.75</w:t>
            </w:r>
          </w:p>
        </w:tc>
        <w:tc>
          <w:tcPr>
            <w:tcW w:w="990" w:type="dxa"/>
            <w:vAlign w:val="center"/>
          </w:tcPr>
          <w:p w:rsidR="0026218D" w:rsidRPr="00075C32" w:rsidP="0074675D" w14:paraId="60DF2244" w14:textId="77777777">
            <w:pPr>
              <w:pStyle w:val="ListParagraph"/>
              <w:ind w:left="0"/>
              <w:jc w:val="right"/>
              <w:rPr>
                <w:b/>
                <w:bCs/>
              </w:rPr>
            </w:pPr>
          </w:p>
        </w:tc>
        <w:tc>
          <w:tcPr>
            <w:tcW w:w="1440" w:type="dxa"/>
            <w:vAlign w:val="center"/>
          </w:tcPr>
          <w:p w:rsidR="0026218D" w:rsidRPr="00075C32" w:rsidP="0074675D" w14:paraId="6B3273D3" w14:textId="77777777">
            <w:pPr>
              <w:pStyle w:val="ListParagraph"/>
              <w:ind w:left="0"/>
              <w:jc w:val="right"/>
              <w:rPr>
                <w:b/>
                <w:bCs/>
              </w:rPr>
            </w:pPr>
            <w:r>
              <w:rPr>
                <w:b/>
                <w:bCs/>
              </w:rPr>
              <w:t>$587,061</w:t>
            </w:r>
          </w:p>
        </w:tc>
      </w:tr>
    </w:tbl>
    <w:p w:rsidR="00AB793B" w:rsidRPr="00BF7566" w:rsidP="00AB793B" w14:paraId="17A21C28" w14:textId="77777777">
      <w:pPr>
        <w:rPr>
          <w:sz w:val="20"/>
          <w:szCs w:val="20"/>
        </w:rPr>
      </w:pPr>
      <w:r w:rsidRPr="00BF7566">
        <w:rPr>
          <w:sz w:val="20"/>
          <w:szCs w:val="20"/>
        </w:rPr>
        <w:t>Please see the Appendix for a detailed accounting of estimated proposed action costs by regulatory requirement.</w:t>
      </w:r>
    </w:p>
    <w:p w:rsidR="0026218D" w:rsidP="003C184F" w14:paraId="20D9861C" w14:textId="77777777"/>
    <w:p w:rsidR="0026218D" w:rsidP="0026218D" w14:paraId="1400C2FF" w14:textId="77777777"/>
    <w:p w:rsidR="0026218D" w:rsidP="0026218D" w14:paraId="7C456994" w14:textId="0B79C04B">
      <w:r>
        <w:t xml:space="preserve">As shown in Table 9, </w:t>
      </w:r>
      <w:r w:rsidR="00600B2C">
        <w:t xml:space="preserve">during the first three years of the proposed regulatory action, the </w:t>
      </w:r>
      <w:r w:rsidRPr="00BB0635" w:rsidR="00600B2C">
        <w:t xml:space="preserve">NPS expects </w:t>
      </w:r>
      <w:r w:rsidR="00FC23D7">
        <w:t>an</w:t>
      </w:r>
      <w:r w:rsidRPr="00BB0635" w:rsidR="00600B2C">
        <w:t xml:space="preserve"> </w:t>
      </w:r>
      <w:r w:rsidR="00600B2C">
        <w:t xml:space="preserve">increase </w:t>
      </w:r>
      <w:r w:rsidR="00FC23D7">
        <w:t>of</w:t>
      </w:r>
      <w:r w:rsidR="00600B2C">
        <w:t xml:space="preserve"> </w:t>
      </w:r>
      <w:r w:rsidR="00600B2C">
        <w:rPr>
          <w:color w:val="000000"/>
        </w:rPr>
        <w:t>9,</w:t>
      </w:r>
      <w:r w:rsidR="00D85AF4">
        <w:rPr>
          <w:color w:val="000000"/>
        </w:rPr>
        <w:t>347.75</w:t>
      </w:r>
      <w:r w:rsidR="00600B2C">
        <w:t xml:space="preserve"> </w:t>
      </w:r>
      <w:r w:rsidR="00FC23D7">
        <w:t xml:space="preserve">annual </w:t>
      </w:r>
      <w:r w:rsidRPr="00BB0635" w:rsidR="00600B2C">
        <w:t xml:space="preserve">hours </w:t>
      </w:r>
      <w:r w:rsidR="00600B2C">
        <w:t>compared to</w:t>
      </w:r>
      <w:r w:rsidRPr="00BB0635" w:rsidR="00600B2C">
        <w:t xml:space="preserve"> baseline conditions.</w:t>
      </w:r>
      <w:r w:rsidR="00600B2C">
        <w:t xml:space="preserve"> For these three years, this is an overall increase of </w:t>
      </w:r>
      <w:r w:rsidRPr="00DC7B9E" w:rsidR="00600B2C">
        <w:t>$</w:t>
      </w:r>
      <w:r w:rsidR="00600B2C">
        <w:t>6</w:t>
      </w:r>
      <w:r w:rsidR="0091108D">
        <w:t>00,387</w:t>
      </w:r>
      <w:r w:rsidR="00600B2C">
        <w:t xml:space="preserve"> </w:t>
      </w:r>
      <w:r w:rsidRPr="00DC7B9E" w:rsidR="00600B2C">
        <w:t xml:space="preserve">in </w:t>
      </w:r>
      <w:r w:rsidR="000E40C6">
        <w:t xml:space="preserve">annual </w:t>
      </w:r>
      <w:r w:rsidRPr="00DC7B9E" w:rsidR="00600B2C">
        <w:t xml:space="preserve">costs under the proposed </w:t>
      </w:r>
      <w:r w:rsidR="00600B2C">
        <w:t>regulatory action</w:t>
      </w:r>
      <w:r w:rsidRPr="00DC7B9E" w:rsidR="00600B2C">
        <w:t xml:space="preserve"> compared to baseline conditions. </w:t>
      </w:r>
      <w:r w:rsidR="00600B2C">
        <w:t>F</w:t>
      </w:r>
      <w:r>
        <w:t xml:space="preserve">our years after promulgating a final rule, the </w:t>
      </w:r>
      <w:r w:rsidRPr="00BB0635">
        <w:t xml:space="preserve">NPS expects </w:t>
      </w:r>
      <w:r w:rsidR="00FC23D7">
        <w:t>a</w:t>
      </w:r>
      <w:r w:rsidRPr="00BB0635">
        <w:t xml:space="preserve"> </w:t>
      </w:r>
      <w:r>
        <w:t xml:space="preserve">decrease </w:t>
      </w:r>
      <w:r w:rsidR="00FC23D7">
        <w:t>of</w:t>
      </w:r>
      <w:r>
        <w:t xml:space="preserve"> 28,</w:t>
      </w:r>
      <w:r w:rsidR="00AC6C58">
        <w:t>799</w:t>
      </w:r>
      <w:r w:rsidR="0036392C">
        <w:t>.</w:t>
      </w:r>
      <w:r w:rsidR="00AC6C58">
        <w:t>75</w:t>
      </w:r>
      <w:r>
        <w:t xml:space="preserve"> </w:t>
      </w:r>
      <w:r w:rsidR="000E40C6">
        <w:t xml:space="preserve">annual </w:t>
      </w:r>
      <w:r w:rsidRPr="00BB0635">
        <w:t xml:space="preserve">hours </w:t>
      </w:r>
      <w:r>
        <w:t>compared to</w:t>
      </w:r>
      <w:r w:rsidRPr="00BB0635">
        <w:t xml:space="preserve"> baseline conditions.</w:t>
      </w:r>
      <w:r>
        <w:t xml:space="preserve"> From year </w:t>
      </w:r>
      <w:r w:rsidR="00997046">
        <w:t>four</w:t>
      </w:r>
      <w:r>
        <w:t xml:space="preserve"> and all future years, this is an overall </w:t>
      </w:r>
      <w:r w:rsidR="000E40C6">
        <w:t xml:space="preserve">annual </w:t>
      </w:r>
      <w:r>
        <w:t xml:space="preserve">decrease of </w:t>
      </w:r>
      <w:r w:rsidRPr="00DC7B9E">
        <w:t>$</w:t>
      </w:r>
      <w:r>
        <w:t>1.8</w:t>
      </w:r>
      <w:r w:rsidR="00337A8A">
        <w:t>5</w:t>
      </w:r>
      <w:r>
        <w:t xml:space="preserve"> million</w:t>
      </w:r>
      <w:r w:rsidRPr="00DC7B9E">
        <w:t xml:space="preserve"> in costs under the proposed </w:t>
      </w:r>
      <w:r>
        <w:t>regulatory action</w:t>
      </w:r>
      <w:r w:rsidRPr="00DC7B9E">
        <w:t xml:space="preserve"> compared to baseline conditions.</w:t>
      </w:r>
    </w:p>
    <w:p w:rsidR="0026218D" w:rsidP="0026218D" w14:paraId="726EB33C" w14:textId="77777777"/>
    <w:p w:rsidR="0026218D" w:rsidP="0026218D" w14:paraId="51859426" w14:textId="77777777"/>
    <w:p w:rsidR="007030D9" w:rsidRPr="0083218B" w:rsidP="00C37CE5" w14:paraId="1204F476" w14:textId="5A9FE697">
      <w:pPr>
        <w:pStyle w:val="Heading3"/>
      </w:pPr>
      <w:bookmarkStart w:id="25" w:name="_Toc113867035"/>
      <w:r>
        <w:t>T</w:t>
      </w:r>
      <w:r w:rsidRPr="00CF25F1">
        <w:t xml:space="preserve">able </w:t>
      </w:r>
      <w:r w:rsidR="0026218D">
        <w:t>9</w:t>
      </w:r>
      <w:r w:rsidRPr="00CF25F1">
        <w:t>.</w:t>
      </w:r>
      <w:r w:rsidRPr="009E1AEB">
        <w:t xml:space="preserve"> </w:t>
      </w:r>
      <w:r w:rsidRPr="00CF25F1">
        <w:t xml:space="preserve"> </w:t>
      </w:r>
      <w:r>
        <w:t>Comparison of regulatory framework</w:t>
      </w:r>
      <w:r w:rsidR="008D52ED">
        <w:t>s</w:t>
      </w:r>
      <w:r w:rsidR="00293071">
        <w:t xml:space="preserve"> </w:t>
      </w:r>
      <w:r w:rsidR="00600B2C">
        <w:t>per year</w:t>
      </w:r>
      <w:bookmarkEnd w:id="25"/>
      <w:r w:rsidR="00600B2C">
        <w:t xml:space="preserve"> </w:t>
      </w:r>
    </w:p>
    <w:tbl>
      <w:tblPr>
        <w:tblStyle w:val="TableGrid"/>
        <w:tblW w:w="9715" w:type="dxa"/>
        <w:tblLayout w:type="fixed"/>
        <w:tblLook w:val="04A0"/>
      </w:tblPr>
      <w:tblGrid>
        <w:gridCol w:w="2785"/>
        <w:gridCol w:w="1350"/>
        <w:gridCol w:w="1260"/>
        <w:gridCol w:w="1440"/>
        <w:gridCol w:w="1350"/>
        <w:gridCol w:w="1530"/>
      </w:tblGrid>
      <w:tr w14:paraId="3FC5957F" w14:textId="77777777" w:rsidTr="00BC09B0">
        <w:tblPrEx>
          <w:tblW w:w="9715" w:type="dxa"/>
          <w:tblLayout w:type="fixed"/>
          <w:tblLook w:val="04A0"/>
        </w:tblPrEx>
        <w:trPr>
          <w:trHeight w:val="360"/>
        </w:trPr>
        <w:tc>
          <w:tcPr>
            <w:tcW w:w="2785" w:type="dxa"/>
            <w:vAlign w:val="center"/>
            <w:hideMark/>
          </w:tcPr>
          <w:p w:rsidR="002834FE" w:rsidP="00631247" w14:paraId="63231361" w14:textId="77777777">
            <w:pPr>
              <w:jc w:val="center"/>
              <w:rPr>
                <w:b/>
                <w:bCs/>
                <w:color w:val="000000"/>
              </w:rPr>
            </w:pPr>
            <w:r>
              <w:rPr>
                <w:b/>
                <w:bCs/>
                <w:color w:val="000000"/>
              </w:rPr>
              <w:t>Framework</w:t>
            </w:r>
          </w:p>
        </w:tc>
        <w:tc>
          <w:tcPr>
            <w:tcW w:w="1350" w:type="dxa"/>
            <w:vAlign w:val="center"/>
          </w:tcPr>
          <w:p w:rsidR="002834FE" w:rsidP="00BC09B0" w14:paraId="0DEAC121" w14:textId="4D615DC8">
            <w:pPr>
              <w:jc w:val="center"/>
              <w:rPr>
                <w:b/>
                <w:bCs/>
                <w:color w:val="000000"/>
              </w:rPr>
            </w:pPr>
            <w:r>
              <w:rPr>
                <w:b/>
                <w:bCs/>
                <w:color w:val="000000"/>
              </w:rPr>
              <w:t>Number of Responses</w:t>
            </w:r>
          </w:p>
        </w:tc>
        <w:tc>
          <w:tcPr>
            <w:tcW w:w="1260" w:type="dxa"/>
            <w:vAlign w:val="center"/>
            <w:hideMark/>
          </w:tcPr>
          <w:p w:rsidR="002834FE" w:rsidP="00631247" w14:paraId="6F8778F1" w14:textId="76E36D73">
            <w:pPr>
              <w:jc w:val="center"/>
              <w:rPr>
                <w:b/>
                <w:bCs/>
                <w:color w:val="000000"/>
              </w:rPr>
            </w:pPr>
            <w:r>
              <w:rPr>
                <w:b/>
                <w:bCs/>
                <w:color w:val="000000"/>
              </w:rPr>
              <w:t>Annual Hours</w:t>
            </w:r>
          </w:p>
        </w:tc>
        <w:tc>
          <w:tcPr>
            <w:tcW w:w="1440" w:type="dxa"/>
            <w:vAlign w:val="center"/>
            <w:hideMark/>
          </w:tcPr>
          <w:p w:rsidR="002834FE" w:rsidP="00631247" w14:paraId="3B379E9A" w14:textId="77777777">
            <w:pPr>
              <w:jc w:val="center"/>
              <w:rPr>
                <w:b/>
                <w:bCs/>
                <w:color w:val="000000"/>
              </w:rPr>
            </w:pPr>
            <w:r>
              <w:rPr>
                <w:b/>
                <w:bCs/>
                <w:color w:val="000000"/>
              </w:rPr>
              <w:t>Change from baseline (hours)</w:t>
            </w:r>
          </w:p>
        </w:tc>
        <w:tc>
          <w:tcPr>
            <w:tcW w:w="1350" w:type="dxa"/>
            <w:vAlign w:val="center"/>
            <w:hideMark/>
          </w:tcPr>
          <w:p w:rsidR="002834FE" w:rsidP="00631247" w14:paraId="5FCC46E5" w14:textId="77777777">
            <w:pPr>
              <w:jc w:val="center"/>
              <w:rPr>
                <w:b/>
                <w:bCs/>
                <w:color w:val="000000"/>
              </w:rPr>
            </w:pPr>
            <w:r>
              <w:rPr>
                <w:b/>
                <w:bCs/>
                <w:color w:val="000000"/>
              </w:rPr>
              <w:t>Annual Cost</w:t>
            </w:r>
          </w:p>
        </w:tc>
        <w:tc>
          <w:tcPr>
            <w:tcW w:w="1530" w:type="dxa"/>
            <w:vAlign w:val="center"/>
            <w:hideMark/>
          </w:tcPr>
          <w:p w:rsidR="002834FE" w:rsidP="00631247" w14:paraId="3AC8ADF0" w14:textId="77777777">
            <w:pPr>
              <w:jc w:val="center"/>
              <w:rPr>
                <w:b/>
                <w:bCs/>
                <w:color w:val="000000"/>
              </w:rPr>
            </w:pPr>
            <w:r>
              <w:rPr>
                <w:b/>
                <w:bCs/>
                <w:color w:val="000000"/>
              </w:rPr>
              <w:t>Change from baseline (dollars)</w:t>
            </w:r>
          </w:p>
        </w:tc>
      </w:tr>
      <w:tr w14:paraId="4E9E9DF1" w14:textId="77777777" w:rsidTr="00040409">
        <w:tblPrEx>
          <w:tblW w:w="9715" w:type="dxa"/>
          <w:tblLayout w:type="fixed"/>
          <w:tblLook w:val="04A0"/>
        </w:tblPrEx>
        <w:trPr>
          <w:trHeight w:val="360"/>
        </w:trPr>
        <w:tc>
          <w:tcPr>
            <w:tcW w:w="2785" w:type="dxa"/>
            <w:vAlign w:val="center"/>
            <w:hideMark/>
          </w:tcPr>
          <w:p w:rsidR="002834FE" w:rsidP="00631247" w14:paraId="1A0503A7" w14:textId="77777777">
            <w:pPr>
              <w:rPr>
                <w:color w:val="000000"/>
              </w:rPr>
            </w:pPr>
            <w:r>
              <w:rPr>
                <w:color w:val="000000"/>
              </w:rPr>
              <w:t>Baseline conditions</w:t>
            </w:r>
          </w:p>
        </w:tc>
        <w:tc>
          <w:tcPr>
            <w:tcW w:w="1350" w:type="dxa"/>
            <w:vAlign w:val="center"/>
          </w:tcPr>
          <w:p w:rsidR="002834FE" w:rsidP="00040409" w14:paraId="672713F1" w14:textId="2B6752DB">
            <w:pPr>
              <w:jc w:val="right"/>
              <w:rPr>
                <w:color w:val="000000"/>
              </w:rPr>
            </w:pPr>
            <w:r>
              <w:rPr>
                <w:color w:val="000000"/>
              </w:rPr>
              <w:t>1,</w:t>
            </w:r>
            <w:r w:rsidR="00CE0A8A">
              <w:rPr>
                <w:color w:val="000000"/>
              </w:rPr>
              <w:t>298</w:t>
            </w:r>
          </w:p>
        </w:tc>
        <w:tc>
          <w:tcPr>
            <w:tcW w:w="1260" w:type="dxa"/>
            <w:vAlign w:val="center"/>
            <w:hideMark/>
          </w:tcPr>
          <w:p w:rsidR="002834FE" w:rsidP="00631247" w14:paraId="71F62E2D" w14:textId="695B479D">
            <w:pPr>
              <w:jc w:val="right"/>
              <w:rPr>
                <w:color w:val="000000"/>
              </w:rPr>
            </w:pPr>
            <w:r>
              <w:rPr>
                <w:color w:val="000000"/>
              </w:rPr>
              <w:t>37,9</w:t>
            </w:r>
            <w:r w:rsidR="00CE0A8A">
              <w:rPr>
                <w:color w:val="000000"/>
              </w:rPr>
              <w:t>51</w:t>
            </w:r>
            <w:r>
              <w:rPr>
                <w:color w:val="000000"/>
              </w:rPr>
              <w:t>.5</w:t>
            </w:r>
            <w:r w:rsidR="00CE0A8A">
              <w:rPr>
                <w:color w:val="000000"/>
              </w:rPr>
              <w:t>0</w:t>
            </w:r>
          </w:p>
        </w:tc>
        <w:tc>
          <w:tcPr>
            <w:tcW w:w="1440" w:type="dxa"/>
            <w:vAlign w:val="center"/>
            <w:hideMark/>
          </w:tcPr>
          <w:p w:rsidR="002834FE" w:rsidP="00631247" w14:paraId="0C566C50" w14:textId="77777777">
            <w:pPr>
              <w:ind w:right="58"/>
              <w:jc w:val="center"/>
              <w:rPr>
                <w:color w:val="000000"/>
              </w:rPr>
            </w:pPr>
            <w:r>
              <w:rPr>
                <w:color w:val="000000"/>
              </w:rPr>
              <w:t>--</w:t>
            </w:r>
          </w:p>
        </w:tc>
        <w:tc>
          <w:tcPr>
            <w:tcW w:w="1350" w:type="dxa"/>
            <w:vAlign w:val="center"/>
            <w:hideMark/>
          </w:tcPr>
          <w:p w:rsidR="002834FE" w:rsidP="00631247" w14:paraId="6A85E531" w14:textId="596656BE">
            <w:pPr>
              <w:jc w:val="right"/>
              <w:rPr>
                <w:color w:val="000000"/>
              </w:rPr>
            </w:pPr>
            <w:r>
              <w:rPr>
                <w:color w:val="000000"/>
              </w:rPr>
              <w:t>$2,43</w:t>
            </w:r>
            <w:r w:rsidR="00CE0A8A">
              <w:rPr>
                <w:color w:val="000000"/>
              </w:rPr>
              <w:t>8</w:t>
            </w:r>
            <w:r>
              <w:rPr>
                <w:color w:val="000000"/>
              </w:rPr>
              <w:t>,0</w:t>
            </w:r>
            <w:r w:rsidR="00CE0A8A">
              <w:rPr>
                <w:color w:val="000000"/>
              </w:rPr>
              <w:t>32</w:t>
            </w:r>
          </w:p>
        </w:tc>
        <w:tc>
          <w:tcPr>
            <w:tcW w:w="1530" w:type="dxa"/>
            <w:vAlign w:val="center"/>
            <w:hideMark/>
          </w:tcPr>
          <w:p w:rsidR="002834FE" w:rsidP="00631247" w14:paraId="2DB6887B" w14:textId="77777777">
            <w:pPr>
              <w:jc w:val="center"/>
              <w:rPr>
                <w:color w:val="000000"/>
              </w:rPr>
            </w:pPr>
            <w:r>
              <w:rPr>
                <w:color w:val="000000"/>
              </w:rPr>
              <w:t>--</w:t>
            </w:r>
          </w:p>
        </w:tc>
      </w:tr>
      <w:tr w14:paraId="3584E75C" w14:textId="77777777" w:rsidTr="00040409">
        <w:tblPrEx>
          <w:tblW w:w="9715" w:type="dxa"/>
          <w:tblLayout w:type="fixed"/>
          <w:tblLook w:val="04A0"/>
        </w:tblPrEx>
        <w:trPr>
          <w:trHeight w:val="360"/>
        </w:trPr>
        <w:tc>
          <w:tcPr>
            <w:tcW w:w="2785" w:type="dxa"/>
            <w:vAlign w:val="center"/>
            <w:hideMark/>
          </w:tcPr>
          <w:p w:rsidR="002834FE" w:rsidP="00631247" w14:paraId="361DF66D" w14:textId="77777777">
            <w:pPr>
              <w:rPr>
                <w:color w:val="000000"/>
              </w:rPr>
            </w:pPr>
            <w:r>
              <w:rPr>
                <w:color w:val="000000"/>
              </w:rPr>
              <w:t>Proposed action years 1-3</w:t>
            </w:r>
          </w:p>
        </w:tc>
        <w:tc>
          <w:tcPr>
            <w:tcW w:w="1350" w:type="dxa"/>
            <w:vAlign w:val="center"/>
          </w:tcPr>
          <w:p w:rsidR="002834FE" w:rsidP="00040409" w14:paraId="05690A53" w14:textId="4FDBAC86">
            <w:pPr>
              <w:jc w:val="right"/>
              <w:rPr>
                <w:color w:val="000000"/>
              </w:rPr>
            </w:pPr>
            <w:r>
              <w:rPr>
                <w:color w:val="000000"/>
              </w:rPr>
              <w:t>3,091</w:t>
            </w:r>
          </w:p>
        </w:tc>
        <w:tc>
          <w:tcPr>
            <w:tcW w:w="1260" w:type="dxa"/>
            <w:vAlign w:val="center"/>
            <w:hideMark/>
          </w:tcPr>
          <w:p w:rsidR="002834FE" w:rsidP="00631247" w14:paraId="6DB3ABEE" w14:textId="6721593B">
            <w:pPr>
              <w:jc w:val="right"/>
              <w:rPr>
                <w:color w:val="000000"/>
              </w:rPr>
            </w:pPr>
            <w:r>
              <w:rPr>
                <w:color w:val="000000"/>
              </w:rPr>
              <w:t>47,299.25</w:t>
            </w:r>
          </w:p>
        </w:tc>
        <w:tc>
          <w:tcPr>
            <w:tcW w:w="1440" w:type="dxa"/>
            <w:vAlign w:val="center"/>
            <w:hideMark/>
          </w:tcPr>
          <w:p w:rsidR="002834FE" w:rsidP="00631247" w14:paraId="20D7B296" w14:textId="6C0F6988">
            <w:pPr>
              <w:ind w:right="148"/>
              <w:jc w:val="right"/>
              <w:rPr>
                <w:color w:val="000000"/>
              </w:rPr>
            </w:pPr>
            <w:r>
              <w:rPr>
                <w:color w:val="000000"/>
              </w:rPr>
              <w:t>+9,</w:t>
            </w:r>
            <w:r w:rsidR="00E54532">
              <w:rPr>
                <w:color w:val="000000"/>
              </w:rPr>
              <w:t>347</w:t>
            </w:r>
            <w:r>
              <w:rPr>
                <w:color w:val="000000"/>
              </w:rPr>
              <w:t>.</w:t>
            </w:r>
            <w:r w:rsidR="00E54532">
              <w:rPr>
                <w:color w:val="000000"/>
              </w:rPr>
              <w:t>75</w:t>
            </w:r>
          </w:p>
        </w:tc>
        <w:tc>
          <w:tcPr>
            <w:tcW w:w="1350" w:type="dxa"/>
            <w:vAlign w:val="center"/>
            <w:hideMark/>
          </w:tcPr>
          <w:p w:rsidR="002834FE" w:rsidP="00631247" w14:paraId="0DEAF857" w14:textId="77777777">
            <w:pPr>
              <w:jc w:val="right"/>
              <w:rPr>
                <w:color w:val="000000"/>
              </w:rPr>
            </w:pPr>
            <w:r>
              <w:rPr>
                <w:color w:val="000000"/>
              </w:rPr>
              <w:t>$3,038,419</w:t>
            </w:r>
          </w:p>
        </w:tc>
        <w:tc>
          <w:tcPr>
            <w:tcW w:w="1530" w:type="dxa"/>
            <w:vAlign w:val="center"/>
            <w:hideMark/>
          </w:tcPr>
          <w:p w:rsidR="002834FE" w:rsidP="00631247" w14:paraId="0A45DEE7" w14:textId="2145C1B3">
            <w:pPr>
              <w:jc w:val="right"/>
              <w:rPr>
                <w:color w:val="000000"/>
              </w:rPr>
            </w:pPr>
            <w:r>
              <w:rPr>
                <w:color w:val="000000"/>
              </w:rPr>
              <w:t>+$</w:t>
            </w:r>
            <w:r w:rsidR="00E54532">
              <w:rPr>
                <w:color w:val="000000"/>
              </w:rPr>
              <w:t>600,387</w:t>
            </w:r>
          </w:p>
        </w:tc>
      </w:tr>
      <w:tr w14:paraId="66961625" w14:textId="77777777" w:rsidTr="00040409">
        <w:tblPrEx>
          <w:tblW w:w="9715" w:type="dxa"/>
          <w:tblLayout w:type="fixed"/>
          <w:tblLook w:val="04A0"/>
        </w:tblPrEx>
        <w:trPr>
          <w:trHeight w:val="360"/>
        </w:trPr>
        <w:tc>
          <w:tcPr>
            <w:tcW w:w="2785" w:type="dxa"/>
            <w:vAlign w:val="center"/>
            <w:hideMark/>
          </w:tcPr>
          <w:p w:rsidR="002834FE" w:rsidP="00631247" w14:paraId="46AC8B0A" w14:textId="77777777">
            <w:pPr>
              <w:rPr>
                <w:color w:val="000000"/>
              </w:rPr>
            </w:pPr>
            <w:r>
              <w:rPr>
                <w:color w:val="000000"/>
              </w:rPr>
              <w:t>Proposed action years 4 +</w:t>
            </w:r>
          </w:p>
        </w:tc>
        <w:tc>
          <w:tcPr>
            <w:tcW w:w="1350" w:type="dxa"/>
            <w:vAlign w:val="center"/>
          </w:tcPr>
          <w:p w:rsidR="002834FE" w:rsidP="00040409" w14:paraId="2E4605EC" w14:textId="012CB34A">
            <w:pPr>
              <w:jc w:val="right"/>
              <w:rPr>
                <w:color w:val="000000"/>
              </w:rPr>
            </w:pPr>
            <w:r>
              <w:rPr>
                <w:color w:val="000000"/>
              </w:rPr>
              <w:t>592</w:t>
            </w:r>
          </w:p>
        </w:tc>
        <w:tc>
          <w:tcPr>
            <w:tcW w:w="1260" w:type="dxa"/>
            <w:vAlign w:val="center"/>
            <w:hideMark/>
          </w:tcPr>
          <w:p w:rsidR="002834FE" w:rsidP="00631247" w14:paraId="2580ED2F" w14:textId="4518DD9E">
            <w:pPr>
              <w:jc w:val="right"/>
              <w:rPr>
                <w:color w:val="000000"/>
              </w:rPr>
            </w:pPr>
            <w:r>
              <w:rPr>
                <w:color w:val="000000"/>
              </w:rPr>
              <w:t>9,15</w:t>
            </w:r>
            <w:r w:rsidR="001A64DE">
              <w:rPr>
                <w:color w:val="000000"/>
              </w:rPr>
              <w:t>1</w:t>
            </w:r>
            <w:r>
              <w:rPr>
                <w:color w:val="000000"/>
              </w:rPr>
              <w:t>.</w:t>
            </w:r>
            <w:r w:rsidR="00A6355E">
              <w:rPr>
                <w:color w:val="000000"/>
              </w:rPr>
              <w:t>75</w:t>
            </w:r>
          </w:p>
        </w:tc>
        <w:tc>
          <w:tcPr>
            <w:tcW w:w="1440" w:type="dxa"/>
            <w:vAlign w:val="center"/>
            <w:hideMark/>
          </w:tcPr>
          <w:p w:rsidR="002834FE" w:rsidP="00631247" w14:paraId="5E17E230" w14:textId="4EC4A4E5">
            <w:pPr>
              <w:ind w:right="148"/>
              <w:jc w:val="right"/>
              <w:rPr>
                <w:color w:val="000000"/>
              </w:rPr>
            </w:pPr>
            <w:r>
              <w:rPr>
                <w:color w:val="000000"/>
              </w:rPr>
              <w:t>-28,</w:t>
            </w:r>
            <w:r w:rsidR="00E32DE2">
              <w:rPr>
                <w:color w:val="000000"/>
              </w:rPr>
              <w:t>799</w:t>
            </w:r>
            <w:r>
              <w:rPr>
                <w:color w:val="000000"/>
              </w:rPr>
              <w:t>.</w:t>
            </w:r>
            <w:r w:rsidR="00E32DE2">
              <w:rPr>
                <w:color w:val="000000"/>
              </w:rPr>
              <w:t>75</w:t>
            </w:r>
          </w:p>
        </w:tc>
        <w:tc>
          <w:tcPr>
            <w:tcW w:w="1350" w:type="dxa"/>
            <w:vAlign w:val="center"/>
            <w:hideMark/>
          </w:tcPr>
          <w:p w:rsidR="002834FE" w:rsidP="00631247" w14:paraId="554D3B87" w14:textId="77777777">
            <w:pPr>
              <w:jc w:val="right"/>
              <w:rPr>
                <w:color w:val="000000"/>
              </w:rPr>
            </w:pPr>
            <w:r>
              <w:rPr>
                <w:color w:val="000000"/>
              </w:rPr>
              <w:t>$587,061</w:t>
            </w:r>
          </w:p>
        </w:tc>
        <w:tc>
          <w:tcPr>
            <w:tcW w:w="1530" w:type="dxa"/>
            <w:vAlign w:val="center"/>
            <w:hideMark/>
          </w:tcPr>
          <w:p w:rsidR="002834FE" w:rsidP="00631247" w14:paraId="0EF1A00F" w14:textId="6CD8AB41">
            <w:pPr>
              <w:jc w:val="right"/>
              <w:rPr>
                <w:color w:val="000000"/>
              </w:rPr>
            </w:pPr>
            <w:r>
              <w:rPr>
                <w:color w:val="000000"/>
              </w:rPr>
              <w:t>-$1,85</w:t>
            </w:r>
            <w:r w:rsidR="00E50046">
              <w:rPr>
                <w:color w:val="000000"/>
              </w:rPr>
              <w:t>0</w:t>
            </w:r>
            <w:r>
              <w:rPr>
                <w:color w:val="000000"/>
              </w:rPr>
              <w:t>,</w:t>
            </w:r>
            <w:r w:rsidR="00E50046">
              <w:rPr>
                <w:color w:val="000000"/>
              </w:rPr>
              <w:t>971</w:t>
            </w:r>
          </w:p>
        </w:tc>
      </w:tr>
    </w:tbl>
    <w:p w:rsidR="00A57484" w:rsidP="003C184F" w14:paraId="69365E6C" w14:textId="77777777"/>
    <w:p w:rsidR="00F1152C" w:rsidP="003C184F" w14:paraId="3347A504" w14:textId="77777777"/>
    <w:p w:rsidR="0033717D" w:rsidP="003C184F" w14:paraId="79D4E9E6" w14:textId="781E2838">
      <w:r>
        <w:t>As shown in Table 10, the increase for the first three years under the proposed regulatory action occurs because</w:t>
      </w:r>
      <w:r w:rsidRPr="00B20F9B">
        <w:t xml:space="preserve"> </w:t>
      </w:r>
      <w:r>
        <w:t xml:space="preserve">of changes to the regulatory requirements in Subparts B and C. The decrease </w:t>
      </w:r>
      <w:r>
        <w:t>under the proposed regulatory action occurs because of changes to the regulatory requirements in Subpart C starting in year 4.</w:t>
      </w:r>
    </w:p>
    <w:p w:rsidR="0033717D" w:rsidP="003C184F" w14:paraId="44A15992" w14:textId="77777777"/>
    <w:p w:rsidR="0033717D" w:rsidP="003C184F" w14:paraId="23BDB795" w14:textId="77777777"/>
    <w:p w:rsidR="00EE436E" w:rsidRPr="009E1AEB" w:rsidP="00C37CE5" w14:paraId="77655ADB" w14:textId="411CEF16">
      <w:pPr>
        <w:pStyle w:val="Heading3"/>
      </w:pPr>
      <w:bookmarkStart w:id="26" w:name="_Toc113867036"/>
      <w:r>
        <w:t>T</w:t>
      </w:r>
      <w:r w:rsidRPr="00CF25F1">
        <w:t xml:space="preserve">able </w:t>
      </w:r>
      <w:r w:rsidR="00AB7221">
        <w:t>10</w:t>
      </w:r>
      <w:r w:rsidRPr="00CF25F1">
        <w:t>.</w:t>
      </w:r>
      <w:r w:rsidR="004A29B5">
        <w:t xml:space="preserve"> </w:t>
      </w:r>
      <w:r w:rsidRPr="009E1AEB">
        <w:t xml:space="preserve"> </w:t>
      </w:r>
      <w:r w:rsidR="0026498C">
        <w:t>Comparison o</w:t>
      </w:r>
      <w:r w:rsidR="00CC6B23">
        <w:t>f regulatory frameworks</w:t>
      </w:r>
      <w:r>
        <w:t xml:space="preserve"> by subpart</w:t>
      </w:r>
      <w:bookmarkEnd w:id="26"/>
    </w:p>
    <w:tbl>
      <w:tblPr>
        <w:tblStyle w:val="TableGrid1"/>
        <w:tblW w:w="9865" w:type="dxa"/>
        <w:tblInd w:w="-5" w:type="dxa"/>
        <w:tblLook w:val="04A0"/>
      </w:tblPr>
      <w:tblGrid>
        <w:gridCol w:w="2856"/>
        <w:gridCol w:w="1194"/>
        <w:gridCol w:w="1175"/>
        <w:gridCol w:w="1096"/>
        <w:gridCol w:w="1182"/>
        <w:gridCol w:w="1189"/>
        <w:gridCol w:w="1173"/>
      </w:tblGrid>
      <w:tr w14:paraId="7FBBCAE3" w14:textId="77777777" w:rsidTr="00F71C26">
        <w:tblPrEx>
          <w:tblW w:w="9865" w:type="dxa"/>
          <w:tblInd w:w="-5" w:type="dxa"/>
          <w:tblLook w:val="04A0"/>
        </w:tblPrEx>
        <w:trPr>
          <w:trHeight w:val="360"/>
          <w:tblHeader/>
        </w:trPr>
        <w:tc>
          <w:tcPr>
            <w:tcW w:w="2856" w:type="dxa"/>
            <w:vMerge w:val="restart"/>
            <w:shd w:val="clear" w:color="auto" w:fill="auto"/>
            <w:vAlign w:val="center"/>
          </w:tcPr>
          <w:p w:rsidR="00EE436E" w:rsidRPr="0025549C" w:rsidP="00631247" w14:paraId="065B8B55" w14:textId="77777777">
            <w:pPr>
              <w:tabs>
                <w:tab w:val="left" w:pos="360"/>
                <w:tab w:val="left" w:pos="720"/>
              </w:tabs>
              <w:jc w:val="center"/>
              <w:rPr>
                <w:b/>
                <w:sz w:val="22"/>
                <w:szCs w:val="22"/>
              </w:rPr>
            </w:pPr>
            <w:r w:rsidRPr="0025549C">
              <w:rPr>
                <w:b/>
                <w:sz w:val="22"/>
                <w:szCs w:val="22"/>
              </w:rPr>
              <w:t>Regulatory Requirements</w:t>
            </w:r>
          </w:p>
        </w:tc>
        <w:tc>
          <w:tcPr>
            <w:tcW w:w="3465" w:type="dxa"/>
            <w:gridSpan w:val="3"/>
            <w:shd w:val="clear" w:color="auto" w:fill="auto"/>
            <w:vAlign w:val="center"/>
          </w:tcPr>
          <w:p w:rsidR="00EE436E" w:rsidRPr="0025549C" w:rsidP="00631247" w14:paraId="00FCF474" w14:textId="77777777">
            <w:pPr>
              <w:tabs>
                <w:tab w:val="left" w:pos="360"/>
                <w:tab w:val="left" w:pos="720"/>
              </w:tabs>
              <w:jc w:val="center"/>
              <w:rPr>
                <w:b/>
                <w:sz w:val="22"/>
                <w:szCs w:val="22"/>
              </w:rPr>
            </w:pPr>
            <w:r w:rsidRPr="0025549C">
              <w:rPr>
                <w:rFonts w:eastAsia="Calibri"/>
                <w:b/>
                <w:sz w:val="22"/>
                <w:szCs w:val="22"/>
              </w:rPr>
              <w:t>Annual Number of Responses</w:t>
            </w:r>
          </w:p>
        </w:tc>
        <w:tc>
          <w:tcPr>
            <w:tcW w:w="3544" w:type="dxa"/>
            <w:gridSpan w:val="3"/>
            <w:shd w:val="clear" w:color="auto" w:fill="auto"/>
            <w:vAlign w:val="center"/>
          </w:tcPr>
          <w:p w:rsidR="00EE436E" w:rsidRPr="0025549C" w:rsidP="00631247" w14:paraId="033ABEF1" w14:textId="0AFF39AB">
            <w:pPr>
              <w:tabs>
                <w:tab w:val="left" w:pos="360"/>
                <w:tab w:val="left" w:pos="720"/>
              </w:tabs>
              <w:jc w:val="center"/>
              <w:rPr>
                <w:rFonts w:eastAsia="Calibri"/>
                <w:b/>
                <w:sz w:val="22"/>
                <w:szCs w:val="22"/>
              </w:rPr>
            </w:pPr>
            <w:r w:rsidRPr="0025549C">
              <w:rPr>
                <w:rFonts w:eastAsia="Calibri"/>
                <w:b/>
                <w:sz w:val="22"/>
                <w:szCs w:val="22"/>
              </w:rPr>
              <w:t xml:space="preserve">Annual </w:t>
            </w:r>
            <w:r w:rsidR="00B010E8">
              <w:rPr>
                <w:rFonts w:eastAsia="Calibri"/>
                <w:b/>
                <w:sz w:val="22"/>
                <w:szCs w:val="22"/>
              </w:rPr>
              <w:t>H</w:t>
            </w:r>
            <w:r w:rsidRPr="0025549C">
              <w:rPr>
                <w:rFonts w:eastAsia="Calibri"/>
                <w:b/>
                <w:sz w:val="22"/>
                <w:szCs w:val="22"/>
              </w:rPr>
              <w:t>ours</w:t>
            </w:r>
          </w:p>
        </w:tc>
      </w:tr>
      <w:tr w14:paraId="2D91BA5C" w14:textId="77777777" w:rsidTr="00F71C26">
        <w:tblPrEx>
          <w:tblW w:w="9865" w:type="dxa"/>
          <w:tblInd w:w="-5" w:type="dxa"/>
          <w:tblLook w:val="04A0"/>
        </w:tblPrEx>
        <w:trPr>
          <w:trHeight w:val="360"/>
          <w:tblHeader/>
        </w:trPr>
        <w:tc>
          <w:tcPr>
            <w:tcW w:w="2856" w:type="dxa"/>
            <w:vMerge/>
            <w:tcBorders>
              <w:bottom w:val="single" w:sz="4" w:space="0" w:color="auto"/>
            </w:tcBorders>
            <w:shd w:val="clear" w:color="auto" w:fill="auto"/>
            <w:vAlign w:val="center"/>
          </w:tcPr>
          <w:p w:rsidR="00AB793B" w:rsidRPr="0025549C" w:rsidP="00AB793B" w14:paraId="626359AA" w14:textId="77777777">
            <w:pPr>
              <w:tabs>
                <w:tab w:val="left" w:pos="360"/>
                <w:tab w:val="left" w:pos="720"/>
              </w:tabs>
              <w:jc w:val="center"/>
              <w:rPr>
                <w:b/>
                <w:sz w:val="22"/>
                <w:szCs w:val="22"/>
              </w:rPr>
            </w:pPr>
          </w:p>
        </w:tc>
        <w:tc>
          <w:tcPr>
            <w:tcW w:w="1194" w:type="dxa"/>
            <w:tcBorders>
              <w:bottom w:val="single" w:sz="4" w:space="0" w:color="auto"/>
            </w:tcBorders>
            <w:shd w:val="clear" w:color="auto" w:fill="auto"/>
            <w:vAlign w:val="center"/>
          </w:tcPr>
          <w:p w:rsidR="00AB793B" w:rsidRPr="0025549C" w:rsidP="00AB793B" w14:paraId="291A7B9E" w14:textId="03FF0845">
            <w:pPr>
              <w:widowControl/>
              <w:tabs>
                <w:tab w:val="left" w:pos="360"/>
                <w:tab w:val="left" w:pos="720"/>
              </w:tabs>
              <w:autoSpaceDE/>
              <w:autoSpaceDN/>
              <w:adjustRightInd/>
              <w:jc w:val="center"/>
              <w:rPr>
                <w:rFonts w:eastAsia="Calibri"/>
                <w:b/>
                <w:sz w:val="22"/>
                <w:szCs w:val="22"/>
              </w:rPr>
            </w:pPr>
            <w:r>
              <w:rPr>
                <w:rFonts w:eastAsia="Calibri"/>
                <w:b/>
                <w:sz w:val="22"/>
                <w:szCs w:val="22"/>
              </w:rPr>
              <w:t xml:space="preserve">Baseline conditions </w:t>
            </w:r>
          </w:p>
        </w:tc>
        <w:tc>
          <w:tcPr>
            <w:tcW w:w="1175" w:type="dxa"/>
            <w:tcBorders>
              <w:bottom w:val="single" w:sz="4" w:space="0" w:color="auto"/>
            </w:tcBorders>
            <w:shd w:val="clear" w:color="auto" w:fill="auto"/>
            <w:vAlign w:val="center"/>
          </w:tcPr>
          <w:p w:rsidR="00AB793B" w:rsidRPr="0025549C" w:rsidP="00AB793B" w14:paraId="32E09461" w14:textId="77777777">
            <w:pPr>
              <w:widowControl/>
              <w:tabs>
                <w:tab w:val="left" w:pos="360"/>
                <w:tab w:val="left" w:pos="720"/>
              </w:tabs>
              <w:autoSpaceDE/>
              <w:autoSpaceDN/>
              <w:adjustRightInd/>
              <w:jc w:val="center"/>
              <w:rPr>
                <w:rFonts w:eastAsia="Calibri"/>
                <w:b/>
                <w:sz w:val="22"/>
                <w:szCs w:val="22"/>
              </w:rPr>
            </w:pPr>
            <w:r w:rsidRPr="0025549C">
              <w:rPr>
                <w:rFonts w:eastAsia="Calibri"/>
                <w:b/>
                <w:sz w:val="22"/>
                <w:szCs w:val="22"/>
              </w:rPr>
              <w:t>Proposed</w:t>
            </w:r>
          </w:p>
          <w:p w:rsidR="00AB793B" w:rsidRPr="0025549C" w:rsidP="00AB793B" w14:paraId="771640D6" w14:textId="14AEA95D">
            <w:pPr>
              <w:widowControl/>
              <w:tabs>
                <w:tab w:val="left" w:pos="360"/>
                <w:tab w:val="left" w:pos="720"/>
              </w:tabs>
              <w:autoSpaceDE/>
              <w:autoSpaceDN/>
              <w:adjustRightInd/>
              <w:jc w:val="center"/>
              <w:rPr>
                <w:rFonts w:eastAsia="Calibri"/>
                <w:b/>
                <w:sz w:val="22"/>
                <w:szCs w:val="22"/>
              </w:rPr>
            </w:pPr>
            <w:r w:rsidRPr="0025549C">
              <w:rPr>
                <w:rFonts w:eastAsia="Calibri"/>
                <w:b/>
                <w:sz w:val="22"/>
                <w:szCs w:val="22"/>
              </w:rPr>
              <w:t>Years 1-3</w:t>
            </w:r>
          </w:p>
        </w:tc>
        <w:tc>
          <w:tcPr>
            <w:tcW w:w="1096" w:type="dxa"/>
            <w:tcBorders>
              <w:bottom w:val="single" w:sz="4" w:space="0" w:color="auto"/>
            </w:tcBorders>
            <w:shd w:val="clear" w:color="auto" w:fill="auto"/>
            <w:vAlign w:val="center"/>
          </w:tcPr>
          <w:p w:rsidR="00AB793B" w:rsidRPr="0025549C" w:rsidP="00AB793B" w14:paraId="4B39BC3D" w14:textId="77777777">
            <w:pPr>
              <w:widowControl/>
              <w:tabs>
                <w:tab w:val="left" w:pos="360"/>
                <w:tab w:val="left" w:pos="720"/>
              </w:tabs>
              <w:autoSpaceDE/>
              <w:autoSpaceDN/>
              <w:adjustRightInd/>
              <w:jc w:val="center"/>
              <w:rPr>
                <w:rFonts w:eastAsia="Calibri"/>
                <w:b/>
                <w:sz w:val="22"/>
                <w:szCs w:val="22"/>
              </w:rPr>
            </w:pPr>
            <w:r w:rsidRPr="0025549C">
              <w:rPr>
                <w:rFonts w:eastAsia="Calibri"/>
                <w:b/>
                <w:sz w:val="22"/>
                <w:szCs w:val="22"/>
              </w:rPr>
              <w:t>Proposed</w:t>
            </w:r>
          </w:p>
          <w:p w:rsidR="00AB793B" w:rsidRPr="0025549C" w:rsidP="00AB793B" w14:paraId="2BC239F8" w14:textId="0BA41EF8">
            <w:pPr>
              <w:tabs>
                <w:tab w:val="left" w:pos="360"/>
                <w:tab w:val="left" w:pos="720"/>
              </w:tabs>
              <w:jc w:val="center"/>
              <w:rPr>
                <w:rFonts w:eastAsia="Calibri"/>
                <w:b/>
                <w:sz w:val="22"/>
                <w:szCs w:val="22"/>
              </w:rPr>
            </w:pPr>
            <w:r w:rsidRPr="0025549C">
              <w:rPr>
                <w:rFonts w:eastAsia="Calibri"/>
                <w:b/>
                <w:sz w:val="22"/>
                <w:szCs w:val="22"/>
              </w:rPr>
              <w:t>Years 4+</w:t>
            </w:r>
          </w:p>
        </w:tc>
        <w:tc>
          <w:tcPr>
            <w:tcW w:w="1182" w:type="dxa"/>
            <w:tcBorders>
              <w:bottom w:val="single" w:sz="4" w:space="0" w:color="auto"/>
            </w:tcBorders>
            <w:shd w:val="clear" w:color="auto" w:fill="auto"/>
            <w:vAlign w:val="center"/>
          </w:tcPr>
          <w:p w:rsidR="00AB793B" w:rsidRPr="0025549C" w:rsidP="00AB793B" w14:paraId="2D7310BE" w14:textId="6BDBFFAE">
            <w:pPr>
              <w:tabs>
                <w:tab w:val="left" w:pos="360"/>
                <w:tab w:val="left" w:pos="720"/>
              </w:tabs>
              <w:jc w:val="center"/>
              <w:rPr>
                <w:rFonts w:eastAsia="Calibri"/>
                <w:b/>
                <w:sz w:val="22"/>
                <w:szCs w:val="22"/>
              </w:rPr>
            </w:pPr>
            <w:r>
              <w:rPr>
                <w:rFonts w:eastAsia="Calibri"/>
                <w:b/>
                <w:sz w:val="22"/>
                <w:szCs w:val="22"/>
              </w:rPr>
              <w:t xml:space="preserve">Baseline conditions </w:t>
            </w:r>
          </w:p>
        </w:tc>
        <w:tc>
          <w:tcPr>
            <w:tcW w:w="1189" w:type="dxa"/>
            <w:tcBorders>
              <w:bottom w:val="single" w:sz="4" w:space="0" w:color="auto"/>
            </w:tcBorders>
            <w:shd w:val="clear" w:color="auto" w:fill="auto"/>
            <w:vAlign w:val="center"/>
          </w:tcPr>
          <w:p w:rsidR="00AB793B" w:rsidRPr="0025549C" w:rsidP="00AB793B" w14:paraId="337808FA" w14:textId="77777777">
            <w:pPr>
              <w:tabs>
                <w:tab w:val="left" w:pos="360"/>
                <w:tab w:val="left" w:pos="720"/>
              </w:tabs>
              <w:jc w:val="center"/>
              <w:rPr>
                <w:rFonts w:eastAsia="Calibri"/>
                <w:b/>
                <w:sz w:val="22"/>
                <w:szCs w:val="22"/>
              </w:rPr>
            </w:pPr>
            <w:r w:rsidRPr="0025549C">
              <w:rPr>
                <w:rFonts w:eastAsia="Calibri"/>
                <w:b/>
                <w:sz w:val="22"/>
                <w:szCs w:val="22"/>
              </w:rPr>
              <w:t>Proposed</w:t>
            </w:r>
          </w:p>
          <w:p w:rsidR="00AB793B" w:rsidRPr="0025549C" w:rsidP="00AB793B" w14:paraId="2A70AD65" w14:textId="018431A5">
            <w:pPr>
              <w:tabs>
                <w:tab w:val="left" w:pos="360"/>
                <w:tab w:val="left" w:pos="720"/>
              </w:tabs>
              <w:jc w:val="center"/>
              <w:rPr>
                <w:rFonts w:eastAsia="Calibri"/>
                <w:b/>
                <w:sz w:val="22"/>
                <w:szCs w:val="22"/>
              </w:rPr>
            </w:pPr>
            <w:r w:rsidRPr="0025549C">
              <w:rPr>
                <w:rFonts w:eastAsia="Calibri"/>
                <w:b/>
                <w:sz w:val="22"/>
                <w:szCs w:val="22"/>
              </w:rPr>
              <w:t>Years 1-3</w:t>
            </w:r>
          </w:p>
        </w:tc>
        <w:tc>
          <w:tcPr>
            <w:tcW w:w="1173" w:type="dxa"/>
            <w:tcBorders>
              <w:bottom w:val="single" w:sz="4" w:space="0" w:color="auto"/>
            </w:tcBorders>
            <w:shd w:val="clear" w:color="auto" w:fill="auto"/>
            <w:vAlign w:val="center"/>
          </w:tcPr>
          <w:p w:rsidR="00AB793B" w:rsidRPr="0025549C" w:rsidP="00AB793B" w14:paraId="32CF3A9E" w14:textId="77777777">
            <w:pPr>
              <w:tabs>
                <w:tab w:val="left" w:pos="360"/>
                <w:tab w:val="left" w:pos="720"/>
              </w:tabs>
              <w:jc w:val="center"/>
              <w:rPr>
                <w:rFonts w:eastAsia="Calibri"/>
                <w:b/>
                <w:sz w:val="22"/>
                <w:szCs w:val="22"/>
              </w:rPr>
            </w:pPr>
            <w:r w:rsidRPr="0025549C">
              <w:rPr>
                <w:rFonts w:eastAsia="Calibri"/>
                <w:b/>
                <w:sz w:val="22"/>
                <w:szCs w:val="22"/>
              </w:rPr>
              <w:t>Proposed</w:t>
            </w:r>
          </w:p>
          <w:p w:rsidR="00AB793B" w:rsidRPr="0025549C" w:rsidP="00AB793B" w14:paraId="3FB8BF5A" w14:textId="477137A5">
            <w:pPr>
              <w:tabs>
                <w:tab w:val="left" w:pos="360"/>
                <w:tab w:val="left" w:pos="720"/>
              </w:tabs>
              <w:jc w:val="center"/>
              <w:rPr>
                <w:rFonts w:eastAsia="Calibri"/>
                <w:b/>
                <w:sz w:val="22"/>
                <w:szCs w:val="22"/>
              </w:rPr>
            </w:pPr>
            <w:r w:rsidRPr="0025549C">
              <w:rPr>
                <w:rFonts w:eastAsia="Calibri"/>
                <w:b/>
                <w:sz w:val="22"/>
                <w:szCs w:val="22"/>
              </w:rPr>
              <w:t>Years 4+</w:t>
            </w:r>
          </w:p>
        </w:tc>
      </w:tr>
      <w:tr w14:paraId="2EDAEB5D" w14:textId="77777777" w:rsidTr="00D377F2">
        <w:tblPrEx>
          <w:tblW w:w="9865" w:type="dxa"/>
          <w:tblInd w:w="-5" w:type="dxa"/>
          <w:tblLook w:val="04A0"/>
        </w:tblPrEx>
        <w:trPr>
          <w:cantSplit/>
          <w:trHeight w:val="360"/>
          <w:tblHeader/>
        </w:trPr>
        <w:tc>
          <w:tcPr>
            <w:tcW w:w="2856" w:type="dxa"/>
            <w:vAlign w:val="center"/>
          </w:tcPr>
          <w:p w:rsidR="00B20F9B" w:rsidRPr="00BC519A" w:rsidP="00B20F9B" w14:paraId="4AA72D05" w14:textId="77777777">
            <w:pPr>
              <w:tabs>
                <w:tab w:val="left" w:pos="-1080"/>
                <w:tab w:val="left" w:pos="-720"/>
              </w:tabs>
              <w:rPr>
                <w:bCs/>
                <w:sz w:val="22"/>
                <w:szCs w:val="22"/>
              </w:rPr>
            </w:pPr>
            <w:r w:rsidRPr="00BC519A">
              <w:rPr>
                <w:sz w:val="22"/>
                <w:szCs w:val="22"/>
              </w:rPr>
              <w:t>Subpart B – Protection on Federal or Tribal Lands</w:t>
            </w:r>
          </w:p>
        </w:tc>
        <w:tc>
          <w:tcPr>
            <w:tcW w:w="1194" w:type="dxa"/>
            <w:shd w:val="clear" w:color="auto" w:fill="auto"/>
            <w:vAlign w:val="center"/>
          </w:tcPr>
          <w:p w:rsidR="00B20F9B" w:rsidRPr="00BC519A" w:rsidP="00D377F2" w14:paraId="0A76EB3E" w14:textId="4DCAEE60">
            <w:pPr>
              <w:widowControl/>
              <w:tabs>
                <w:tab w:val="left" w:pos="360"/>
                <w:tab w:val="left" w:pos="720"/>
              </w:tabs>
              <w:autoSpaceDE/>
              <w:autoSpaceDN/>
              <w:adjustRightInd/>
              <w:jc w:val="right"/>
              <w:rPr>
                <w:rFonts w:eastAsia="Calibri"/>
                <w:sz w:val="22"/>
                <w:szCs w:val="22"/>
              </w:rPr>
            </w:pPr>
            <w:r w:rsidRPr="00C83AB3">
              <w:t>6</w:t>
            </w:r>
            <w:r w:rsidR="004A7C37">
              <w:t>5</w:t>
            </w:r>
          </w:p>
        </w:tc>
        <w:tc>
          <w:tcPr>
            <w:tcW w:w="1175" w:type="dxa"/>
            <w:vAlign w:val="center"/>
          </w:tcPr>
          <w:p w:rsidR="00B20F9B" w:rsidRPr="00BC519A" w:rsidP="00D377F2" w14:paraId="0F2B5582" w14:textId="42842765">
            <w:pPr>
              <w:widowControl/>
              <w:tabs>
                <w:tab w:val="left" w:pos="360"/>
                <w:tab w:val="left" w:pos="720"/>
              </w:tabs>
              <w:autoSpaceDE/>
              <w:autoSpaceDN/>
              <w:adjustRightInd/>
              <w:jc w:val="right"/>
              <w:rPr>
                <w:rFonts w:eastAsia="Calibri"/>
                <w:sz w:val="22"/>
                <w:szCs w:val="22"/>
              </w:rPr>
            </w:pPr>
            <w:r>
              <w:rPr>
                <w:rFonts w:eastAsia="Calibri"/>
                <w:sz w:val="22"/>
                <w:szCs w:val="22"/>
              </w:rPr>
              <w:t>124</w:t>
            </w:r>
          </w:p>
        </w:tc>
        <w:tc>
          <w:tcPr>
            <w:tcW w:w="1096" w:type="dxa"/>
            <w:shd w:val="clear" w:color="auto" w:fill="auto"/>
            <w:vAlign w:val="center"/>
          </w:tcPr>
          <w:p w:rsidR="00B20F9B" w:rsidRPr="00BC519A" w:rsidP="00D377F2" w14:paraId="0C7C279C" w14:textId="62E82C66">
            <w:pPr>
              <w:tabs>
                <w:tab w:val="left" w:pos="360"/>
                <w:tab w:val="left" w:pos="720"/>
              </w:tabs>
              <w:jc w:val="right"/>
              <w:rPr>
                <w:rFonts w:eastAsia="Calibri"/>
                <w:sz w:val="22"/>
                <w:szCs w:val="22"/>
              </w:rPr>
            </w:pPr>
            <w:r>
              <w:rPr>
                <w:rFonts w:eastAsia="Calibri"/>
                <w:sz w:val="22"/>
                <w:szCs w:val="22"/>
              </w:rPr>
              <w:t>124</w:t>
            </w:r>
          </w:p>
        </w:tc>
        <w:tc>
          <w:tcPr>
            <w:tcW w:w="1182" w:type="dxa"/>
            <w:shd w:val="clear" w:color="auto" w:fill="auto"/>
            <w:vAlign w:val="center"/>
          </w:tcPr>
          <w:p w:rsidR="00B20F9B" w:rsidRPr="00BC519A" w:rsidP="00D377F2" w14:paraId="120834D0" w14:textId="11349759">
            <w:pPr>
              <w:widowControl/>
              <w:tabs>
                <w:tab w:val="left" w:pos="360"/>
                <w:tab w:val="left" w:pos="720"/>
              </w:tabs>
              <w:autoSpaceDE/>
              <w:autoSpaceDN/>
              <w:adjustRightInd/>
              <w:jc w:val="right"/>
              <w:rPr>
                <w:rFonts w:eastAsia="Calibri"/>
                <w:sz w:val="22"/>
                <w:szCs w:val="22"/>
              </w:rPr>
            </w:pPr>
            <w:r w:rsidRPr="00C83AB3">
              <w:t>4</w:t>
            </w:r>
            <w:r w:rsidR="004A7C37">
              <w:t>65</w:t>
            </w:r>
            <w:r>
              <w:t>.5</w:t>
            </w:r>
            <w:r w:rsidR="004A7C37">
              <w:t>0</w:t>
            </w:r>
          </w:p>
        </w:tc>
        <w:tc>
          <w:tcPr>
            <w:tcW w:w="1189" w:type="dxa"/>
            <w:shd w:val="clear" w:color="auto" w:fill="auto"/>
            <w:vAlign w:val="center"/>
          </w:tcPr>
          <w:p w:rsidR="00B20F9B" w:rsidRPr="00BC519A" w:rsidP="00D377F2" w14:paraId="5FDEB852" w14:textId="03E62042">
            <w:pPr>
              <w:widowControl/>
              <w:tabs>
                <w:tab w:val="left" w:pos="360"/>
                <w:tab w:val="left" w:pos="720"/>
              </w:tabs>
              <w:autoSpaceDE/>
              <w:autoSpaceDN/>
              <w:adjustRightInd/>
              <w:jc w:val="right"/>
              <w:rPr>
                <w:rFonts w:eastAsia="Calibri"/>
                <w:sz w:val="22"/>
                <w:szCs w:val="22"/>
              </w:rPr>
            </w:pPr>
            <w:r>
              <w:rPr>
                <w:rFonts w:eastAsia="Calibri"/>
                <w:sz w:val="22"/>
                <w:szCs w:val="22"/>
              </w:rPr>
              <w:t>950.75</w:t>
            </w:r>
          </w:p>
        </w:tc>
        <w:tc>
          <w:tcPr>
            <w:tcW w:w="1173" w:type="dxa"/>
            <w:shd w:val="clear" w:color="auto" w:fill="auto"/>
            <w:vAlign w:val="center"/>
          </w:tcPr>
          <w:p w:rsidR="00B20F9B" w:rsidRPr="00BC519A" w:rsidP="00D377F2" w14:paraId="7E521ACB" w14:textId="2E704697">
            <w:pPr>
              <w:tabs>
                <w:tab w:val="left" w:pos="360"/>
                <w:tab w:val="left" w:pos="720"/>
              </w:tabs>
              <w:jc w:val="right"/>
              <w:rPr>
                <w:rFonts w:eastAsia="Calibri"/>
                <w:sz w:val="22"/>
                <w:szCs w:val="22"/>
              </w:rPr>
            </w:pPr>
            <w:r>
              <w:rPr>
                <w:rFonts w:eastAsia="Calibri"/>
                <w:sz w:val="22"/>
                <w:szCs w:val="22"/>
              </w:rPr>
              <w:t>950.75</w:t>
            </w:r>
          </w:p>
        </w:tc>
      </w:tr>
      <w:tr w14:paraId="468469E8" w14:textId="77777777" w:rsidTr="00D377F2">
        <w:tblPrEx>
          <w:tblW w:w="9865" w:type="dxa"/>
          <w:tblInd w:w="-5" w:type="dxa"/>
          <w:tblLook w:val="04A0"/>
        </w:tblPrEx>
        <w:trPr>
          <w:cantSplit/>
          <w:trHeight w:val="360"/>
          <w:tblHeader/>
        </w:trPr>
        <w:tc>
          <w:tcPr>
            <w:tcW w:w="2856" w:type="dxa"/>
            <w:tcBorders>
              <w:bottom w:val="single" w:sz="4" w:space="0" w:color="auto"/>
            </w:tcBorders>
            <w:shd w:val="clear" w:color="auto" w:fill="auto"/>
            <w:vAlign w:val="center"/>
          </w:tcPr>
          <w:p w:rsidR="00B20F9B" w:rsidRPr="00BC519A" w:rsidP="00B20F9B" w14:paraId="1F840DF4" w14:textId="77777777">
            <w:pPr>
              <w:tabs>
                <w:tab w:val="left" w:pos="-1080"/>
                <w:tab w:val="left" w:pos="-720"/>
                <w:tab w:val="left" w:pos="720"/>
              </w:tabs>
              <w:rPr>
                <w:sz w:val="22"/>
                <w:szCs w:val="22"/>
              </w:rPr>
            </w:pPr>
            <w:r w:rsidRPr="00BC519A">
              <w:rPr>
                <w:sz w:val="22"/>
                <w:szCs w:val="22"/>
              </w:rPr>
              <w:t>Subpart C – Repatriation by Museums</w:t>
            </w:r>
            <w:r>
              <w:rPr>
                <w:sz w:val="22"/>
                <w:szCs w:val="22"/>
              </w:rPr>
              <w:t xml:space="preserve"> and Federal agencies</w:t>
            </w:r>
          </w:p>
        </w:tc>
        <w:tc>
          <w:tcPr>
            <w:tcW w:w="1194" w:type="dxa"/>
            <w:shd w:val="clear" w:color="auto" w:fill="auto"/>
            <w:vAlign w:val="center"/>
          </w:tcPr>
          <w:p w:rsidR="00B20F9B" w:rsidRPr="00BC519A" w:rsidP="00D377F2" w14:paraId="281801D7" w14:textId="2450D4B1">
            <w:pPr>
              <w:widowControl/>
              <w:tabs>
                <w:tab w:val="left" w:pos="360"/>
                <w:tab w:val="left" w:pos="720"/>
              </w:tabs>
              <w:autoSpaceDE/>
              <w:autoSpaceDN/>
              <w:adjustRightInd/>
              <w:jc w:val="right"/>
              <w:rPr>
                <w:rFonts w:eastAsia="Calibri"/>
                <w:sz w:val="22"/>
                <w:szCs w:val="22"/>
              </w:rPr>
            </w:pPr>
            <w:r w:rsidRPr="00C83AB3">
              <w:t>1,218</w:t>
            </w:r>
          </w:p>
        </w:tc>
        <w:tc>
          <w:tcPr>
            <w:tcW w:w="1175" w:type="dxa"/>
            <w:vAlign w:val="center"/>
          </w:tcPr>
          <w:p w:rsidR="00B20F9B" w:rsidRPr="00BC519A" w:rsidP="00D377F2" w14:paraId="3C0B516C" w14:textId="4BFC48DE">
            <w:pPr>
              <w:widowControl/>
              <w:tabs>
                <w:tab w:val="left" w:pos="360"/>
                <w:tab w:val="left" w:pos="720"/>
              </w:tabs>
              <w:autoSpaceDE/>
              <w:autoSpaceDN/>
              <w:adjustRightInd/>
              <w:jc w:val="right"/>
              <w:rPr>
                <w:rFonts w:eastAsia="Calibri"/>
                <w:sz w:val="22"/>
                <w:szCs w:val="22"/>
              </w:rPr>
            </w:pPr>
            <w:r>
              <w:rPr>
                <w:rFonts w:eastAsia="Calibri"/>
                <w:sz w:val="22"/>
                <w:szCs w:val="22"/>
              </w:rPr>
              <w:t>2,962</w:t>
            </w:r>
          </w:p>
        </w:tc>
        <w:tc>
          <w:tcPr>
            <w:tcW w:w="1096" w:type="dxa"/>
            <w:shd w:val="clear" w:color="auto" w:fill="auto"/>
            <w:vAlign w:val="center"/>
          </w:tcPr>
          <w:p w:rsidR="00B20F9B" w:rsidRPr="00BC519A" w:rsidP="00D377F2" w14:paraId="193F7E8B" w14:textId="288439D4">
            <w:pPr>
              <w:tabs>
                <w:tab w:val="left" w:pos="360"/>
                <w:tab w:val="left" w:pos="720"/>
              </w:tabs>
              <w:jc w:val="right"/>
              <w:rPr>
                <w:rFonts w:eastAsia="Calibri"/>
                <w:sz w:val="22"/>
                <w:szCs w:val="22"/>
              </w:rPr>
            </w:pPr>
            <w:r>
              <w:rPr>
                <w:rFonts w:eastAsia="Calibri"/>
                <w:sz w:val="22"/>
                <w:szCs w:val="22"/>
              </w:rPr>
              <w:t>463</w:t>
            </w:r>
          </w:p>
        </w:tc>
        <w:tc>
          <w:tcPr>
            <w:tcW w:w="1182" w:type="dxa"/>
            <w:shd w:val="clear" w:color="auto" w:fill="auto"/>
            <w:vAlign w:val="center"/>
          </w:tcPr>
          <w:p w:rsidR="00B20F9B" w:rsidRPr="00BC519A" w:rsidP="00D377F2" w14:paraId="33E659F6" w14:textId="73AB30EF">
            <w:pPr>
              <w:widowControl/>
              <w:tabs>
                <w:tab w:val="left" w:pos="360"/>
                <w:tab w:val="left" w:pos="720"/>
              </w:tabs>
              <w:autoSpaceDE/>
              <w:autoSpaceDN/>
              <w:adjustRightInd/>
              <w:jc w:val="right"/>
              <w:rPr>
                <w:rFonts w:eastAsia="Calibri"/>
                <w:sz w:val="22"/>
                <w:szCs w:val="22"/>
              </w:rPr>
            </w:pPr>
            <w:r w:rsidRPr="00C83AB3">
              <w:t>36,750</w:t>
            </w:r>
            <w:r>
              <w:t>.25</w:t>
            </w:r>
          </w:p>
        </w:tc>
        <w:tc>
          <w:tcPr>
            <w:tcW w:w="1189" w:type="dxa"/>
            <w:tcBorders>
              <w:bottom w:val="single" w:sz="4" w:space="0" w:color="auto"/>
            </w:tcBorders>
            <w:shd w:val="clear" w:color="auto" w:fill="auto"/>
            <w:vAlign w:val="center"/>
          </w:tcPr>
          <w:p w:rsidR="00B20F9B" w:rsidRPr="00BC519A" w:rsidP="00D377F2" w14:paraId="27160670" w14:textId="09814680">
            <w:pPr>
              <w:widowControl/>
              <w:tabs>
                <w:tab w:val="left" w:pos="360"/>
                <w:tab w:val="left" w:pos="720"/>
              </w:tabs>
              <w:autoSpaceDE/>
              <w:autoSpaceDN/>
              <w:adjustRightInd/>
              <w:jc w:val="right"/>
              <w:rPr>
                <w:rFonts w:eastAsia="Calibri"/>
                <w:sz w:val="22"/>
                <w:szCs w:val="22"/>
              </w:rPr>
            </w:pPr>
            <w:r>
              <w:rPr>
                <w:rFonts w:eastAsia="Calibri"/>
                <w:sz w:val="22"/>
                <w:szCs w:val="22"/>
              </w:rPr>
              <w:t>46,262.25</w:t>
            </w:r>
          </w:p>
        </w:tc>
        <w:tc>
          <w:tcPr>
            <w:tcW w:w="1173" w:type="dxa"/>
            <w:tcBorders>
              <w:bottom w:val="single" w:sz="4" w:space="0" w:color="auto"/>
            </w:tcBorders>
            <w:shd w:val="clear" w:color="auto" w:fill="auto"/>
            <w:vAlign w:val="center"/>
          </w:tcPr>
          <w:p w:rsidR="00B20F9B" w:rsidRPr="00BC519A" w:rsidP="00D377F2" w14:paraId="1301C8E3" w14:textId="3F7A51C6">
            <w:pPr>
              <w:tabs>
                <w:tab w:val="left" w:pos="360"/>
                <w:tab w:val="left" w:pos="720"/>
              </w:tabs>
              <w:jc w:val="right"/>
              <w:rPr>
                <w:rFonts w:eastAsia="Calibri"/>
                <w:sz w:val="22"/>
                <w:szCs w:val="22"/>
              </w:rPr>
            </w:pPr>
            <w:r>
              <w:rPr>
                <w:rFonts w:eastAsia="Calibri"/>
                <w:sz w:val="22"/>
                <w:szCs w:val="22"/>
              </w:rPr>
              <w:t>8,114.75</w:t>
            </w:r>
          </w:p>
        </w:tc>
      </w:tr>
      <w:tr w14:paraId="7B5BD847" w14:textId="77777777" w:rsidTr="00D377F2">
        <w:tblPrEx>
          <w:tblW w:w="9865" w:type="dxa"/>
          <w:tblInd w:w="-5" w:type="dxa"/>
          <w:tblLook w:val="04A0"/>
        </w:tblPrEx>
        <w:trPr>
          <w:cantSplit/>
          <w:trHeight w:val="360"/>
          <w:tblHeader/>
        </w:trPr>
        <w:tc>
          <w:tcPr>
            <w:tcW w:w="2856" w:type="dxa"/>
            <w:shd w:val="clear" w:color="auto" w:fill="auto"/>
            <w:vAlign w:val="center"/>
          </w:tcPr>
          <w:p w:rsidR="00B20F9B" w:rsidRPr="00BC519A" w:rsidP="00B20F9B" w14:paraId="60DFC105" w14:textId="77777777">
            <w:pPr>
              <w:tabs>
                <w:tab w:val="left" w:pos="-1080"/>
                <w:tab w:val="left" w:pos="-720"/>
              </w:tabs>
              <w:rPr>
                <w:sz w:val="22"/>
                <w:szCs w:val="22"/>
              </w:rPr>
            </w:pPr>
            <w:r w:rsidRPr="00BC519A">
              <w:rPr>
                <w:sz w:val="22"/>
                <w:szCs w:val="22"/>
              </w:rPr>
              <w:t>Subpart D – Review Committee</w:t>
            </w:r>
          </w:p>
        </w:tc>
        <w:tc>
          <w:tcPr>
            <w:tcW w:w="1194" w:type="dxa"/>
            <w:shd w:val="clear" w:color="auto" w:fill="auto"/>
            <w:vAlign w:val="center"/>
          </w:tcPr>
          <w:p w:rsidR="00B20F9B" w:rsidRPr="00BC519A" w:rsidP="00D377F2" w14:paraId="02FCD18F" w14:textId="529FF863">
            <w:pPr>
              <w:widowControl/>
              <w:tabs>
                <w:tab w:val="left" w:pos="360"/>
                <w:tab w:val="left" w:pos="720"/>
              </w:tabs>
              <w:autoSpaceDE/>
              <w:autoSpaceDN/>
              <w:adjustRightInd/>
              <w:jc w:val="right"/>
              <w:rPr>
                <w:rFonts w:eastAsia="Calibri"/>
                <w:sz w:val="22"/>
                <w:szCs w:val="22"/>
              </w:rPr>
            </w:pPr>
            <w:r w:rsidRPr="00C83AB3">
              <w:t>15</w:t>
            </w:r>
          </w:p>
        </w:tc>
        <w:tc>
          <w:tcPr>
            <w:tcW w:w="1175" w:type="dxa"/>
            <w:vAlign w:val="center"/>
          </w:tcPr>
          <w:p w:rsidR="00B20F9B" w:rsidRPr="00BC519A" w:rsidP="00D377F2" w14:paraId="38000E47" w14:textId="5E08D78A">
            <w:pPr>
              <w:widowControl/>
              <w:tabs>
                <w:tab w:val="left" w:pos="360"/>
                <w:tab w:val="left" w:pos="720"/>
              </w:tabs>
              <w:autoSpaceDE/>
              <w:autoSpaceDN/>
              <w:adjustRightInd/>
              <w:jc w:val="right"/>
              <w:rPr>
                <w:rFonts w:eastAsia="Calibri"/>
                <w:sz w:val="22"/>
                <w:szCs w:val="22"/>
              </w:rPr>
            </w:pPr>
            <w:r>
              <w:rPr>
                <w:rFonts w:eastAsia="Calibri"/>
                <w:sz w:val="22"/>
                <w:szCs w:val="22"/>
              </w:rPr>
              <w:t>5</w:t>
            </w:r>
          </w:p>
        </w:tc>
        <w:tc>
          <w:tcPr>
            <w:tcW w:w="1096" w:type="dxa"/>
            <w:shd w:val="clear" w:color="auto" w:fill="auto"/>
            <w:vAlign w:val="center"/>
          </w:tcPr>
          <w:p w:rsidR="00B20F9B" w:rsidRPr="00BC519A" w:rsidP="00D377F2" w14:paraId="75307D87" w14:textId="1441A05A">
            <w:pPr>
              <w:tabs>
                <w:tab w:val="left" w:pos="360"/>
                <w:tab w:val="left" w:pos="720"/>
              </w:tabs>
              <w:jc w:val="right"/>
              <w:rPr>
                <w:rFonts w:eastAsia="Calibri"/>
                <w:sz w:val="22"/>
                <w:szCs w:val="22"/>
              </w:rPr>
            </w:pPr>
            <w:r>
              <w:rPr>
                <w:rFonts w:eastAsia="Calibri"/>
                <w:sz w:val="22"/>
                <w:szCs w:val="22"/>
              </w:rPr>
              <w:t>5</w:t>
            </w:r>
          </w:p>
        </w:tc>
        <w:tc>
          <w:tcPr>
            <w:tcW w:w="1182" w:type="dxa"/>
            <w:shd w:val="clear" w:color="auto" w:fill="auto"/>
            <w:vAlign w:val="center"/>
          </w:tcPr>
          <w:p w:rsidR="00B20F9B" w:rsidRPr="00BC519A" w:rsidP="00D377F2" w14:paraId="604C9CAD" w14:textId="34B160A8">
            <w:pPr>
              <w:widowControl/>
              <w:tabs>
                <w:tab w:val="left" w:pos="360"/>
                <w:tab w:val="left" w:pos="720"/>
              </w:tabs>
              <w:autoSpaceDE/>
              <w:autoSpaceDN/>
              <w:adjustRightInd/>
              <w:jc w:val="right"/>
              <w:rPr>
                <w:rFonts w:eastAsia="Calibri"/>
                <w:sz w:val="22"/>
                <w:szCs w:val="22"/>
              </w:rPr>
            </w:pPr>
            <w:r w:rsidRPr="00C83AB3">
              <w:t>73</w:t>
            </w:r>
            <w:r>
              <w:t>5.75</w:t>
            </w:r>
          </w:p>
        </w:tc>
        <w:tc>
          <w:tcPr>
            <w:tcW w:w="1189" w:type="dxa"/>
            <w:tcBorders>
              <w:bottom w:val="single" w:sz="4" w:space="0" w:color="auto"/>
            </w:tcBorders>
            <w:shd w:val="clear" w:color="auto" w:fill="auto"/>
            <w:vAlign w:val="center"/>
          </w:tcPr>
          <w:p w:rsidR="00B20F9B" w:rsidRPr="00BC519A" w:rsidP="00D377F2" w14:paraId="762383C4" w14:textId="13D5DD35">
            <w:pPr>
              <w:widowControl/>
              <w:tabs>
                <w:tab w:val="left" w:pos="360"/>
                <w:tab w:val="left" w:pos="720"/>
              </w:tabs>
              <w:autoSpaceDE/>
              <w:autoSpaceDN/>
              <w:adjustRightInd/>
              <w:jc w:val="right"/>
              <w:rPr>
                <w:rFonts w:eastAsia="Calibri"/>
                <w:sz w:val="22"/>
                <w:szCs w:val="22"/>
              </w:rPr>
            </w:pPr>
            <w:r>
              <w:rPr>
                <w:rFonts w:eastAsia="Calibri"/>
                <w:sz w:val="22"/>
                <w:szCs w:val="22"/>
              </w:rPr>
              <w:t>86.25</w:t>
            </w:r>
          </w:p>
        </w:tc>
        <w:tc>
          <w:tcPr>
            <w:tcW w:w="1173" w:type="dxa"/>
            <w:tcBorders>
              <w:bottom w:val="single" w:sz="4" w:space="0" w:color="auto"/>
            </w:tcBorders>
            <w:shd w:val="clear" w:color="auto" w:fill="auto"/>
            <w:vAlign w:val="center"/>
          </w:tcPr>
          <w:p w:rsidR="00B20F9B" w:rsidRPr="00BC519A" w:rsidP="00D377F2" w14:paraId="4B82FE1F" w14:textId="0E93FB5F">
            <w:pPr>
              <w:tabs>
                <w:tab w:val="left" w:pos="360"/>
                <w:tab w:val="left" w:pos="720"/>
              </w:tabs>
              <w:jc w:val="right"/>
              <w:rPr>
                <w:rFonts w:eastAsia="Calibri"/>
                <w:sz w:val="22"/>
                <w:szCs w:val="22"/>
              </w:rPr>
            </w:pPr>
            <w:r>
              <w:rPr>
                <w:rFonts w:eastAsia="Calibri"/>
                <w:sz w:val="22"/>
                <w:szCs w:val="22"/>
              </w:rPr>
              <w:t>86.25</w:t>
            </w:r>
          </w:p>
        </w:tc>
      </w:tr>
      <w:tr w14:paraId="702BD632" w14:textId="77777777" w:rsidTr="00D377F2">
        <w:tblPrEx>
          <w:tblW w:w="9865" w:type="dxa"/>
          <w:tblInd w:w="-5" w:type="dxa"/>
          <w:tblLook w:val="04A0"/>
        </w:tblPrEx>
        <w:trPr>
          <w:cantSplit/>
          <w:trHeight w:val="360"/>
          <w:tblHeader/>
        </w:trPr>
        <w:tc>
          <w:tcPr>
            <w:tcW w:w="2856" w:type="dxa"/>
            <w:tcBorders>
              <w:bottom w:val="single" w:sz="4" w:space="0" w:color="auto"/>
            </w:tcBorders>
            <w:shd w:val="clear" w:color="auto" w:fill="auto"/>
            <w:vAlign w:val="center"/>
          </w:tcPr>
          <w:p w:rsidR="00B20F9B" w:rsidRPr="00243113" w:rsidP="00B20F9B" w14:paraId="0D852703" w14:textId="77777777">
            <w:pPr>
              <w:tabs>
                <w:tab w:val="left" w:pos="-1080"/>
                <w:tab w:val="left" w:pos="-720"/>
                <w:tab w:val="left" w:pos="720"/>
              </w:tabs>
              <w:ind w:left="-14" w:firstLine="13"/>
              <w:jc w:val="right"/>
              <w:rPr>
                <w:b/>
                <w:bCs/>
                <w:sz w:val="22"/>
                <w:szCs w:val="22"/>
              </w:rPr>
            </w:pPr>
            <w:r w:rsidRPr="00243113">
              <w:rPr>
                <w:b/>
                <w:bCs/>
                <w:sz w:val="22"/>
                <w:szCs w:val="22"/>
              </w:rPr>
              <w:t>Total</w:t>
            </w:r>
          </w:p>
        </w:tc>
        <w:tc>
          <w:tcPr>
            <w:tcW w:w="1194" w:type="dxa"/>
            <w:shd w:val="clear" w:color="auto" w:fill="auto"/>
            <w:vAlign w:val="center"/>
          </w:tcPr>
          <w:p w:rsidR="00B20F9B" w:rsidRPr="00BC519A" w:rsidP="00D377F2" w14:paraId="48366473" w14:textId="67E64D72">
            <w:pPr>
              <w:widowControl/>
              <w:tabs>
                <w:tab w:val="left" w:pos="360"/>
                <w:tab w:val="left" w:pos="720"/>
              </w:tabs>
              <w:autoSpaceDE/>
              <w:autoSpaceDN/>
              <w:adjustRightInd/>
              <w:jc w:val="right"/>
              <w:rPr>
                <w:rFonts w:eastAsia="Calibri"/>
                <w:b/>
                <w:bCs/>
                <w:sz w:val="22"/>
                <w:szCs w:val="22"/>
              </w:rPr>
            </w:pPr>
            <w:r w:rsidRPr="00B20F9B">
              <w:rPr>
                <w:rFonts w:eastAsia="Calibri"/>
                <w:b/>
                <w:bCs/>
                <w:sz w:val="22"/>
                <w:szCs w:val="22"/>
              </w:rPr>
              <w:t>1,</w:t>
            </w:r>
            <w:r w:rsidR="003257BC">
              <w:rPr>
                <w:rFonts w:eastAsia="Calibri"/>
                <w:b/>
                <w:bCs/>
                <w:sz w:val="22"/>
                <w:szCs w:val="22"/>
              </w:rPr>
              <w:t>298</w:t>
            </w:r>
          </w:p>
        </w:tc>
        <w:tc>
          <w:tcPr>
            <w:tcW w:w="1175" w:type="dxa"/>
            <w:tcBorders>
              <w:top w:val="single" w:sz="4" w:space="0" w:color="auto"/>
              <w:bottom w:val="single" w:sz="4" w:space="0" w:color="auto"/>
            </w:tcBorders>
            <w:vAlign w:val="center"/>
          </w:tcPr>
          <w:p w:rsidR="00B20F9B" w:rsidRPr="00BC519A" w:rsidP="00D377F2" w14:paraId="69B858C1" w14:textId="6A118BCC">
            <w:pPr>
              <w:widowControl/>
              <w:tabs>
                <w:tab w:val="left" w:pos="360"/>
                <w:tab w:val="left" w:pos="720"/>
              </w:tabs>
              <w:autoSpaceDE/>
              <w:autoSpaceDN/>
              <w:adjustRightInd/>
              <w:jc w:val="right"/>
              <w:rPr>
                <w:b/>
                <w:bCs/>
                <w:color w:val="000000"/>
                <w:sz w:val="22"/>
                <w:szCs w:val="22"/>
              </w:rPr>
            </w:pPr>
            <w:r>
              <w:rPr>
                <w:rFonts w:eastAsia="Calibri"/>
                <w:b/>
                <w:bCs/>
                <w:sz w:val="22"/>
                <w:szCs w:val="22"/>
              </w:rPr>
              <w:t>3,091</w:t>
            </w:r>
          </w:p>
        </w:tc>
        <w:tc>
          <w:tcPr>
            <w:tcW w:w="1096" w:type="dxa"/>
            <w:tcBorders>
              <w:top w:val="single" w:sz="4" w:space="0" w:color="auto"/>
              <w:bottom w:val="single" w:sz="4" w:space="0" w:color="auto"/>
            </w:tcBorders>
            <w:shd w:val="clear" w:color="auto" w:fill="auto"/>
            <w:vAlign w:val="center"/>
          </w:tcPr>
          <w:p w:rsidR="00B20F9B" w:rsidRPr="00BC519A" w:rsidP="00D377F2" w14:paraId="6031E12B" w14:textId="3E2CFD28">
            <w:pPr>
              <w:tabs>
                <w:tab w:val="left" w:pos="360"/>
                <w:tab w:val="left" w:pos="720"/>
              </w:tabs>
              <w:jc w:val="right"/>
              <w:rPr>
                <w:rFonts w:eastAsia="Calibri"/>
                <w:b/>
                <w:bCs/>
                <w:sz w:val="22"/>
                <w:szCs w:val="22"/>
              </w:rPr>
            </w:pPr>
            <w:r>
              <w:rPr>
                <w:rFonts w:eastAsia="Calibri"/>
                <w:b/>
                <w:bCs/>
                <w:sz w:val="22"/>
                <w:szCs w:val="22"/>
              </w:rPr>
              <w:t>592</w:t>
            </w:r>
          </w:p>
        </w:tc>
        <w:tc>
          <w:tcPr>
            <w:tcW w:w="1182" w:type="dxa"/>
            <w:tcBorders>
              <w:top w:val="single" w:sz="4" w:space="0" w:color="auto"/>
              <w:bottom w:val="single" w:sz="4" w:space="0" w:color="auto"/>
            </w:tcBorders>
            <w:shd w:val="clear" w:color="auto" w:fill="auto"/>
            <w:vAlign w:val="center"/>
          </w:tcPr>
          <w:p w:rsidR="00B20F9B" w:rsidRPr="00BC519A" w:rsidP="00D377F2" w14:paraId="74980E87" w14:textId="3EFBB032">
            <w:pPr>
              <w:widowControl/>
              <w:tabs>
                <w:tab w:val="left" w:pos="360"/>
                <w:tab w:val="left" w:pos="720"/>
              </w:tabs>
              <w:autoSpaceDE/>
              <w:autoSpaceDN/>
              <w:adjustRightInd/>
              <w:jc w:val="right"/>
              <w:rPr>
                <w:rFonts w:eastAsia="Calibri"/>
                <w:b/>
                <w:bCs/>
                <w:sz w:val="22"/>
                <w:szCs w:val="22"/>
              </w:rPr>
            </w:pPr>
            <w:r w:rsidRPr="00C83AB3">
              <w:rPr>
                <w:b/>
                <w:bCs/>
              </w:rPr>
              <w:t>37,9</w:t>
            </w:r>
            <w:r w:rsidR="003257BC">
              <w:rPr>
                <w:b/>
                <w:bCs/>
              </w:rPr>
              <w:t>51</w:t>
            </w:r>
            <w:r>
              <w:rPr>
                <w:b/>
                <w:bCs/>
              </w:rPr>
              <w:t>.5</w:t>
            </w:r>
            <w:r w:rsidR="003257BC">
              <w:rPr>
                <w:b/>
                <w:bCs/>
              </w:rPr>
              <w:t>0</w:t>
            </w:r>
          </w:p>
        </w:tc>
        <w:tc>
          <w:tcPr>
            <w:tcW w:w="1189" w:type="dxa"/>
            <w:tcBorders>
              <w:top w:val="single" w:sz="4" w:space="0" w:color="auto"/>
              <w:bottom w:val="single" w:sz="4" w:space="0" w:color="auto"/>
            </w:tcBorders>
            <w:shd w:val="clear" w:color="auto" w:fill="auto"/>
            <w:vAlign w:val="center"/>
          </w:tcPr>
          <w:p w:rsidR="00B20F9B" w:rsidRPr="00BC519A" w:rsidP="00D377F2" w14:paraId="08723E11" w14:textId="07B1F01A">
            <w:pPr>
              <w:widowControl/>
              <w:tabs>
                <w:tab w:val="left" w:pos="360"/>
                <w:tab w:val="left" w:pos="720"/>
              </w:tabs>
              <w:autoSpaceDE/>
              <w:autoSpaceDN/>
              <w:adjustRightInd/>
              <w:jc w:val="right"/>
              <w:rPr>
                <w:b/>
                <w:bCs/>
                <w:sz w:val="22"/>
                <w:szCs w:val="22"/>
              </w:rPr>
            </w:pPr>
            <w:r>
              <w:rPr>
                <w:b/>
                <w:bCs/>
                <w:sz w:val="22"/>
                <w:szCs w:val="22"/>
              </w:rPr>
              <w:t>47,299.25</w:t>
            </w:r>
          </w:p>
        </w:tc>
        <w:tc>
          <w:tcPr>
            <w:tcW w:w="1173" w:type="dxa"/>
            <w:tcBorders>
              <w:top w:val="single" w:sz="4" w:space="0" w:color="auto"/>
              <w:bottom w:val="single" w:sz="4" w:space="0" w:color="auto"/>
            </w:tcBorders>
            <w:shd w:val="clear" w:color="auto" w:fill="auto"/>
            <w:vAlign w:val="center"/>
          </w:tcPr>
          <w:p w:rsidR="00B20F9B" w:rsidRPr="00BC519A" w:rsidP="00D377F2" w14:paraId="21C3D0BE" w14:textId="5054CB9E">
            <w:pPr>
              <w:tabs>
                <w:tab w:val="left" w:pos="360"/>
                <w:tab w:val="left" w:pos="720"/>
              </w:tabs>
              <w:jc w:val="right"/>
              <w:rPr>
                <w:rFonts w:eastAsia="Calibri"/>
                <w:b/>
                <w:bCs/>
                <w:sz w:val="22"/>
                <w:szCs w:val="22"/>
              </w:rPr>
            </w:pPr>
            <w:r>
              <w:rPr>
                <w:b/>
                <w:bCs/>
                <w:sz w:val="22"/>
                <w:szCs w:val="22"/>
              </w:rPr>
              <w:t>9,151.75</w:t>
            </w:r>
          </w:p>
        </w:tc>
      </w:tr>
    </w:tbl>
    <w:p w:rsidR="00EE436E" w:rsidP="00EE436E" w14:paraId="5CC53FD0" w14:textId="77777777"/>
    <w:p w:rsidR="007D75E8" w:rsidP="002D327D" w14:paraId="77FB4BF4" w14:textId="77777777">
      <w:pPr>
        <w:rPr>
          <w:b/>
          <w:bCs/>
          <w:i/>
          <w:iCs/>
        </w:rPr>
      </w:pPr>
    </w:p>
    <w:p w:rsidR="00A72262" w:rsidP="00D80083" w14:paraId="1E2CAC0A" w14:textId="55B59073">
      <w:pPr>
        <w:pStyle w:val="ListParagraph"/>
        <w:ind w:left="0"/>
      </w:pPr>
      <w:r w:rsidRPr="00930CEE">
        <w:t xml:space="preserve">Under </w:t>
      </w:r>
      <w:r>
        <w:t>the proposed regulatory action</w:t>
      </w:r>
      <w:r w:rsidRPr="00930CEE">
        <w:t xml:space="preserve">, </w:t>
      </w:r>
      <w:r>
        <w:t>different parties are responsible for carrying out the various regulatory requirements in each subpart. The Appendix to this report provides detailed information on each regulatory requirement and the method for creating this estimate</w:t>
      </w:r>
      <w:r w:rsidR="007D5480">
        <w:t>.</w:t>
      </w:r>
      <w:r w:rsidR="00D80083">
        <w:t xml:space="preserve"> </w:t>
      </w:r>
      <w:r>
        <w:t>As shown in Table</w:t>
      </w:r>
      <w:r w:rsidR="006E3146">
        <w:t xml:space="preserve"> 11</w:t>
      </w:r>
      <w:r>
        <w:t xml:space="preserve">, the </w:t>
      </w:r>
      <w:r w:rsidR="001C2CCB">
        <w:t xml:space="preserve">increase in the first three years and the </w:t>
      </w:r>
      <w:r>
        <w:t>decrease</w:t>
      </w:r>
      <w:r w:rsidR="00D80083">
        <w:t xml:space="preserve"> </w:t>
      </w:r>
      <w:r w:rsidR="001C2CCB">
        <w:t xml:space="preserve">thereafter </w:t>
      </w:r>
      <w:r w:rsidR="00D80083">
        <w:t>relates to</w:t>
      </w:r>
      <w:r w:rsidR="009E17F0">
        <w:t xml:space="preserve"> changes in the regulatory</w:t>
      </w:r>
      <w:r w:rsidR="00D80083">
        <w:t xml:space="preserve"> requirements for Indian Tribes</w:t>
      </w:r>
      <w:r w:rsidR="00051829">
        <w:t>,</w:t>
      </w:r>
      <w:r w:rsidR="00D80083">
        <w:t xml:space="preserve"> NHOs, Federal agencies, and museums</w:t>
      </w:r>
      <w:r w:rsidR="009E17F0">
        <w:t>.</w:t>
      </w:r>
    </w:p>
    <w:p w:rsidR="00F572EF" w:rsidP="00F572EF" w14:paraId="732A04D2" w14:textId="77777777"/>
    <w:p w:rsidR="008B453F" w:rsidP="008B453F" w14:paraId="2462D832" w14:textId="77777777"/>
    <w:p w:rsidR="0075737D" w:rsidRPr="009E1AEB" w:rsidP="00C37CE5" w14:paraId="6F591648" w14:textId="5246C569">
      <w:pPr>
        <w:pStyle w:val="Heading3"/>
      </w:pPr>
      <w:bookmarkStart w:id="27" w:name="_Toc113867037"/>
      <w:r w:rsidRPr="009E1AEB">
        <w:t xml:space="preserve">Table </w:t>
      </w:r>
      <w:r>
        <w:t>1</w:t>
      </w:r>
      <w:r w:rsidR="006E3146">
        <w:t>1</w:t>
      </w:r>
      <w:r w:rsidRPr="009E1AEB">
        <w:t xml:space="preserve">. </w:t>
      </w:r>
      <w:r w:rsidR="00A72262">
        <w:t xml:space="preserve"> </w:t>
      </w:r>
      <w:r w:rsidR="00FF4973">
        <w:t>Comparison of regulatory frameworks</w:t>
      </w:r>
      <w:r>
        <w:t xml:space="preserve"> by responsible party</w:t>
      </w:r>
      <w:bookmarkEnd w:id="27"/>
    </w:p>
    <w:tbl>
      <w:tblPr>
        <w:tblStyle w:val="TableGrid1"/>
        <w:tblW w:w="9630" w:type="dxa"/>
        <w:tblInd w:w="-5" w:type="dxa"/>
        <w:tblLayout w:type="fixed"/>
        <w:tblLook w:val="04A0"/>
      </w:tblPr>
      <w:tblGrid>
        <w:gridCol w:w="2340"/>
        <w:gridCol w:w="1260"/>
        <w:gridCol w:w="1170"/>
        <w:gridCol w:w="1170"/>
        <w:gridCol w:w="1260"/>
        <w:gridCol w:w="1260"/>
        <w:gridCol w:w="1170"/>
      </w:tblGrid>
      <w:tr w14:paraId="4E016848" w14:textId="77777777" w:rsidTr="00CB7FB4">
        <w:tblPrEx>
          <w:tblW w:w="9630" w:type="dxa"/>
          <w:tblInd w:w="-5" w:type="dxa"/>
          <w:tblLayout w:type="fixed"/>
          <w:tblLook w:val="04A0"/>
        </w:tblPrEx>
        <w:trPr>
          <w:trHeight w:val="360"/>
          <w:tblHeader/>
        </w:trPr>
        <w:tc>
          <w:tcPr>
            <w:tcW w:w="2340" w:type="dxa"/>
            <w:vMerge w:val="restart"/>
            <w:shd w:val="clear" w:color="auto" w:fill="auto"/>
            <w:vAlign w:val="center"/>
          </w:tcPr>
          <w:p w:rsidR="0075737D" w:rsidRPr="0025549C" w:rsidP="00631247" w14:paraId="47B8B09B" w14:textId="77777777">
            <w:pPr>
              <w:tabs>
                <w:tab w:val="left" w:pos="360"/>
                <w:tab w:val="left" w:pos="720"/>
              </w:tabs>
              <w:jc w:val="center"/>
              <w:rPr>
                <w:b/>
                <w:sz w:val="22"/>
                <w:szCs w:val="22"/>
              </w:rPr>
            </w:pPr>
            <w:r w:rsidRPr="0025549C">
              <w:rPr>
                <w:b/>
                <w:sz w:val="22"/>
                <w:szCs w:val="22"/>
              </w:rPr>
              <w:t>Responsible party</w:t>
            </w:r>
          </w:p>
        </w:tc>
        <w:tc>
          <w:tcPr>
            <w:tcW w:w="3600" w:type="dxa"/>
            <w:gridSpan w:val="3"/>
            <w:shd w:val="clear" w:color="auto" w:fill="auto"/>
            <w:vAlign w:val="center"/>
          </w:tcPr>
          <w:p w:rsidR="0075737D" w:rsidRPr="0025549C" w:rsidP="00631247" w14:paraId="135C17A2" w14:textId="77777777">
            <w:pPr>
              <w:tabs>
                <w:tab w:val="left" w:pos="360"/>
                <w:tab w:val="left" w:pos="720"/>
              </w:tabs>
              <w:jc w:val="center"/>
              <w:rPr>
                <w:b/>
                <w:sz w:val="22"/>
                <w:szCs w:val="22"/>
              </w:rPr>
            </w:pPr>
            <w:r w:rsidRPr="0025549C">
              <w:rPr>
                <w:rFonts w:eastAsia="Calibri"/>
                <w:b/>
                <w:sz w:val="22"/>
                <w:szCs w:val="22"/>
              </w:rPr>
              <w:t>Annual Number of Responses</w:t>
            </w:r>
          </w:p>
        </w:tc>
        <w:tc>
          <w:tcPr>
            <w:tcW w:w="3690" w:type="dxa"/>
            <w:gridSpan w:val="3"/>
            <w:shd w:val="clear" w:color="auto" w:fill="auto"/>
            <w:vAlign w:val="center"/>
          </w:tcPr>
          <w:p w:rsidR="0075737D" w:rsidRPr="0025549C" w:rsidP="00631247" w14:paraId="4F0355DA" w14:textId="7CF65C34">
            <w:pPr>
              <w:tabs>
                <w:tab w:val="left" w:pos="360"/>
                <w:tab w:val="left" w:pos="720"/>
              </w:tabs>
              <w:jc w:val="center"/>
              <w:rPr>
                <w:rFonts w:eastAsia="Calibri"/>
                <w:b/>
                <w:sz w:val="22"/>
                <w:szCs w:val="22"/>
              </w:rPr>
            </w:pPr>
            <w:r w:rsidRPr="0025549C">
              <w:rPr>
                <w:rFonts w:eastAsia="Calibri"/>
                <w:b/>
                <w:sz w:val="22"/>
                <w:szCs w:val="22"/>
              </w:rPr>
              <w:t xml:space="preserve">Annual </w:t>
            </w:r>
            <w:r w:rsidR="00B010E8">
              <w:rPr>
                <w:rFonts w:eastAsia="Calibri"/>
                <w:b/>
                <w:sz w:val="22"/>
                <w:szCs w:val="22"/>
              </w:rPr>
              <w:t>H</w:t>
            </w:r>
            <w:r w:rsidRPr="0025549C">
              <w:rPr>
                <w:rFonts w:eastAsia="Calibri"/>
                <w:b/>
                <w:sz w:val="22"/>
                <w:szCs w:val="22"/>
              </w:rPr>
              <w:t>ours</w:t>
            </w:r>
          </w:p>
        </w:tc>
      </w:tr>
      <w:tr w14:paraId="4B6FFD95" w14:textId="77777777" w:rsidTr="00CB7FB4">
        <w:tblPrEx>
          <w:tblW w:w="9630" w:type="dxa"/>
          <w:tblInd w:w="-5" w:type="dxa"/>
          <w:tblLayout w:type="fixed"/>
          <w:tblLook w:val="04A0"/>
        </w:tblPrEx>
        <w:trPr>
          <w:trHeight w:val="360"/>
          <w:tblHeader/>
        </w:trPr>
        <w:tc>
          <w:tcPr>
            <w:tcW w:w="2340" w:type="dxa"/>
            <w:vMerge/>
            <w:tcBorders>
              <w:bottom w:val="single" w:sz="4" w:space="0" w:color="auto"/>
            </w:tcBorders>
            <w:shd w:val="clear" w:color="auto" w:fill="auto"/>
            <w:vAlign w:val="center"/>
          </w:tcPr>
          <w:p w:rsidR="001C2CCB" w:rsidRPr="0025549C" w:rsidP="001C2CCB" w14:paraId="270A7510" w14:textId="77777777">
            <w:pPr>
              <w:tabs>
                <w:tab w:val="left" w:pos="360"/>
                <w:tab w:val="left" w:pos="720"/>
              </w:tabs>
              <w:jc w:val="center"/>
              <w:rPr>
                <w:b/>
                <w:sz w:val="22"/>
                <w:szCs w:val="22"/>
              </w:rPr>
            </w:pPr>
          </w:p>
        </w:tc>
        <w:tc>
          <w:tcPr>
            <w:tcW w:w="1260" w:type="dxa"/>
            <w:tcBorders>
              <w:bottom w:val="single" w:sz="4" w:space="0" w:color="auto"/>
            </w:tcBorders>
            <w:shd w:val="clear" w:color="auto" w:fill="auto"/>
            <w:vAlign w:val="center"/>
          </w:tcPr>
          <w:p w:rsidR="001C2CCB" w:rsidRPr="0025549C" w:rsidP="001C2CCB" w14:paraId="5739B7A9" w14:textId="7055E7E1">
            <w:pPr>
              <w:widowControl/>
              <w:tabs>
                <w:tab w:val="left" w:pos="360"/>
                <w:tab w:val="left" w:pos="720"/>
              </w:tabs>
              <w:autoSpaceDE/>
              <w:autoSpaceDN/>
              <w:adjustRightInd/>
              <w:jc w:val="center"/>
              <w:rPr>
                <w:rFonts w:eastAsia="Calibri"/>
                <w:b/>
                <w:sz w:val="22"/>
                <w:szCs w:val="22"/>
              </w:rPr>
            </w:pPr>
            <w:r>
              <w:rPr>
                <w:rFonts w:eastAsia="Calibri"/>
                <w:b/>
                <w:sz w:val="22"/>
                <w:szCs w:val="22"/>
              </w:rPr>
              <w:t xml:space="preserve">Baseline conditions </w:t>
            </w:r>
          </w:p>
        </w:tc>
        <w:tc>
          <w:tcPr>
            <w:tcW w:w="1170" w:type="dxa"/>
            <w:tcBorders>
              <w:bottom w:val="single" w:sz="4" w:space="0" w:color="auto"/>
            </w:tcBorders>
            <w:shd w:val="clear" w:color="auto" w:fill="auto"/>
            <w:vAlign w:val="center"/>
          </w:tcPr>
          <w:p w:rsidR="001C2CCB" w:rsidRPr="0025549C" w:rsidP="001C2CCB" w14:paraId="51AF29CE" w14:textId="77777777">
            <w:pPr>
              <w:widowControl/>
              <w:tabs>
                <w:tab w:val="left" w:pos="360"/>
                <w:tab w:val="left" w:pos="720"/>
              </w:tabs>
              <w:autoSpaceDE/>
              <w:autoSpaceDN/>
              <w:adjustRightInd/>
              <w:jc w:val="center"/>
              <w:rPr>
                <w:rFonts w:eastAsia="Calibri"/>
                <w:b/>
                <w:sz w:val="22"/>
                <w:szCs w:val="22"/>
              </w:rPr>
            </w:pPr>
            <w:r w:rsidRPr="0025549C">
              <w:rPr>
                <w:rFonts w:eastAsia="Calibri"/>
                <w:b/>
                <w:sz w:val="22"/>
                <w:szCs w:val="22"/>
              </w:rPr>
              <w:t>Proposed</w:t>
            </w:r>
          </w:p>
          <w:p w:rsidR="001C2CCB" w:rsidRPr="0025549C" w:rsidP="001C2CCB" w14:paraId="43FF781E" w14:textId="1796F8A7">
            <w:pPr>
              <w:widowControl/>
              <w:tabs>
                <w:tab w:val="left" w:pos="360"/>
                <w:tab w:val="left" w:pos="720"/>
              </w:tabs>
              <w:autoSpaceDE/>
              <w:autoSpaceDN/>
              <w:adjustRightInd/>
              <w:jc w:val="center"/>
              <w:rPr>
                <w:rFonts w:eastAsia="Calibri"/>
                <w:b/>
                <w:sz w:val="22"/>
                <w:szCs w:val="22"/>
              </w:rPr>
            </w:pPr>
            <w:r w:rsidRPr="0025549C">
              <w:rPr>
                <w:rFonts w:eastAsia="Calibri"/>
                <w:b/>
                <w:sz w:val="22"/>
                <w:szCs w:val="22"/>
              </w:rPr>
              <w:t>Years 1-3</w:t>
            </w:r>
          </w:p>
        </w:tc>
        <w:tc>
          <w:tcPr>
            <w:tcW w:w="1170" w:type="dxa"/>
            <w:tcBorders>
              <w:bottom w:val="single" w:sz="4" w:space="0" w:color="auto"/>
            </w:tcBorders>
            <w:shd w:val="clear" w:color="auto" w:fill="auto"/>
            <w:vAlign w:val="center"/>
          </w:tcPr>
          <w:p w:rsidR="001C2CCB" w:rsidRPr="0025549C" w:rsidP="001C2CCB" w14:paraId="4F526639" w14:textId="77777777">
            <w:pPr>
              <w:widowControl/>
              <w:tabs>
                <w:tab w:val="left" w:pos="360"/>
                <w:tab w:val="left" w:pos="720"/>
              </w:tabs>
              <w:autoSpaceDE/>
              <w:autoSpaceDN/>
              <w:adjustRightInd/>
              <w:jc w:val="center"/>
              <w:rPr>
                <w:rFonts w:eastAsia="Calibri"/>
                <w:b/>
                <w:sz w:val="22"/>
                <w:szCs w:val="22"/>
              </w:rPr>
            </w:pPr>
            <w:r w:rsidRPr="0025549C">
              <w:rPr>
                <w:rFonts w:eastAsia="Calibri"/>
                <w:b/>
                <w:sz w:val="22"/>
                <w:szCs w:val="22"/>
              </w:rPr>
              <w:t>Proposed</w:t>
            </w:r>
          </w:p>
          <w:p w:rsidR="001C2CCB" w:rsidRPr="0025549C" w:rsidP="001C2CCB" w14:paraId="3AAFDE88" w14:textId="15CDE27B">
            <w:pPr>
              <w:tabs>
                <w:tab w:val="left" w:pos="360"/>
                <w:tab w:val="left" w:pos="720"/>
              </w:tabs>
              <w:jc w:val="center"/>
              <w:rPr>
                <w:rFonts w:eastAsia="Calibri"/>
                <w:b/>
                <w:sz w:val="22"/>
                <w:szCs w:val="22"/>
              </w:rPr>
            </w:pPr>
            <w:r w:rsidRPr="0025549C">
              <w:rPr>
                <w:rFonts w:eastAsia="Calibri"/>
                <w:b/>
                <w:sz w:val="22"/>
                <w:szCs w:val="22"/>
              </w:rPr>
              <w:t>Years 4+</w:t>
            </w:r>
          </w:p>
        </w:tc>
        <w:tc>
          <w:tcPr>
            <w:tcW w:w="1260" w:type="dxa"/>
            <w:tcBorders>
              <w:bottom w:val="single" w:sz="4" w:space="0" w:color="auto"/>
            </w:tcBorders>
            <w:shd w:val="clear" w:color="auto" w:fill="auto"/>
            <w:vAlign w:val="center"/>
          </w:tcPr>
          <w:p w:rsidR="001C2CCB" w:rsidRPr="0025549C" w:rsidP="001C2CCB" w14:paraId="07F8D3C3" w14:textId="1475A6DE">
            <w:pPr>
              <w:tabs>
                <w:tab w:val="left" w:pos="360"/>
                <w:tab w:val="left" w:pos="720"/>
              </w:tabs>
              <w:jc w:val="center"/>
              <w:rPr>
                <w:rFonts w:eastAsia="Calibri"/>
                <w:b/>
                <w:sz w:val="22"/>
                <w:szCs w:val="22"/>
              </w:rPr>
            </w:pPr>
            <w:r>
              <w:rPr>
                <w:rFonts w:eastAsia="Calibri"/>
                <w:b/>
                <w:sz w:val="22"/>
                <w:szCs w:val="22"/>
              </w:rPr>
              <w:t xml:space="preserve">Baseline conditions </w:t>
            </w:r>
          </w:p>
        </w:tc>
        <w:tc>
          <w:tcPr>
            <w:tcW w:w="1260" w:type="dxa"/>
            <w:tcBorders>
              <w:bottom w:val="single" w:sz="4" w:space="0" w:color="auto"/>
            </w:tcBorders>
            <w:shd w:val="clear" w:color="auto" w:fill="auto"/>
            <w:vAlign w:val="center"/>
          </w:tcPr>
          <w:p w:rsidR="001C2CCB" w:rsidRPr="0025549C" w:rsidP="001C2CCB" w14:paraId="7A06D85F" w14:textId="77777777">
            <w:pPr>
              <w:tabs>
                <w:tab w:val="left" w:pos="360"/>
                <w:tab w:val="left" w:pos="720"/>
              </w:tabs>
              <w:jc w:val="center"/>
              <w:rPr>
                <w:rFonts w:eastAsia="Calibri"/>
                <w:b/>
                <w:sz w:val="22"/>
                <w:szCs w:val="22"/>
              </w:rPr>
            </w:pPr>
            <w:r w:rsidRPr="0025549C">
              <w:rPr>
                <w:rFonts w:eastAsia="Calibri"/>
                <w:b/>
                <w:sz w:val="22"/>
                <w:szCs w:val="22"/>
              </w:rPr>
              <w:t>Proposed</w:t>
            </w:r>
          </w:p>
          <w:p w:rsidR="001C2CCB" w:rsidRPr="0025549C" w:rsidP="001C2CCB" w14:paraId="16077606" w14:textId="48F2A280">
            <w:pPr>
              <w:tabs>
                <w:tab w:val="left" w:pos="360"/>
                <w:tab w:val="left" w:pos="720"/>
              </w:tabs>
              <w:jc w:val="center"/>
              <w:rPr>
                <w:rFonts w:eastAsia="Calibri"/>
                <w:b/>
                <w:sz w:val="22"/>
                <w:szCs w:val="22"/>
              </w:rPr>
            </w:pPr>
            <w:r w:rsidRPr="0025549C">
              <w:rPr>
                <w:rFonts w:eastAsia="Calibri"/>
                <w:b/>
                <w:sz w:val="22"/>
                <w:szCs w:val="22"/>
              </w:rPr>
              <w:t>Years 1-3</w:t>
            </w:r>
          </w:p>
        </w:tc>
        <w:tc>
          <w:tcPr>
            <w:tcW w:w="1170" w:type="dxa"/>
            <w:tcBorders>
              <w:bottom w:val="single" w:sz="4" w:space="0" w:color="auto"/>
            </w:tcBorders>
            <w:shd w:val="clear" w:color="auto" w:fill="auto"/>
            <w:vAlign w:val="center"/>
          </w:tcPr>
          <w:p w:rsidR="001C2CCB" w:rsidRPr="0025549C" w:rsidP="001C2CCB" w14:paraId="6B967266" w14:textId="77777777">
            <w:pPr>
              <w:tabs>
                <w:tab w:val="left" w:pos="360"/>
                <w:tab w:val="left" w:pos="720"/>
              </w:tabs>
              <w:jc w:val="center"/>
              <w:rPr>
                <w:rFonts w:eastAsia="Calibri"/>
                <w:b/>
                <w:sz w:val="22"/>
                <w:szCs w:val="22"/>
              </w:rPr>
            </w:pPr>
            <w:r w:rsidRPr="0025549C">
              <w:rPr>
                <w:rFonts w:eastAsia="Calibri"/>
                <w:b/>
                <w:sz w:val="22"/>
                <w:szCs w:val="22"/>
              </w:rPr>
              <w:t>Proposed</w:t>
            </w:r>
          </w:p>
          <w:p w:rsidR="001C2CCB" w:rsidRPr="0025549C" w:rsidP="001C2CCB" w14:paraId="37477569" w14:textId="1F50DF32">
            <w:pPr>
              <w:tabs>
                <w:tab w:val="left" w:pos="360"/>
                <w:tab w:val="left" w:pos="720"/>
              </w:tabs>
              <w:jc w:val="center"/>
              <w:rPr>
                <w:rFonts w:eastAsia="Calibri"/>
                <w:b/>
                <w:sz w:val="22"/>
                <w:szCs w:val="22"/>
              </w:rPr>
            </w:pPr>
            <w:r w:rsidRPr="0025549C">
              <w:rPr>
                <w:rFonts w:eastAsia="Calibri"/>
                <w:b/>
                <w:sz w:val="22"/>
                <w:szCs w:val="22"/>
              </w:rPr>
              <w:t>Years 4+</w:t>
            </w:r>
          </w:p>
        </w:tc>
      </w:tr>
      <w:tr w14:paraId="31858B72" w14:textId="77777777" w:rsidTr="00D377F2">
        <w:tblPrEx>
          <w:tblW w:w="9630" w:type="dxa"/>
          <w:tblInd w:w="-5" w:type="dxa"/>
          <w:tblLayout w:type="fixed"/>
          <w:tblLook w:val="04A0"/>
        </w:tblPrEx>
        <w:trPr>
          <w:cantSplit/>
          <w:trHeight w:val="360"/>
          <w:tblHeader/>
        </w:trPr>
        <w:tc>
          <w:tcPr>
            <w:tcW w:w="2340" w:type="dxa"/>
            <w:vAlign w:val="center"/>
          </w:tcPr>
          <w:p w:rsidR="00B20F9B" w:rsidRPr="00BC519A" w:rsidP="00B20F9B" w14:paraId="22601F10" w14:textId="77777777">
            <w:pPr>
              <w:tabs>
                <w:tab w:val="left" w:pos="-1080"/>
                <w:tab w:val="left" w:pos="-720"/>
              </w:tabs>
              <w:rPr>
                <w:bCs/>
                <w:sz w:val="22"/>
                <w:szCs w:val="22"/>
              </w:rPr>
            </w:pPr>
            <w:r w:rsidRPr="00204D03">
              <w:t>Any person</w:t>
            </w:r>
          </w:p>
        </w:tc>
        <w:tc>
          <w:tcPr>
            <w:tcW w:w="1260" w:type="dxa"/>
            <w:shd w:val="clear" w:color="auto" w:fill="auto"/>
            <w:vAlign w:val="center"/>
          </w:tcPr>
          <w:p w:rsidR="00B20F9B" w:rsidRPr="00BC519A" w:rsidP="00D377F2" w14:paraId="5C946BCC" w14:textId="1DCC1EC7">
            <w:pPr>
              <w:widowControl/>
              <w:tabs>
                <w:tab w:val="left" w:pos="360"/>
                <w:tab w:val="left" w:pos="720"/>
              </w:tabs>
              <w:autoSpaceDE/>
              <w:autoSpaceDN/>
              <w:adjustRightInd/>
              <w:jc w:val="right"/>
              <w:rPr>
                <w:rFonts w:eastAsia="Calibri"/>
                <w:sz w:val="22"/>
                <w:szCs w:val="22"/>
              </w:rPr>
            </w:pPr>
            <w:r w:rsidRPr="00204D03">
              <w:t>1</w:t>
            </w:r>
            <w:r>
              <w:t>7</w:t>
            </w:r>
          </w:p>
        </w:tc>
        <w:tc>
          <w:tcPr>
            <w:tcW w:w="1170" w:type="dxa"/>
            <w:vAlign w:val="center"/>
          </w:tcPr>
          <w:p w:rsidR="00B20F9B" w:rsidRPr="00BC519A" w:rsidP="00D377F2" w14:paraId="44F859C9" w14:textId="446DA319">
            <w:pPr>
              <w:widowControl/>
              <w:tabs>
                <w:tab w:val="left" w:pos="360"/>
                <w:tab w:val="left" w:pos="720"/>
              </w:tabs>
              <w:autoSpaceDE/>
              <w:autoSpaceDN/>
              <w:adjustRightInd/>
              <w:jc w:val="right"/>
              <w:rPr>
                <w:rFonts w:eastAsia="Calibri"/>
                <w:sz w:val="22"/>
                <w:szCs w:val="22"/>
              </w:rPr>
            </w:pPr>
            <w:r w:rsidRPr="00204D03">
              <w:t>1</w:t>
            </w:r>
            <w:r>
              <w:t>7</w:t>
            </w:r>
          </w:p>
        </w:tc>
        <w:tc>
          <w:tcPr>
            <w:tcW w:w="1170" w:type="dxa"/>
            <w:shd w:val="clear" w:color="auto" w:fill="auto"/>
            <w:vAlign w:val="center"/>
          </w:tcPr>
          <w:p w:rsidR="00B20F9B" w:rsidRPr="00BC519A" w:rsidP="00D377F2" w14:paraId="06994459" w14:textId="3D16D35E">
            <w:pPr>
              <w:tabs>
                <w:tab w:val="left" w:pos="360"/>
                <w:tab w:val="left" w:pos="720"/>
              </w:tabs>
              <w:jc w:val="right"/>
              <w:rPr>
                <w:rFonts w:eastAsia="Calibri"/>
                <w:sz w:val="22"/>
                <w:szCs w:val="22"/>
              </w:rPr>
            </w:pPr>
            <w:r w:rsidRPr="00204D03">
              <w:t>1</w:t>
            </w:r>
            <w:r>
              <w:t>7</w:t>
            </w:r>
          </w:p>
        </w:tc>
        <w:tc>
          <w:tcPr>
            <w:tcW w:w="1260" w:type="dxa"/>
            <w:shd w:val="clear" w:color="auto" w:fill="auto"/>
            <w:vAlign w:val="center"/>
          </w:tcPr>
          <w:p w:rsidR="00B20F9B" w:rsidRPr="00BC519A" w:rsidP="00D377F2" w14:paraId="40DFB305" w14:textId="2FB79C75">
            <w:pPr>
              <w:widowControl/>
              <w:tabs>
                <w:tab w:val="left" w:pos="360"/>
                <w:tab w:val="left" w:pos="720"/>
              </w:tabs>
              <w:autoSpaceDE/>
              <w:autoSpaceDN/>
              <w:adjustRightInd/>
              <w:jc w:val="right"/>
              <w:rPr>
                <w:rFonts w:eastAsia="Calibri"/>
                <w:sz w:val="22"/>
                <w:szCs w:val="22"/>
              </w:rPr>
            </w:pPr>
            <w:r>
              <w:t>10.00</w:t>
            </w:r>
          </w:p>
        </w:tc>
        <w:tc>
          <w:tcPr>
            <w:tcW w:w="1260" w:type="dxa"/>
            <w:shd w:val="clear" w:color="auto" w:fill="auto"/>
            <w:vAlign w:val="center"/>
          </w:tcPr>
          <w:p w:rsidR="00B20F9B" w:rsidRPr="00BC519A" w:rsidP="00D377F2" w14:paraId="60E3927E" w14:textId="31FA1024">
            <w:pPr>
              <w:widowControl/>
              <w:tabs>
                <w:tab w:val="left" w:pos="360"/>
                <w:tab w:val="left" w:pos="720"/>
              </w:tabs>
              <w:autoSpaceDE/>
              <w:autoSpaceDN/>
              <w:adjustRightInd/>
              <w:jc w:val="right"/>
              <w:rPr>
                <w:rFonts w:eastAsia="Calibri"/>
                <w:sz w:val="22"/>
                <w:szCs w:val="22"/>
              </w:rPr>
            </w:pPr>
            <w:r>
              <w:t>10.00</w:t>
            </w:r>
          </w:p>
        </w:tc>
        <w:tc>
          <w:tcPr>
            <w:tcW w:w="1170" w:type="dxa"/>
            <w:shd w:val="clear" w:color="auto" w:fill="auto"/>
            <w:vAlign w:val="center"/>
          </w:tcPr>
          <w:p w:rsidR="00B20F9B" w:rsidRPr="00BC519A" w:rsidP="00D377F2" w14:paraId="1577D726" w14:textId="614A1489">
            <w:pPr>
              <w:tabs>
                <w:tab w:val="left" w:pos="360"/>
                <w:tab w:val="left" w:pos="720"/>
              </w:tabs>
              <w:jc w:val="right"/>
              <w:rPr>
                <w:rFonts w:eastAsia="Calibri"/>
                <w:sz w:val="22"/>
                <w:szCs w:val="22"/>
              </w:rPr>
            </w:pPr>
            <w:r>
              <w:t>10.00</w:t>
            </w:r>
          </w:p>
        </w:tc>
      </w:tr>
      <w:tr w14:paraId="47237765" w14:textId="77777777" w:rsidTr="00D377F2">
        <w:tblPrEx>
          <w:tblW w:w="9630" w:type="dxa"/>
          <w:tblInd w:w="-5" w:type="dxa"/>
          <w:tblLayout w:type="fixed"/>
          <w:tblLook w:val="04A0"/>
        </w:tblPrEx>
        <w:trPr>
          <w:cantSplit/>
          <w:trHeight w:val="360"/>
          <w:tblHeader/>
        </w:trPr>
        <w:tc>
          <w:tcPr>
            <w:tcW w:w="2340" w:type="dxa"/>
            <w:tcBorders>
              <w:bottom w:val="single" w:sz="4" w:space="0" w:color="auto"/>
            </w:tcBorders>
            <w:shd w:val="clear" w:color="auto" w:fill="auto"/>
            <w:vAlign w:val="center"/>
          </w:tcPr>
          <w:p w:rsidR="00B20F9B" w:rsidRPr="00BC519A" w:rsidP="00B20F9B" w14:paraId="6B43688E" w14:textId="77777777">
            <w:pPr>
              <w:tabs>
                <w:tab w:val="left" w:pos="-1080"/>
                <w:tab w:val="left" w:pos="-720"/>
                <w:tab w:val="left" w:pos="720"/>
              </w:tabs>
              <w:rPr>
                <w:sz w:val="22"/>
                <w:szCs w:val="22"/>
              </w:rPr>
            </w:pPr>
            <w:r>
              <w:t>Lineal descendants</w:t>
            </w:r>
          </w:p>
        </w:tc>
        <w:tc>
          <w:tcPr>
            <w:tcW w:w="1260" w:type="dxa"/>
            <w:shd w:val="clear" w:color="auto" w:fill="auto"/>
            <w:vAlign w:val="center"/>
          </w:tcPr>
          <w:p w:rsidR="00B20F9B" w:rsidRPr="00BC519A" w:rsidP="00D377F2" w14:paraId="140F0F1E" w14:textId="7202B557">
            <w:pPr>
              <w:widowControl/>
              <w:tabs>
                <w:tab w:val="left" w:pos="360"/>
                <w:tab w:val="left" w:pos="720"/>
              </w:tabs>
              <w:autoSpaceDE/>
              <w:autoSpaceDN/>
              <w:adjustRightInd/>
              <w:jc w:val="right"/>
              <w:rPr>
                <w:rFonts w:eastAsia="Calibri"/>
                <w:sz w:val="22"/>
                <w:szCs w:val="22"/>
              </w:rPr>
            </w:pPr>
            <w:r>
              <w:t>6</w:t>
            </w:r>
          </w:p>
        </w:tc>
        <w:tc>
          <w:tcPr>
            <w:tcW w:w="1170" w:type="dxa"/>
            <w:vAlign w:val="center"/>
          </w:tcPr>
          <w:p w:rsidR="00B20F9B" w:rsidRPr="00BC519A" w:rsidP="00D377F2" w14:paraId="20C3AB5F" w14:textId="6CF3C82F">
            <w:pPr>
              <w:widowControl/>
              <w:tabs>
                <w:tab w:val="left" w:pos="360"/>
                <w:tab w:val="left" w:pos="720"/>
              </w:tabs>
              <w:autoSpaceDE/>
              <w:autoSpaceDN/>
              <w:adjustRightInd/>
              <w:jc w:val="right"/>
              <w:rPr>
                <w:rFonts w:eastAsia="Calibri"/>
                <w:sz w:val="22"/>
                <w:szCs w:val="22"/>
              </w:rPr>
            </w:pPr>
            <w:r>
              <w:t>9</w:t>
            </w:r>
          </w:p>
        </w:tc>
        <w:tc>
          <w:tcPr>
            <w:tcW w:w="1170" w:type="dxa"/>
            <w:shd w:val="clear" w:color="auto" w:fill="auto"/>
            <w:vAlign w:val="center"/>
          </w:tcPr>
          <w:p w:rsidR="00B20F9B" w:rsidRPr="00BC519A" w:rsidP="00D377F2" w14:paraId="0D921B34" w14:textId="5F539D65">
            <w:pPr>
              <w:tabs>
                <w:tab w:val="left" w:pos="360"/>
                <w:tab w:val="left" w:pos="720"/>
              </w:tabs>
              <w:jc w:val="right"/>
              <w:rPr>
                <w:rFonts w:eastAsia="Calibri"/>
                <w:sz w:val="22"/>
                <w:szCs w:val="22"/>
              </w:rPr>
            </w:pPr>
            <w:r>
              <w:t>9</w:t>
            </w:r>
          </w:p>
        </w:tc>
        <w:tc>
          <w:tcPr>
            <w:tcW w:w="1260" w:type="dxa"/>
            <w:shd w:val="clear" w:color="auto" w:fill="auto"/>
            <w:vAlign w:val="center"/>
          </w:tcPr>
          <w:p w:rsidR="00B20F9B" w:rsidRPr="00BC519A" w:rsidP="00D377F2" w14:paraId="392A5C81" w14:textId="25CA224E">
            <w:pPr>
              <w:widowControl/>
              <w:tabs>
                <w:tab w:val="left" w:pos="360"/>
                <w:tab w:val="left" w:pos="720"/>
              </w:tabs>
              <w:autoSpaceDE/>
              <w:autoSpaceDN/>
              <w:adjustRightInd/>
              <w:jc w:val="right"/>
              <w:rPr>
                <w:rFonts w:eastAsia="Calibri"/>
                <w:sz w:val="22"/>
                <w:szCs w:val="22"/>
              </w:rPr>
            </w:pPr>
            <w:r>
              <w:t>19.50</w:t>
            </w:r>
          </w:p>
        </w:tc>
        <w:tc>
          <w:tcPr>
            <w:tcW w:w="1260" w:type="dxa"/>
            <w:tcBorders>
              <w:bottom w:val="single" w:sz="4" w:space="0" w:color="auto"/>
            </w:tcBorders>
            <w:shd w:val="clear" w:color="auto" w:fill="auto"/>
            <w:vAlign w:val="center"/>
          </w:tcPr>
          <w:p w:rsidR="00B20F9B" w:rsidRPr="00BC519A" w:rsidP="00D377F2" w14:paraId="292B86B3" w14:textId="5692D26A">
            <w:pPr>
              <w:widowControl/>
              <w:tabs>
                <w:tab w:val="left" w:pos="360"/>
                <w:tab w:val="left" w:pos="720"/>
              </w:tabs>
              <w:autoSpaceDE/>
              <w:autoSpaceDN/>
              <w:adjustRightInd/>
              <w:jc w:val="right"/>
              <w:rPr>
                <w:rFonts w:eastAsia="Calibri"/>
                <w:sz w:val="22"/>
                <w:szCs w:val="22"/>
              </w:rPr>
            </w:pPr>
            <w:r>
              <w:t>31.25</w:t>
            </w:r>
          </w:p>
        </w:tc>
        <w:tc>
          <w:tcPr>
            <w:tcW w:w="1170" w:type="dxa"/>
            <w:tcBorders>
              <w:bottom w:val="single" w:sz="4" w:space="0" w:color="auto"/>
            </w:tcBorders>
            <w:shd w:val="clear" w:color="auto" w:fill="auto"/>
            <w:vAlign w:val="center"/>
          </w:tcPr>
          <w:p w:rsidR="00B20F9B" w:rsidRPr="00BC519A" w:rsidP="00D377F2" w14:paraId="05DB3F99" w14:textId="599F22AB">
            <w:pPr>
              <w:tabs>
                <w:tab w:val="left" w:pos="360"/>
                <w:tab w:val="left" w:pos="720"/>
              </w:tabs>
              <w:jc w:val="right"/>
              <w:rPr>
                <w:rFonts w:eastAsia="Calibri"/>
                <w:sz w:val="22"/>
                <w:szCs w:val="22"/>
              </w:rPr>
            </w:pPr>
            <w:r>
              <w:t>31.25</w:t>
            </w:r>
          </w:p>
        </w:tc>
      </w:tr>
      <w:tr w14:paraId="4E519D65" w14:textId="77777777" w:rsidTr="00D377F2">
        <w:tblPrEx>
          <w:tblW w:w="9630" w:type="dxa"/>
          <w:tblInd w:w="-5" w:type="dxa"/>
          <w:tblLayout w:type="fixed"/>
          <w:tblLook w:val="04A0"/>
        </w:tblPrEx>
        <w:trPr>
          <w:cantSplit/>
          <w:trHeight w:val="360"/>
          <w:tblHeader/>
        </w:trPr>
        <w:tc>
          <w:tcPr>
            <w:tcW w:w="2340" w:type="dxa"/>
            <w:shd w:val="clear" w:color="auto" w:fill="auto"/>
            <w:vAlign w:val="center"/>
          </w:tcPr>
          <w:p w:rsidR="00B20F9B" w:rsidRPr="00BC519A" w:rsidP="00B20F9B" w14:paraId="36A83AFA" w14:textId="77777777">
            <w:pPr>
              <w:tabs>
                <w:tab w:val="left" w:pos="-1080"/>
                <w:tab w:val="left" w:pos="-720"/>
              </w:tabs>
              <w:rPr>
                <w:sz w:val="22"/>
                <w:szCs w:val="22"/>
              </w:rPr>
            </w:pPr>
            <w:r w:rsidRPr="00204D03">
              <w:t xml:space="preserve">Any </w:t>
            </w:r>
            <w:r>
              <w:t>affected party</w:t>
            </w:r>
          </w:p>
        </w:tc>
        <w:tc>
          <w:tcPr>
            <w:tcW w:w="1260" w:type="dxa"/>
            <w:shd w:val="clear" w:color="auto" w:fill="auto"/>
            <w:vAlign w:val="center"/>
          </w:tcPr>
          <w:p w:rsidR="00B20F9B" w:rsidRPr="00BC519A" w:rsidP="00D377F2" w14:paraId="6EEB6820" w14:textId="4901E51E">
            <w:pPr>
              <w:widowControl/>
              <w:tabs>
                <w:tab w:val="left" w:pos="360"/>
                <w:tab w:val="left" w:pos="720"/>
              </w:tabs>
              <w:autoSpaceDE/>
              <w:autoSpaceDN/>
              <w:adjustRightInd/>
              <w:jc w:val="right"/>
              <w:rPr>
                <w:rFonts w:eastAsia="Calibri"/>
                <w:sz w:val="22"/>
                <w:szCs w:val="22"/>
              </w:rPr>
            </w:pPr>
            <w:r>
              <w:t>3</w:t>
            </w:r>
          </w:p>
        </w:tc>
        <w:tc>
          <w:tcPr>
            <w:tcW w:w="1170" w:type="dxa"/>
            <w:vAlign w:val="center"/>
          </w:tcPr>
          <w:p w:rsidR="00B20F9B" w:rsidRPr="00BC519A" w:rsidP="00D377F2" w14:paraId="580695A0" w14:textId="68BF986C">
            <w:pPr>
              <w:widowControl/>
              <w:tabs>
                <w:tab w:val="left" w:pos="360"/>
                <w:tab w:val="left" w:pos="720"/>
              </w:tabs>
              <w:autoSpaceDE/>
              <w:autoSpaceDN/>
              <w:adjustRightInd/>
              <w:jc w:val="right"/>
              <w:rPr>
                <w:rFonts w:eastAsia="Calibri"/>
                <w:sz w:val="22"/>
                <w:szCs w:val="22"/>
              </w:rPr>
            </w:pPr>
            <w:r>
              <w:t>5</w:t>
            </w:r>
          </w:p>
        </w:tc>
        <w:tc>
          <w:tcPr>
            <w:tcW w:w="1170" w:type="dxa"/>
            <w:shd w:val="clear" w:color="auto" w:fill="auto"/>
            <w:vAlign w:val="center"/>
          </w:tcPr>
          <w:p w:rsidR="00B20F9B" w:rsidRPr="00BC519A" w:rsidP="00D377F2" w14:paraId="0FA6FAA9" w14:textId="19474FFD">
            <w:pPr>
              <w:tabs>
                <w:tab w:val="left" w:pos="360"/>
                <w:tab w:val="left" w:pos="720"/>
              </w:tabs>
              <w:jc w:val="right"/>
              <w:rPr>
                <w:rFonts w:eastAsia="Calibri"/>
                <w:sz w:val="22"/>
                <w:szCs w:val="22"/>
              </w:rPr>
            </w:pPr>
            <w:r>
              <w:t>5</w:t>
            </w:r>
          </w:p>
        </w:tc>
        <w:tc>
          <w:tcPr>
            <w:tcW w:w="1260" w:type="dxa"/>
            <w:shd w:val="clear" w:color="auto" w:fill="auto"/>
            <w:vAlign w:val="center"/>
          </w:tcPr>
          <w:p w:rsidR="00B20F9B" w:rsidRPr="00BC519A" w:rsidP="00D377F2" w14:paraId="13EAEF94" w14:textId="5FD44DD6">
            <w:pPr>
              <w:widowControl/>
              <w:tabs>
                <w:tab w:val="left" w:pos="360"/>
                <w:tab w:val="left" w:pos="720"/>
              </w:tabs>
              <w:autoSpaceDE/>
              <w:autoSpaceDN/>
              <w:adjustRightInd/>
              <w:jc w:val="right"/>
              <w:rPr>
                <w:rFonts w:eastAsia="Calibri"/>
                <w:sz w:val="22"/>
                <w:szCs w:val="22"/>
              </w:rPr>
            </w:pPr>
            <w:r>
              <w:t>75.75</w:t>
            </w:r>
          </w:p>
        </w:tc>
        <w:tc>
          <w:tcPr>
            <w:tcW w:w="1260" w:type="dxa"/>
            <w:tcBorders>
              <w:bottom w:val="single" w:sz="4" w:space="0" w:color="auto"/>
            </w:tcBorders>
            <w:shd w:val="clear" w:color="auto" w:fill="auto"/>
            <w:vAlign w:val="center"/>
          </w:tcPr>
          <w:p w:rsidR="00B20F9B" w:rsidRPr="00BC519A" w:rsidP="00D377F2" w14:paraId="36F5AD80" w14:textId="6EBAFC08">
            <w:pPr>
              <w:widowControl/>
              <w:tabs>
                <w:tab w:val="left" w:pos="360"/>
                <w:tab w:val="left" w:pos="720"/>
              </w:tabs>
              <w:autoSpaceDE/>
              <w:autoSpaceDN/>
              <w:adjustRightInd/>
              <w:jc w:val="right"/>
              <w:rPr>
                <w:rFonts w:eastAsia="Calibri"/>
                <w:sz w:val="22"/>
                <w:szCs w:val="22"/>
              </w:rPr>
            </w:pPr>
            <w:r>
              <w:t>86.25</w:t>
            </w:r>
          </w:p>
        </w:tc>
        <w:tc>
          <w:tcPr>
            <w:tcW w:w="1170" w:type="dxa"/>
            <w:tcBorders>
              <w:bottom w:val="single" w:sz="4" w:space="0" w:color="auto"/>
            </w:tcBorders>
            <w:shd w:val="clear" w:color="auto" w:fill="auto"/>
            <w:vAlign w:val="center"/>
          </w:tcPr>
          <w:p w:rsidR="00B20F9B" w:rsidRPr="00BC519A" w:rsidP="00D377F2" w14:paraId="0A0DCBD7" w14:textId="1663B153">
            <w:pPr>
              <w:tabs>
                <w:tab w:val="left" w:pos="360"/>
                <w:tab w:val="left" w:pos="720"/>
              </w:tabs>
              <w:jc w:val="right"/>
              <w:rPr>
                <w:rFonts w:eastAsia="Calibri"/>
                <w:sz w:val="22"/>
                <w:szCs w:val="22"/>
              </w:rPr>
            </w:pPr>
            <w:r>
              <w:t>86.25</w:t>
            </w:r>
          </w:p>
        </w:tc>
      </w:tr>
      <w:tr w14:paraId="21D681CF" w14:textId="77777777" w:rsidTr="00D377F2">
        <w:tblPrEx>
          <w:tblW w:w="9630" w:type="dxa"/>
          <w:tblInd w:w="-5" w:type="dxa"/>
          <w:tblLayout w:type="fixed"/>
          <w:tblLook w:val="04A0"/>
        </w:tblPrEx>
        <w:trPr>
          <w:cantSplit/>
          <w:trHeight w:val="360"/>
          <w:tblHeader/>
        </w:trPr>
        <w:tc>
          <w:tcPr>
            <w:tcW w:w="2340" w:type="dxa"/>
            <w:shd w:val="clear" w:color="auto" w:fill="auto"/>
            <w:vAlign w:val="center"/>
          </w:tcPr>
          <w:p w:rsidR="00B20F9B" w:rsidRPr="00204D03" w:rsidP="00B20F9B" w14:paraId="2C0FFE90" w14:textId="77777777">
            <w:pPr>
              <w:tabs>
                <w:tab w:val="left" w:pos="-1080"/>
                <w:tab w:val="left" w:pos="-720"/>
              </w:tabs>
            </w:pPr>
            <w:r w:rsidRPr="00204D03">
              <w:t>Indian Tribes/NHOs</w:t>
            </w:r>
          </w:p>
        </w:tc>
        <w:tc>
          <w:tcPr>
            <w:tcW w:w="1260" w:type="dxa"/>
            <w:shd w:val="clear" w:color="auto" w:fill="auto"/>
            <w:vAlign w:val="center"/>
          </w:tcPr>
          <w:p w:rsidR="00B20F9B" w:rsidP="00D377F2" w14:paraId="7CA5B01A" w14:textId="09967EB8">
            <w:pPr>
              <w:tabs>
                <w:tab w:val="left" w:pos="360"/>
                <w:tab w:val="left" w:pos="720"/>
              </w:tabs>
              <w:jc w:val="right"/>
              <w:rPr>
                <w:rFonts w:eastAsia="Calibri"/>
                <w:sz w:val="22"/>
                <w:szCs w:val="22"/>
              </w:rPr>
            </w:pPr>
            <w:r>
              <w:t>391</w:t>
            </w:r>
          </w:p>
        </w:tc>
        <w:tc>
          <w:tcPr>
            <w:tcW w:w="1170" w:type="dxa"/>
            <w:vAlign w:val="center"/>
          </w:tcPr>
          <w:p w:rsidR="00B20F9B" w:rsidP="00D377F2" w14:paraId="7B61D4D2" w14:textId="6D8809D8">
            <w:pPr>
              <w:tabs>
                <w:tab w:val="left" w:pos="360"/>
                <w:tab w:val="left" w:pos="720"/>
              </w:tabs>
              <w:jc w:val="right"/>
              <w:rPr>
                <w:rFonts w:eastAsia="Calibri"/>
                <w:sz w:val="22"/>
                <w:szCs w:val="22"/>
              </w:rPr>
            </w:pPr>
            <w:r>
              <w:t>590</w:t>
            </w:r>
          </w:p>
        </w:tc>
        <w:tc>
          <w:tcPr>
            <w:tcW w:w="1170" w:type="dxa"/>
            <w:shd w:val="clear" w:color="auto" w:fill="auto"/>
            <w:vAlign w:val="center"/>
          </w:tcPr>
          <w:p w:rsidR="00B20F9B" w:rsidP="00D377F2" w14:paraId="732E7465" w14:textId="16EE9BBB">
            <w:pPr>
              <w:tabs>
                <w:tab w:val="left" w:pos="360"/>
                <w:tab w:val="left" w:pos="720"/>
              </w:tabs>
              <w:jc w:val="right"/>
              <w:rPr>
                <w:rFonts w:eastAsia="Calibri"/>
                <w:sz w:val="22"/>
                <w:szCs w:val="22"/>
              </w:rPr>
            </w:pPr>
            <w:r>
              <w:t>132</w:t>
            </w:r>
          </w:p>
        </w:tc>
        <w:tc>
          <w:tcPr>
            <w:tcW w:w="1260" w:type="dxa"/>
            <w:shd w:val="clear" w:color="auto" w:fill="auto"/>
            <w:vAlign w:val="center"/>
          </w:tcPr>
          <w:p w:rsidR="00B20F9B" w:rsidP="00D377F2" w14:paraId="58344D7C" w14:textId="5AD91CF0">
            <w:pPr>
              <w:tabs>
                <w:tab w:val="left" w:pos="360"/>
                <w:tab w:val="left" w:pos="720"/>
              </w:tabs>
              <w:jc w:val="right"/>
              <w:rPr>
                <w:rFonts w:eastAsia="Calibri"/>
                <w:sz w:val="22"/>
                <w:szCs w:val="22"/>
              </w:rPr>
            </w:pPr>
            <w:r>
              <w:t>1,491.25</w:t>
            </w:r>
          </w:p>
        </w:tc>
        <w:tc>
          <w:tcPr>
            <w:tcW w:w="1260" w:type="dxa"/>
            <w:tcBorders>
              <w:bottom w:val="single" w:sz="4" w:space="0" w:color="auto"/>
            </w:tcBorders>
            <w:shd w:val="clear" w:color="auto" w:fill="auto"/>
            <w:vAlign w:val="center"/>
          </w:tcPr>
          <w:p w:rsidR="00B20F9B" w:rsidP="00D377F2" w14:paraId="698D858E" w14:textId="56381261">
            <w:pPr>
              <w:tabs>
                <w:tab w:val="left" w:pos="360"/>
                <w:tab w:val="left" w:pos="720"/>
              </w:tabs>
              <w:jc w:val="right"/>
              <w:rPr>
                <w:rFonts w:eastAsia="Calibri"/>
                <w:sz w:val="22"/>
                <w:szCs w:val="22"/>
              </w:rPr>
            </w:pPr>
            <w:r>
              <w:t>2,078.50</w:t>
            </w:r>
          </w:p>
        </w:tc>
        <w:tc>
          <w:tcPr>
            <w:tcW w:w="1170" w:type="dxa"/>
            <w:tcBorders>
              <w:bottom w:val="single" w:sz="4" w:space="0" w:color="auto"/>
            </w:tcBorders>
            <w:shd w:val="clear" w:color="auto" w:fill="auto"/>
            <w:vAlign w:val="center"/>
          </w:tcPr>
          <w:p w:rsidR="00B20F9B" w:rsidP="00D377F2" w14:paraId="75498DEC" w14:textId="4026025B">
            <w:pPr>
              <w:tabs>
                <w:tab w:val="left" w:pos="360"/>
                <w:tab w:val="left" w:pos="720"/>
              </w:tabs>
              <w:jc w:val="right"/>
              <w:rPr>
                <w:rFonts w:eastAsia="Calibri"/>
                <w:sz w:val="22"/>
                <w:szCs w:val="22"/>
              </w:rPr>
            </w:pPr>
            <w:r>
              <w:t>394.00</w:t>
            </w:r>
          </w:p>
        </w:tc>
      </w:tr>
      <w:tr w14:paraId="4384BB4C" w14:textId="77777777" w:rsidTr="00D377F2">
        <w:tblPrEx>
          <w:tblW w:w="9630" w:type="dxa"/>
          <w:tblInd w:w="-5" w:type="dxa"/>
          <w:tblLayout w:type="fixed"/>
          <w:tblLook w:val="04A0"/>
        </w:tblPrEx>
        <w:trPr>
          <w:cantSplit/>
          <w:trHeight w:val="360"/>
          <w:tblHeader/>
        </w:trPr>
        <w:tc>
          <w:tcPr>
            <w:tcW w:w="2340" w:type="dxa"/>
            <w:shd w:val="clear" w:color="auto" w:fill="auto"/>
            <w:vAlign w:val="center"/>
          </w:tcPr>
          <w:p w:rsidR="00B20F9B" w:rsidRPr="00204D03" w:rsidP="00B20F9B" w14:paraId="3D3EAB68" w14:textId="77777777">
            <w:pPr>
              <w:tabs>
                <w:tab w:val="left" w:pos="-1080"/>
                <w:tab w:val="left" w:pos="-720"/>
              </w:tabs>
            </w:pPr>
            <w:r w:rsidRPr="00204D03">
              <w:t>Federal agencies</w:t>
            </w:r>
          </w:p>
        </w:tc>
        <w:tc>
          <w:tcPr>
            <w:tcW w:w="1260" w:type="dxa"/>
            <w:shd w:val="clear" w:color="auto" w:fill="auto"/>
            <w:vAlign w:val="center"/>
          </w:tcPr>
          <w:p w:rsidR="00B20F9B" w:rsidP="00D377F2" w14:paraId="28427A04" w14:textId="0B43302A">
            <w:pPr>
              <w:tabs>
                <w:tab w:val="left" w:pos="360"/>
                <w:tab w:val="left" w:pos="720"/>
              </w:tabs>
              <w:jc w:val="right"/>
              <w:rPr>
                <w:rFonts w:eastAsia="Calibri"/>
                <w:sz w:val="22"/>
                <w:szCs w:val="22"/>
              </w:rPr>
            </w:pPr>
            <w:r>
              <w:t>13</w:t>
            </w:r>
            <w:r w:rsidR="007B2965">
              <w:t>6</w:t>
            </w:r>
          </w:p>
        </w:tc>
        <w:tc>
          <w:tcPr>
            <w:tcW w:w="1170" w:type="dxa"/>
            <w:vAlign w:val="center"/>
          </w:tcPr>
          <w:p w:rsidR="00B20F9B" w:rsidP="00D377F2" w14:paraId="194FBF00" w14:textId="4FACEE86">
            <w:pPr>
              <w:tabs>
                <w:tab w:val="left" w:pos="360"/>
                <w:tab w:val="left" w:pos="720"/>
              </w:tabs>
              <w:jc w:val="right"/>
              <w:rPr>
                <w:rFonts w:eastAsia="Calibri"/>
                <w:sz w:val="22"/>
                <w:szCs w:val="22"/>
              </w:rPr>
            </w:pPr>
            <w:r>
              <w:t>636</w:t>
            </w:r>
          </w:p>
        </w:tc>
        <w:tc>
          <w:tcPr>
            <w:tcW w:w="1170" w:type="dxa"/>
            <w:shd w:val="clear" w:color="auto" w:fill="auto"/>
            <w:vAlign w:val="center"/>
          </w:tcPr>
          <w:p w:rsidR="00B20F9B" w:rsidP="00D377F2" w14:paraId="235F2AC9" w14:textId="38477694">
            <w:pPr>
              <w:tabs>
                <w:tab w:val="left" w:pos="360"/>
                <w:tab w:val="left" w:pos="720"/>
              </w:tabs>
              <w:jc w:val="right"/>
              <w:rPr>
                <w:rFonts w:eastAsia="Calibri"/>
                <w:sz w:val="22"/>
                <w:szCs w:val="22"/>
              </w:rPr>
            </w:pPr>
            <w:r>
              <w:t>110</w:t>
            </w:r>
          </w:p>
        </w:tc>
        <w:tc>
          <w:tcPr>
            <w:tcW w:w="1260" w:type="dxa"/>
            <w:shd w:val="clear" w:color="auto" w:fill="auto"/>
            <w:vAlign w:val="center"/>
          </w:tcPr>
          <w:p w:rsidR="00B20F9B" w:rsidP="00D377F2" w14:paraId="14F914F3" w14:textId="795AF42B">
            <w:pPr>
              <w:tabs>
                <w:tab w:val="left" w:pos="360"/>
                <w:tab w:val="left" w:pos="720"/>
              </w:tabs>
              <w:jc w:val="right"/>
              <w:rPr>
                <w:rFonts w:eastAsia="Calibri"/>
                <w:sz w:val="22"/>
                <w:szCs w:val="22"/>
              </w:rPr>
            </w:pPr>
            <w:r>
              <w:t>3,126.50</w:t>
            </w:r>
          </w:p>
        </w:tc>
        <w:tc>
          <w:tcPr>
            <w:tcW w:w="1260" w:type="dxa"/>
            <w:tcBorders>
              <w:bottom w:val="single" w:sz="4" w:space="0" w:color="auto"/>
            </w:tcBorders>
            <w:shd w:val="clear" w:color="auto" w:fill="auto"/>
            <w:vAlign w:val="center"/>
          </w:tcPr>
          <w:p w:rsidR="00B20F9B" w:rsidP="00D377F2" w14:paraId="32A55D09" w14:textId="239D59F4">
            <w:pPr>
              <w:tabs>
                <w:tab w:val="left" w:pos="360"/>
                <w:tab w:val="left" w:pos="720"/>
              </w:tabs>
              <w:jc w:val="right"/>
              <w:rPr>
                <w:rFonts w:eastAsia="Calibri"/>
                <w:sz w:val="22"/>
                <w:szCs w:val="22"/>
              </w:rPr>
            </w:pPr>
            <w:r>
              <w:t>10,756.25</w:t>
            </w:r>
          </w:p>
        </w:tc>
        <w:tc>
          <w:tcPr>
            <w:tcW w:w="1170" w:type="dxa"/>
            <w:tcBorders>
              <w:bottom w:val="single" w:sz="4" w:space="0" w:color="auto"/>
            </w:tcBorders>
            <w:shd w:val="clear" w:color="auto" w:fill="auto"/>
            <w:vAlign w:val="center"/>
          </w:tcPr>
          <w:p w:rsidR="00B20F9B" w:rsidP="00D377F2" w14:paraId="0CEEE2F0" w14:textId="66909B10">
            <w:pPr>
              <w:tabs>
                <w:tab w:val="left" w:pos="360"/>
                <w:tab w:val="left" w:pos="720"/>
              </w:tabs>
              <w:jc w:val="right"/>
              <w:rPr>
                <w:rFonts w:eastAsia="Calibri"/>
                <w:sz w:val="22"/>
                <w:szCs w:val="22"/>
              </w:rPr>
            </w:pPr>
            <w:r>
              <w:t>1,877.00</w:t>
            </w:r>
          </w:p>
        </w:tc>
      </w:tr>
      <w:tr w14:paraId="7A37AE9B" w14:textId="77777777" w:rsidTr="00D377F2">
        <w:tblPrEx>
          <w:tblW w:w="9630" w:type="dxa"/>
          <w:tblInd w:w="-5" w:type="dxa"/>
          <w:tblLayout w:type="fixed"/>
          <w:tblLook w:val="04A0"/>
        </w:tblPrEx>
        <w:trPr>
          <w:cantSplit/>
          <w:trHeight w:val="360"/>
          <w:tblHeader/>
        </w:trPr>
        <w:tc>
          <w:tcPr>
            <w:tcW w:w="2340" w:type="dxa"/>
            <w:shd w:val="clear" w:color="auto" w:fill="auto"/>
            <w:vAlign w:val="center"/>
          </w:tcPr>
          <w:p w:rsidR="00B20F9B" w:rsidRPr="00204D03" w:rsidP="00B20F9B" w14:paraId="56122F98" w14:textId="77777777">
            <w:pPr>
              <w:tabs>
                <w:tab w:val="left" w:pos="-1080"/>
                <w:tab w:val="left" w:pos="-720"/>
              </w:tabs>
            </w:pPr>
            <w:r>
              <w:t>Museums</w:t>
            </w:r>
          </w:p>
        </w:tc>
        <w:tc>
          <w:tcPr>
            <w:tcW w:w="1260" w:type="dxa"/>
            <w:shd w:val="clear" w:color="auto" w:fill="auto"/>
            <w:vAlign w:val="center"/>
          </w:tcPr>
          <w:p w:rsidR="00B20F9B" w:rsidP="00D377F2" w14:paraId="12B8C405" w14:textId="5499A235">
            <w:pPr>
              <w:tabs>
                <w:tab w:val="left" w:pos="360"/>
                <w:tab w:val="left" w:pos="720"/>
              </w:tabs>
              <w:jc w:val="right"/>
              <w:rPr>
                <w:rFonts w:eastAsia="Calibri"/>
                <w:sz w:val="22"/>
                <w:szCs w:val="22"/>
              </w:rPr>
            </w:pPr>
            <w:r>
              <w:t>745</w:t>
            </w:r>
          </w:p>
        </w:tc>
        <w:tc>
          <w:tcPr>
            <w:tcW w:w="1170" w:type="dxa"/>
            <w:vAlign w:val="center"/>
          </w:tcPr>
          <w:p w:rsidR="00B20F9B" w:rsidP="00D377F2" w14:paraId="5544B993" w14:textId="24F0AC96">
            <w:pPr>
              <w:tabs>
                <w:tab w:val="left" w:pos="360"/>
                <w:tab w:val="left" w:pos="720"/>
              </w:tabs>
              <w:jc w:val="right"/>
              <w:rPr>
                <w:rFonts w:eastAsia="Calibri"/>
                <w:sz w:val="22"/>
                <w:szCs w:val="22"/>
              </w:rPr>
            </w:pPr>
            <w:r>
              <w:t>1,834</w:t>
            </w:r>
          </w:p>
        </w:tc>
        <w:tc>
          <w:tcPr>
            <w:tcW w:w="1170" w:type="dxa"/>
            <w:shd w:val="clear" w:color="auto" w:fill="auto"/>
            <w:vAlign w:val="center"/>
          </w:tcPr>
          <w:p w:rsidR="00B20F9B" w:rsidP="00D377F2" w14:paraId="48901A5D" w14:textId="4019CE75">
            <w:pPr>
              <w:tabs>
                <w:tab w:val="left" w:pos="360"/>
                <w:tab w:val="left" w:pos="720"/>
              </w:tabs>
              <w:jc w:val="right"/>
              <w:rPr>
                <w:rFonts w:eastAsia="Calibri"/>
                <w:sz w:val="22"/>
                <w:szCs w:val="22"/>
              </w:rPr>
            </w:pPr>
            <w:r>
              <w:t>319</w:t>
            </w:r>
          </w:p>
        </w:tc>
        <w:tc>
          <w:tcPr>
            <w:tcW w:w="1260" w:type="dxa"/>
            <w:shd w:val="clear" w:color="auto" w:fill="auto"/>
            <w:vAlign w:val="center"/>
          </w:tcPr>
          <w:p w:rsidR="00B20F9B" w:rsidP="00D377F2" w14:paraId="5B503315" w14:textId="391241C9">
            <w:pPr>
              <w:tabs>
                <w:tab w:val="left" w:pos="360"/>
                <w:tab w:val="left" w:pos="720"/>
              </w:tabs>
              <w:jc w:val="right"/>
              <w:rPr>
                <w:rFonts w:eastAsia="Calibri"/>
                <w:sz w:val="22"/>
                <w:szCs w:val="22"/>
              </w:rPr>
            </w:pPr>
            <w:r>
              <w:t>33,228.50</w:t>
            </w:r>
          </w:p>
        </w:tc>
        <w:tc>
          <w:tcPr>
            <w:tcW w:w="1260" w:type="dxa"/>
            <w:tcBorders>
              <w:bottom w:val="single" w:sz="4" w:space="0" w:color="auto"/>
            </w:tcBorders>
            <w:shd w:val="clear" w:color="auto" w:fill="auto"/>
            <w:vAlign w:val="center"/>
          </w:tcPr>
          <w:p w:rsidR="00B20F9B" w:rsidP="00D377F2" w14:paraId="2EC4898B" w14:textId="0C728959">
            <w:pPr>
              <w:tabs>
                <w:tab w:val="left" w:pos="360"/>
                <w:tab w:val="left" w:pos="720"/>
              </w:tabs>
              <w:jc w:val="right"/>
              <w:rPr>
                <w:rFonts w:eastAsia="Calibri"/>
                <w:sz w:val="22"/>
                <w:szCs w:val="22"/>
              </w:rPr>
            </w:pPr>
            <w:r>
              <w:t>34,337.00</w:t>
            </w:r>
          </w:p>
        </w:tc>
        <w:tc>
          <w:tcPr>
            <w:tcW w:w="1170" w:type="dxa"/>
            <w:tcBorders>
              <w:bottom w:val="single" w:sz="4" w:space="0" w:color="auto"/>
            </w:tcBorders>
            <w:shd w:val="clear" w:color="auto" w:fill="auto"/>
            <w:vAlign w:val="center"/>
          </w:tcPr>
          <w:p w:rsidR="00B20F9B" w:rsidP="00D377F2" w14:paraId="44DD55F7" w14:textId="210BE031">
            <w:pPr>
              <w:tabs>
                <w:tab w:val="left" w:pos="360"/>
                <w:tab w:val="left" w:pos="720"/>
              </w:tabs>
              <w:jc w:val="right"/>
              <w:rPr>
                <w:rFonts w:eastAsia="Calibri"/>
                <w:sz w:val="22"/>
                <w:szCs w:val="22"/>
              </w:rPr>
            </w:pPr>
            <w:r>
              <w:t>6,753.25</w:t>
            </w:r>
          </w:p>
        </w:tc>
      </w:tr>
      <w:tr w14:paraId="7BBCABA9" w14:textId="77777777" w:rsidTr="00D377F2">
        <w:tblPrEx>
          <w:tblW w:w="9630" w:type="dxa"/>
          <w:tblInd w:w="-5" w:type="dxa"/>
          <w:tblLayout w:type="fixed"/>
          <w:tblLook w:val="04A0"/>
        </w:tblPrEx>
        <w:trPr>
          <w:cantSplit/>
          <w:trHeight w:val="360"/>
          <w:tblHeader/>
        </w:trPr>
        <w:tc>
          <w:tcPr>
            <w:tcW w:w="2340" w:type="dxa"/>
            <w:tcBorders>
              <w:bottom w:val="single" w:sz="4" w:space="0" w:color="auto"/>
            </w:tcBorders>
            <w:shd w:val="clear" w:color="auto" w:fill="auto"/>
            <w:vAlign w:val="center"/>
          </w:tcPr>
          <w:p w:rsidR="00B20F9B" w:rsidRPr="00243113" w:rsidP="00B20F9B" w14:paraId="45327442" w14:textId="77777777">
            <w:pPr>
              <w:tabs>
                <w:tab w:val="left" w:pos="-1080"/>
                <w:tab w:val="left" w:pos="-720"/>
                <w:tab w:val="left" w:pos="720"/>
              </w:tabs>
              <w:ind w:left="-14" w:firstLine="13"/>
              <w:jc w:val="right"/>
              <w:rPr>
                <w:b/>
                <w:bCs/>
                <w:sz w:val="22"/>
                <w:szCs w:val="22"/>
              </w:rPr>
            </w:pPr>
            <w:r w:rsidRPr="00243113">
              <w:rPr>
                <w:b/>
                <w:bCs/>
                <w:sz w:val="22"/>
                <w:szCs w:val="22"/>
              </w:rPr>
              <w:t>Total</w:t>
            </w:r>
          </w:p>
        </w:tc>
        <w:tc>
          <w:tcPr>
            <w:tcW w:w="1260" w:type="dxa"/>
            <w:shd w:val="clear" w:color="auto" w:fill="auto"/>
            <w:vAlign w:val="center"/>
          </w:tcPr>
          <w:p w:rsidR="00B20F9B" w:rsidRPr="00BC519A" w:rsidP="00D377F2" w14:paraId="3BA2DCDF" w14:textId="6D3EBD77">
            <w:pPr>
              <w:widowControl/>
              <w:tabs>
                <w:tab w:val="left" w:pos="360"/>
                <w:tab w:val="left" w:pos="720"/>
              </w:tabs>
              <w:autoSpaceDE/>
              <w:autoSpaceDN/>
              <w:adjustRightInd/>
              <w:jc w:val="right"/>
              <w:rPr>
                <w:rFonts w:eastAsia="Calibri"/>
                <w:b/>
                <w:bCs/>
                <w:sz w:val="22"/>
                <w:szCs w:val="22"/>
              </w:rPr>
            </w:pPr>
            <w:r>
              <w:rPr>
                <w:rFonts w:eastAsia="Calibri"/>
                <w:b/>
                <w:bCs/>
                <w:sz w:val="22"/>
                <w:szCs w:val="22"/>
              </w:rPr>
              <w:t>1,</w:t>
            </w:r>
            <w:r w:rsidR="003257BC">
              <w:rPr>
                <w:rFonts w:eastAsia="Calibri"/>
                <w:b/>
                <w:bCs/>
                <w:sz w:val="22"/>
                <w:szCs w:val="22"/>
              </w:rPr>
              <w:t>298</w:t>
            </w:r>
          </w:p>
        </w:tc>
        <w:tc>
          <w:tcPr>
            <w:tcW w:w="1170" w:type="dxa"/>
            <w:tcBorders>
              <w:top w:val="single" w:sz="4" w:space="0" w:color="auto"/>
              <w:bottom w:val="single" w:sz="4" w:space="0" w:color="auto"/>
            </w:tcBorders>
            <w:vAlign w:val="center"/>
          </w:tcPr>
          <w:p w:rsidR="00B20F9B" w:rsidRPr="00BC519A" w:rsidP="00D377F2" w14:paraId="72002921" w14:textId="4709B709">
            <w:pPr>
              <w:widowControl/>
              <w:tabs>
                <w:tab w:val="left" w:pos="360"/>
                <w:tab w:val="left" w:pos="720"/>
              </w:tabs>
              <w:autoSpaceDE/>
              <w:autoSpaceDN/>
              <w:adjustRightInd/>
              <w:jc w:val="right"/>
              <w:rPr>
                <w:b/>
                <w:bCs/>
                <w:color w:val="000000"/>
                <w:sz w:val="22"/>
                <w:szCs w:val="22"/>
              </w:rPr>
            </w:pPr>
            <w:r>
              <w:rPr>
                <w:rFonts w:eastAsia="Calibri"/>
                <w:b/>
                <w:bCs/>
                <w:sz w:val="22"/>
                <w:szCs w:val="22"/>
              </w:rPr>
              <w:t>3,091</w:t>
            </w:r>
          </w:p>
        </w:tc>
        <w:tc>
          <w:tcPr>
            <w:tcW w:w="1170" w:type="dxa"/>
            <w:tcBorders>
              <w:top w:val="single" w:sz="4" w:space="0" w:color="auto"/>
              <w:bottom w:val="single" w:sz="4" w:space="0" w:color="auto"/>
            </w:tcBorders>
            <w:shd w:val="clear" w:color="auto" w:fill="auto"/>
            <w:vAlign w:val="center"/>
          </w:tcPr>
          <w:p w:rsidR="00B20F9B" w:rsidRPr="00BC519A" w:rsidP="00D377F2" w14:paraId="0B36DA31" w14:textId="5ABFACAF">
            <w:pPr>
              <w:tabs>
                <w:tab w:val="left" w:pos="360"/>
                <w:tab w:val="left" w:pos="720"/>
              </w:tabs>
              <w:jc w:val="right"/>
              <w:rPr>
                <w:rFonts w:eastAsia="Calibri"/>
                <w:b/>
                <w:bCs/>
                <w:sz w:val="22"/>
                <w:szCs w:val="22"/>
              </w:rPr>
            </w:pPr>
            <w:r>
              <w:rPr>
                <w:b/>
                <w:bCs/>
              </w:rPr>
              <w:t>592</w:t>
            </w:r>
          </w:p>
        </w:tc>
        <w:tc>
          <w:tcPr>
            <w:tcW w:w="1260" w:type="dxa"/>
            <w:tcBorders>
              <w:top w:val="single" w:sz="4" w:space="0" w:color="auto"/>
              <w:bottom w:val="single" w:sz="4" w:space="0" w:color="auto"/>
            </w:tcBorders>
            <w:shd w:val="clear" w:color="auto" w:fill="auto"/>
            <w:vAlign w:val="center"/>
          </w:tcPr>
          <w:p w:rsidR="00B20F9B" w:rsidRPr="00BC519A" w:rsidP="00D377F2" w14:paraId="525D3F60" w14:textId="1EA40906">
            <w:pPr>
              <w:widowControl/>
              <w:tabs>
                <w:tab w:val="left" w:pos="360"/>
                <w:tab w:val="left" w:pos="720"/>
              </w:tabs>
              <w:autoSpaceDE/>
              <w:autoSpaceDN/>
              <w:adjustRightInd/>
              <w:jc w:val="right"/>
              <w:rPr>
                <w:rFonts w:eastAsia="Calibri"/>
                <w:b/>
                <w:bCs/>
                <w:sz w:val="22"/>
                <w:szCs w:val="22"/>
              </w:rPr>
            </w:pPr>
            <w:r w:rsidRPr="00075C32">
              <w:rPr>
                <w:b/>
                <w:bCs/>
              </w:rPr>
              <w:t>37,9</w:t>
            </w:r>
            <w:r w:rsidR="003257BC">
              <w:rPr>
                <w:b/>
                <w:bCs/>
              </w:rPr>
              <w:t>51</w:t>
            </w:r>
            <w:r w:rsidRPr="00075C32">
              <w:rPr>
                <w:b/>
                <w:bCs/>
              </w:rPr>
              <w:t>.5</w:t>
            </w:r>
            <w:r w:rsidR="003257BC">
              <w:rPr>
                <w:b/>
                <w:bCs/>
              </w:rPr>
              <w:t>0</w:t>
            </w:r>
          </w:p>
        </w:tc>
        <w:tc>
          <w:tcPr>
            <w:tcW w:w="1260" w:type="dxa"/>
            <w:tcBorders>
              <w:top w:val="single" w:sz="4" w:space="0" w:color="auto"/>
              <w:bottom w:val="single" w:sz="4" w:space="0" w:color="auto"/>
            </w:tcBorders>
            <w:shd w:val="clear" w:color="auto" w:fill="auto"/>
            <w:vAlign w:val="center"/>
          </w:tcPr>
          <w:p w:rsidR="00B20F9B" w:rsidRPr="00BC519A" w:rsidP="00D377F2" w14:paraId="5E551AD8" w14:textId="5D8910EF">
            <w:pPr>
              <w:widowControl/>
              <w:tabs>
                <w:tab w:val="left" w:pos="360"/>
                <w:tab w:val="left" w:pos="720"/>
              </w:tabs>
              <w:autoSpaceDE/>
              <w:autoSpaceDN/>
              <w:adjustRightInd/>
              <w:jc w:val="right"/>
              <w:rPr>
                <w:b/>
                <w:bCs/>
                <w:sz w:val="22"/>
                <w:szCs w:val="22"/>
              </w:rPr>
            </w:pPr>
            <w:r>
              <w:rPr>
                <w:b/>
                <w:bCs/>
                <w:sz w:val="22"/>
                <w:szCs w:val="22"/>
              </w:rPr>
              <w:t>47,299.25</w:t>
            </w:r>
          </w:p>
        </w:tc>
        <w:tc>
          <w:tcPr>
            <w:tcW w:w="1170" w:type="dxa"/>
            <w:tcBorders>
              <w:top w:val="single" w:sz="4" w:space="0" w:color="auto"/>
              <w:bottom w:val="single" w:sz="4" w:space="0" w:color="auto"/>
            </w:tcBorders>
            <w:shd w:val="clear" w:color="auto" w:fill="auto"/>
            <w:vAlign w:val="center"/>
          </w:tcPr>
          <w:p w:rsidR="00B20F9B" w:rsidRPr="00BC519A" w:rsidP="00D377F2" w14:paraId="01F3A990" w14:textId="6E5B8E4B">
            <w:pPr>
              <w:tabs>
                <w:tab w:val="left" w:pos="360"/>
                <w:tab w:val="left" w:pos="720"/>
              </w:tabs>
              <w:jc w:val="right"/>
              <w:rPr>
                <w:rFonts w:eastAsia="Calibri"/>
                <w:b/>
                <w:bCs/>
                <w:sz w:val="22"/>
                <w:szCs w:val="22"/>
              </w:rPr>
            </w:pPr>
            <w:r>
              <w:rPr>
                <w:b/>
                <w:bCs/>
              </w:rPr>
              <w:t>9,151.75</w:t>
            </w:r>
          </w:p>
        </w:tc>
      </w:tr>
    </w:tbl>
    <w:p w:rsidR="0075737D" w:rsidP="0075737D" w14:paraId="10127500" w14:textId="77777777"/>
    <w:p w:rsidR="009B7666" w:rsidP="009B7666" w14:paraId="14AE6D8A" w14:textId="77777777"/>
    <w:p w:rsidR="00E636E1" w:rsidP="00E636E1" w14:paraId="61DB816A" w14:textId="12C9BE85">
      <w:pPr>
        <w:pStyle w:val="ListParagraph"/>
        <w:ind w:left="0"/>
      </w:pPr>
      <w:r>
        <w:t xml:space="preserve">Table 12 shows the </w:t>
      </w:r>
      <w:r w:rsidR="00B64328">
        <w:t xml:space="preserve">specific </w:t>
      </w:r>
      <w:r>
        <w:t>changes in regulatory requirements for museums under baseline conditions and under the proposed regulatory action. There is no change between the baseline conditions and the proposed regulatory action for the following requirements: submit a new inventory; submit a new summary; update summary data; submit notices of intent to repatriate; evaluate competing requests and resolve stays of repatriation; and respond to a civil penalty action, listed below as other requirements.</w:t>
      </w:r>
    </w:p>
    <w:p w:rsidR="00E636E1" w:rsidP="00E636E1" w14:paraId="3D009FF1" w14:textId="77777777"/>
    <w:p w:rsidR="00E636E1" w:rsidP="00E636E1" w14:paraId="5C04B19F" w14:textId="77777777"/>
    <w:p w:rsidR="00E636E1" w:rsidRPr="009E1AEB" w:rsidP="00E636E1" w14:paraId="3B1F0F22" w14:textId="24063278">
      <w:pPr>
        <w:pStyle w:val="Heading3"/>
      </w:pPr>
      <w:bookmarkStart w:id="28" w:name="_Toc113867038"/>
      <w:r w:rsidRPr="009E1AEB">
        <w:t xml:space="preserve">Table </w:t>
      </w:r>
      <w:r>
        <w:t>12</w:t>
      </w:r>
      <w:r w:rsidRPr="009E1AEB">
        <w:t xml:space="preserve">. </w:t>
      </w:r>
      <w:r>
        <w:t xml:space="preserve"> Comparison of regulatory frameworks by museum requirements</w:t>
      </w:r>
      <w:bookmarkEnd w:id="28"/>
    </w:p>
    <w:tbl>
      <w:tblPr>
        <w:tblStyle w:val="TableGrid1"/>
        <w:tblW w:w="9720" w:type="dxa"/>
        <w:tblInd w:w="-5" w:type="dxa"/>
        <w:tblLayout w:type="fixed"/>
        <w:tblLook w:val="04A0"/>
      </w:tblPr>
      <w:tblGrid>
        <w:gridCol w:w="1980"/>
        <w:gridCol w:w="1350"/>
        <w:gridCol w:w="1260"/>
        <w:gridCol w:w="1260"/>
        <w:gridCol w:w="1350"/>
        <w:gridCol w:w="1260"/>
        <w:gridCol w:w="1260"/>
      </w:tblGrid>
      <w:tr w14:paraId="03D95F88" w14:textId="77777777" w:rsidTr="000104E1">
        <w:tblPrEx>
          <w:tblW w:w="9720" w:type="dxa"/>
          <w:tblInd w:w="-5" w:type="dxa"/>
          <w:tblLayout w:type="fixed"/>
          <w:tblLook w:val="04A0"/>
        </w:tblPrEx>
        <w:trPr>
          <w:trHeight w:val="360"/>
        </w:trPr>
        <w:tc>
          <w:tcPr>
            <w:tcW w:w="1980" w:type="dxa"/>
            <w:vMerge w:val="restart"/>
            <w:shd w:val="clear" w:color="auto" w:fill="auto"/>
            <w:vAlign w:val="center"/>
          </w:tcPr>
          <w:p w:rsidR="00E636E1" w:rsidRPr="00E13E88" w:rsidP="001B4DC2" w14:paraId="3194542F" w14:textId="77777777">
            <w:pPr>
              <w:tabs>
                <w:tab w:val="left" w:pos="360"/>
                <w:tab w:val="left" w:pos="720"/>
              </w:tabs>
              <w:rPr>
                <w:b/>
              </w:rPr>
            </w:pPr>
            <w:r w:rsidRPr="00E13E88">
              <w:rPr>
                <w:b/>
              </w:rPr>
              <w:t>Regulatory Requirement</w:t>
            </w:r>
          </w:p>
        </w:tc>
        <w:tc>
          <w:tcPr>
            <w:tcW w:w="3870" w:type="dxa"/>
            <w:gridSpan w:val="3"/>
            <w:shd w:val="clear" w:color="auto" w:fill="auto"/>
            <w:vAlign w:val="center"/>
          </w:tcPr>
          <w:p w:rsidR="00E636E1" w:rsidRPr="00E13E88" w:rsidP="001B4DC2" w14:paraId="226E57D5" w14:textId="77777777">
            <w:pPr>
              <w:tabs>
                <w:tab w:val="left" w:pos="360"/>
                <w:tab w:val="left" w:pos="720"/>
              </w:tabs>
              <w:jc w:val="center"/>
              <w:rPr>
                <w:b/>
              </w:rPr>
            </w:pPr>
            <w:r w:rsidRPr="00E13E88">
              <w:rPr>
                <w:rFonts w:eastAsia="Calibri"/>
                <w:b/>
              </w:rPr>
              <w:t>Annual Number of Responses</w:t>
            </w:r>
          </w:p>
        </w:tc>
        <w:tc>
          <w:tcPr>
            <w:tcW w:w="3870" w:type="dxa"/>
            <w:gridSpan w:val="3"/>
            <w:shd w:val="clear" w:color="auto" w:fill="auto"/>
            <w:vAlign w:val="center"/>
          </w:tcPr>
          <w:p w:rsidR="00E636E1" w:rsidRPr="00E13E88" w:rsidP="001B4DC2" w14:paraId="7E2C482A" w14:textId="7D4C0638">
            <w:pPr>
              <w:tabs>
                <w:tab w:val="left" w:pos="360"/>
                <w:tab w:val="left" w:pos="720"/>
              </w:tabs>
              <w:jc w:val="center"/>
              <w:rPr>
                <w:rFonts w:eastAsia="Calibri"/>
                <w:b/>
              </w:rPr>
            </w:pPr>
            <w:r w:rsidRPr="00E13E88">
              <w:rPr>
                <w:rFonts w:eastAsia="Calibri"/>
                <w:b/>
              </w:rPr>
              <w:t xml:space="preserve">Annual </w:t>
            </w:r>
            <w:r w:rsidR="00B010E8">
              <w:rPr>
                <w:rFonts w:eastAsia="Calibri"/>
                <w:b/>
              </w:rPr>
              <w:t>H</w:t>
            </w:r>
            <w:r w:rsidRPr="00E13E88">
              <w:rPr>
                <w:rFonts w:eastAsia="Calibri"/>
                <w:b/>
              </w:rPr>
              <w:t>ours</w:t>
            </w:r>
          </w:p>
        </w:tc>
      </w:tr>
      <w:tr w14:paraId="3ACA7EE4" w14:textId="77777777" w:rsidTr="000104E1">
        <w:tblPrEx>
          <w:tblW w:w="9720" w:type="dxa"/>
          <w:tblInd w:w="-5" w:type="dxa"/>
          <w:tblLayout w:type="fixed"/>
          <w:tblLook w:val="04A0"/>
        </w:tblPrEx>
        <w:trPr>
          <w:trHeight w:val="360"/>
        </w:trPr>
        <w:tc>
          <w:tcPr>
            <w:tcW w:w="1980" w:type="dxa"/>
            <w:vMerge/>
            <w:tcBorders>
              <w:bottom w:val="single" w:sz="4" w:space="0" w:color="auto"/>
            </w:tcBorders>
            <w:shd w:val="clear" w:color="auto" w:fill="auto"/>
            <w:vAlign w:val="center"/>
          </w:tcPr>
          <w:p w:rsidR="00E636E1" w:rsidRPr="00E13E88" w:rsidP="001B4DC2" w14:paraId="4532AA04" w14:textId="77777777">
            <w:pPr>
              <w:tabs>
                <w:tab w:val="left" w:pos="360"/>
                <w:tab w:val="left" w:pos="720"/>
              </w:tabs>
              <w:rPr>
                <w:b/>
              </w:rPr>
            </w:pPr>
          </w:p>
        </w:tc>
        <w:tc>
          <w:tcPr>
            <w:tcW w:w="1350" w:type="dxa"/>
            <w:tcBorders>
              <w:bottom w:val="single" w:sz="4" w:space="0" w:color="auto"/>
            </w:tcBorders>
            <w:shd w:val="clear" w:color="auto" w:fill="auto"/>
            <w:vAlign w:val="center"/>
          </w:tcPr>
          <w:p w:rsidR="00E636E1" w:rsidRPr="00E13E88" w:rsidP="001B4DC2" w14:paraId="43B12B7A" w14:textId="4DA14CFE">
            <w:pPr>
              <w:widowControl/>
              <w:tabs>
                <w:tab w:val="left" w:pos="360"/>
                <w:tab w:val="left" w:pos="720"/>
              </w:tabs>
              <w:autoSpaceDE/>
              <w:autoSpaceDN/>
              <w:adjustRightInd/>
              <w:jc w:val="center"/>
              <w:rPr>
                <w:rFonts w:eastAsia="Calibri"/>
                <w:b/>
              </w:rPr>
            </w:pPr>
            <w:r w:rsidRPr="00E13E88">
              <w:rPr>
                <w:rFonts w:eastAsia="Calibri"/>
                <w:b/>
              </w:rPr>
              <w:t>Baseline</w:t>
            </w:r>
            <w:r w:rsidR="00671B4B">
              <w:rPr>
                <w:rFonts w:eastAsia="Calibri"/>
                <w:b/>
              </w:rPr>
              <w:t xml:space="preserve"> conditions</w:t>
            </w:r>
          </w:p>
        </w:tc>
        <w:tc>
          <w:tcPr>
            <w:tcW w:w="1260" w:type="dxa"/>
            <w:tcBorders>
              <w:bottom w:val="single" w:sz="4" w:space="0" w:color="auto"/>
            </w:tcBorders>
            <w:shd w:val="clear" w:color="auto" w:fill="auto"/>
            <w:vAlign w:val="center"/>
          </w:tcPr>
          <w:p w:rsidR="00E636E1" w:rsidRPr="00E13E88" w:rsidP="001B4DC2" w14:paraId="7EDDC0DB" w14:textId="77777777">
            <w:pPr>
              <w:widowControl/>
              <w:tabs>
                <w:tab w:val="left" w:pos="360"/>
                <w:tab w:val="left" w:pos="720"/>
              </w:tabs>
              <w:autoSpaceDE/>
              <w:autoSpaceDN/>
              <w:adjustRightInd/>
              <w:jc w:val="center"/>
              <w:rPr>
                <w:rFonts w:eastAsia="Calibri"/>
                <w:b/>
              </w:rPr>
            </w:pPr>
            <w:r w:rsidRPr="00E13E88">
              <w:rPr>
                <w:rFonts w:eastAsia="Calibri"/>
                <w:b/>
              </w:rPr>
              <w:t>Proposed</w:t>
            </w:r>
          </w:p>
          <w:p w:rsidR="00E636E1" w:rsidRPr="00E13E88" w:rsidP="001B4DC2" w14:paraId="1C3C9416" w14:textId="77777777">
            <w:pPr>
              <w:widowControl/>
              <w:tabs>
                <w:tab w:val="left" w:pos="360"/>
                <w:tab w:val="left" w:pos="720"/>
              </w:tabs>
              <w:autoSpaceDE/>
              <w:autoSpaceDN/>
              <w:adjustRightInd/>
              <w:jc w:val="center"/>
              <w:rPr>
                <w:rFonts w:eastAsia="Calibri"/>
                <w:b/>
              </w:rPr>
            </w:pPr>
            <w:r w:rsidRPr="00E13E88">
              <w:rPr>
                <w:rFonts w:eastAsia="Calibri"/>
                <w:b/>
              </w:rPr>
              <w:t xml:space="preserve">Years </w:t>
            </w:r>
            <w:r>
              <w:rPr>
                <w:rFonts w:eastAsia="Calibri"/>
                <w:b/>
              </w:rPr>
              <w:t>1-3</w:t>
            </w:r>
          </w:p>
        </w:tc>
        <w:tc>
          <w:tcPr>
            <w:tcW w:w="1260" w:type="dxa"/>
            <w:tcBorders>
              <w:bottom w:val="single" w:sz="4" w:space="0" w:color="auto"/>
            </w:tcBorders>
            <w:shd w:val="clear" w:color="auto" w:fill="auto"/>
            <w:vAlign w:val="center"/>
          </w:tcPr>
          <w:p w:rsidR="00E636E1" w:rsidRPr="00E13E88" w:rsidP="001B4DC2" w14:paraId="5B09D3A7" w14:textId="77777777">
            <w:pPr>
              <w:tabs>
                <w:tab w:val="left" w:pos="360"/>
                <w:tab w:val="left" w:pos="720"/>
              </w:tabs>
              <w:jc w:val="center"/>
              <w:rPr>
                <w:rFonts w:eastAsia="Calibri"/>
                <w:b/>
              </w:rPr>
            </w:pPr>
            <w:r>
              <w:rPr>
                <w:rFonts w:eastAsia="Calibri"/>
                <w:b/>
              </w:rPr>
              <w:t>Proposed Years 4+</w:t>
            </w:r>
          </w:p>
        </w:tc>
        <w:tc>
          <w:tcPr>
            <w:tcW w:w="1350" w:type="dxa"/>
            <w:tcBorders>
              <w:bottom w:val="single" w:sz="4" w:space="0" w:color="auto"/>
            </w:tcBorders>
            <w:shd w:val="clear" w:color="auto" w:fill="auto"/>
            <w:vAlign w:val="center"/>
          </w:tcPr>
          <w:p w:rsidR="00E636E1" w:rsidRPr="00E13E88" w:rsidP="001B4DC2" w14:paraId="23098855" w14:textId="5AB4B7EC">
            <w:pPr>
              <w:tabs>
                <w:tab w:val="left" w:pos="360"/>
                <w:tab w:val="left" w:pos="720"/>
              </w:tabs>
              <w:jc w:val="center"/>
              <w:rPr>
                <w:rFonts w:eastAsia="Calibri"/>
                <w:b/>
              </w:rPr>
            </w:pPr>
            <w:r w:rsidRPr="00E13E88">
              <w:rPr>
                <w:rFonts w:eastAsia="Calibri"/>
                <w:b/>
              </w:rPr>
              <w:t>Baseline</w:t>
            </w:r>
            <w:r w:rsidR="00671B4B">
              <w:rPr>
                <w:rFonts w:eastAsia="Calibri"/>
                <w:b/>
              </w:rPr>
              <w:t xml:space="preserve"> conditions</w:t>
            </w:r>
          </w:p>
        </w:tc>
        <w:tc>
          <w:tcPr>
            <w:tcW w:w="1260" w:type="dxa"/>
            <w:tcBorders>
              <w:bottom w:val="single" w:sz="4" w:space="0" w:color="auto"/>
            </w:tcBorders>
            <w:shd w:val="clear" w:color="auto" w:fill="auto"/>
            <w:vAlign w:val="center"/>
          </w:tcPr>
          <w:p w:rsidR="00E636E1" w:rsidRPr="00E13E88" w:rsidP="001B4DC2" w14:paraId="3FBFF67A" w14:textId="77777777">
            <w:pPr>
              <w:tabs>
                <w:tab w:val="left" w:pos="360"/>
                <w:tab w:val="left" w:pos="720"/>
              </w:tabs>
              <w:jc w:val="center"/>
              <w:rPr>
                <w:rFonts w:eastAsia="Calibri"/>
                <w:b/>
              </w:rPr>
            </w:pPr>
            <w:r w:rsidRPr="00E13E88">
              <w:rPr>
                <w:rFonts w:eastAsia="Calibri"/>
                <w:b/>
              </w:rPr>
              <w:t>Proposed</w:t>
            </w:r>
          </w:p>
          <w:p w:rsidR="00E636E1" w:rsidRPr="00E13E88" w:rsidP="001B4DC2" w14:paraId="425F78BE" w14:textId="77777777">
            <w:pPr>
              <w:tabs>
                <w:tab w:val="left" w:pos="360"/>
                <w:tab w:val="left" w:pos="720"/>
              </w:tabs>
              <w:jc w:val="center"/>
              <w:rPr>
                <w:rFonts w:eastAsia="Calibri"/>
                <w:b/>
              </w:rPr>
            </w:pPr>
            <w:r w:rsidRPr="00E13E88">
              <w:rPr>
                <w:rFonts w:eastAsia="Calibri"/>
                <w:b/>
              </w:rPr>
              <w:t xml:space="preserve">Years </w:t>
            </w:r>
            <w:r>
              <w:rPr>
                <w:rFonts w:eastAsia="Calibri"/>
                <w:b/>
              </w:rPr>
              <w:t>1-3</w:t>
            </w:r>
          </w:p>
        </w:tc>
        <w:tc>
          <w:tcPr>
            <w:tcW w:w="1260" w:type="dxa"/>
            <w:tcBorders>
              <w:bottom w:val="single" w:sz="4" w:space="0" w:color="auto"/>
            </w:tcBorders>
            <w:shd w:val="clear" w:color="auto" w:fill="auto"/>
            <w:vAlign w:val="center"/>
          </w:tcPr>
          <w:p w:rsidR="00E636E1" w:rsidRPr="00E13E88" w:rsidP="001B4DC2" w14:paraId="63A7E35E" w14:textId="77777777">
            <w:pPr>
              <w:tabs>
                <w:tab w:val="left" w:pos="360"/>
                <w:tab w:val="left" w:pos="720"/>
              </w:tabs>
              <w:jc w:val="center"/>
              <w:rPr>
                <w:rFonts w:eastAsia="Calibri"/>
                <w:b/>
              </w:rPr>
            </w:pPr>
            <w:r>
              <w:rPr>
                <w:rFonts w:eastAsia="Calibri"/>
                <w:b/>
              </w:rPr>
              <w:t>Proposed Years 4+</w:t>
            </w:r>
          </w:p>
        </w:tc>
      </w:tr>
      <w:tr w14:paraId="0EBD31FD" w14:textId="77777777" w:rsidTr="000104E1">
        <w:tblPrEx>
          <w:tblW w:w="9720" w:type="dxa"/>
          <w:tblInd w:w="-5" w:type="dxa"/>
          <w:tblLayout w:type="fixed"/>
          <w:tblLook w:val="04A0"/>
        </w:tblPrEx>
        <w:trPr>
          <w:trHeight w:val="360"/>
        </w:trPr>
        <w:tc>
          <w:tcPr>
            <w:tcW w:w="1980" w:type="dxa"/>
          </w:tcPr>
          <w:p w:rsidR="00CF1C6D" w:rsidRPr="009A46B5" w:rsidP="004208E6" w14:paraId="4B617660" w14:textId="77777777">
            <w:pPr>
              <w:tabs>
                <w:tab w:val="left" w:pos="-1080"/>
                <w:tab w:val="left" w:pos="-720"/>
              </w:tabs>
            </w:pPr>
            <w:r>
              <w:rPr>
                <w:color w:val="000000"/>
              </w:rPr>
              <w:t>Initiate consultation</w:t>
            </w:r>
            <w:r w:rsidRPr="009A46B5">
              <w:rPr>
                <w:color w:val="000000"/>
              </w:rPr>
              <w:t xml:space="preserve"> and request information</w:t>
            </w:r>
          </w:p>
        </w:tc>
        <w:tc>
          <w:tcPr>
            <w:tcW w:w="1350" w:type="dxa"/>
            <w:vAlign w:val="center"/>
          </w:tcPr>
          <w:p w:rsidR="00CF1C6D" w:rsidRPr="009A46B5" w:rsidP="004208E6" w14:paraId="75072A99" w14:textId="77777777">
            <w:pPr>
              <w:tabs>
                <w:tab w:val="left" w:pos="360"/>
                <w:tab w:val="left" w:pos="720"/>
              </w:tabs>
              <w:jc w:val="right"/>
              <w:rPr>
                <w:rFonts w:eastAsia="Calibri"/>
              </w:rPr>
            </w:pPr>
            <w:r w:rsidRPr="009A46B5">
              <w:rPr>
                <w:color w:val="000000"/>
              </w:rPr>
              <w:t>14</w:t>
            </w:r>
          </w:p>
        </w:tc>
        <w:tc>
          <w:tcPr>
            <w:tcW w:w="1260" w:type="dxa"/>
            <w:vAlign w:val="center"/>
          </w:tcPr>
          <w:p w:rsidR="00CF1C6D" w:rsidRPr="009A46B5" w:rsidP="004208E6" w14:paraId="2EFA14BD" w14:textId="77777777">
            <w:pPr>
              <w:tabs>
                <w:tab w:val="left" w:pos="360"/>
                <w:tab w:val="left" w:pos="720"/>
              </w:tabs>
              <w:jc w:val="right"/>
              <w:rPr>
                <w:rFonts w:eastAsia="Calibri"/>
              </w:rPr>
            </w:pPr>
            <w:r>
              <w:rPr>
                <w:rFonts w:eastAsia="Calibri"/>
              </w:rPr>
              <w:t>137</w:t>
            </w:r>
          </w:p>
        </w:tc>
        <w:tc>
          <w:tcPr>
            <w:tcW w:w="1260" w:type="dxa"/>
            <w:vAlign w:val="center"/>
          </w:tcPr>
          <w:p w:rsidR="00CF1C6D" w:rsidRPr="009A46B5" w:rsidP="004208E6" w14:paraId="4AFA5287" w14:textId="77777777">
            <w:pPr>
              <w:tabs>
                <w:tab w:val="left" w:pos="360"/>
                <w:tab w:val="left" w:pos="720"/>
              </w:tabs>
              <w:jc w:val="right"/>
              <w:rPr>
                <w:rFonts w:eastAsia="Calibri"/>
              </w:rPr>
            </w:pPr>
            <w:r w:rsidRPr="009A46B5">
              <w:rPr>
                <w:color w:val="000000"/>
              </w:rPr>
              <w:t>0</w:t>
            </w:r>
          </w:p>
        </w:tc>
        <w:tc>
          <w:tcPr>
            <w:tcW w:w="1350" w:type="dxa"/>
            <w:vAlign w:val="center"/>
          </w:tcPr>
          <w:p w:rsidR="00CF1C6D" w:rsidRPr="009A46B5" w:rsidP="004208E6" w14:paraId="003CE3E8" w14:textId="77777777">
            <w:pPr>
              <w:tabs>
                <w:tab w:val="left" w:pos="360"/>
                <w:tab w:val="left" w:pos="720"/>
              </w:tabs>
              <w:jc w:val="right"/>
              <w:rPr>
                <w:rFonts w:eastAsia="Calibri"/>
              </w:rPr>
            </w:pPr>
            <w:r w:rsidRPr="009A46B5">
              <w:rPr>
                <w:color w:val="000000"/>
              </w:rPr>
              <w:t>38.50</w:t>
            </w:r>
          </w:p>
        </w:tc>
        <w:tc>
          <w:tcPr>
            <w:tcW w:w="1260" w:type="dxa"/>
            <w:vAlign w:val="center"/>
          </w:tcPr>
          <w:p w:rsidR="00CF1C6D" w:rsidRPr="009A46B5" w:rsidP="004208E6" w14:paraId="3AFFED1C" w14:textId="77777777">
            <w:pPr>
              <w:tabs>
                <w:tab w:val="left" w:pos="360"/>
                <w:tab w:val="left" w:pos="720"/>
              </w:tabs>
              <w:jc w:val="right"/>
              <w:rPr>
                <w:rFonts w:eastAsia="Calibri"/>
              </w:rPr>
            </w:pPr>
            <w:r>
              <w:rPr>
                <w:rFonts w:eastAsia="Calibri"/>
              </w:rPr>
              <w:t>376.75</w:t>
            </w:r>
          </w:p>
        </w:tc>
        <w:tc>
          <w:tcPr>
            <w:tcW w:w="1260" w:type="dxa"/>
            <w:vAlign w:val="center"/>
          </w:tcPr>
          <w:p w:rsidR="00CF1C6D" w:rsidRPr="009A46B5" w:rsidP="004208E6" w14:paraId="07381D00" w14:textId="77777777">
            <w:pPr>
              <w:tabs>
                <w:tab w:val="left" w:pos="360"/>
                <w:tab w:val="left" w:pos="720"/>
              </w:tabs>
              <w:jc w:val="right"/>
              <w:rPr>
                <w:rFonts w:eastAsia="Calibri"/>
              </w:rPr>
            </w:pPr>
            <w:r w:rsidRPr="009A46B5">
              <w:rPr>
                <w:color w:val="000000"/>
              </w:rPr>
              <w:t>0.00</w:t>
            </w:r>
          </w:p>
        </w:tc>
      </w:tr>
      <w:tr w14:paraId="018AFB74" w14:textId="77777777" w:rsidTr="000104E1">
        <w:tblPrEx>
          <w:tblW w:w="9720" w:type="dxa"/>
          <w:tblInd w:w="-5" w:type="dxa"/>
          <w:tblLayout w:type="fixed"/>
          <w:tblLook w:val="04A0"/>
        </w:tblPrEx>
        <w:trPr>
          <w:trHeight w:val="360"/>
        </w:trPr>
        <w:tc>
          <w:tcPr>
            <w:tcW w:w="1980" w:type="dxa"/>
            <w:vAlign w:val="center"/>
          </w:tcPr>
          <w:p w:rsidR="00E636E1" w:rsidRPr="009A46B5" w:rsidP="001B4DC2" w14:paraId="0572C055" w14:textId="22DA12D6">
            <w:pPr>
              <w:tabs>
                <w:tab w:val="left" w:pos="-1080"/>
                <w:tab w:val="left" w:pos="-720"/>
              </w:tabs>
              <w:rPr>
                <w:bCs/>
              </w:rPr>
            </w:pPr>
            <w:r>
              <w:rPr>
                <w:color w:val="000000"/>
              </w:rPr>
              <w:t>C</w:t>
            </w:r>
            <w:r w:rsidRPr="009A46B5">
              <w:rPr>
                <w:color w:val="000000"/>
              </w:rPr>
              <w:t>onduct consultation</w:t>
            </w:r>
          </w:p>
        </w:tc>
        <w:tc>
          <w:tcPr>
            <w:tcW w:w="1350" w:type="dxa"/>
            <w:shd w:val="clear" w:color="auto" w:fill="auto"/>
            <w:vAlign w:val="center"/>
          </w:tcPr>
          <w:p w:rsidR="00E636E1" w:rsidRPr="009A46B5" w:rsidP="001B4DC2" w14:paraId="1E4925A4" w14:textId="77777777">
            <w:pPr>
              <w:widowControl/>
              <w:tabs>
                <w:tab w:val="left" w:pos="360"/>
                <w:tab w:val="left" w:pos="720"/>
              </w:tabs>
              <w:autoSpaceDE/>
              <w:autoSpaceDN/>
              <w:adjustRightInd/>
              <w:jc w:val="right"/>
              <w:rPr>
                <w:rFonts w:eastAsia="Calibri"/>
              </w:rPr>
            </w:pPr>
            <w:r w:rsidRPr="009A46B5">
              <w:rPr>
                <w:color w:val="000000"/>
              </w:rPr>
              <w:t>204</w:t>
            </w:r>
          </w:p>
        </w:tc>
        <w:tc>
          <w:tcPr>
            <w:tcW w:w="1260" w:type="dxa"/>
            <w:vAlign w:val="center"/>
          </w:tcPr>
          <w:p w:rsidR="00E636E1" w:rsidRPr="009A46B5" w:rsidP="001B4DC2" w14:paraId="7735D739" w14:textId="77777777">
            <w:pPr>
              <w:widowControl/>
              <w:tabs>
                <w:tab w:val="left" w:pos="360"/>
                <w:tab w:val="left" w:pos="720"/>
              </w:tabs>
              <w:autoSpaceDE/>
              <w:autoSpaceDN/>
              <w:adjustRightInd/>
              <w:jc w:val="right"/>
              <w:rPr>
                <w:rFonts w:eastAsia="Calibri"/>
              </w:rPr>
            </w:pPr>
            <w:r>
              <w:rPr>
                <w:rFonts w:eastAsia="Calibri"/>
              </w:rPr>
              <w:t>174</w:t>
            </w:r>
          </w:p>
        </w:tc>
        <w:tc>
          <w:tcPr>
            <w:tcW w:w="1260" w:type="dxa"/>
            <w:shd w:val="clear" w:color="auto" w:fill="auto"/>
            <w:vAlign w:val="center"/>
          </w:tcPr>
          <w:p w:rsidR="00E636E1" w:rsidRPr="009A46B5" w:rsidP="001B4DC2" w14:paraId="678E8CF5" w14:textId="77777777">
            <w:pPr>
              <w:tabs>
                <w:tab w:val="left" w:pos="360"/>
                <w:tab w:val="left" w:pos="720"/>
              </w:tabs>
              <w:jc w:val="right"/>
              <w:rPr>
                <w:rFonts w:eastAsia="Calibri"/>
              </w:rPr>
            </w:pPr>
            <w:r>
              <w:rPr>
                <w:rFonts w:eastAsia="Calibri"/>
              </w:rPr>
              <w:t>37</w:t>
            </w:r>
          </w:p>
        </w:tc>
        <w:tc>
          <w:tcPr>
            <w:tcW w:w="1350" w:type="dxa"/>
            <w:shd w:val="clear" w:color="auto" w:fill="auto"/>
            <w:vAlign w:val="center"/>
          </w:tcPr>
          <w:p w:rsidR="00E636E1" w:rsidRPr="009A46B5" w:rsidP="001B4DC2" w14:paraId="62C27888" w14:textId="77777777">
            <w:pPr>
              <w:jc w:val="right"/>
              <w:rPr>
                <w:color w:val="000000"/>
              </w:rPr>
            </w:pPr>
            <w:r w:rsidRPr="009A46B5">
              <w:rPr>
                <w:color w:val="000000"/>
              </w:rPr>
              <w:t>20</w:t>
            </w:r>
            <w:r>
              <w:rPr>
                <w:color w:val="000000"/>
              </w:rPr>
              <w:t>,</w:t>
            </w:r>
            <w:r w:rsidRPr="009A46B5">
              <w:rPr>
                <w:color w:val="000000"/>
              </w:rPr>
              <w:t>451.00</w:t>
            </w:r>
          </w:p>
        </w:tc>
        <w:tc>
          <w:tcPr>
            <w:tcW w:w="1260" w:type="dxa"/>
            <w:shd w:val="clear" w:color="auto" w:fill="auto"/>
            <w:vAlign w:val="center"/>
          </w:tcPr>
          <w:p w:rsidR="00E636E1" w:rsidRPr="009A46B5" w:rsidP="001B4DC2" w14:paraId="5996D7F7" w14:textId="77777777">
            <w:pPr>
              <w:widowControl/>
              <w:tabs>
                <w:tab w:val="left" w:pos="360"/>
                <w:tab w:val="left" w:pos="720"/>
              </w:tabs>
              <w:autoSpaceDE/>
              <w:autoSpaceDN/>
              <w:adjustRightInd/>
              <w:jc w:val="right"/>
              <w:rPr>
                <w:rFonts w:eastAsia="Calibri"/>
              </w:rPr>
            </w:pPr>
            <w:r>
              <w:rPr>
                <w:rFonts w:eastAsia="Calibri"/>
              </w:rPr>
              <w:t>17,443.50</w:t>
            </w:r>
          </w:p>
        </w:tc>
        <w:tc>
          <w:tcPr>
            <w:tcW w:w="1260" w:type="dxa"/>
            <w:shd w:val="clear" w:color="auto" w:fill="auto"/>
            <w:vAlign w:val="center"/>
          </w:tcPr>
          <w:p w:rsidR="00E636E1" w:rsidRPr="009A46B5" w:rsidP="001B4DC2" w14:paraId="0AE8016A" w14:textId="77777777">
            <w:pPr>
              <w:tabs>
                <w:tab w:val="left" w:pos="360"/>
                <w:tab w:val="left" w:pos="720"/>
              </w:tabs>
              <w:jc w:val="right"/>
              <w:rPr>
                <w:rFonts w:eastAsia="Calibri"/>
              </w:rPr>
            </w:pPr>
            <w:r w:rsidRPr="009A46B5">
              <w:rPr>
                <w:color w:val="000000"/>
              </w:rPr>
              <w:t>3</w:t>
            </w:r>
            <w:r>
              <w:rPr>
                <w:color w:val="000000"/>
              </w:rPr>
              <w:t>,</w:t>
            </w:r>
            <w:r w:rsidRPr="009A46B5">
              <w:rPr>
                <w:color w:val="000000"/>
              </w:rPr>
              <w:t>709.25</w:t>
            </w:r>
          </w:p>
        </w:tc>
      </w:tr>
      <w:tr w14:paraId="6CB4FE59" w14:textId="77777777" w:rsidTr="000104E1">
        <w:tblPrEx>
          <w:tblW w:w="9720" w:type="dxa"/>
          <w:tblInd w:w="-5" w:type="dxa"/>
          <w:tblLayout w:type="fixed"/>
          <w:tblLook w:val="04A0"/>
        </w:tblPrEx>
        <w:trPr>
          <w:trHeight w:val="360"/>
        </w:trPr>
        <w:tc>
          <w:tcPr>
            <w:tcW w:w="1980" w:type="dxa"/>
          </w:tcPr>
          <w:p w:rsidR="00293A67" w:rsidRPr="009A46B5" w:rsidP="004208E6" w14:paraId="02D85B61" w14:textId="77777777">
            <w:pPr>
              <w:tabs>
                <w:tab w:val="left" w:pos="-1080"/>
                <w:tab w:val="left" w:pos="-720"/>
              </w:tabs>
              <w:rPr>
                <w:color w:val="000000"/>
              </w:rPr>
            </w:pPr>
            <w:r w:rsidRPr="009A46B5">
              <w:rPr>
                <w:color w:val="000000"/>
              </w:rPr>
              <w:t>Make a record of consultation</w:t>
            </w:r>
          </w:p>
        </w:tc>
        <w:tc>
          <w:tcPr>
            <w:tcW w:w="1350" w:type="dxa"/>
          </w:tcPr>
          <w:p w:rsidR="00293A67" w:rsidRPr="009A46B5" w:rsidP="004208E6" w14:paraId="413658C0" w14:textId="77777777">
            <w:pPr>
              <w:tabs>
                <w:tab w:val="left" w:pos="360"/>
                <w:tab w:val="left" w:pos="720"/>
              </w:tabs>
              <w:jc w:val="right"/>
              <w:rPr>
                <w:color w:val="000000"/>
              </w:rPr>
            </w:pPr>
            <w:r w:rsidRPr="009A46B5">
              <w:rPr>
                <w:rFonts w:eastAsia="Calibri"/>
              </w:rPr>
              <w:t>0</w:t>
            </w:r>
          </w:p>
        </w:tc>
        <w:tc>
          <w:tcPr>
            <w:tcW w:w="1260" w:type="dxa"/>
          </w:tcPr>
          <w:p w:rsidR="00293A67" w:rsidRPr="009A46B5" w:rsidP="004208E6" w14:paraId="5CF7A6A7" w14:textId="77777777">
            <w:pPr>
              <w:tabs>
                <w:tab w:val="left" w:pos="360"/>
                <w:tab w:val="left" w:pos="720"/>
              </w:tabs>
              <w:jc w:val="right"/>
              <w:rPr>
                <w:color w:val="000000"/>
              </w:rPr>
            </w:pPr>
            <w:r>
              <w:rPr>
                <w:color w:val="000000"/>
              </w:rPr>
              <w:t>174</w:t>
            </w:r>
          </w:p>
        </w:tc>
        <w:tc>
          <w:tcPr>
            <w:tcW w:w="1260" w:type="dxa"/>
          </w:tcPr>
          <w:p w:rsidR="00293A67" w:rsidP="004208E6" w14:paraId="23C12A8A" w14:textId="77777777">
            <w:pPr>
              <w:tabs>
                <w:tab w:val="left" w:pos="360"/>
                <w:tab w:val="left" w:pos="720"/>
              </w:tabs>
              <w:jc w:val="right"/>
              <w:rPr>
                <w:rFonts w:eastAsia="Calibri"/>
              </w:rPr>
            </w:pPr>
            <w:r w:rsidRPr="009A46B5">
              <w:rPr>
                <w:color w:val="000000"/>
              </w:rPr>
              <w:t>37</w:t>
            </w:r>
          </w:p>
        </w:tc>
        <w:tc>
          <w:tcPr>
            <w:tcW w:w="1350" w:type="dxa"/>
          </w:tcPr>
          <w:p w:rsidR="00293A67" w:rsidRPr="009A46B5" w:rsidP="004208E6" w14:paraId="4489A9C1" w14:textId="77777777">
            <w:pPr>
              <w:tabs>
                <w:tab w:val="left" w:pos="360"/>
                <w:tab w:val="left" w:pos="720"/>
              </w:tabs>
              <w:jc w:val="right"/>
              <w:rPr>
                <w:color w:val="000000"/>
              </w:rPr>
            </w:pPr>
            <w:r w:rsidRPr="009A46B5">
              <w:rPr>
                <w:rFonts w:eastAsia="Calibri"/>
              </w:rPr>
              <w:t>0.00</w:t>
            </w:r>
          </w:p>
        </w:tc>
        <w:tc>
          <w:tcPr>
            <w:tcW w:w="1260" w:type="dxa"/>
          </w:tcPr>
          <w:p w:rsidR="00293A67" w:rsidRPr="009A46B5" w:rsidP="004208E6" w14:paraId="70421EBD" w14:textId="77777777">
            <w:pPr>
              <w:tabs>
                <w:tab w:val="left" w:pos="360"/>
                <w:tab w:val="left" w:pos="720"/>
              </w:tabs>
              <w:jc w:val="right"/>
              <w:rPr>
                <w:color w:val="000000"/>
              </w:rPr>
            </w:pPr>
            <w:r>
              <w:rPr>
                <w:color w:val="000000"/>
              </w:rPr>
              <w:t>913.50</w:t>
            </w:r>
          </w:p>
        </w:tc>
        <w:tc>
          <w:tcPr>
            <w:tcW w:w="1260" w:type="dxa"/>
          </w:tcPr>
          <w:p w:rsidR="00293A67" w:rsidP="004208E6" w14:paraId="33A21965" w14:textId="77777777">
            <w:pPr>
              <w:tabs>
                <w:tab w:val="left" w:pos="360"/>
                <w:tab w:val="left" w:pos="720"/>
              </w:tabs>
              <w:jc w:val="right"/>
              <w:rPr>
                <w:rFonts w:eastAsia="Calibri"/>
              </w:rPr>
            </w:pPr>
            <w:r w:rsidRPr="009A46B5">
              <w:rPr>
                <w:color w:val="000000"/>
              </w:rPr>
              <w:t>194.25</w:t>
            </w:r>
          </w:p>
        </w:tc>
      </w:tr>
      <w:tr w14:paraId="2A79F0F4" w14:textId="77777777" w:rsidTr="000104E1">
        <w:tblPrEx>
          <w:tblW w:w="9720" w:type="dxa"/>
          <w:tblInd w:w="-5" w:type="dxa"/>
          <w:tblLayout w:type="fixed"/>
          <w:tblLook w:val="04A0"/>
        </w:tblPrEx>
        <w:trPr>
          <w:trHeight w:val="360"/>
        </w:trPr>
        <w:tc>
          <w:tcPr>
            <w:tcW w:w="1980" w:type="dxa"/>
            <w:shd w:val="clear" w:color="auto" w:fill="auto"/>
            <w:vAlign w:val="center"/>
          </w:tcPr>
          <w:p w:rsidR="00E636E1" w:rsidRPr="009A46B5" w:rsidP="001B4DC2" w14:paraId="4BDD509B" w14:textId="77777777">
            <w:pPr>
              <w:tabs>
                <w:tab w:val="left" w:pos="-1080"/>
                <w:tab w:val="left" w:pos="-720"/>
              </w:tabs>
            </w:pPr>
            <w:r w:rsidRPr="009A46B5">
              <w:rPr>
                <w:color w:val="000000"/>
              </w:rPr>
              <w:t>Update inventory data</w:t>
            </w:r>
          </w:p>
        </w:tc>
        <w:tc>
          <w:tcPr>
            <w:tcW w:w="1350" w:type="dxa"/>
            <w:shd w:val="clear" w:color="auto" w:fill="auto"/>
            <w:vAlign w:val="center"/>
          </w:tcPr>
          <w:p w:rsidR="00E636E1" w:rsidRPr="009A46B5" w:rsidP="001B4DC2" w14:paraId="046A1E62" w14:textId="77777777">
            <w:pPr>
              <w:tabs>
                <w:tab w:val="left" w:pos="360"/>
                <w:tab w:val="left" w:pos="720"/>
              </w:tabs>
              <w:jc w:val="right"/>
              <w:rPr>
                <w:rFonts w:eastAsia="Calibri"/>
              </w:rPr>
            </w:pPr>
            <w:r w:rsidRPr="009A46B5">
              <w:rPr>
                <w:color w:val="000000"/>
              </w:rPr>
              <w:t>167</w:t>
            </w:r>
          </w:p>
        </w:tc>
        <w:tc>
          <w:tcPr>
            <w:tcW w:w="1260" w:type="dxa"/>
            <w:vAlign w:val="center"/>
          </w:tcPr>
          <w:p w:rsidR="00E636E1" w:rsidRPr="009A46B5" w:rsidP="001B4DC2" w14:paraId="761C4CE5" w14:textId="77777777">
            <w:pPr>
              <w:tabs>
                <w:tab w:val="left" w:pos="360"/>
                <w:tab w:val="left" w:pos="720"/>
              </w:tabs>
              <w:jc w:val="right"/>
              <w:rPr>
                <w:rFonts w:eastAsia="Calibri"/>
              </w:rPr>
            </w:pPr>
            <w:r>
              <w:rPr>
                <w:rFonts w:eastAsia="Calibri"/>
              </w:rPr>
              <w:t>137</w:t>
            </w:r>
          </w:p>
        </w:tc>
        <w:tc>
          <w:tcPr>
            <w:tcW w:w="1260" w:type="dxa"/>
            <w:shd w:val="clear" w:color="auto" w:fill="auto"/>
            <w:vAlign w:val="center"/>
          </w:tcPr>
          <w:p w:rsidR="00E636E1" w:rsidRPr="009A46B5" w:rsidP="001B4DC2" w14:paraId="36BEEF58" w14:textId="77777777">
            <w:pPr>
              <w:tabs>
                <w:tab w:val="left" w:pos="360"/>
                <w:tab w:val="left" w:pos="720"/>
              </w:tabs>
              <w:jc w:val="right"/>
              <w:rPr>
                <w:rFonts w:eastAsia="Calibri"/>
              </w:rPr>
            </w:pPr>
            <w:r>
              <w:rPr>
                <w:rFonts w:eastAsia="Calibri"/>
              </w:rPr>
              <w:t>0</w:t>
            </w:r>
          </w:p>
        </w:tc>
        <w:tc>
          <w:tcPr>
            <w:tcW w:w="1350" w:type="dxa"/>
            <w:shd w:val="clear" w:color="auto" w:fill="auto"/>
            <w:vAlign w:val="center"/>
          </w:tcPr>
          <w:p w:rsidR="00E636E1" w:rsidRPr="009A46B5" w:rsidP="001B4DC2" w14:paraId="55F0CA13" w14:textId="77777777">
            <w:pPr>
              <w:tabs>
                <w:tab w:val="left" w:pos="360"/>
                <w:tab w:val="left" w:pos="720"/>
              </w:tabs>
              <w:jc w:val="right"/>
              <w:rPr>
                <w:rFonts w:eastAsia="Calibri"/>
              </w:rPr>
            </w:pPr>
            <w:r w:rsidRPr="009A46B5">
              <w:rPr>
                <w:color w:val="000000"/>
              </w:rPr>
              <w:t>8</w:t>
            </w:r>
            <w:r>
              <w:rPr>
                <w:color w:val="000000"/>
              </w:rPr>
              <w:t>,</w:t>
            </w:r>
            <w:r w:rsidRPr="009A46B5">
              <w:rPr>
                <w:color w:val="000000"/>
              </w:rPr>
              <w:t>391.75</w:t>
            </w:r>
          </w:p>
        </w:tc>
        <w:tc>
          <w:tcPr>
            <w:tcW w:w="1260" w:type="dxa"/>
            <w:tcBorders>
              <w:bottom w:val="single" w:sz="4" w:space="0" w:color="auto"/>
            </w:tcBorders>
            <w:shd w:val="clear" w:color="auto" w:fill="auto"/>
            <w:vAlign w:val="center"/>
          </w:tcPr>
          <w:p w:rsidR="00E636E1" w:rsidRPr="009A46B5" w:rsidP="001B4DC2" w14:paraId="11852335" w14:textId="77777777">
            <w:pPr>
              <w:tabs>
                <w:tab w:val="left" w:pos="360"/>
                <w:tab w:val="left" w:pos="720"/>
              </w:tabs>
              <w:jc w:val="right"/>
              <w:rPr>
                <w:rFonts w:eastAsia="Calibri"/>
              </w:rPr>
            </w:pPr>
            <w:r>
              <w:rPr>
                <w:rFonts w:eastAsia="Calibri"/>
              </w:rPr>
              <w:t>6,884.25</w:t>
            </w:r>
          </w:p>
        </w:tc>
        <w:tc>
          <w:tcPr>
            <w:tcW w:w="1260" w:type="dxa"/>
            <w:tcBorders>
              <w:bottom w:val="single" w:sz="4" w:space="0" w:color="auto"/>
            </w:tcBorders>
            <w:shd w:val="clear" w:color="auto" w:fill="auto"/>
            <w:vAlign w:val="center"/>
          </w:tcPr>
          <w:p w:rsidR="00E636E1" w:rsidRPr="009A46B5" w:rsidP="001B4DC2" w14:paraId="3BA455BC" w14:textId="77777777">
            <w:pPr>
              <w:tabs>
                <w:tab w:val="left" w:pos="360"/>
                <w:tab w:val="left" w:pos="720"/>
              </w:tabs>
              <w:jc w:val="right"/>
              <w:rPr>
                <w:rFonts w:eastAsia="Calibri"/>
              </w:rPr>
            </w:pPr>
            <w:r w:rsidRPr="009A46B5">
              <w:rPr>
                <w:color w:val="000000"/>
              </w:rPr>
              <w:t>0.00</w:t>
            </w:r>
          </w:p>
        </w:tc>
      </w:tr>
      <w:tr w14:paraId="7DB5AAD7" w14:textId="77777777" w:rsidTr="000104E1">
        <w:tblPrEx>
          <w:tblW w:w="9720" w:type="dxa"/>
          <w:tblInd w:w="-5" w:type="dxa"/>
          <w:tblLayout w:type="fixed"/>
          <w:tblLook w:val="04A0"/>
        </w:tblPrEx>
        <w:trPr>
          <w:trHeight w:val="360"/>
        </w:trPr>
        <w:tc>
          <w:tcPr>
            <w:tcW w:w="1980" w:type="dxa"/>
            <w:shd w:val="clear" w:color="auto" w:fill="auto"/>
            <w:vAlign w:val="center"/>
          </w:tcPr>
          <w:p w:rsidR="00E636E1" w:rsidRPr="009A46B5" w:rsidP="001B4DC2" w14:paraId="231D8A72" w14:textId="77777777">
            <w:pPr>
              <w:tabs>
                <w:tab w:val="left" w:pos="-1080"/>
                <w:tab w:val="left" w:pos="-720"/>
              </w:tabs>
            </w:pPr>
            <w:r w:rsidRPr="009A46B5">
              <w:rPr>
                <w:color w:val="000000"/>
              </w:rPr>
              <w:t>Submit notices of inventory completion</w:t>
            </w:r>
          </w:p>
        </w:tc>
        <w:tc>
          <w:tcPr>
            <w:tcW w:w="1350" w:type="dxa"/>
            <w:shd w:val="clear" w:color="auto" w:fill="auto"/>
            <w:vAlign w:val="center"/>
          </w:tcPr>
          <w:p w:rsidR="00E636E1" w:rsidRPr="009A46B5" w:rsidP="001B4DC2" w14:paraId="3F550E08" w14:textId="77777777">
            <w:pPr>
              <w:tabs>
                <w:tab w:val="left" w:pos="360"/>
                <w:tab w:val="left" w:pos="720"/>
              </w:tabs>
              <w:jc w:val="right"/>
              <w:rPr>
                <w:rFonts w:eastAsia="Calibri"/>
              </w:rPr>
            </w:pPr>
            <w:r w:rsidRPr="009A46B5">
              <w:rPr>
                <w:color w:val="000000"/>
              </w:rPr>
              <w:t>119</w:t>
            </w:r>
          </w:p>
        </w:tc>
        <w:tc>
          <w:tcPr>
            <w:tcW w:w="1260" w:type="dxa"/>
            <w:vAlign w:val="center"/>
          </w:tcPr>
          <w:p w:rsidR="00E636E1" w:rsidRPr="009A46B5" w:rsidP="001B4DC2" w14:paraId="3D0821D9" w14:textId="77777777">
            <w:pPr>
              <w:tabs>
                <w:tab w:val="left" w:pos="360"/>
                <w:tab w:val="left" w:pos="720"/>
              </w:tabs>
              <w:jc w:val="right"/>
              <w:rPr>
                <w:rFonts w:eastAsia="Calibri"/>
              </w:rPr>
            </w:pPr>
            <w:r>
              <w:rPr>
                <w:rFonts w:eastAsia="Calibri"/>
              </w:rPr>
              <w:t>274</w:t>
            </w:r>
          </w:p>
        </w:tc>
        <w:tc>
          <w:tcPr>
            <w:tcW w:w="1260" w:type="dxa"/>
            <w:shd w:val="clear" w:color="auto" w:fill="auto"/>
            <w:vAlign w:val="center"/>
          </w:tcPr>
          <w:p w:rsidR="00E636E1" w:rsidRPr="009A46B5" w:rsidP="001B4DC2" w14:paraId="7C074C9B" w14:textId="77777777">
            <w:pPr>
              <w:tabs>
                <w:tab w:val="left" w:pos="360"/>
                <w:tab w:val="left" w:pos="720"/>
              </w:tabs>
              <w:jc w:val="right"/>
              <w:rPr>
                <w:rFonts w:eastAsia="Calibri"/>
              </w:rPr>
            </w:pPr>
            <w:r>
              <w:rPr>
                <w:rFonts w:eastAsia="Calibri"/>
              </w:rPr>
              <w:t>10</w:t>
            </w:r>
          </w:p>
        </w:tc>
        <w:tc>
          <w:tcPr>
            <w:tcW w:w="1350" w:type="dxa"/>
            <w:shd w:val="clear" w:color="auto" w:fill="auto"/>
            <w:vAlign w:val="center"/>
          </w:tcPr>
          <w:p w:rsidR="00E636E1" w:rsidRPr="009A46B5" w:rsidP="001B4DC2" w14:paraId="3F12E127" w14:textId="77777777">
            <w:pPr>
              <w:tabs>
                <w:tab w:val="left" w:pos="360"/>
                <w:tab w:val="left" w:pos="720"/>
              </w:tabs>
              <w:jc w:val="right"/>
              <w:rPr>
                <w:rFonts w:eastAsia="Calibri"/>
              </w:rPr>
            </w:pPr>
            <w:r w:rsidRPr="009A46B5">
              <w:rPr>
                <w:color w:val="000000"/>
              </w:rPr>
              <w:t>1</w:t>
            </w:r>
            <w:r>
              <w:rPr>
                <w:color w:val="000000"/>
              </w:rPr>
              <w:t>,</w:t>
            </w:r>
            <w:r w:rsidRPr="009A46B5">
              <w:rPr>
                <w:color w:val="000000"/>
              </w:rPr>
              <w:t>219.75</w:t>
            </w:r>
          </w:p>
        </w:tc>
        <w:tc>
          <w:tcPr>
            <w:tcW w:w="1260" w:type="dxa"/>
            <w:tcBorders>
              <w:bottom w:val="single" w:sz="4" w:space="0" w:color="auto"/>
            </w:tcBorders>
            <w:shd w:val="clear" w:color="auto" w:fill="auto"/>
            <w:vAlign w:val="center"/>
          </w:tcPr>
          <w:p w:rsidR="00E636E1" w:rsidRPr="009A46B5" w:rsidP="001B4DC2" w14:paraId="52545EF9" w14:textId="77777777">
            <w:pPr>
              <w:tabs>
                <w:tab w:val="left" w:pos="360"/>
                <w:tab w:val="left" w:pos="720"/>
              </w:tabs>
              <w:jc w:val="right"/>
              <w:rPr>
                <w:rFonts w:eastAsia="Calibri"/>
              </w:rPr>
            </w:pPr>
            <w:r>
              <w:rPr>
                <w:rFonts w:eastAsia="Calibri"/>
              </w:rPr>
              <w:t>2,808.50</w:t>
            </w:r>
          </w:p>
        </w:tc>
        <w:tc>
          <w:tcPr>
            <w:tcW w:w="1260" w:type="dxa"/>
            <w:tcBorders>
              <w:bottom w:val="single" w:sz="4" w:space="0" w:color="auto"/>
            </w:tcBorders>
            <w:shd w:val="clear" w:color="auto" w:fill="auto"/>
            <w:vAlign w:val="center"/>
          </w:tcPr>
          <w:p w:rsidR="00E636E1" w:rsidRPr="009A46B5" w:rsidP="001B4DC2" w14:paraId="09CC4D14" w14:textId="77777777">
            <w:pPr>
              <w:tabs>
                <w:tab w:val="left" w:pos="360"/>
                <w:tab w:val="left" w:pos="720"/>
              </w:tabs>
              <w:jc w:val="right"/>
              <w:rPr>
                <w:rFonts w:eastAsia="Calibri"/>
              </w:rPr>
            </w:pPr>
            <w:r w:rsidRPr="009A46B5">
              <w:rPr>
                <w:color w:val="000000"/>
              </w:rPr>
              <w:t>102.50</w:t>
            </w:r>
          </w:p>
        </w:tc>
      </w:tr>
      <w:tr w14:paraId="32E6A5DC" w14:textId="77777777" w:rsidTr="000104E1">
        <w:tblPrEx>
          <w:tblW w:w="9720" w:type="dxa"/>
          <w:tblInd w:w="-5" w:type="dxa"/>
          <w:tblLayout w:type="fixed"/>
          <w:tblLook w:val="04A0"/>
        </w:tblPrEx>
        <w:trPr>
          <w:trHeight w:val="360"/>
        </w:trPr>
        <w:tc>
          <w:tcPr>
            <w:tcW w:w="1980" w:type="dxa"/>
            <w:vAlign w:val="center"/>
          </w:tcPr>
          <w:p w:rsidR="00E636E1" w:rsidRPr="009A46B5" w:rsidP="001B4DC2" w14:paraId="6E39A233" w14:textId="77777777">
            <w:pPr>
              <w:tabs>
                <w:tab w:val="left" w:pos="-1080"/>
                <w:tab w:val="left" w:pos="-720"/>
              </w:tabs>
              <w:rPr>
                <w:color w:val="000000"/>
              </w:rPr>
            </w:pPr>
            <w:r w:rsidRPr="009A46B5">
              <w:rPr>
                <w:color w:val="000000"/>
              </w:rPr>
              <w:t>Respond to a request for repatriation</w:t>
            </w:r>
          </w:p>
        </w:tc>
        <w:tc>
          <w:tcPr>
            <w:tcW w:w="1350" w:type="dxa"/>
            <w:vAlign w:val="center"/>
          </w:tcPr>
          <w:p w:rsidR="00E636E1" w:rsidRPr="009A46B5" w:rsidP="001B4DC2" w14:paraId="341072AB" w14:textId="77777777">
            <w:pPr>
              <w:tabs>
                <w:tab w:val="left" w:pos="360"/>
                <w:tab w:val="left" w:pos="720"/>
              </w:tabs>
              <w:jc w:val="right"/>
              <w:rPr>
                <w:color w:val="000000"/>
              </w:rPr>
            </w:pPr>
            <w:r w:rsidRPr="009A46B5">
              <w:rPr>
                <w:rFonts w:eastAsia="Calibri"/>
              </w:rPr>
              <w:t>0</w:t>
            </w:r>
          </w:p>
        </w:tc>
        <w:tc>
          <w:tcPr>
            <w:tcW w:w="1260" w:type="dxa"/>
            <w:vAlign w:val="center"/>
          </w:tcPr>
          <w:p w:rsidR="00E636E1" w:rsidRPr="009A46B5" w:rsidP="001B4DC2" w14:paraId="760BD293" w14:textId="77777777">
            <w:pPr>
              <w:tabs>
                <w:tab w:val="left" w:pos="360"/>
                <w:tab w:val="left" w:pos="720"/>
              </w:tabs>
              <w:jc w:val="right"/>
              <w:rPr>
                <w:color w:val="000000"/>
              </w:rPr>
            </w:pPr>
            <w:r>
              <w:rPr>
                <w:color w:val="000000"/>
              </w:rPr>
              <w:t>251</w:t>
            </w:r>
          </w:p>
        </w:tc>
        <w:tc>
          <w:tcPr>
            <w:tcW w:w="1260" w:type="dxa"/>
            <w:vAlign w:val="center"/>
          </w:tcPr>
          <w:p w:rsidR="00E636E1" w:rsidP="001B4DC2" w14:paraId="3E9A440B" w14:textId="77777777">
            <w:pPr>
              <w:tabs>
                <w:tab w:val="left" w:pos="360"/>
                <w:tab w:val="left" w:pos="720"/>
              </w:tabs>
              <w:jc w:val="right"/>
              <w:rPr>
                <w:rFonts w:eastAsia="Calibri"/>
              </w:rPr>
            </w:pPr>
            <w:r w:rsidRPr="009A46B5">
              <w:rPr>
                <w:color w:val="000000"/>
              </w:rPr>
              <w:t>40</w:t>
            </w:r>
          </w:p>
        </w:tc>
        <w:tc>
          <w:tcPr>
            <w:tcW w:w="1350" w:type="dxa"/>
            <w:vAlign w:val="center"/>
          </w:tcPr>
          <w:p w:rsidR="00E636E1" w:rsidRPr="009A46B5" w:rsidP="001B4DC2" w14:paraId="3F31308A" w14:textId="77777777">
            <w:pPr>
              <w:tabs>
                <w:tab w:val="left" w:pos="360"/>
                <w:tab w:val="left" w:pos="720"/>
              </w:tabs>
              <w:jc w:val="right"/>
              <w:rPr>
                <w:color w:val="000000"/>
              </w:rPr>
            </w:pPr>
            <w:r w:rsidRPr="009A46B5">
              <w:rPr>
                <w:rFonts w:eastAsia="Calibri"/>
              </w:rPr>
              <w:t>0.00</w:t>
            </w:r>
          </w:p>
        </w:tc>
        <w:tc>
          <w:tcPr>
            <w:tcW w:w="1260" w:type="dxa"/>
            <w:vAlign w:val="center"/>
          </w:tcPr>
          <w:p w:rsidR="00E636E1" w:rsidRPr="009A46B5" w:rsidP="001B4DC2" w14:paraId="5D1FF01A" w14:textId="77777777">
            <w:pPr>
              <w:tabs>
                <w:tab w:val="left" w:pos="360"/>
                <w:tab w:val="left" w:pos="720"/>
              </w:tabs>
              <w:jc w:val="right"/>
              <w:rPr>
                <w:color w:val="000000"/>
              </w:rPr>
            </w:pPr>
            <w:r>
              <w:rPr>
                <w:color w:val="000000"/>
              </w:rPr>
              <w:t>1,317.75</w:t>
            </w:r>
          </w:p>
        </w:tc>
        <w:tc>
          <w:tcPr>
            <w:tcW w:w="1260" w:type="dxa"/>
            <w:vAlign w:val="center"/>
          </w:tcPr>
          <w:p w:rsidR="00E636E1" w:rsidP="001B4DC2" w14:paraId="2D4B0AB6" w14:textId="77777777">
            <w:pPr>
              <w:tabs>
                <w:tab w:val="left" w:pos="360"/>
                <w:tab w:val="left" w:pos="720"/>
              </w:tabs>
              <w:jc w:val="right"/>
              <w:rPr>
                <w:rFonts w:eastAsia="Calibri"/>
              </w:rPr>
            </w:pPr>
            <w:r w:rsidRPr="009A46B5">
              <w:rPr>
                <w:color w:val="000000"/>
              </w:rPr>
              <w:t>210.00</w:t>
            </w:r>
          </w:p>
        </w:tc>
      </w:tr>
      <w:tr w14:paraId="115F317E" w14:textId="77777777" w:rsidTr="000104E1">
        <w:tblPrEx>
          <w:tblW w:w="9720" w:type="dxa"/>
          <w:tblInd w:w="-5" w:type="dxa"/>
          <w:tblLayout w:type="fixed"/>
          <w:tblLook w:val="04A0"/>
        </w:tblPrEx>
        <w:trPr>
          <w:trHeight w:val="360"/>
        </w:trPr>
        <w:tc>
          <w:tcPr>
            <w:tcW w:w="1980" w:type="dxa"/>
            <w:vAlign w:val="center"/>
          </w:tcPr>
          <w:p w:rsidR="00E636E1" w:rsidRPr="009A46B5" w:rsidP="001B4DC2" w14:paraId="5575B62C" w14:textId="77777777">
            <w:pPr>
              <w:tabs>
                <w:tab w:val="left" w:pos="-1080"/>
                <w:tab w:val="left" w:pos="-720"/>
              </w:tabs>
              <w:rPr>
                <w:color w:val="000000"/>
              </w:rPr>
            </w:pPr>
            <w:r w:rsidRPr="009A46B5">
              <w:rPr>
                <w:color w:val="000000"/>
              </w:rPr>
              <w:t>Send a repatriation statement</w:t>
            </w:r>
          </w:p>
        </w:tc>
        <w:tc>
          <w:tcPr>
            <w:tcW w:w="1350" w:type="dxa"/>
            <w:vAlign w:val="center"/>
          </w:tcPr>
          <w:p w:rsidR="00E636E1" w:rsidRPr="009A46B5" w:rsidP="001B4DC2" w14:paraId="1FDA9A3E" w14:textId="77777777">
            <w:pPr>
              <w:tabs>
                <w:tab w:val="left" w:pos="360"/>
                <w:tab w:val="left" w:pos="720"/>
              </w:tabs>
              <w:jc w:val="right"/>
              <w:rPr>
                <w:color w:val="000000"/>
              </w:rPr>
            </w:pPr>
            <w:r w:rsidRPr="009A46B5">
              <w:rPr>
                <w:rFonts w:eastAsia="Calibri"/>
              </w:rPr>
              <w:t>0</w:t>
            </w:r>
          </w:p>
        </w:tc>
        <w:tc>
          <w:tcPr>
            <w:tcW w:w="1260" w:type="dxa"/>
            <w:vAlign w:val="center"/>
          </w:tcPr>
          <w:p w:rsidR="00E636E1" w:rsidRPr="009A46B5" w:rsidP="001B4DC2" w14:paraId="205BF15A" w14:textId="77777777">
            <w:pPr>
              <w:tabs>
                <w:tab w:val="left" w:pos="360"/>
                <w:tab w:val="left" w:pos="720"/>
              </w:tabs>
              <w:jc w:val="right"/>
              <w:rPr>
                <w:color w:val="000000"/>
              </w:rPr>
            </w:pPr>
            <w:r>
              <w:rPr>
                <w:color w:val="000000"/>
              </w:rPr>
              <w:t>251</w:t>
            </w:r>
          </w:p>
        </w:tc>
        <w:tc>
          <w:tcPr>
            <w:tcW w:w="1260" w:type="dxa"/>
            <w:vAlign w:val="center"/>
          </w:tcPr>
          <w:p w:rsidR="00E636E1" w:rsidP="001B4DC2" w14:paraId="0246BF59" w14:textId="77777777">
            <w:pPr>
              <w:tabs>
                <w:tab w:val="left" w:pos="360"/>
                <w:tab w:val="left" w:pos="720"/>
              </w:tabs>
              <w:jc w:val="right"/>
              <w:rPr>
                <w:rFonts w:eastAsia="Calibri"/>
              </w:rPr>
            </w:pPr>
            <w:r w:rsidRPr="009A46B5">
              <w:rPr>
                <w:color w:val="000000"/>
              </w:rPr>
              <w:t>40</w:t>
            </w:r>
          </w:p>
        </w:tc>
        <w:tc>
          <w:tcPr>
            <w:tcW w:w="1350" w:type="dxa"/>
            <w:vAlign w:val="center"/>
          </w:tcPr>
          <w:p w:rsidR="00E636E1" w:rsidRPr="009A46B5" w:rsidP="001B4DC2" w14:paraId="6F276EE7" w14:textId="77777777">
            <w:pPr>
              <w:tabs>
                <w:tab w:val="left" w:pos="360"/>
                <w:tab w:val="left" w:pos="720"/>
              </w:tabs>
              <w:jc w:val="right"/>
              <w:rPr>
                <w:color w:val="000000"/>
              </w:rPr>
            </w:pPr>
            <w:r w:rsidRPr="009A46B5">
              <w:rPr>
                <w:rFonts w:eastAsia="Calibri"/>
              </w:rPr>
              <w:t>0.00</w:t>
            </w:r>
          </w:p>
        </w:tc>
        <w:tc>
          <w:tcPr>
            <w:tcW w:w="1260" w:type="dxa"/>
            <w:vAlign w:val="center"/>
          </w:tcPr>
          <w:p w:rsidR="00E636E1" w:rsidRPr="009A46B5" w:rsidP="001B4DC2" w14:paraId="56D68F40" w14:textId="77777777">
            <w:pPr>
              <w:tabs>
                <w:tab w:val="left" w:pos="360"/>
                <w:tab w:val="left" w:pos="720"/>
              </w:tabs>
              <w:jc w:val="right"/>
              <w:rPr>
                <w:color w:val="000000"/>
              </w:rPr>
            </w:pPr>
            <w:r>
              <w:rPr>
                <w:color w:val="000000"/>
              </w:rPr>
              <w:t>690.25</w:t>
            </w:r>
          </w:p>
        </w:tc>
        <w:tc>
          <w:tcPr>
            <w:tcW w:w="1260" w:type="dxa"/>
            <w:vAlign w:val="center"/>
          </w:tcPr>
          <w:p w:rsidR="00E636E1" w:rsidP="001B4DC2" w14:paraId="00427A6C" w14:textId="77777777">
            <w:pPr>
              <w:tabs>
                <w:tab w:val="left" w:pos="360"/>
                <w:tab w:val="left" w:pos="720"/>
              </w:tabs>
              <w:jc w:val="right"/>
              <w:rPr>
                <w:rFonts w:eastAsia="Calibri"/>
              </w:rPr>
            </w:pPr>
            <w:r w:rsidRPr="009A46B5">
              <w:rPr>
                <w:color w:val="000000"/>
              </w:rPr>
              <w:t>110.00</w:t>
            </w:r>
          </w:p>
        </w:tc>
      </w:tr>
      <w:tr w14:paraId="1DDE8362" w14:textId="77777777" w:rsidTr="000104E1">
        <w:tblPrEx>
          <w:tblW w:w="9720" w:type="dxa"/>
          <w:tblInd w:w="-5" w:type="dxa"/>
          <w:tblLayout w:type="fixed"/>
          <w:tblLook w:val="04A0"/>
        </w:tblPrEx>
        <w:trPr>
          <w:trHeight w:val="360"/>
        </w:trPr>
        <w:tc>
          <w:tcPr>
            <w:tcW w:w="1980" w:type="dxa"/>
            <w:vAlign w:val="center"/>
          </w:tcPr>
          <w:p w:rsidR="00A906D8" w:rsidP="00A906D8" w14:paraId="2697BFC4" w14:textId="310E4713">
            <w:pPr>
              <w:tabs>
                <w:tab w:val="left" w:pos="-1080"/>
                <w:tab w:val="left" w:pos="-720"/>
              </w:tabs>
              <w:rPr>
                <w:color w:val="000000"/>
              </w:rPr>
            </w:pPr>
            <w:r w:rsidRPr="009A46B5">
              <w:rPr>
                <w:color w:val="000000"/>
              </w:rPr>
              <w:t>Document physical transfer</w:t>
            </w:r>
          </w:p>
        </w:tc>
        <w:tc>
          <w:tcPr>
            <w:tcW w:w="1350" w:type="dxa"/>
            <w:vAlign w:val="center"/>
          </w:tcPr>
          <w:p w:rsidR="00A906D8" w:rsidP="00A906D8" w14:paraId="26A49932" w14:textId="0BC95E5A">
            <w:pPr>
              <w:tabs>
                <w:tab w:val="left" w:pos="360"/>
                <w:tab w:val="left" w:pos="720"/>
              </w:tabs>
              <w:jc w:val="right"/>
              <w:rPr>
                <w:rFonts w:eastAsia="Calibri"/>
              </w:rPr>
            </w:pPr>
            <w:r w:rsidRPr="009A46B5">
              <w:rPr>
                <w:color w:val="000000"/>
              </w:rPr>
              <w:t>127</w:t>
            </w:r>
          </w:p>
        </w:tc>
        <w:tc>
          <w:tcPr>
            <w:tcW w:w="1260" w:type="dxa"/>
            <w:vAlign w:val="center"/>
          </w:tcPr>
          <w:p w:rsidR="00A906D8" w:rsidP="00A906D8" w14:paraId="1395E896" w14:textId="473549E2">
            <w:pPr>
              <w:tabs>
                <w:tab w:val="left" w:pos="360"/>
                <w:tab w:val="left" w:pos="720"/>
              </w:tabs>
              <w:jc w:val="right"/>
              <w:rPr>
                <w:color w:val="000000"/>
              </w:rPr>
            </w:pPr>
            <w:r>
              <w:rPr>
                <w:rFonts w:eastAsia="Calibri"/>
              </w:rPr>
              <w:t>251</w:t>
            </w:r>
          </w:p>
        </w:tc>
        <w:tc>
          <w:tcPr>
            <w:tcW w:w="1260" w:type="dxa"/>
            <w:vAlign w:val="center"/>
          </w:tcPr>
          <w:p w:rsidR="00A906D8" w:rsidP="00A906D8" w14:paraId="790878AA" w14:textId="62603CDD">
            <w:pPr>
              <w:tabs>
                <w:tab w:val="left" w:pos="360"/>
                <w:tab w:val="left" w:pos="720"/>
              </w:tabs>
              <w:jc w:val="right"/>
              <w:rPr>
                <w:color w:val="000000"/>
              </w:rPr>
            </w:pPr>
            <w:r>
              <w:rPr>
                <w:rFonts w:eastAsia="Calibri"/>
              </w:rPr>
              <w:t>40</w:t>
            </w:r>
          </w:p>
        </w:tc>
        <w:tc>
          <w:tcPr>
            <w:tcW w:w="1350" w:type="dxa"/>
            <w:vAlign w:val="center"/>
          </w:tcPr>
          <w:p w:rsidR="00A906D8" w:rsidP="00A906D8" w14:paraId="5509F81C" w14:textId="210BDB5B">
            <w:pPr>
              <w:tabs>
                <w:tab w:val="left" w:pos="360"/>
                <w:tab w:val="left" w:pos="720"/>
              </w:tabs>
              <w:jc w:val="right"/>
              <w:rPr>
                <w:rFonts w:eastAsia="Calibri"/>
              </w:rPr>
            </w:pPr>
            <w:r w:rsidRPr="009A46B5">
              <w:rPr>
                <w:color w:val="000000"/>
              </w:rPr>
              <w:t>666.75</w:t>
            </w:r>
          </w:p>
        </w:tc>
        <w:tc>
          <w:tcPr>
            <w:tcW w:w="1260" w:type="dxa"/>
            <w:vAlign w:val="center"/>
          </w:tcPr>
          <w:p w:rsidR="00A906D8" w:rsidP="00A906D8" w14:paraId="7A8028CE" w14:textId="5EEAE934">
            <w:pPr>
              <w:tabs>
                <w:tab w:val="left" w:pos="360"/>
                <w:tab w:val="left" w:pos="720"/>
              </w:tabs>
              <w:jc w:val="right"/>
              <w:rPr>
                <w:color w:val="000000"/>
              </w:rPr>
            </w:pPr>
            <w:r>
              <w:rPr>
                <w:rFonts w:eastAsia="Calibri"/>
              </w:rPr>
              <w:t>1,317.75</w:t>
            </w:r>
          </w:p>
        </w:tc>
        <w:tc>
          <w:tcPr>
            <w:tcW w:w="1260" w:type="dxa"/>
            <w:vAlign w:val="center"/>
          </w:tcPr>
          <w:p w:rsidR="00A906D8" w:rsidP="00A906D8" w14:paraId="21AA507D" w14:textId="7501641A">
            <w:pPr>
              <w:tabs>
                <w:tab w:val="left" w:pos="360"/>
                <w:tab w:val="left" w:pos="720"/>
              </w:tabs>
              <w:jc w:val="right"/>
              <w:rPr>
                <w:color w:val="000000"/>
              </w:rPr>
            </w:pPr>
            <w:r w:rsidRPr="009A46B5">
              <w:rPr>
                <w:color w:val="000000"/>
              </w:rPr>
              <w:t>210.00</w:t>
            </w:r>
          </w:p>
        </w:tc>
      </w:tr>
      <w:tr w14:paraId="62169D3A" w14:textId="77777777" w:rsidTr="000104E1">
        <w:tblPrEx>
          <w:tblW w:w="9720" w:type="dxa"/>
          <w:tblInd w:w="-5" w:type="dxa"/>
          <w:tblLayout w:type="fixed"/>
          <w:tblLook w:val="04A0"/>
        </w:tblPrEx>
        <w:trPr>
          <w:trHeight w:val="360"/>
        </w:trPr>
        <w:tc>
          <w:tcPr>
            <w:tcW w:w="1980" w:type="dxa"/>
            <w:vAlign w:val="center"/>
          </w:tcPr>
          <w:p w:rsidR="00A906D8" w:rsidP="00A906D8" w14:paraId="0EC9085B" w14:textId="516A2F15">
            <w:pPr>
              <w:tabs>
                <w:tab w:val="left" w:pos="-1080"/>
                <w:tab w:val="left" w:pos="-720"/>
              </w:tabs>
              <w:rPr>
                <w:color w:val="000000"/>
              </w:rPr>
            </w:pPr>
            <w:r w:rsidRPr="009A46B5">
              <w:rPr>
                <w:color w:val="000000"/>
              </w:rPr>
              <w:t>Transfer or reinter human remains and associated funerary objects</w:t>
            </w:r>
          </w:p>
        </w:tc>
        <w:tc>
          <w:tcPr>
            <w:tcW w:w="1350" w:type="dxa"/>
            <w:vAlign w:val="center"/>
          </w:tcPr>
          <w:p w:rsidR="00A906D8" w:rsidP="00A906D8" w14:paraId="515233AB" w14:textId="719D195C">
            <w:pPr>
              <w:tabs>
                <w:tab w:val="left" w:pos="360"/>
                <w:tab w:val="left" w:pos="720"/>
              </w:tabs>
              <w:jc w:val="right"/>
              <w:rPr>
                <w:rFonts w:eastAsia="Calibri"/>
              </w:rPr>
            </w:pPr>
            <w:r w:rsidRPr="009A46B5">
              <w:rPr>
                <w:color w:val="000000"/>
              </w:rPr>
              <w:t>5</w:t>
            </w:r>
          </w:p>
        </w:tc>
        <w:tc>
          <w:tcPr>
            <w:tcW w:w="1260" w:type="dxa"/>
            <w:vAlign w:val="center"/>
          </w:tcPr>
          <w:p w:rsidR="00A906D8" w:rsidP="00A906D8" w14:paraId="59951231" w14:textId="32E2CB5E">
            <w:pPr>
              <w:tabs>
                <w:tab w:val="left" w:pos="360"/>
                <w:tab w:val="left" w:pos="720"/>
              </w:tabs>
              <w:jc w:val="right"/>
              <w:rPr>
                <w:color w:val="000000"/>
              </w:rPr>
            </w:pPr>
            <w:r>
              <w:rPr>
                <w:rFonts w:eastAsia="Calibri"/>
              </w:rPr>
              <w:t>6</w:t>
            </w:r>
          </w:p>
        </w:tc>
        <w:tc>
          <w:tcPr>
            <w:tcW w:w="1260" w:type="dxa"/>
            <w:vAlign w:val="center"/>
          </w:tcPr>
          <w:p w:rsidR="00A906D8" w:rsidP="00A906D8" w14:paraId="46E7D14B" w14:textId="41A0B32F">
            <w:pPr>
              <w:tabs>
                <w:tab w:val="left" w:pos="360"/>
                <w:tab w:val="left" w:pos="720"/>
              </w:tabs>
              <w:jc w:val="right"/>
              <w:rPr>
                <w:color w:val="000000"/>
              </w:rPr>
            </w:pPr>
            <w:r>
              <w:rPr>
                <w:rFonts w:eastAsia="Calibri"/>
              </w:rPr>
              <w:t>6</w:t>
            </w:r>
          </w:p>
        </w:tc>
        <w:tc>
          <w:tcPr>
            <w:tcW w:w="1350" w:type="dxa"/>
            <w:vAlign w:val="center"/>
          </w:tcPr>
          <w:p w:rsidR="00A906D8" w:rsidP="00A906D8" w14:paraId="46550EE0" w14:textId="4D06EA57">
            <w:pPr>
              <w:tabs>
                <w:tab w:val="left" w:pos="360"/>
                <w:tab w:val="left" w:pos="720"/>
              </w:tabs>
              <w:jc w:val="right"/>
              <w:rPr>
                <w:rFonts w:eastAsia="Calibri"/>
              </w:rPr>
            </w:pPr>
            <w:r w:rsidRPr="009A46B5">
              <w:rPr>
                <w:color w:val="000000"/>
              </w:rPr>
              <w:t>275.00</w:t>
            </w:r>
          </w:p>
        </w:tc>
        <w:tc>
          <w:tcPr>
            <w:tcW w:w="1260" w:type="dxa"/>
            <w:vAlign w:val="center"/>
          </w:tcPr>
          <w:p w:rsidR="00A906D8" w:rsidP="00A906D8" w14:paraId="48287F0A" w14:textId="1D58E466">
            <w:pPr>
              <w:tabs>
                <w:tab w:val="left" w:pos="360"/>
                <w:tab w:val="left" w:pos="720"/>
              </w:tabs>
              <w:jc w:val="right"/>
              <w:rPr>
                <w:color w:val="000000"/>
              </w:rPr>
            </w:pPr>
            <w:r>
              <w:rPr>
                <w:rFonts w:eastAsia="Calibri"/>
              </w:rPr>
              <w:t>31.50</w:t>
            </w:r>
          </w:p>
        </w:tc>
        <w:tc>
          <w:tcPr>
            <w:tcW w:w="1260" w:type="dxa"/>
            <w:vAlign w:val="center"/>
          </w:tcPr>
          <w:p w:rsidR="00A906D8" w:rsidP="00A906D8" w14:paraId="549E9067" w14:textId="763ED9E5">
            <w:pPr>
              <w:tabs>
                <w:tab w:val="left" w:pos="360"/>
                <w:tab w:val="left" w:pos="720"/>
              </w:tabs>
              <w:jc w:val="right"/>
              <w:rPr>
                <w:color w:val="000000"/>
              </w:rPr>
            </w:pPr>
            <w:r w:rsidRPr="009A46B5">
              <w:rPr>
                <w:color w:val="000000"/>
              </w:rPr>
              <w:t>31.50</w:t>
            </w:r>
          </w:p>
        </w:tc>
      </w:tr>
      <w:tr w14:paraId="7C22A95A" w14:textId="77777777" w:rsidTr="000104E1">
        <w:tblPrEx>
          <w:tblW w:w="9720" w:type="dxa"/>
          <w:tblInd w:w="-5" w:type="dxa"/>
          <w:tblLayout w:type="fixed"/>
          <w:tblLook w:val="04A0"/>
        </w:tblPrEx>
        <w:trPr>
          <w:trHeight w:val="360"/>
        </w:trPr>
        <w:tc>
          <w:tcPr>
            <w:tcW w:w="1980" w:type="dxa"/>
          </w:tcPr>
          <w:p w:rsidR="000104E1" w:rsidRPr="009A46B5" w:rsidP="004208E6" w14:paraId="70E5C1B6" w14:textId="77777777">
            <w:pPr>
              <w:tabs>
                <w:tab w:val="left" w:pos="-1080"/>
                <w:tab w:val="left" w:pos="-720"/>
              </w:tabs>
              <w:rPr>
                <w:color w:val="000000"/>
              </w:rPr>
            </w:pPr>
            <w:r>
              <w:rPr>
                <w:color w:val="000000"/>
              </w:rPr>
              <w:t>Submit statements describing holdings and collections</w:t>
            </w:r>
          </w:p>
        </w:tc>
        <w:tc>
          <w:tcPr>
            <w:tcW w:w="1350" w:type="dxa"/>
          </w:tcPr>
          <w:p w:rsidR="000104E1" w:rsidRPr="009A46B5" w:rsidP="004208E6" w14:paraId="394568B7" w14:textId="77777777">
            <w:pPr>
              <w:tabs>
                <w:tab w:val="left" w:pos="360"/>
                <w:tab w:val="left" w:pos="720"/>
              </w:tabs>
              <w:jc w:val="right"/>
              <w:rPr>
                <w:rFonts w:eastAsia="Calibri"/>
              </w:rPr>
            </w:pPr>
            <w:r>
              <w:rPr>
                <w:rFonts w:eastAsia="Calibri"/>
              </w:rPr>
              <w:t>0</w:t>
            </w:r>
          </w:p>
        </w:tc>
        <w:tc>
          <w:tcPr>
            <w:tcW w:w="1260" w:type="dxa"/>
          </w:tcPr>
          <w:p w:rsidR="000104E1" w:rsidP="004208E6" w14:paraId="36CF093A" w14:textId="77777777">
            <w:pPr>
              <w:tabs>
                <w:tab w:val="left" w:pos="360"/>
                <w:tab w:val="left" w:pos="720"/>
              </w:tabs>
              <w:jc w:val="right"/>
              <w:rPr>
                <w:color w:val="000000"/>
              </w:rPr>
            </w:pPr>
            <w:r>
              <w:rPr>
                <w:color w:val="000000"/>
              </w:rPr>
              <w:t>70</w:t>
            </w:r>
          </w:p>
        </w:tc>
        <w:tc>
          <w:tcPr>
            <w:tcW w:w="1260" w:type="dxa"/>
          </w:tcPr>
          <w:p w:rsidR="000104E1" w:rsidRPr="009A46B5" w:rsidP="004208E6" w14:paraId="3FA1BA41" w14:textId="77777777">
            <w:pPr>
              <w:tabs>
                <w:tab w:val="left" w:pos="360"/>
                <w:tab w:val="left" w:pos="720"/>
              </w:tabs>
              <w:jc w:val="right"/>
              <w:rPr>
                <w:color w:val="000000"/>
              </w:rPr>
            </w:pPr>
            <w:r>
              <w:rPr>
                <w:color w:val="000000"/>
              </w:rPr>
              <w:t>0</w:t>
            </w:r>
          </w:p>
        </w:tc>
        <w:tc>
          <w:tcPr>
            <w:tcW w:w="1350" w:type="dxa"/>
          </w:tcPr>
          <w:p w:rsidR="000104E1" w:rsidRPr="009A46B5" w:rsidP="004208E6" w14:paraId="3A7334B1" w14:textId="77777777">
            <w:pPr>
              <w:tabs>
                <w:tab w:val="left" w:pos="360"/>
                <w:tab w:val="left" w:pos="720"/>
              </w:tabs>
              <w:jc w:val="right"/>
              <w:rPr>
                <w:rFonts w:eastAsia="Calibri"/>
              </w:rPr>
            </w:pPr>
            <w:r>
              <w:rPr>
                <w:rFonts w:eastAsia="Calibri"/>
              </w:rPr>
              <w:t>0.00</w:t>
            </w:r>
          </w:p>
        </w:tc>
        <w:tc>
          <w:tcPr>
            <w:tcW w:w="1260" w:type="dxa"/>
          </w:tcPr>
          <w:p w:rsidR="000104E1" w:rsidRPr="009A46B5" w:rsidP="004208E6" w14:paraId="70B94569" w14:textId="77777777">
            <w:pPr>
              <w:tabs>
                <w:tab w:val="left" w:pos="360"/>
                <w:tab w:val="left" w:pos="720"/>
              </w:tabs>
              <w:jc w:val="right"/>
              <w:rPr>
                <w:color w:val="000000"/>
              </w:rPr>
            </w:pPr>
            <w:r>
              <w:rPr>
                <w:color w:val="000000"/>
              </w:rPr>
              <w:t>367.50</w:t>
            </w:r>
          </w:p>
        </w:tc>
        <w:tc>
          <w:tcPr>
            <w:tcW w:w="1260" w:type="dxa"/>
          </w:tcPr>
          <w:p w:rsidR="000104E1" w:rsidRPr="009A46B5" w:rsidP="004208E6" w14:paraId="0EA8C88E" w14:textId="77777777">
            <w:pPr>
              <w:tabs>
                <w:tab w:val="left" w:pos="360"/>
                <w:tab w:val="left" w:pos="720"/>
              </w:tabs>
              <w:jc w:val="right"/>
              <w:rPr>
                <w:color w:val="000000"/>
              </w:rPr>
            </w:pPr>
            <w:r>
              <w:rPr>
                <w:color w:val="000000"/>
              </w:rPr>
              <w:t>0.00</w:t>
            </w:r>
          </w:p>
        </w:tc>
      </w:tr>
      <w:tr w14:paraId="11F5F80B" w14:textId="77777777" w:rsidTr="000104E1">
        <w:tblPrEx>
          <w:tblW w:w="9720" w:type="dxa"/>
          <w:tblInd w:w="-5" w:type="dxa"/>
          <w:tblLayout w:type="fixed"/>
          <w:tblLook w:val="04A0"/>
        </w:tblPrEx>
        <w:trPr>
          <w:trHeight w:val="360"/>
        </w:trPr>
        <w:tc>
          <w:tcPr>
            <w:tcW w:w="1980" w:type="dxa"/>
            <w:tcBorders>
              <w:bottom w:val="single" w:sz="4" w:space="0" w:color="auto"/>
            </w:tcBorders>
            <w:shd w:val="clear" w:color="auto" w:fill="auto"/>
            <w:vAlign w:val="center"/>
          </w:tcPr>
          <w:p w:rsidR="00A906D8" w:rsidRPr="00A906D8" w:rsidP="00A906D8" w14:paraId="35A6CE92" w14:textId="77777777">
            <w:pPr>
              <w:tabs>
                <w:tab w:val="left" w:pos="-1080"/>
                <w:tab w:val="left" w:pos="-720"/>
                <w:tab w:val="left" w:pos="720"/>
              </w:tabs>
              <w:ind w:left="-14" w:firstLine="13"/>
            </w:pPr>
            <w:r w:rsidRPr="00A906D8">
              <w:t xml:space="preserve">Other requirements </w:t>
            </w:r>
          </w:p>
        </w:tc>
        <w:tc>
          <w:tcPr>
            <w:tcW w:w="1350" w:type="dxa"/>
            <w:shd w:val="clear" w:color="auto" w:fill="auto"/>
            <w:vAlign w:val="center"/>
          </w:tcPr>
          <w:p w:rsidR="00A906D8" w:rsidRPr="00A906D8" w:rsidP="00A906D8" w14:paraId="5B4F8DE1" w14:textId="77777777">
            <w:pPr>
              <w:tabs>
                <w:tab w:val="left" w:pos="360"/>
                <w:tab w:val="left" w:pos="720"/>
              </w:tabs>
              <w:jc w:val="right"/>
              <w:rPr>
                <w:rFonts w:eastAsia="Calibri"/>
              </w:rPr>
            </w:pPr>
            <w:r w:rsidRPr="00A906D8">
              <w:rPr>
                <w:rFonts w:eastAsia="Calibri"/>
              </w:rPr>
              <w:t>109</w:t>
            </w:r>
          </w:p>
        </w:tc>
        <w:tc>
          <w:tcPr>
            <w:tcW w:w="1260" w:type="dxa"/>
            <w:tcBorders>
              <w:top w:val="single" w:sz="4" w:space="0" w:color="auto"/>
              <w:bottom w:val="single" w:sz="4" w:space="0" w:color="auto"/>
            </w:tcBorders>
            <w:vAlign w:val="center"/>
          </w:tcPr>
          <w:p w:rsidR="00A906D8" w:rsidRPr="00A906D8" w:rsidP="00A906D8" w14:paraId="1602DE96" w14:textId="77777777">
            <w:pPr>
              <w:tabs>
                <w:tab w:val="left" w:pos="360"/>
                <w:tab w:val="left" w:pos="720"/>
              </w:tabs>
              <w:jc w:val="right"/>
              <w:rPr>
                <w:color w:val="000000"/>
              </w:rPr>
            </w:pPr>
            <w:r w:rsidRPr="00A906D8">
              <w:rPr>
                <w:color w:val="000000"/>
              </w:rPr>
              <w:t>109</w:t>
            </w:r>
          </w:p>
        </w:tc>
        <w:tc>
          <w:tcPr>
            <w:tcW w:w="1260" w:type="dxa"/>
            <w:tcBorders>
              <w:top w:val="single" w:sz="4" w:space="0" w:color="auto"/>
              <w:bottom w:val="single" w:sz="4" w:space="0" w:color="auto"/>
            </w:tcBorders>
            <w:shd w:val="clear" w:color="auto" w:fill="auto"/>
            <w:vAlign w:val="center"/>
          </w:tcPr>
          <w:p w:rsidR="00A906D8" w:rsidRPr="00A906D8" w:rsidP="00A906D8" w14:paraId="0721DEE9" w14:textId="77777777">
            <w:pPr>
              <w:tabs>
                <w:tab w:val="left" w:pos="360"/>
                <w:tab w:val="left" w:pos="720"/>
              </w:tabs>
              <w:jc w:val="right"/>
              <w:rPr>
                <w:rFonts w:eastAsia="Calibri"/>
              </w:rPr>
            </w:pPr>
            <w:r w:rsidRPr="00A906D8">
              <w:rPr>
                <w:color w:val="000000"/>
              </w:rPr>
              <w:t>109</w:t>
            </w:r>
          </w:p>
        </w:tc>
        <w:tc>
          <w:tcPr>
            <w:tcW w:w="1350" w:type="dxa"/>
            <w:tcBorders>
              <w:top w:val="single" w:sz="4" w:space="0" w:color="auto"/>
              <w:bottom w:val="single" w:sz="4" w:space="0" w:color="auto"/>
            </w:tcBorders>
            <w:shd w:val="clear" w:color="auto" w:fill="auto"/>
            <w:vAlign w:val="center"/>
          </w:tcPr>
          <w:p w:rsidR="00A906D8" w:rsidRPr="00A906D8" w:rsidP="00A906D8" w14:paraId="39714FE2" w14:textId="77777777">
            <w:pPr>
              <w:tabs>
                <w:tab w:val="left" w:pos="360"/>
                <w:tab w:val="left" w:pos="720"/>
              </w:tabs>
              <w:jc w:val="right"/>
              <w:rPr>
                <w:rFonts w:eastAsia="Calibri"/>
              </w:rPr>
            </w:pPr>
            <w:r w:rsidRPr="00A906D8">
              <w:rPr>
                <w:rFonts w:eastAsia="Calibri"/>
              </w:rPr>
              <w:t>2,185.75</w:t>
            </w:r>
          </w:p>
        </w:tc>
        <w:tc>
          <w:tcPr>
            <w:tcW w:w="1260" w:type="dxa"/>
            <w:tcBorders>
              <w:top w:val="single" w:sz="4" w:space="0" w:color="auto"/>
              <w:bottom w:val="single" w:sz="4" w:space="0" w:color="auto"/>
            </w:tcBorders>
            <w:shd w:val="clear" w:color="auto" w:fill="auto"/>
            <w:vAlign w:val="center"/>
          </w:tcPr>
          <w:p w:rsidR="00A906D8" w:rsidRPr="00A906D8" w:rsidP="00A906D8" w14:paraId="4B1276A1" w14:textId="77777777">
            <w:pPr>
              <w:tabs>
                <w:tab w:val="left" w:pos="360"/>
                <w:tab w:val="left" w:pos="720"/>
              </w:tabs>
              <w:jc w:val="right"/>
            </w:pPr>
            <w:r w:rsidRPr="00A906D8">
              <w:t>2,185.75</w:t>
            </w:r>
          </w:p>
        </w:tc>
        <w:tc>
          <w:tcPr>
            <w:tcW w:w="1260" w:type="dxa"/>
            <w:tcBorders>
              <w:top w:val="single" w:sz="4" w:space="0" w:color="auto"/>
              <w:bottom w:val="single" w:sz="4" w:space="0" w:color="auto"/>
            </w:tcBorders>
            <w:shd w:val="clear" w:color="auto" w:fill="auto"/>
            <w:vAlign w:val="center"/>
          </w:tcPr>
          <w:p w:rsidR="00A906D8" w:rsidRPr="00A906D8" w:rsidP="00A906D8" w14:paraId="1E5DDD0D" w14:textId="77777777">
            <w:pPr>
              <w:tabs>
                <w:tab w:val="left" w:pos="360"/>
                <w:tab w:val="left" w:pos="720"/>
              </w:tabs>
              <w:jc w:val="right"/>
              <w:rPr>
                <w:rFonts w:eastAsia="Calibri"/>
              </w:rPr>
            </w:pPr>
            <w:r w:rsidRPr="00A906D8">
              <w:t>2,185.75</w:t>
            </w:r>
          </w:p>
        </w:tc>
      </w:tr>
      <w:tr w14:paraId="4C16331B" w14:textId="77777777" w:rsidTr="000104E1">
        <w:tblPrEx>
          <w:tblW w:w="9720" w:type="dxa"/>
          <w:tblInd w:w="-5" w:type="dxa"/>
          <w:tblLayout w:type="fixed"/>
          <w:tblLook w:val="04A0"/>
        </w:tblPrEx>
        <w:trPr>
          <w:trHeight w:val="360"/>
        </w:trPr>
        <w:tc>
          <w:tcPr>
            <w:tcW w:w="1980" w:type="dxa"/>
            <w:tcBorders>
              <w:bottom w:val="single" w:sz="4" w:space="0" w:color="auto"/>
            </w:tcBorders>
            <w:shd w:val="clear" w:color="auto" w:fill="auto"/>
            <w:vAlign w:val="center"/>
          </w:tcPr>
          <w:p w:rsidR="00A906D8" w:rsidRPr="00243113" w:rsidP="00A906D8" w14:paraId="243979F1" w14:textId="77777777">
            <w:pPr>
              <w:tabs>
                <w:tab w:val="left" w:pos="-1080"/>
                <w:tab w:val="left" w:pos="-720"/>
                <w:tab w:val="left" w:pos="720"/>
              </w:tabs>
              <w:ind w:left="-14" w:firstLine="13"/>
              <w:jc w:val="right"/>
              <w:rPr>
                <w:b/>
                <w:bCs/>
                <w:sz w:val="22"/>
                <w:szCs w:val="22"/>
              </w:rPr>
            </w:pPr>
            <w:r w:rsidRPr="00243113">
              <w:rPr>
                <w:b/>
                <w:bCs/>
                <w:sz w:val="22"/>
                <w:szCs w:val="22"/>
              </w:rPr>
              <w:t>Total</w:t>
            </w:r>
          </w:p>
        </w:tc>
        <w:tc>
          <w:tcPr>
            <w:tcW w:w="1350" w:type="dxa"/>
            <w:shd w:val="clear" w:color="auto" w:fill="auto"/>
            <w:vAlign w:val="center"/>
          </w:tcPr>
          <w:p w:rsidR="00A906D8" w:rsidRPr="00BC519A" w:rsidP="00A906D8" w14:paraId="4C07D204" w14:textId="77777777">
            <w:pPr>
              <w:widowControl/>
              <w:tabs>
                <w:tab w:val="left" w:pos="360"/>
                <w:tab w:val="left" w:pos="720"/>
              </w:tabs>
              <w:autoSpaceDE/>
              <w:autoSpaceDN/>
              <w:adjustRightInd/>
              <w:jc w:val="right"/>
              <w:rPr>
                <w:rFonts w:eastAsia="Calibri"/>
                <w:b/>
                <w:bCs/>
                <w:sz w:val="22"/>
                <w:szCs w:val="22"/>
              </w:rPr>
            </w:pPr>
            <w:r>
              <w:rPr>
                <w:rFonts w:eastAsia="Calibri"/>
                <w:b/>
                <w:bCs/>
                <w:sz w:val="22"/>
                <w:szCs w:val="22"/>
              </w:rPr>
              <w:t>745</w:t>
            </w:r>
          </w:p>
        </w:tc>
        <w:tc>
          <w:tcPr>
            <w:tcW w:w="1260" w:type="dxa"/>
            <w:tcBorders>
              <w:top w:val="single" w:sz="4" w:space="0" w:color="auto"/>
              <w:bottom w:val="single" w:sz="4" w:space="0" w:color="auto"/>
            </w:tcBorders>
            <w:vAlign w:val="center"/>
          </w:tcPr>
          <w:p w:rsidR="00A906D8" w:rsidRPr="00BC519A" w:rsidP="00A906D8" w14:paraId="6310B785" w14:textId="77777777">
            <w:pPr>
              <w:widowControl/>
              <w:tabs>
                <w:tab w:val="left" w:pos="360"/>
                <w:tab w:val="left" w:pos="720"/>
              </w:tabs>
              <w:autoSpaceDE/>
              <w:autoSpaceDN/>
              <w:adjustRightInd/>
              <w:jc w:val="right"/>
              <w:rPr>
                <w:b/>
                <w:bCs/>
                <w:color w:val="000000"/>
                <w:sz w:val="22"/>
                <w:szCs w:val="22"/>
              </w:rPr>
            </w:pPr>
            <w:r>
              <w:rPr>
                <w:b/>
                <w:bCs/>
                <w:color w:val="000000"/>
                <w:sz w:val="22"/>
                <w:szCs w:val="22"/>
              </w:rPr>
              <w:t>1,834</w:t>
            </w:r>
          </w:p>
        </w:tc>
        <w:tc>
          <w:tcPr>
            <w:tcW w:w="1260" w:type="dxa"/>
            <w:tcBorders>
              <w:top w:val="single" w:sz="4" w:space="0" w:color="auto"/>
              <w:bottom w:val="single" w:sz="4" w:space="0" w:color="auto"/>
            </w:tcBorders>
            <w:shd w:val="clear" w:color="auto" w:fill="auto"/>
            <w:vAlign w:val="center"/>
          </w:tcPr>
          <w:p w:rsidR="00A906D8" w:rsidRPr="00BC519A" w:rsidP="00A906D8" w14:paraId="135D61E1" w14:textId="77777777">
            <w:pPr>
              <w:tabs>
                <w:tab w:val="left" w:pos="360"/>
                <w:tab w:val="left" w:pos="720"/>
              </w:tabs>
              <w:jc w:val="right"/>
              <w:rPr>
                <w:rFonts w:eastAsia="Calibri"/>
                <w:b/>
                <w:bCs/>
                <w:sz w:val="22"/>
                <w:szCs w:val="22"/>
              </w:rPr>
            </w:pPr>
            <w:r>
              <w:rPr>
                <w:b/>
                <w:bCs/>
                <w:color w:val="000000"/>
                <w:sz w:val="22"/>
                <w:szCs w:val="22"/>
              </w:rPr>
              <w:t>319</w:t>
            </w:r>
          </w:p>
        </w:tc>
        <w:tc>
          <w:tcPr>
            <w:tcW w:w="1350" w:type="dxa"/>
            <w:tcBorders>
              <w:top w:val="single" w:sz="4" w:space="0" w:color="auto"/>
              <w:bottom w:val="single" w:sz="4" w:space="0" w:color="auto"/>
            </w:tcBorders>
            <w:shd w:val="clear" w:color="auto" w:fill="auto"/>
            <w:vAlign w:val="center"/>
          </w:tcPr>
          <w:p w:rsidR="00A906D8" w:rsidRPr="00BC519A" w:rsidP="00A906D8" w14:paraId="0080B22F" w14:textId="77777777">
            <w:pPr>
              <w:widowControl/>
              <w:tabs>
                <w:tab w:val="left" w:pos="360"/>
                <w:tab w:val="left" w:pos="720"/>
              </w:tabs>
              <w:autoSpaceDE/>
              <w:autoSpaceDN/>
              <w:adjustRightInd/>
              <w:jc w:val="right"/>
              <w:rPr>
                <w:rFonts w:eastAsia="Calibri"/>
                <w:b/>
                <w:bCs/>
                <w:sz w:val="22"/>
                <w:szCs w:val="22"/>
              </w:rPr>
            </w:pPr>
            <w:r>
              <w:rPr>
                <w:rFonts w:eastAsia="Calibri"/>
                <w:b/>
                <w:bCs/>
                <w:sz w:val="22"/>
                <w:szCs w:val="22"/>
              </w:rPr>
              <w:t>33,228.50</w:t>
            </w:r>
          </w:p>
        </w:tc>
        <w:tc>
          <w:tcPr>
            <w:tcW w:w="1260" w:type="dxa"/>
            <w:tcBorders>
              <w:top w:val="single" w:sz="4" w:space="0" w:color="auto"/>
              <w:bottom w:val="single" w:sz="4" w:space="0" w:color="auto"/>
            </w:tcBorders>
            <w:shd w:val="clear" w:color="auto" w:fill="auto"/>
            <w:vAlign w:val="center"/>
          </w:tcPr>
          <w:p w:rsidR="00A906D8" w:rsidRPr="00BC519A" w:rsidP="00A906D8" w14:paraId="64406673" w14:textId="77777777">
            <w:pPr>
              <w:widowControl/>
              <w:tabs>
                <w:tab w:val="left" w:pos="360"/>
                <w:tab w:val="left" w:pos="720"/>
              </w:tabs>
              <w:autoSpaceDE/>
              <w:autoSpaceDN/>
              <w:adjustRightInd/>
              <w:jc w:val="right"/>
              <w:rPr>
                <w:b/>
                <w:bCs/>
                <w:sz w:val="22"/>
                <w:szCs w:val="22"/>
              </w:rPr>
            </w:pPr>
            <w:r>
              <w:rPr>
                <w:b/>
                <w:bCs/>
                <w:sz w:val="22"/>
                <w:szCs w:val="22"/>
              </w:rPr>
              <w:t>34,337.00</w:t>
            </w:r>
          </w:p>
        </w:tc>
        <w:tc>
          <w:tcPr>
            <w:tcW w:w="1260" w:type="dxa"/>
            <w:tcBorders>
              <w:top w:val="single" w:sz="4" w:space="0" w:color="auto"/>
              <w:bottom w:val="single" w:sz="4" w:space="0" w:color="auto"/>
            </w:tcBorders>
            <w:shd w:val="clear" w:color="auto" w:fill="auto"/>
            <w:vAlign w:val="center"/>
          </w:tcPr>
          <w:p w:rsidR="00A906D8" w:rsidRPr="00BC519A" w:rsidP="00A906D8" w14:paraId="15A73E85" w14:textId="77777777">
            <w:pPr>
              <w:tabs>
                <w:tab w:val="left" w:pos="360"/>
                <w:tab w:val="left" w:pos="720"/>
              </w:tabs>
              <w:jc w:val="right"/>
              <w:rPr>
                <w:rFonts w:eastAsia="Calibri"/>
                <w:b/>
                <w:bCs/>
                <w:sz w:val="22"/>
                <w:szCs w:val="22"/>
              </w:rPr>
            </w:pPr>
            <w:r>
              <w:rPr>
                <w:b/>
                <w:bCs/>
                <w:sz w:val="22"/>
                <w:szCs w:val="22"/>
              </w:rPr>
              <w:t>6,753.25</w:t>
            </w:r>
          </w:p>
        </w:tc>
      </w:tr>
    </w:tbl>
    <w:p w:rsidR="00E636E1" w:rsidP="00944391" w14:paraId="31FE5182" w14:textId="77777777">
      <w:pPr>
        <w:pStyle w:val="Heading4"/>
      </w:pPr>
    </w:p>
    <w:p w:rsidR="00E636E1" w:rsidP="00944391" w14:paraId="3068E012" w14:textId="77777777">
      <w:pPr>
        <w:pStyle w:val="Heading4"/>
      </w:pPr>
    </w:p>
    <w:p w:rsidR="006C0DE9" w:rsidP="00944391" w14:paraId="1EABC2B5" w14:textId="0489AAC4">
      <w:pPr>
        <w:pStyle w:val="Heading4"/>
      </w:pPr>
      <w:r w:rsidRPr="00944391">
        <w:t>Benefits of the proposed regulatory action</w:t>
      </w:r>
    </w:p>
    <w:p w:rsidR="00B025D8" w:rsidRPr="00B025D8" w:rsidP="00B025D8" w14:paraId="526AF956" w14:textId="77777777"/>
    <w:p w:rsidR="006C0DE9" w:rsidP="006C0DE9" w14:paraId="3E59617F" w14:textId="77777777">
      <w:r w:rsidRPr="0041046A">
        <w:t xml:space="preserve">The purpose of this proposed </w:t>
      </w:r>
      <w:r>
        <w:t>regulatory action</w:t>
      </w:r>
      <w:r w:rsidRPr="0041046A">
        <w:t xml:space="preserve"> is to </w:t>
      </w:r>
      <w:r w:rsidRPr="0041046A">
        <w:rPr>
          <w:bCs/>
        </w:rPr>
        <w:t xml:space="preserve">streamline requirements, clarify timelines and terms, reduce ambiguity, and improve efficiency in the systematic process for the disposition </w:t>
      </w:r>
      <w:r w:rsidRPr="0041046A">
        <w:rPr>
          <w:bCs/>
        </w:rPr>
        <w:t>and repatriation of Native American human remains, funerary objects, sacred objects, and objects of cultural patrimony under the Act.</w:t>
      </w:r>
      <w:r>
        <w:rPr>
          <w:bCs/>
        </w:rPr>
        <w:t xml:space="preserve"> The</w:t>
      </w:r>
      <w:r w:rsidRPr="0041046A">
        <w:t xml:space="preserve"> </w:t>
      </w:r>
      <w:r>
        <w:t>NPS estimates an overall decrease in the annual costs under the proposed regulatory action after four years.</w:t>
      </w:r>
    </w:p>
    <w:p w:rsidR="006C0DE9" w:rsidP="006C0DE9" w14:paraId="05FE1820" w14:textId="77777777"/>
    <w:p w:rsidR="00B2281B" w:rsidP="00D276DE" w14:paraId="4AB877AB" w14:textId="2332F86F">
      <w:r>
        <w:t>Under baseline conditions, the NPS estimates it will take an additional 26 years to complete the consultation and notification process for all 117,000 Native American human remains currently pending in the existing regulatory framework</w:t>
      </w:r>
      <w:r w:rsidR="00474D2C">
        <w:t xml:space="preserve"> (see</w:t>
      </w:r>
      <w:r>
        <w:t xml:space="preserve"> Table 1 </w:t>
      </w:r>
      <w:r w:rsidR="00474D2C">
        <w:t xml:space="preserve">on page 4). </w:t>
      </w:r>
      <w:r w:rsidR="006C0DE9">
        <w:t xml:space="preserve">Under baseline conditions, </w:t>
      </w:r>
      <w:r w:rsidR="009C3450">
        <w:t xml:space="preserve">the </w:t>
      </w:r>
      <w:r w:rsidR="006C0DE9">
        <w:t>NPS estimates annual cost</w:t>
      </w:r>
      <w:r w:rsidR="00D64062">
        <w:t>s</w:t>
      </w:r>
      <w:r w:rsidR="006C0DE9">
        <w:t xml:space="preserve"> of $2.4 million for the next 26 years for consultation and notification under the existing regulations. Under the proposed regulatory action, </w:t>
      </w:r>
      <w:r w:rsidR="00A15DC7">
        <w:t xml:space="preserve">the </w:t>
      </w:r>
      <w:r w:rsidR="006C0DE9">
        <w:t>NPS estimates annual cost</w:t>
      </w:r>
      <w:r w:rsidR="00D64062">
        <w:t>s</w:t>
      </w:r>
      <w:r w:rsidR="006C0DE9">
        <w:t xml:space="preserve"> of $3.04 million for three years after promulgation of a final rule</w:t>
      </w:r>
      <w:r w:rsidRPr="00BB0635" w:rsidR="006C0DE9">
        <w:t>.</w:t>
      </w:r>
      <w:r w:rsidR="006C0DE9">
        <w:t xml:space="preserve"> By year four, </w:t>
      </w:r>
      <w:r w:rsidR="001233B1">
        <w:t xml:space="preserve">the </w:t>
      </w:r>
      <w:r w:rsidR="006C0DE9">
        <w:t xml:space="preserve">NPS estimates a significant decrease in the annual costs for repatriation by museums and Federal agencies as well as for Indian Tribes and NHOs. </w:t>
      </w:r>
      <w:r w:rsidR="001233B1">
        <w:t xml:space="preserve">The </w:t>
      </w:r>
      <w:r w:rsidR="006C0DE9">
        <w:t>NPS estimates annual cost</w:t>
      </w:r>
      <w:r w:rsidR="00D64062">
        <w:t>s</w:t>
      </w:r>
      <w:r w:rsidR="006C0DE9">
        <w:t xml:space="preserve"> of $587,061 after three years of implementation of the proposed regulatory action. This is an overall decrease of $1.8</w:t>
      </w:r>
      <w:r w:rsidR="00337A8A">
        <w:t>5</w:t>
      </w:r>
      <w:r w:rsidR="006C0DE9">
        <w:t xml:space="preserve"> million in annual </w:t>
      </w:r>
      <w:r w:rsidR="00523DB7">
        <w:t>costs</w:t>
      </w:r>
      <w:r w:rsidR="006C0DE9">
        <w:t xml:space="preserve"> over the baseline conditions. </w:t>
      </w:r>
      <w:r w:rsidR="00B2519A">
        <w:t xml:space="preserve">Setting annual benefits equal to annual costs demonstrates </w:t>
      </w:r>
      <w:r w:rsidR="00D41A0C">
        <w:t xml:space="preserve">the number of years it would take to “break-even” and become </w:t>
      </w:r>
      <w:r w:rsidR="001233B1">
        <w:t xml:space="preserve">net </w:t>
      </w:r>
      <w:r w:rsidR="00D41A0C">
        <w:t>beneficial</w:t>
      </w:r>
      <w:r w:rsidR="001233B1">
        <w:t>.</w:t>
      </w:r>
      <w:r w:rsidR="00CD775D">
        <w:t xml:space="preserve"> </w:t>
      </w:r>
      <w:r w:rsidR="00D41A0C">
        <w:t>The to</w:t>
      </w:r>
      <w:r w:rsidR="00D544B8">
        <w:t>tal increase in cost</w:t>
      </w:r>
      <w:r w:rsidR="00523DB7">
        <w:t>s</w:t>
      </w:r>
      <w:r w:rsidR="00D544B8">
        <w:t xml:space="preserve"> for years </w:t>
      </w:r>
      <w:r w:rsidR="00523DB7">
        <w:t>one</w:t>
      </w:r>
      <w:r w:rsidR="00D544B8">
        <w:t xml:space="preserve"> through </w:t>
      </w:r>
      <w:r w:rsidR="00523DB7">
        <w:t>three</w:t>
      </w:r>
      <w:r w:rsidR="00D544B8">
        <w:t xml:space="preserve"> compared to baseline conditions is </w:t>
      </w:r>
      <w:r w:rsidR="00CD775D">
        <w:t>$1,</w:t>
      </w:r>
      <w:r w:rsidR="00F63FE6">
        <w:t>801</w:t>
      </w:r>
      <w:r w:rsidR="00CD775D">
        <w:t>,1</w:t>
      </w:r>
      <w:r w:rsidR="00F63FE6">
        <w:t>61</w:t>
      </w:r>
      <w:r w:rsidR="0080190C">
        <w:t xml:space="preserve"> ($</w:t>
      </w:r>
      <w:r w:rsidR="005438AD">
        <w:t>600,387</w:t>
      </w:r>
      <w:r w:rsidR="0080190C">
        <w:t xml:space="preserve"> per year for three years)</w:t>
      </w:r>
      <w:r w:rsidR="00CD775D">
        <w:t xml:space="preserve">. </w:t>
      </w:r>
      <w:r w:rsidR="00D544B8">
        <w:t>The decrease in costs for year</w:t>
      </w:r>
      <w:r w:rsidR="00AB2120">
        <w:t xml:space="preserve"> four compared to baseline conditions is</w:t>
      </w:r>
      <w:r w:rsidR="004F3E33">
        <w:t xml:space="preserve"> $1,85</w:t>
      </w:r>
      <w:r w:rsidR="0094015E">
        <w:t>0</w:t>
      </w:r>
      <w:r w:rsidR="004F3E33">
        <w:t>,</w:t>
      </w:r>
      <w:r w:rsidR="0094015E">
        <w:t>971</w:t>
      </w:r>
      <w:r w:rsidR="00AB2120">
        <w:t xml:space="preserve"> ($</w:t>
      </w:r>
      <w:r w:rsidR="009C2629">
        <w:t>47</w:t>
      </w:r>
      <w:r w:rsidR="00AB2120">
        <w:t>,</w:t>
      </w:r>
      <w:r w:rsidR="009C2629">
        <w:t>810</w:t>
      </w:r>
      <w:r w:rsidR="00AB2120">
        <w:t xml:space="preserve"> </w:t>
      </w:r>
      <w:r w:rsidR="00AB2784">
        <w:t xml:space="preserve">more than the total </w:t>
      </w:r>
      <w:r w:rsidR="00523DB7">
        <w:t xml:space="preserve">increased </w:t>
      </w:r>
      <w:r w:rsidR="00AB2784">
        <w:t>costs of the first three years)</w:t>
      </w:r>
      <w:r w:rsidR="00430B73">
        <w:t>.</w:t>
      </w:r>
      <w:r w:rsidR="00D276DE">
        <w:t xml:space="preserve"> </w:t>
      </w:r>
      <w:r w:rsidR="00AB2784">
        <w:t xml:space="preserve">Therefore, this proposed regulatory action would become net beneficial in year </w:t>
      </w:r>
      <w:r w:rsidR="00523DB7">
        <w:t>four</w:t>
      </w:r>
      <w:r w:rsidR="00AB2784">
        <w:t xml:space="preserve">. </w:t>
      </w:r>
      <w:r w:rsidR="002A611F">
        <w:t xml:space="preserve">Across the horizon of 26 years, the </w:t>
      </w:r>
      <w:r w:rsidR="00E53580">
        <w:t xml:space="preserve">net </w:t>
      </w:r>
      <w:r w:rsidR="00AF488D">
        <w:t>savings in costs</w:t>
      </w:r>
      <w:r w:rsidR="002A611F">
        <w:t xml:space="preserve"> of the proposed regulatory action totals </w:t>
      </w:r>
      <w:r w:rsidR="0002447A">
        <w:t>$</w:t>
      </w:r>
      <w:r w:rsidRPr="002A611F" w:rsidR="002A611F">
        <w:t>40</w:t>
      </w:r>
      <w:r w:rsidR="00B55FB0">
        <w:t>.7 million</w:t>
      </w:r>
      <w:r w:rsidR="0002447A">
        <w:t xml:space="preserve">. </w:t>
      </w:r>
      <w:r>
        <w:t>Table 1</w:t>
      </w:r>
      <w:r w:rsidR="00F46A2D">
        <w:t>3</w:t>
      </w:r>
      <w:r>
        <w:t xml:space="preserve"> shows the change in the</w:t>
      </w:r>
      <w:r w:rsidR="008A0B4E">
        <w:t xml:space="preserve"> baseline</w:t>
      </w:r>
      <w:r>
        <w:t xml:space="preserve"> </w:t>
      </w:r>
      <w:r w:rsidR="00C701F9">
        <w:t>conditions</w:t>
      </w:r>
      <w:r w:rsidR="003A57C3">
        <w:t xml:space="preserve"> after promulgation of</w:t>
      </w:r>
      <w:r>
        <w:t xml:space="preserve"> the proposed regulatory action</w:t>
      </w:r>
      <w:r w:rsidR="00C313C0">
        <w:t xml:space="preserve"> over a total of 26 years</w:t>
      </w:r>
      <w:r>
        <w:t xml:space="preserve">. </w:t>
      </w:r>
    </w:p>
    <w:p w:rsidR="00B2281B" w:rsidRPr="0083218B" w:rsidP="006C0DE9" w14:paraId="7BFD97E0" w14:textId="77777777">
      <w:pPr>
        <w:rPr>
          <w:bCs/>
          <w:color w:val="000000" w:themeColor="text1"/>
        </w:rPr>
      </w:pPr>
    </w:p>
    <w:p w:rsidR="006C0DE9" w:rsidP="006C0DE9" w14:paraId="5292A36C" w14:textId="77777777"/>
    <w:p w:rsidR="00203D03" w:rsidRPr="0083218B" w:rsidP="00203D03" w14:paraId="568F6ADE" w14:textId="7A85D613">
      <w:pPr>
        <w:pStyle w:val="Heading3"/>
      </w:pPr>
      <w:bookmarkStart w:id="29" w:name="_Toc113867039"/>
      <w:r>
        <w:t>T</w:t>
      </w:r>
      <w:r w:rsidRPr="00CF25F1">
        <w:t xml:space="preserve">able </w:t>
      </w:r>
      <w:r w:rsidR="004902AE">
        <w:t>1</w:t>
      </w:r>
      <w:r w:rsidR="00BD2EAF">
        <w:t>3</w:t>
      </w:r>
      <w:r w:rsidRPr="00CF25F1">
        <w:t>.</w:t>
      </w:r>
      <w:r w:rsidRPr="009E1AEB">
        <w:t xml:space="preserve"> </w:t>
      </w:r>
      <w:r w:rsidRPr="00CF25F1">
        <w:t xml:space="preserve"> </w:t>
      </w:r>
      <w:r>
        <w:t xml:space="preserve">Comparison of regulatory frameworks </w:t>
      </w:r>
      <w:r w:rsidR="00BC2587">
        <w:t xml:space="preserve">over </w:t>
      </w:r>
      <w:r w:rsidR="008D5FF9">
        <w:t>26 years</w:t>
      </w:r>
      <w:bookmarkEnd w:id="29"/>
    </w:p>
    <w:tbl>
      <w:tblPr>
        <w:tblStyle w:val="TableGrid"/>
        <w:tblW w:w="9355" w:type="dxa"/>
        <w:tblLayout w:type="fixed"/>
        <w:tblLook w:val="04A0"/>
      </w:tblPr>
      <w:tblGrid>
        <w:gridCol w:w="2605"/>
        <w:gridCol w:w="1530"/>
        <w:gridCol w:w="1620"/>
        <w:gridCol w:w="1800"/>
        <w:gridCol w:w="1800"/>
      </w:tblGrid>
      <w:tr w14:paraId="1B295C8D" w14:textId="5F29AE8E" w:rsidTr="00367C6E">
        <w:tblPrEx>
          <w:tblW w:w="9355" w:type="dxa"/>
          <w:tblLayout w:type="fixed"/>
          <w:tblLook w:val="04A0"/>
        </w:tblPrEx>
        <w:trPr>
          <w:trHeight w:val="360"/>
        </w:trPr>
        <w:tc>
          <w:tcPr>
            <w:tcW w:w="2605" w:type="dxa"/>
            <w:vAlign w:val="center"/>
            <w:hideMark/>
          </w:tcPr>
          <w:p w:rsidR="00B47612" w:rsidP="00600429" w14:paraId="5703AC2D" w14:textId="77777777">
            <w:pPr>
              <w:jc w:val="center"/>
              <w:rPr>
                <w:b/>
                <w:bCs/>
                <w:color w:val="000000"/>
              </w:rPr>
            </w:pPr>
            <w:r>
              <w:rPr>
                <w:b/>
                <w:bCs/>
                <w:color w:val="000000"/>
              </w:rPr>
              <w:t>Framework</w:t>
            </w:r>
          </w:p>
        </w:tc>
        <w:tc>
          <w:tcPr>
            <w:tcW w:w="1530" w:type="dxa"/>
            <w:vAlign w:val="center"/>
          </w:tcPr>
          <w:p w:rsidR="00B47612" w:rsidP="00367C6E" w14:paraId="1D2D62F6" w14:textId="3449E497">
            <w:pPr>
              <w:jc w:val="center"/>
              <w:rPr>
                <w:b/>
                <w:bCs/>
                <w:color w:val="000000"/>
              </w:rPr>
            </w:pPr>
            <w:r>
              <w:rPr>
                <w:b/>
                <w:bCs/>
                <w:color w:val="000000"/>
              </w:rPr>
              <w:t>Number of years</w:t>
            </w:r>
          </w:p>
        </w:tc>
        <w:tc>
          <w:tcPr>
            <w:tcW w:w="1620" w:type="dxa"/>
            <w:vAlign w:val="center"/>
          </w:tcPr>
          <w:p w:rsidR="00B47612" w:rsidP="00367C6E" w14:paraId="42F118E8" w14:textId="13ACA85E">
            <w:pPr>
              <w:jc w:val="center"/>
              <w:rPr>
                <w:b/>
                <w:bCs/>
                <w:color w:val="000000"/>
              </w:rPr>
            </w:pPr>
            <w:r>
              <w:rPr>
                <w:b/>
                <w:bCs/>
                <w:color w:val="000000"/>
              </w:rPr>
              <w:t xml:space="preserve">Calculated </w:t>
            </w:r>
            <w:r w:rsidR="004902AE">
              <w:rPr>
                <w:b/>
                <w:bCs/>
                <w:color w:val="000000"/>
              </w:rPr>
              <w:t xml:space="preserve">Number of </w:t>
            </w:r>
            <w:r>
              <w:rPr>
                <w:b/>
                <w:bCs/>
                <w:color w:val="000000"/>
              </w:rPr>
              <w:t>Responses</w:t>
            </w:r>
          </w:p>
        </w:tc>
        <w:tc>
          <w:tcPr>
            <w:tcW w:w="1800" w:type="dxa"/>
            <w:vAlign w:val="center"/>
            <w:hideMark/>
          </w:tcPr>
          <w:p w:rsidR="00B47612" w:rsidP="00367C6E" w14:paraId="36555EF6" w14:textId="5F5C323C">
            <w:pPr>
              <w:jc w:val="center"/>
              <w:rPr>
                <w:b/>
                <w:bCs/>
                <w:color w:val="000000"/>
              </w:rPr>
            </w:pPr>
            <w:r>
              <w:rPr>
                <w:b/>
                <w:bCs/>
                <w:color w:val="000000"/>
              </w:rPr>
              <w:t xml:space="preserve">Calculated </w:t>
            </w:r>
            <w:r w:rsidR="00B010E8">
              <w:rPr>
                <w:b/>
                <w:bCs/>
                <w:color w:val="000000"/>
              </w:rPr>
              <w:t>H</w:t>
            </w:r>
            <w:r>
              <w:rPr>
                <w:b/>
                <w:bCs/>
                <w:color w:val="000000"/>
              </w:rPr>
              <w:t>ours</w:t>
            </w:r>
          </w:p>
        </w:tc>
        <w:tc>
          <w:tcPr>
            <w:tcW w:w="1800" w:type="dxa"/>
            <w:vAlign w:val="center"/>
          </w:tcPr>
          <w:p w:rsidR="00B47612" w:rsidP="00367C6E" w14:paraId="5D1A55B3" w14:textId="6F8CB12B">
            <w:pPr>
              <w:jc w:val="center"/>
              <w:rPr>
                <w:b/>
                <w:bCs/>
                <w:color w:val="000000"/>
              </w:rPr>
            </w:pPr>
            <w:r>
              <w:rPr>
                <w:b/>
                <w:bCs/>
                <w:color w:val="000000"/>
              </w:rPr>
              <w:t>Calculated Costs</w:t>
            </w:r>
            <w:r w:rsidR="00E251DB">
              <w:rPr>
                <w:b/>
                <w:bCs/>
                <w:color w:val="000000"/>
              </w:rPr>
              <w:t xml:space="preserve"> (dollars)</w:t>
            </w:r>
          </w:p>
        </w:tc>
      </w:tr>
      <w:tr w14:paraId="6A1A3EAC" w14:textId="1AF9E411" w:rsidTr="00367C6E">
        <w:tblPrEx>
          <w:tblW w:w="9355" w:type="dxa"/>
          <w:tblLayout w:type="fixed"/>
          <w:tblLook w:val="04A0"/>
        </w:tblPrEx>
        <w:trPr>
          <w:trHeight w:val="360"/>
        </w:trPr>
        <w:tc>
          <w:tcPr>
            <w:tcW w:w="2605" w:type="dxa"/>
            <w:vAlign w:val="center"/>
            <w:hideMark/>
          </w:tcPr>
          <w:p w:rsidR="00B47612" w:rsidP="00B47612" w14:paraId="1CD04AAB" w14:textId="77777777">
            <w:pPr>
              <w:rPr>
                <w:color w:val="000000"/>
              </w:rPr>
            </w:pPr>
            <w:r>
              <w:rPr>
                <w:color w:val="000000"/>
              </w:rPr>
              <w:t>Baseline conditions</w:t>
            </w:r>
          </w:p>
        </w:tc>
        <w:tc>
          <w:tcPr>
            <w:tcW w:w="1530" w:type="dxa"/>
            <w:vAlign w:val="center"/>
          </w:tcPr>
          <w:p w:rsidR="00B47612" w:rsidP="00B47612" w14:paraId="19006AC8" w14:textId="11D35178">
            <w:pPr>
              <w:jc w:val="right"/>
              <w:rPr>
                <w:color w:val="000000"/>
              </w:rPr>
            </w:pPr>
            <w:r>
              <w:rPr>
                <w:color w:val="000000"/>
              </w:rPr>
              <w:t>26</w:t>
            </w:r>
          </w:p>
        </w:tc>
        <w:tc>
          <w:tcPr>
            <w:tcW w:w="1620" w:type="dxa"/>
            <w:vAlign w:val="center"/>
          </w:tcPr>
          <w:p w:rsidR="00B47612" w:rsidP="00B47612" w14:paraId="7DCD337F" w14:textId="50DA67FC">
            <w:pPr>
              <w:jc w:val="right"/>
              <w:rPr>
                <w:color w:val="000000"/>
              </w:rPr>
            </w:pPr>
            <w:r>
              <w:rPr>
                <w:color w:val="000000"/>
              </w:rPr>
              <w:t>33,</w:t>
            </w:r>
            <w:r w:rsidR="00B24B9C">
              <w:rPr>
                <w:color w:val="000000"/>
              </w:rPr>
              <w:t>748</w:t>
            </w:r>
          </w:p>
        </w:tc>
        <w:tc>
          <w:tcPr>
            <w:tcW w:w="1800" w:type="dxa"/>
            <w:vAlign w:val="center"/>
            <w:hideMark/>
          </w:tcPr>
          <w:p w:rsidR="00B47612" w:rsidP="00B47612" w14:paraId="443D83E0" w14:textId="66DCB638">
            <w:pPr>
              <w:jc w:val="right"/>
              <w:rPr>
                <w:color w:val="000000"/>
              </w:rPr>
            </w:pPr>
            <w:r>
              <w:rPr>
                <w:color w:val="000000"/>
              </w:rPr>
              <w:t>98</w:t>
            </w:r>
            <w:r w:rsidR="00C121DB">
              <w:rPr>
                <w:color w:val="000000"/>
              </w:rPr>
              <w:t>6</w:t>
            </w:r>
            <w:r>
              <w:rPr>
                <w:color w:val="000000"/>
              </w:rPr>
              <w:t>,</w:t>
            </w:r>
            <w:r w:rsidR="00C121DB">
              <w:rPr>
                <w:color w:val="000000"/>
              </w:rPr>
              <w:t>739</w:t>
            </w:r>
            <w:r>
              <w:rPr>
                <w:color w:val="000000"/>
              </w:rPr>
              <w:t>.</w:t>
            </w:r>
            <w:r w:rsidR="00C121DB">
              <w:rPr>
                <w:color w:val="000000"/>
              </w:rPr>
              <w:t>0</w:t>
            </w:r>
            <w:r>
              <w:rPr>
                <w:color w:val="000000"/>
              </w:rPr>
              <w:t>0</w:t>
            </w:r>
          </w:p>
        </w:tc>
        <w:tc>
          <w:tcPr>
            <w:tcW w:w="1800" w:type="dxa"/>
            <w:vAlign w:val="center"/>
          </w:tcPr>
          <w:p w:rsidR="00B47612" w:rsidP="00367C6E" w14:paraId="7FAF3032" w14:textId="4F20D241">
            <w:pPr>
              <w:jc w:val="right"/>
              <w:rPr>
                <w:color w:val="000000"/>
              </w:rPr>
            </w:pPr>
            <w:r>
              <w:rPr>
                <w:color w:val="000000"/>
              </w:rPr>
              <w:t>$63,</w:t>
            </w:r>
            <w:r w:rsidR="00C121DB">
              <w:rPr>
                <w:color w:val="000000"/>
              </w:rPr>
              <w:t>388,832</w:t>
            </w:r>
          </w:p>
        </w:tc>
      </w:tr>
      <w:tr w14:paraId="586BEE05" w14:textId="77777777" w:rsidTr="00367C6E">
        <w:tblPrEx>
          <w:tblW w:w="9355" w:type="dxa"/>
          <w:tblLayout w:type="fixed"/>
          <w:tblLook w:val="04A0"/>
        </w:tblPrEx>
        <w:trPr>
          <w:trHeight w:val="360"/>
        </w:trPr>
        <w:tc>
          <w:tcPr>
            <w:tcW w:w="2605" w:type="dxa"/>
            <w:vAlign w:val="center"/>
          </w:tcPr>
          <w:p w:rsidR="00B47612" w:rsidP="00B47612" w14:paraId="3F87CAE3" w14:textId="27DCC30E">
            <w:pPr>
              <w:rPr>
                <w:color w:val="000000"/>
              </w:rPr>
            </w:pPr>
            <w:r>
              <w:rPr>
                <w:color w:val="000000"/>
              </w:rPr>
              <w:t>Proposed action</w:t>
            </w:r>
          </w:p>
        </w:tc>
        <w:tc>
          <w:tcPr>
            <w:tcW w:w="1530" w:type="dxa"/>
            <w:vAlign w:val="center"/>
          </w:tcPr>
          <w:p w:rsidR="00B47612" w:rsidP="00B47612" w14:paraId="2EAC151B" w14:textId="72E92F8C">
            <w:pPr>
              <w:jc w:val="right"/>
              <w:rPr>
                <w:color w:val="000000"/>
              </w:rPr>
            </w:pPr>
            <w:r>
              <w:rPr>
                <w:color w:val="000000"/>
              </w:rPr>
              <w:t>26</w:t>
            </w:r>
          </w:p>
        </w:tc>
        <w:tc>
          <w:tcPr>
            <w:tcW w:w="1620" w:type="dxa"/>
            <w:vAlign w:val="center"/>
          </w:tcPr>
          <w:p w:rsidR="00B47612" w:rsidP="00B47612" w14:paraId="577F3E0E" w14:textId="3E23611D">
            <w:pPr>
              <w:jc w:val="right"/>
              <w:rPr>
                <w:color w:val="000000"/>
              </w:rPr>
            </w:pPr>
            <w:r>
              <w:rPr>
                <w:color w:val="000000"/>
              </w:rPr>
              <w:t>22,889</w:t>
            </w:r>
          </w:p>
        </w:tc>
        <w:tc>
          <w:tcPr>
            <w:tcW w:w="1800" w:type="dxa"/>
            <w:vAlign w:val="center"/>
          </w:tcPr>
          <w:p w:rsidR="00B47612" w:rsidP="00B47612" w14:paraId="477C85E3" w14:textId="2F4238EC">
            <w:pPr>
              <w:jc w:val="right"/>
              <w:rPr>
                <w:color w:val="000000"/>
              </w:rPr>
            </w:pPr>
            <w:r>
              <w:rPr>
                <w:color w:val="000000"/>
              </w:rPr>
              <w:t>352,388.00</w:t>
            </w:r>
          </w:p>
        </w:tc>
        <w:tc>
          <w:tcPr>
            <w:tcW w:w="1800" w:type="dxa"/>
            <w:vAlign w:val="center"/>
          </w:tcPr>
          <w:p w:rsidR="00B47612" w:rsidP="00B47612" w14:paraId="7BFDF34E" w14:textId="1CBF4968">
            <w:pPr>
              <w:jc w:val="right"/>
              <w:rPr>
                <w:color w:val="000000"/>
              </w:rPr>
            </w:pPr>
            <w:r>
              <w:rPr>
                <w:color w:val="000000"/>
              </w:rPr>
              <w:t>$22,617,660</w:t>
            </w:r>
          </w:p>
        </w:tc>
      </w:tr>
      <w:tr w14:paraId="37876865" w14:textId="0B2E5311" w:rsidTr="00367C6E">
        <w:tblPrEx>
          <w:tblW w:w="9355" w:type="dxa"/>
          <w:tblLayout w:type="fixed"/>
          <w:tblLook w:val="04A0"/>
        </w:tblPrEx>
        <w:trPr>
          <w:trHeight w:val="360"/>
        </w:trPr>
        <w:tc>
          <w:tcPr>
            <w:tcW w:w="2605" w:type="dxa"/>
            <w:vAlign w:val="center"/>
            <w:hideMark/>
          </w:tcPr>
          <w:p w:rsidR="00B47612" w:rsidP="00367C6E" w14:paraId="0BE33E9B" w14:textId="32E1CFFA">
            <w:pPr>
              <w:ind w:left="517"/>
              <w:rPr>
                <w:color w:val="000000"/>
              </w:rPr>
            </w:pPr>
            <w:r>
              <w:rPr>
                <w:color w:val="000000"/>
              </w:rPr>
              <w:t>Years 1-3</w:t>
            </w:r>
          </w:p>
        </w:tc>
        <w:tc>
          <w:tcPr>
            <w:tcW w:w="1530" w:type="dxa"/>
            <w:vAlign w:val="center"/>
          </w:tcPr>
          <w:p w:rsidR="00B47612" w:rsidP="00B47612" w14:paraId="50B58986" w14:textId="76D20E95">
            <w:pPr>
              <w:jc w:val="right"/>
              <w:rPr>
                <w:color w:val="000000"/>
              </w:rPr>
            </w:pPr>
            <w:r>
              <w:rPr>
                <w:color w:val="000000"/>
              </w:rPr>
              <w:t>3</w:t>
            </w:r>
          </w:p>
        </w:tc>
        <w:tc>
          <w:tcPr>
            <w:tcW w:w="1620" w:type="dxa"/>
            <w:vAlign w:val="center"/>
          </w:tcPr>
          <w:p w:rsidR="00B47612" w:rsidP="00B47612" w14:paraId="27E565ED" w14:textId="03187C92">
            <w:pPr>
              <w:jc w:val="right"/>
              <w:rPr>
                <w:color w:val="000000"/>
              </w:rPr>
            </w:pPr>
            <w:r>
              <w:rPr>
                <w:color w:val="000000"/>
              </w:rPr>
              <w:t>9,273</w:t>
            </w:r>
          </w:p>
        </w:tc>
        <w:tc>
          <w:tcPr>
            <w:tcW w:w="1800" w:type="dxa"/>
            <w:vAlign w:val="center"/>
            <w:hideMark/>
          </w:tcPr>
          <w:p w:rsidR="00B47612" w:rsidP="00B47612" w14:paraId="2683EF9E" w14:textId="5D5C2C6D">
            <w:pPr>
              <w:jc w:val="right"/>
              <w:rPr>
                <w:color w:val="000000"/>
              </w:rPr>
            </w:pPr>
            <w:r>
              <w:rPr>
                <w:color w:val="000000"/>
              </w:rPr>
              <w:t>141,897.75</w:t>
            </w:r>
          </w:p>
        </w:tc>
        <w:tc>
          <w:tcPr>
            <w:tcW w:w="1800" w:type="dxa"/>
            <w:vAlign w:val="center"/>
          </w:tcPr>
          <w:p w:rsidR="00B47612" w:rsidP="00B47612" w14:paraId="0B355C64" w14:textId="1BDE963B">
            <w:pPr>
              <w:jc w:val="right"/>
              <w:rPr>
                <w:color w:val="000000"/>
              </w:rPr>
            </w:pPr>
            <w:r>
              <w:rPr>
                <w:color w:val="000000"/>
              </w:rPr>
              <w:t>$9,115,257</w:t>
            </w:r>
          </w:p>
        </w:tc>
      </w:tr>
      <w:tr w14:paraId="78EB4592" w14:textId="7238C915" w:rsidTr="00367C6E">
        <w:tblPrEx>
          <w:tblW w:w="9355" w:type="dxa"/>
          <w:tblLayout w:type="fixed"/>
          <w:tblLook w:val="04A0"/>
        </w:tblPrEx>
        <w:trPr>
          <w:trHeight w:val="360"/>
        </w:trPr>
        <w:tc>
          <w:tcPr>
            <w:tcW w:w="2605" w:type="dxa"/>
            <w:vAlign w:val="center"/>
            <w:hideMark/>
          </w:tcPr>
          <w:p w:rsidR="00B47612" w:rsidP="00367C6E" w14:paraId="60BCCA60" w14:textId="0AFF0384">
            <w:pPr>
              <w:ind w:left="517"/>
              <w:rPr>
                <w:color w:val="000000"/>
              </w:rPr>
            </w:pPr>
            <w:r>
              <w:rPr>
                <w:color w:val="000000"/>
              </w:rPr>
              <w:t>Years 4-26</w:t>
            </w:r>
          </w:p>
        </w:tc>
        <w:tc>
          <w:tcPr>
            <w:tcW w:w="1530" w:type="dxa"/>
            <w:vAlign w:val="center"/>
          </w:tcPr>
          <w:p w:rsidR="00B47612" w:rsidP="00B47612" w14:paraId="32CE30A1" w14:textId="73866CBA">
            <w:pPr>
              <w:jc w:val="right"/>
              <w:rPr>
                <w:color w:val="000000"/>
              </w:rPr>
            </w:pPr>
            <w:r>
              <w:rPr>
                <w:color w:val="000000"/>
              </w:rPr>
              <w:t>23</w:t>
            </w:r>
          </w:p>
        </w:tc>
        <w:tc>
          <w:tcPr>
            <w:tcW w:w="1620" w:type="dxa"/>
            <w:vAlign w:val="center"/>
          </w:tcPr>
          <w:p w:rsidR="00B47612" w:rsidP="00B47612" w14:paraId="45AC9CFE" w14:textId="488AFCF7">
            <w:pPr>
              <w:jc w:val="right"/>
              <w:rPr>
                <w:color w:val="000000"/>
              </w:rPr>
            </w:pPr>
            <w:r>
              <w:rPr>
                <w:color w:val="000000"/>
              </w:rPr>
              <w:t>13,616</w:t>
            </w:r>
          </w:p>
        </w:tc>
        <w:tc>
          <w:tcPr>
            <w:tcW w:w="1800" w:type="dxa"/>
            <w:vAlign w:val="center"/>
            <w:hideMark/>
          </w:tcPr>
          <w:p w:rsidR="00B47612" w:rsidP="00B47612" w14:paraId="0A0F8721" w14:textId="59ABC222">
            <w:pPr>
              <w:jc w:val="right"/>
              <w:rPr>
                <w:color w:val="000000"/>
              </w:rPr>
            </w:pPr>
            <w:r>
              <w:rPr>
                <w:color w:val="000000"/>
              </w:rPr>
              <w:t>210,490.25</w:t>
            </w:r>
          </w:p>
        </w:tc>
        <w:tc>
          <w:tcPr>
            <w:tcW w:w="1800" w:type="dxa"/>
            <w:vAlign w:val="center"/>
          </w:tcPr>
          <w:p w:rsidR="00B47612" w:rsidP="00B47612" w14:paraId="07870C7D" w14:textId="1BE781C8">
            <w:pPr>
              <w:jc w:val="right"/>
              <w:rPr>
                <w:color w:val="000000"/>
              </w:rPr>
            </w:pPr>
            <w:r>
              <w:rPr>
                <w:color w:val="000000"/>
              </w:rPr>
              <w:t>$13,502,403</w:t>
            </w:r>
          </w:p>
        </w:tc>
      </w:tr>
    </w:tbl>
    <w:p w:rsidR="00023F01" w:rsidP="00C267F9" w14:paraId="4E3AAC05" w14:textId="77777777">
      <w:pPr>
        <w:rPr>
          <w:rFonts w:ascii="Arial" w:hAnsi="Arial" w:cs="Arial"/>
          <w:b/>
          <w:bCs/>
          <w:sz w:val="23"/>
          <w:szCs w:val="23"/>
        </w:rPr>
      </w:pPr>
    </w:p>
    <w:p w:rsidR="003806C2" w:rsidP="001F7774" w14:paraId="281D1FBC" w14:textId="72330740">
      <w:r>
        <w:t xml:space="preserve"> </w:t>
      </w:r>
    </w:p>
    <w:p w:rsidR="00F11A75" w:rsidP="00503299" w14:paraId="4BB0228F" w14:textId="43D7D3B6">
      <w:r>
        <w:t>Under baseline conditions, the NPS estimates total cost</w:t>
      </w:r>
      <w:r w:rsidR="00D64062">
        <w:t>s</w:t>
      </w:r>
      <w:r>
        <w:t xml:space="preserve"> of $63.4 million over 26 years. Under the proposed regulatory action, the NPS estimates total cost</w:t>
      </w:r>
      <w:r w:rsidR="00D64062">
        <w:t>s</w:t>
      </w:r>
      <w:r>
        <w:t xml:space="preserve"> of $22.6 million over 26 years</w:t>
      </w:r>
      <w:r w:rsidRPr="00BB0635">
        <w:t>.</w:t>
      </w:r>
      <w:r>
        <w:t xml:space="preserve"> </w:t>
      </w:r>
      <w:r w:rsidR="00185A29">
        <w:t>T</w:t>
      </w:r>
      <w:r>
        <w:t xml:space="preserve">he NPS estimates </w:t>
      </w:r>
      <w:r w:rsidR="00DD732A">
        <w:t xml:space="preserve">that under the proposed regulatory action there will be </w:t>
      </w:r>
      <w:r>
        <w:t xml:space="preserve">a significant decrease in </w:t>
      </w:r>
      <w:r w:rsidR="00185A29">
        <w:t>total</w:t>
      </w:r>
      <w:r>
        <w:t xml:space="preserve"> costs for museums</w:t>
      </w:r>
      <w:r w:rsidR="004760F9">
        <w:t xml:space="preserve"> ($38.9 million)</w:t>
      </w:r>
      <w:r w:rsidR="000A6CBB">
        <w:t xml:space="preserve"> and</w:t>
      </w:r>
      <w:r>
        <w:t xml:space="preserve"> Indian Tribes and NHOs</w:t>
      </w:r>
      <w:r w:rsidR="00DD732A">
        <w:t xml:space="preserve"> ($1.5 million)</w:t>
      </w:r>
      <w:r>
        <w:t xml:space="preserve">. </w:t>
      </w:r>
      <w:r w:rsidR="000A6CBB">
        <w:t>A smaller decrease in total costs is expected for Federal agencies</w:t>
      </w:r>
      <w:r w:rsidR="00A34AAD">
        <w:t xml:space="preserve"> ($</w:t>
      </w:r>
      <w:r w:rsidR="00437233">
        <w:t>375</w:t>
      </w:r>
      <w:r w:rsidR="00A34AAD">
        <w:t>,</w:t>
      </w:r>
      <w:r w:rsidR="00437233">
        <w:t>875</w:t>
      </w:r>
      <w:r w:rsidR="00A34AAD">
        <w:t>)</w:t>
      </w:r>
      <w:r w:rsidR="00531339">
        <w:t xml:space="preserve">. </w:t>
      </w:r>
      <w:r>
        <w:t>Table 1</w:t>
      </w:r>
      <w:r w:rsidR="00503299">
        <w:t>4</w:t>
      </w:r>
      <w:r>
        <w:t xml:space="preserve"> shows the change in the baseline conditions after promulgation of the proposed regulatory action over a total of 26 years</w:t>
      </w:r>
      <w:r w:rsidR="00503299">
        <w:t xml:space="preserve"> </w:t>
      </w:r>
      <w:r>
        <w:t xml:space="preserve">for </w:t>
      </w:r>
      <w:r w:rsidR="00503299">
        <w:t>each responsible party</w:t>
      </w:r>
      <w:r>
        <w:t>.</w:t>
      </w:r>
    </w:p>
    <w:p w:rsidR="00F11A75" w:rsidP="00F11A75" w14:paraId="3F2AA4B6" w14:textId="77777777"/>
    <w:p w:rsidR="00F11A75" w:rsidP="00F11A75" w14:paraId="61FDAF02" w14:textId="77777777"/>
    <w:p w:rsidR="00F11A75" w:rsidRPr="009E1AEB" w:rsidP="00F11A75" w14:paraId="5C2FD836" w14:textId="3C28C34B">
      <w:pPr>
        <w:pStyle w:val="Heading3"/>
      </w:pPr>
      <w:bookmarkStart w:id="30" w:name="_Toc113867040"/>
      <w:r w:rsidRPr="009E1AEB">
        <w:t xml:space="preserve">Table </w:t>
      </w:r>
      <w:r>
        <w:t>1</w:t>
      </w:r>
      <w:r w:rsidR="005A20F8">
        <w:t>4</w:t>
      </w:r>
      <w:r w:rsidRPr="009E1AEB">
        <w:t xml:space="preserve">. </w:t>
      </w:r>
      <w:r>
        <w:t xml:space="preserve"> Comparison of regulatory frameworks over 26 years by responsible party</w:t>
      </w:r>
      <w:bookmarkEnd w:id="30"/>
    </w:p>
    <w:tbl>
      <w:tblPr>
        <w:tblStyle w:val="TableGrid1"/>
        <w:tblW w:w="9900" w:type="dxa"/>
        <w:tblInd w:w="-5" w:type="dxa"/>
        <w:tblLayout w:type="fixed"/>
        <w:tblLook w:val="04A0"/>
      </w:tblPr>
      <w:tblGrid>
        <w:gridCol w:w="1890"/>
        <w:gridCol w:w="1260"/>
        <w:gridCol w:w="1170"/>
        <w:gridCol w:w="1350"/>
        <w:gridCol w:w="1350"/>
        <w:gridCol w:w="1440"/>
        <w:gridCol w:w="1440"/>
      </w:tblGrid>
      <w:tr w14:paraId="0420B555" w14:textId="4FFFD95F" w:rsidTr="00E02852">
        <w:tblPrEx>
          <w:tblW w:w="9900" w:type="dxa"/>
          <w:tblInd w:w="-5" w:type="dxa"/>
          <w:tblLayout w:type="fixed"/>
          <w:tblLook w:val="04A0"/>
        </w:tblPrEx>
        <w:trPr>
          <w:trHeight w:val="360"/>
          <w:tblHeader/>
        </w:trPr>
        <w:tc>
          <w:tcPr>
            <w:tcW w:w="1890" w:type="dxa"/>
            <w:vMerge w:val="restart"/>
            <w:shd w:val="clear" w:color="auto" w:fill="auto"/>
            <w:vAlign w:val="center"/>
          </w:tcPr>
          <w:p w:rsidR="001D111F" w:rsidP="001D111F" w14:paraId="040731D4" w14:textId="527ABE93">
            <w:pPr>
              <w:tabs>
                <w:tab w:val="left" w:pos="360"/>
                <w:tab w:val="left" w:pos="720"/>
              </w:tabs>
              <w:jc w:val="center"/>
              <w:rPr>
                <w:b/>
                <w:sz w:val="22"/>
                <w:szCs w:val="22"/>
              </w:rPr>
            </w:pPr>
            <w:r>
              <w:rPr>
                <w:b/>
                <w:sz w:val="22"/>
                <w:szCs w:val="22"/>
              </w:rPr>
              <w:t>Responsible party</w:t>
            </w:r>
          </w:p>
        </w:tc>
        <w:tc>
          <w:tcPr>
            <w:tcW w:w="2430" w:type="dxa"/>
            <w:gridSpan w:val="2"/>
            <w:tcBorders>
              <w:bottom w:val="single" w:sz="4" w:space="0" w:color="auto"/>
            </w:tcBorders>
            <w:shd w:val="clear" w:color="auto" w:fill="auto"/>
            <w:vAlign w:val="center"/>
          </w:tcPr>
          <w:p w:rsidR="001D111F" w:rsidRPr="0025549C" w:rsidP="001D111F" w14:paraId="1E764717" w14:textId="2992FB04">
            <w:pPr>
              <w:tabs>
                <w:tab w:val="left" w:pos="360"/>
                <w:tab w:val="left" w:pos="720"/>
              </w:tabs>
              <w:jc w:val="center"/>
              <w:rPr>
                <w:rFonts w:eastAsia="Calibri"/>
                <w:b/>
                <w:sz w:val="22"/>
                <w:szCs w:val="22"/>
              </w:rPr>
            </w:pPr>
            <w:r>
              <w:rPr>
                <w:rFonts w:eastAsia="Calibri"/>
                <w:b/>
                <w:sz w:val="22"/>
                <w:szCs w:val="22"/>
              </w:rPr>
              <w:t>Calculated Number of Responses</w:t>
            </w:r>
          </w:p>
        </w:tc>
        <w:tc>
          <w:tcPr>
            <w:tcW w:w="2700" w:type="dxa"/>
            <w:gridSpan w:val="2"/>
            <w:tcBorders>
              <w:bottom w:val="single" w:sz="4" w:space="0" w:color="auto"/>
            </w:tcBorders>
            <w:shd w:val="clear" w:color="auto" w:fill="auto"/>
            <w:vAlign w:val="center"/>
          </w:tcPr>
          <w:p w:rsidR="001D111F" w:rsidRPr="0025549C" w:rsidP="001D111F" w14:paraId="0F492518" w14:textId="53AED05E">
            <w:pPr>
              <w:tabs>
                <w:tab w:val="left" w:pos="360"/>
                <w:tab w:val="left" w:pos="720"/>
              </w:tabs>
              <w:jc w:val="center"/>
              <w:rPr>
                <w:rFonts w:eastAsia="Calibri"/>
                <w:b/>
                <w:sz w:val="22"/>
                <w:szCs w:val="22"/>
              </w:rPr>
            </w:pPr>
            <w:r>
              <w:rPr>
                <w:rFonts w:eastAsia="Calibri"/>
                <w:b/>
                <w:sz w:val="22"/>
                <w:szCs w:val="22"/>
              </w:rPr>
              <w:t xml:space="preserve">Calculated </w:t>
            </w:r>
            <w:r w:rsidR="00B010E8">
              <w:rPr>
                <w:rFonts w:eastAsia="Calibri"/>
                <w:b/>
                <w:sz w:val="22"/>
                <w:szCs w:val="22"/>
              </w:rPr>
              <w:t>H</w:t>
            </w:r>
            <w:r>
              <w:rPr>
                <w:rFonts w:eastAsia="Calibri"/>
                <w:b/>
                <w:sz w:val="22"/>
                <w:szCs w:val="22"/>
              </w:rPr>
              <w:t>ours</w:t>
            </w:r>
          </w:p>
        </w:tc>
        <w:tc>
          <w:tcPr>
            <w:tcW w:w="2880" w:type="dxa"/>
            <w:gridSpan w:val="2"/>
            <w:tcBorders>
              <w:bottom w:val="single" w:sz="4" w:space="0" w:color="auto"/>
            </w:tcBorders>
            <w:vAlign w:val="center"/>
          </w:tcPr>
          <w:p w:rsidR="001D111F" w:rsidP="001D111F" w14:paraId="2542F877" w14:textId="488807DB">
            <w:pPr>
              <w:tabs>
                <w:tab w:val="left" w:pos="360"/>
                <w:tab w:val="left" w:pos="720"/>
              </w:tabs>
              <w:jc w:val="center"/>
              <w:rPr>
                <w:rFonts w:eastAsia="Calibri"/>
                <w:b/>
                <w:sz w:val="22"/>
                <w:szCs w:val="22"/>
              </w:rPr>
            </w:pPr>
            <w:r>
              <w:rPr>
                <w:rFonts w:eastAsia="Calibri"/>
                <w:b/>
                <w:sz w:val="22"/>
                <w:szCs w:val="22"/>
              </w:rPr>
              <w:t>Calculated Costs (dollars)</w:t>
            </w:r>
          </w:p>
        </w:tc>
      </w:tr>
      <w:tr w14:paraId="4BCF99E1" w14:textId="4CB2F7D7" w:rsidTr="00E02852">
        <w:tblPrEx>
          <w:tblW w:w="9900" w:type="dxa"/>
          <w:tblInd w:w="-5" w:type="dxa"/>
          <w:tblLayout w:type="fixed"/>
          <w:tblLook w:val="04A0"/>
        </w:tblPrEx>
        <w:trPr>
          <w:trHeight w:val="360"/>
          <w:tblHeader/>
        </w:trPr>
        <w:tc>
          <w:tcPr>
            <w:tcW w:w="1890" w:type="dxa"/>
            <w:vMerge/>
            <w:tcBorders>
              <w:bottom w:val="single" w:sz="4" w:space="0" w:color="auto"/>
            </w:tcBorders>
            <w:shd w:val="clear" w:color="auto" w:fill="auto"/>
            <w:vAlign w:val="center"/>
          </w:tcPr>
          <w:p w:rsidR="00407274" w:rsidRPr="0025549C" w:rsidP="00407274" w14:paraId="5EC020FA" w14:textId="03245082">
            <w:pPr>
              <w:tabs>
                <w:tab w:val="left" w:pos="360"/>
                <w:tab w:val="left" w:pos="720"/>
              </w:tabs>
              <w:jc w:val="center"/>
              <w:rPr>
                <w:b/>
                <w:sz w:val="22"/>
                <w:szCs w:val="22"/>
              </w:rPr>
            </w:pPr>
          </w:p>
        </w:tc>
        <w:tc>
          <w:tcPr>
            <w:tcW w:w="1260" w:type="dxa"/>
            <w:tcBorders>
              <w:bottom w:val="single" w:sz="4" w:space="0" w:color="auto"/>
            </w:tcBorders>
            <w:shd w:val="clear" w:color="auto" w:fill="auto"/>
            <w:vAlign w:val="center"/>
          </w:tcPr>
          <w:p w:rsidR="00407274" w:rsidRPr="0025549C" w:rsidP="00407274" w14:paraId="0BBDF695" w14:textId="58A62493">
            <w:pPr>
              <w:widowControl/>
              <w:tabs>
                <w:tab w:val="left" w:pos="360"/>
                <w:tab w:val="left" w:pos="720"/>
              </w:tabs>
              <w:autoSpaceDE/>
              <w:autoSpaceDN/>
              <w:adjustRightInd/>
              <w:jc w:val="center"/>
              <w:rPr>
                <w:rFonts w:eastAsia="Calibri"/>
                <w:b/>
                <w:sz w:val="22"/>
                <w:szCs w:val="22"/>
              </w:rPr>
            </w:pPr>
            <w:r>
              <w:rPr>
                <w:rFonts w:eastAsia="Calibri"/>
                <w:b/>
                <w:sz w:val="22"/>
                <w:szCs w:val="22"/>
              </w:rPr>
              <w:t>Baseline conditions</w:t>
            </w:r>
          </w:p>
        </w:tc>
        <w:tc>
          <w:tcPr>
            <w:tcW w:w="1170" w:type="dxa"/>
            <w:tcBorders>
              <w:bottom w:val="single" w:sz="4" w:space="0" w:color="auto"/>
            </w:tcBorders>
            <w:shd w:val="clear" w:color="auto" w:fill="auto"/>
            <w:vAlign w:val="center"/>
          </w:tcPr>
          <w:p w:rsidR="00407274" w:rsidRPr="0025549C" w:rsidP="00407274" w14:paraId="11A96ADA" w14:textId="77777777">
            <w:pPr>
              <w:widowControl/>
              <w:tabs>
                <w:tab w:val="left" w:pos="360"/>
                <w:tab w:val="left" w:pos="720"/>
              </w:tabs>
              <w:autoSpaceDE/>
              <w:autoSpaceDN/>
              <w:adjustRightInd/>
              <w:jc w:val="center"/>
              <w:rPr>
                <w:rFonts w:eastAsia="Calibri"/>
                <w:b/>
                <w:sz w:val="22"/>
                <w:szCs w:val="22"/>
              </w:rPr>
            </w:pPr>
            <w:r w:rsidRPr="0025549C">
              <w:rPr>
                <w:rFonts w:eastAsia="Calibri"/>
                <w:b/>
                <w:sz w:val="22"/>
                <w:szCs w:val="22"/>
              </w:rPr>
              <w:t>Proposed</w:t>
            </w:r>
          </w:p>
          <w:p w:rsidR="00407274" w:rsidRPr="0025549C" w:rsidP="00407274" w14:paraId="2B74F3EE" w14:textId="5F53F6AC">
            <w:pPr>
              <w:widowControl/>
              <w:tabs>
                <w:tab w:val="left" w:pos="360"/>
                <w:tab w:val="left" w:pos="720"/>
              </w:tabs>
              <w:autoSpaceDE/>
              <w:autoSpaceDN/>
              <w:adjustRightInd/>
              <w:jc w:val="center"/>
              <w:rPr>
                <w:rFonts w:eastAsia="Calibri"/>
                <w:b/>
                <w:sz w:val="22"/>
                <w:szCs w:val="22"/>
              </w:rPr>
            </w:pPr>
            <w:r>
              <w:rPr>
                <w:rFonts w:eastAsia="Calibri"/>
                <w:b/>
                <w:sz w:val="22"/>
                <w:szCs w:val="22"/>
              </w:rPr>
              <w:t>Action</w:t>
            </w:r>
          </w:p>
        </w:tc>
        <w:tc>
          <w:tcPr>
            <w:tcW w:w="1350" w:type="dxa"/>
            <w:tcBorders>
              <w:bottom w:val="single" w:sz="4" w:space="0" w:color="auto"/>
            </w:tcBorders>
            <w:shd w:val="clear" w:color="auto" w:fill="auto"/>
            <w:vAlign w:val="center"/>
          </w:tcPr>
          <w:p w:rsidR="00407274" w:rsidRPr="0025549C" w:rsidP="00407274" w14:paraId="0C5C8313" w14:textId="58C181E1">
            <w:pPr>
              <w:tabs>
                <w:tab w:val="left" w:pos="360"/>
                <w:tab w:val="left" w:pos="720"/>
              </w:tabs>
              <w:jc w:val="center"/>
              <w:rPr>
                <w:rFonts w:eastAsia="Calibri"/>
                <w:b/>
                <w:sz w:val="22"/>
                <w:szCs w:val="22"/>
              </w:rPr>
            </w:pPr>
            <w:r>
              <w:rPr>
                <w:rFonts w:eastAsia="Calibri"/>
                <w:b/>
                <w:sz w:val="22"/>
                <w:szCs w:val="22"/>
              </w:rPr>
              <w:t>Baseline conditions</w:t>
            </w:r>
          </w:p>
        </w:tc>
        <w:tc>
          <w:tcPr>
            <w:tcW w:w="1350" w:type="dxa"/>
            <w:tcBorders>
              <w:bottom w:val="single" w:sz="4" w:space="0" w:color="auto"/>
            </w:tcBorders>
            <w:shd w:val="clear" w:color="auto" w:fill="auto"/>
            <w:vAlign w:val="center"/>
          </w:tcPr>
          <w:p w:rsidR="00407274" w:rsidRPr="0025549C" w:rsidP="00407274" w14:paraId="541D2507" w14:textId="77777777">
            <w:pPr>
              <w:tabs>
                <w:tab w:val="left" w:pos="360"/>
                <w:tab w:val="left" w:pos="720"/>
              </w:tabs>
              <w:jc w:val="center"/>
              <w:rPr>
                <w:rFonts w:eastAsia="Calibri"/>
                <w:b/>
                <w:sz w:val="22"/>
                <w:szCs w:val="22"/>
              </w:rPr>
            </w:pPr>
            <w:r w:rsidRPr="0025549C">
              <w:rPr>
                <w:rFonts w:eastAsia="Calibri"/>
                <w:b/>
                <w:sz w:val="22"/>
                <w:szCs w:val="22"/>
              </w:rPr>
              <w:t>Proposed</w:t>
            </w:r>
          </w:p>
          <w:p w:rsidR="00407274" w:rsidRPr="0025549C" w:rsidP="00407274" w14:paraId="7D224F10" w14:textId="07E3F5D6">
            <w:pPr>
              <w:tabs>
                <w:tab w:val="left" w:pos="360"/>
                <w:tab w:val="left" w:pos="720"/>
              </w:tabs>
              <w:jc w:val="center"/>
              <w:rPr>
                <w:rFonts w:eastAsia="Calibri"/>
                <w:b/>
                <w:sz w:val="22"/>
                <w:szCs w:val="22"/>
              </w:rPr>
            </w:pPr>
            <w:r>
              <w:rPr>
                <w:rFonts w:eastAsia="Calibri"/>
                <w:b/>
                <w:sz w:val="22"/>
                <w:szCs w:val="22"/>
              </w:rPr>
              <w:t>action</w:t>
            </w:r>
          </w:p>
        </w:tc>
        <w:tc>
          <w:tcPr>
            <w:tcW w:w="1440" w:type="dxa"/>
            <w:tcBorders>
              <w:bottom w:val="single" w:sz="4" w:space="0" w:color="auto"/>
            </w:tcBorders>
            <w:vAlign w:val="center"/>
          </w:tcPr>
          <w:p w:rsidR="00407274" w:rsidRPr="0025549C" w:rsidP="00407274" w14:paraId="76B1F423" w14:textId="6A516B1B">
            <w:pPr>
              <w:tabs>
                <w:tab w:val="left" w:pos="360"/>
                <w:tab w:val="left" w:pos="720"/>
              </w:tabs>
              <w:jc w:val="center"/>
              <w:rPr>
                <w:rFonts w:eastAsia="Calibri"/>
                <w:b/>
                <w:sz w:val="22"/>
                <w:szCs w:val="22"/>
              </w:rPr>
            </w:pPr>
            <w:r>
              <w:rPr>
                <w:rFonts w:eastAsia="Calibri"/>
                <w:b/>
                <w:sz w:val="22"/>
                <w:szCs w:val="22"/>
              </w:rPr>
              <w:t xml:space="preserve">Baseline conditions </w:t>
            </w:r>
          </w:p>
        </w:tc>
        <w:tc>
          <w:tcPr>
            <w:tcW w:w="1440" w:type="dxa"/>
            <w:tcBorders>
              <w:bottom w:val="single" w:sz="4" w:space="0" w:color="auto"/>
            </w:tcBorders>
            <w:vAlign w:val="center"/>
          </w:tcPr>
          <w:p w:rsidR="00407274" w:rsidRPr="0025549C" w:rsidP="00407274" w14:paraId="5086E1DE" w14:textId="77777777">
            <w:pPr>
              <w:tabs>
                <w:tab w:val="left" w:pos="360"/>
                <w:tab w:val="left" w:pos="720"/>
              </w:tabs>
              <w:jc w:val="center"/>
              <w:rPr>
                <w:rFonts w:eastAsia="Calibri"/>
                <w:b/>
                <w:sz w:val="22"/>
                <w:szCs w:val="22"/>
              </w:rPr>
            </w:pPr>
            <w:r w:rsidRPr="0025549C">
              <w:rPr>
                <w:rFonts w:eastAsia="Calibri"/>
                <w:b/>
                <w:sz w:val="22"/>
                <w:szCs w:val="22"/>
              </w:rPr>
              <w:t>Proposed</w:t>
            </w:r>
          </w:p>
          <w:p w:rsidR="00407274" w:rsidRPr="0025549C" w:rsidP="00407274" w14:paraId="08DAE2C1" w14:textId="6193F38A">
            <w:pPr>
              <w:tabs>
                <w:tab w:val="left" w:pos="360"/>
                <w:tab w:val="left" w:pos="720"/>
              </w:tabs>
              <w:jc w:val="center"/>
              <w:rPr>
                <w:rFonts w:eastAsia="Calibri"/>
                <w:b/>
                <w:sz w:val="22"/>
                <w:szCs w:val="22"/>
              </w:rPr>
            </w:pPr>
            <w:r>
              <w:rPr>
                <w:rFonts w:eastAsia="Calibri"/>
                <w:b/>
                <w:sz w:val="22"/>
                <w:szCs w:val="22"/>
              </w:rPr>
              <w:t>action</w:t>
            </w:r>
          </w:p>
        </w:tc>
      </w:tr>
      <w:tr w14:paraId="30FE052E" w14:textId="75C57754" w:rsidTr="005A20F8">
        <w:tblPrEx>
          <w:tblW w:w="9900" w:type="dxa"/>
          <w:tblInd w:w="-5" w:type="dxa"/>
          <w:tblLayout w:type="fixed"/>
          <w:tblLook w:val="04A0"/>
        </w:tblPrEx>
        <w:trPr>
          <w:cantSplit/>
          <w:trHeight w:val="360"/>
          <w:tblHeader/>
        </w:trPr>
        <w:tc>
          <w:tcPr>
            <w:tcW w:w="1890" w:type="dxa"/>
            <w:vAlign w:val="center"/>
          </w:tcPr>
          <w:p w:rsidR="00407274" w:rsidRPr="00BC519A" w:rsidP="00407274" w14:paraId="764F1BA3" w14:textId="77777777">
            <w:pPr>
              <w:tabs>
                <w:tab w:val="left" w:pos="-1080"/>
                <w:tab w:val="left" w:pos="-720"/>
              </w:tabs>
              <w:rPr>
                <w:bCs/>
                <w:sz w:val="22"/>
                <w:szCs w:val="22"/>
              </w:rPr>
            </w:pPr>
            <w:r w:rsidRPr="00204D03">
              <w:t>Any person</w:t>
            </w:r>
          </w:p>
        </w:tc>
        <w:tc>
          <w:tcPr>
            <w:tcW w:w="1260" w:type="dxa"/>
            <w:shd w:val="clear" w:color="auto" w:fill="auto"/>
            <w:vAlign w:val="center"/>
          </w:tcPr>
          <w:p w:rsidR="00407274" w:rsidRPr="00BC519A" w:rsidP="005A20F8" w14:paraId="53E42051" w14:textId="0A9CEF5A">
            <w:pPr>
              <w:widowControl/>
              <w:tabs>
                <w:tab w:val="left" w:pos="360"/>
                <w:tab w:val="left" w:pos="720"/>
              </w:tabs>
              <w:autoSpaceDE/>
              <w:autoSpaceDN/>
              <w:adjustRightInd/>
              <w:jc w:val="right"/>
              <w:rPr>
                <w:rFonts w:eastAsia="Calibri"/>
                <w:sz w:val="22"/>
                <w:szCs w:val="22"/>
              </w:rPr>
            </w:pPr>
            <w:r>
              <w:rPr>
                <w:color w:val="000000"/>
              </w:rPr>
              <w:t xml:space="preserve">442 </w:t>
            </w:r>
          </w:p>
        </w:tc>
        <w:tc>
          <w:tcPr>
            <w:tcW w:w="1170" w:type="dxa"/>
            <w:vAlign w:val="center"/>
          </w:tcPr>
          <w:p w:rsidR="00407274" w:rsidRPr="00BC519A" w:rsidP="005A20F8" w14:paraId="71B8B70A" w14:textId="1A0D59F2">
            <w:pPr>
              <w:widowControl/>
              <w:tabs>
                <w:tab w:val="left" w:pos="360"/>
                <w:tab w:val="left" w:pos="720"/>
              </w:tabs>
              <w:autoSpaceDE/>
              <w:autoSpaceDN/>
              <w:adjustRightInd/>
              <w:jc w:val="right"/>
              <w:rPr>
                <w:rFonts w:eastAsia="Calibri"/>
                <w:sz w:val="22"/>
                <w:szCs w:val="22"/>
              </w:rPr>
            </w:pPr>
            <w:r>
              <w:t>442</w:t>
            </w:r>
          </w:p>
        </w:tc>
        <w:tc>
          <w:tcPr>
            <w:tcW w:w="1350" w:type="dxa"/>
            <w:shd w:val="clear" w:color="auto" w:fill="auto"/>
            <w:vAlign w:val="center"/>
          </w:tcPr>
          <w:p w:rsidR="00407274" w:rsidRPr="00BC519A" w:rsidP="005A20F8" w14:paraId="443D85CD" w14:textId="6FED91A3">
            <w:pPr>
              <w:widowControl/>
              <w:tabs>
                <w:tab w:val="left" w:pos="360"/>
                <w:tab w:val="left" w:pos="720"/>
              </w:tabs>
              <w:autoSpaceDE/>
              <w:autoSpaceDN/>
              <w:adjustRightInd/>
              <w:jc w:val="right"/>
              <w:rPr>
                <w:rFonts w:eastAsia="Calibri"/>
                <w:sz w:val="22"/>
                <w:szCs w:val="22"/>
              </w:rPr>
            </w:pPr>
            <w:r>
              <w:t>260.00</w:t>
            </w:r>
          </w:p>
        </w:tc>
        <w:tc>
          <w:tcPr>
            <w:tcW w:w="1350" w:type="dxa"/>
            <w:shd w:val="clear" w:color="auto" w:fill="auto"/>
            <w:vAlign w:val="center"/>
          </w:tcPr>
          <w:p w:rsidR="00407274" w:rsidRPr="00E02852" w:rsidP="005A20F8" w14:paraId="0742F36D" w14:textId="6900FF30">
            <w:pPr>
              <w:widowControl/>
              <w:tabs>
                <w:tab w:val="left" w:pos="360"/>
                <w:tab w:val="left" w:pos="720"/>
              </w:tabs>
              <w:autoSpaceDE/>
              <w:autoSpaceDN/>
              <w:adjustRightInd/>
              <w:jc w:val="right"/>
              <w:rPr>
                <w:rFonts w:eastAsia="Calibri"/>
              </w:rPr>
            </w:pPr>
            <w:r w:rsidRPr="00E02852">
              <w:t>260.00</w:t>
            </w:r>
          </w:p>
        </w:tc>
        <w:tc>
          <w:tcPr>
            <w:tcW w:w="1440" w:type="dxa"/>
            <w:vAlign w:val="center"/>
          </w:tcPr>
          <w:p w:rsidR="00407274" w:rsidRPr="00E02852" w:rsidP="005A20F8" w14:paraId="52B4BFBD" w14:textId="0630A95E">
            <w:pPr>
              <w:tabs>
                <w:tab w:val="left" w:pos="360"/>
                <w:tab w:val="left" w:pos="720"/>
              </w:tabs>
              <w:jc w:val="right"/>
            </w:pPr>
            <w:r w:rsidRPr="00E02852">
              <w:rPr>
                <w:color w:val="000000"/>
              </w:rPr>
              <w:t>$10,634</w:t>
            </w:r>
          </w:p>
        </w:tc>
        <w:tc>
          <w:tcPr>
            <w:tcW w:w="1440" w:type="dxa"/>
            <w:vAlign w:val="center"/>
          </w:tcPr>
          <w:p w:rsidR="00407274" w:rsidRPr="00E02852" w:rsidP="005A20F8" w14:paraId="337FCEA6" w14:textId="13DE3BAA">
            <w:pPr>
              <w:tabs>
                <w:tab w:val="left" w:pos="360"/>
                <w:tab w:val="left" w:pos="720"/>
              </w:tabs>
              <w:jc w:val="right"/>
            </w:pPr>
            <w:r w:rsidRPr="00E02852">
              <w:rPr>
                <w:color w:val="000000"/>
              </w:rPr>
              <w:t>$10,634</w:t>
            </w:r>
          </w:p>
        </w:tc>
      </w:tr>
      <w:tr w14:paraId="56BDA0DC" w14:textId="03800FAA" w:rsidTr="005A20F8">
        <w:tblPrEx>
          <w:tblW w:w="9900" w:type="dxa"/>
          <w:tblInd w:w="-5" w:type="dxa"/>
          <w:tblLayout w:type="fixed"/>
          <w:tblLook w:val="04A0"/>
        </w:tblPrEx>
        <w:trPr>
          <w:cantSplit/>
          <w:trHeight w:val="360"/>
          <w:tblHeader/>
        </w:trPr>
        <w:tc>
          <w:tcPr>
            <w:tcW w:w="1890" w:type="dxa"/>
            <w:tcBorders>
              <w:bottom w:val="single" w:sz="4" w:space="0" w:color="auto"/>
            </w:tcBorders>
            <w:shd w:val="clear" w:color="auto" w:fill="auto"/>
            <w:vAlign w:val="center"/>
          </w:tcPr>
          <w:p w:rsidR="00407274" w:rsidRPr="00BC519A" w:rsidP="00407274" w14:paraId="1C1987C3" w14:textId="77777777">
            <w:pPr>
              <w:tabs>
                <w:tab w:val="left" w:pos="-1080"/>
                <w:tab w:val="left" w:pos="-720"/>
                <w:tab w:val="left" w:pos="720"/>
              </w:tabs>
              <w:rPr>
                <w:sz w:val="22"/>
                <w:szCs w:val="22"/>
              </w:rPr>
            </w:pPr>
            <w:r>
              <w:t>Lineal descendants</w:t>
            </w:r>
          </w:p>
        </w:tc>
        <w:tc>
          <w:tcPr>
            <w:tcW w:w="1260" w:type="dxa"/>
            <w:shd w:val="clear" w:color="auto" w:fill="auto"/>
            <w:vAlign w:val="center"/>
          </w:tcPr>
          <w:p w:rsidR="00407274" w:rsidRPr="00BC519A" w:rsidP="005A20F8" w14:paraId="1A79F359" w14:textId="0DB86714">
            <w:pPr>
              <w:widowControl/>
              <w:tabs>
                <w:tab w:val="left" w:pos="360"/>
                <w:tab w:val="left" w:pos="720"/>
              </w:tabs>
              <w:autoSpaceDE/>
              <w:autoSpaceDN/>
              <w:adjustRightInd/>
              <w:jc w:val="right"/>
              <w:rPr>
                <w:rFonts w:eastAsia="Calibri"/>
                <w:sz w:val="22"/>
                <w:szCs w:val="22"/>
              </w:rPr>
            </w:pPr>
            <w:r>
              <w:rPr>
                <w:color w:val="000000"/>
              </w:rPr>
              <w:t xml:space="preserve">156 </w:t>
            </w:r>
          </w:p>
        </w:tc>
        <w:tc>
          <w:tcPr>
            <w:tcW w:w="1170" w:type="dxa"/>
            <w:vAlign w:val="center"/>
          </w:tcPr>
          <w:p w:rsidR="00407274" w:rsidRPr="00BC519A" w:rsidP="005A20F8" w14:paraId="537956F3" w14:textId="292A3BA3">
            <w:pPr>
              <w:widowControl/>
              <w:tabs>
                <w:tab w:val="left" w:pos="360"/>
                <w:tab w:val="left" w:pos="720"/>
              </w:tabs>
              <w:autoSpaceDE/>
              <w:autoSpaceDN/>
              <w:adjustRightInd/>
              <w:jc w:val="right"/>
              <w:rPr>
                <w:rFonts w:eastAsia="Calibri"/>
                <w:sz w:val="22"/>
                <w:szCs w:val="22"/>
              </w:rPr>
            </w:pPr>
            <w:r>
              <w:t>234</w:t>
            </w:r>
          </w:p>
        </w:tc>
        <w:tc>
          <w:tcPr>
            <w:tcW w:w="1350" w:type="dxa"/>
            <w:shd w:val="clear" w:color="auto" w:fill="auto"/>
            <w:vAlign w:val="center"/>
          </w:tcPr>
          <w:p w:rsidR="00407274" w:rsidRPr="00BC519A" w:rsidP="005A20F8" w14:paraId="18BCBD70" w14:textId="0F03A7DA">
            <w:pPr>
              <w:widowControl/>
              <w:tabs>
                <w:tab w:val="left" w:pos="360"/>
                <w:tab w:val="left" w:pos="720"/>
              </w:tabs>
              <w:autoSpaceDE/>
              <w:autoSpaceDN/>
              <w:adjustRightInd/>
              <w:jc w:val="right"/>
              <w:rPr>
                <w:rFonts w:eastAsia="Calibri"/>
                <w:sz w:val="22"/>
                <w:szCs w:val="22"/>
              </w:rPr>
            </w:pPr>
            <w:r>
              <w:t>507.00</w:t>
            </w:r>
          </w:p>
        </w:tc>
        <w:tc>
          <w:tcPr>
            <w:tcW w:w="1350" w:type="dxa"/>
            <w:tcBorders>
              <w:bottom w:val="single" w:sz="4" w:space="0" w:color="auto"/>
            </w:tcBorders>
            <w:shd w:val="clear" w:color="auto" w:fill="auto"/>
            <w:vAlign w:val="center"/>
          </w:tcPr>
          <w:p w:rsidR="00407274" w:rsidRPr="00E02852" w:rsidP="005A20F8" w14:paraId="1BBC3859" w14:textId="6874290D">
            <w:pPr>
              <w:widowControl/>
              <w:tabs>
                <w:tab w:val="left" w:pos="360"/>
                <w:tab w:val="left" w:pos="720"/>
              </w:tabs>
              <w:autoSpaceDE/>
              <w:autoSpaceDN/>
              <w:adjustRightInd/>
              <w:jc w:val="right"/>
              <w:rPr>
                <w:rFonts w:eastAsia="Calibri"/>
              </w:rPr>
            </w:pPr>
            <w:r w:rsidRPr="00E02852">
              <w:t>812.50</w:t>
            </w:r>
          </w:p>
        </w:tc>
        <w:tc>
          <w:tcPr>
            <w:tcW w:w="1440" w:type="dxa"/>
            <w:tcBorders>
              <w:bottom w:val="single" w:sz="4" w:space="0" w:color="auto"/>
            </w:tcBorders>
            <w:vAlign w:val="center"/>
          </w:tcPr>
          <w:p w:rsidR="00407274" w:rsidRPr="00E02852" w:rsidP="005A20F8" w14:paraId="3D94B7A0" w14:textId="298FA16D">
            <w:pPr>
              <w:tabs>
                <w:tab w:val="left" w:pos="360"/>
                <w:tab w:val="left" w:pos="720"/>
              </w:tabs>
              <w:jc w:val="right"/>
            </w:pPr>
            <w:r w:rsidRPr="00E02852">
              <w:rPr>
                <w:color w:val="000000"/>
              </w:rPr>
              <w:t>$19,578</w:t>
            </w:r>
          </w:p>
        </w:tc>
        <w:tc>
          <w:tcPr>
            <w:tcW w:w="1440" w:type="dxa"/>
            <w:tcBorders>
              <w:bottom w:val="single" w:sz="4" w:space="0" w:color="auto"/>
            </w:tcBorders>
            <w:vAlign w:val="center"/>
          </w:tcPr>
          <w:p w:rsidR="00407274" w:rsidRPr="00E02852" w:rsidP="005A20F8" w14:paraId="62E5B031" w14:textId="4FA3AB4B">
            <w:pPr>
              <w:tabs>
                <w:tab w:val="left" w:pos="360"/>
                <w:tab w:val="left" w:pos="720"/>
              </w:tabs>
              <w:jc w:val="right"/>
            </w:pPr>
            <w:r w:rsidRPr="00E02852">
              <w:rPr>
                <w:color w:val="000000"/>
              </w:rPr>
              <w:t>$31,382</w:t>
            </w:r>
          </w:p>
        </w:tc>
      </w:tr>
      <w:tr w14:paraId="1E5E68CA" w14:textId="49CAF7F6" w:rsidTr="005A20F8">
        <w:tblPrEx>
          <w:tblW w:w="9900" w:type="dxa"/>
          <w:tblInd w:w="-5" w:type="dxa"/>
          <w:tblLayout w:type="fixed"/>
          <w:tblLook w:val="04A0"/>
        </w:tblPrEx>
        <w:trPr>
          <w:cantSplit/>
          <w:trHeight w:val="360"/>
          <w:tblHeader/>
        </w:trPr>
        <w:tc>
          <w:tcPr>
            <w:tcW w:w="1890" w:type="dxa"/>
            <w:shd w:val="clear" w:color="auto" w:fill="auto"/>
            <w:vAlign w:val="center"/>
          </w:tcPr>
          <w:p w:rsidR="00407274" w:rsidRPr="00BC519A" w:rsidP="00407274" w14:paraId="43D0F954" w14:textId="77777777">
            <w:pPr>
              <w:tabs>
                <w:tab w:val="left" w:pos="-1080"/>
                <w:tab w:val="left" w:pos="-720"/>
              </w:tabs>
              <w:rPr>
                <w:sz w:val="22"/>
                <w:szCs w:val="22"/>
              </w:rPr>
            </w:pPr>
            <w:r w:rsidRPr="00204D03">
              <w:t xml:space="preserve">Any </w:t>
            </w:r>
            <w:r>
              <w:t>affected party</w:t>
            </w:r>
          </w:p>
        </w:tc>
        <w:tc>
          <w:tcPr>
            <w:tcW w:w="1260" w:type="dxa"/>
            <w:shd w:val="clear" w:color="auto" w:fill="auto"/>
            <w:vAlign w:val="center"/>
          </w:tcPr>
          <w:p w:rsidR="00407274" w:rsidRPr="00BC519A" w:rsidP="005A20F8" w14:paraId="42F9EA73" w14:textId="40D8AB34">
            <w:pPr>
              <w:widowControl/>
              <w:tabs>
                <w:tab w:val="left" w:pos="360"/>
                <w:tab w:val="left" w:pos="720"/>
              </w:tabs>
              <w:autoSpaceDE/>
              <w:autoSpaceDN/>
              <w:adjustRightInd/>
              <w:jc w:val="right"/>
              <w:rPr>
                <w:rFonts w:eastAsia="Calibri"/>
                <w:sz w:val="22"/>
                <w:szCs w:val="22"/>
              </w:rPr>
            </w:pPr>
            <w:r>
              <w:rPr>
                <w:color w:val="000000"/>
              </w:rPr>
              <w:t xml:space="preserve">78 </w:t>
            </w:r>
          </w:p>
        </w:tc>
        <w:tc>
          <w:tcPr>
            <w:tcW w:w="1170" w:type="dxa"/>
            <w:vAlign w:val="center"/>
          </w:tcPr>
          <w:p w:rsidR="00407274" w:rsidRPr="00BC519A" w:rsidP="005A20F8" w14:paraId="08A41CF1" w14:textId="69E9259D">
            <w:pPr>
              <w:widowControl/>
              <w:tabs>
                <w:tab w:val="left" w:pos="360"/>
                <w:tab w:val="left" w:pos="720"/>
              </w:tabs>
              <w:autoSpaceDE/>
              <w:autoSpaceDN/>
              <w:adjustRightInd/>
              <w:jc w:val="right"/>
              <w:rPr>
                <w:rFonts w:eastAsia="Calibri"/>
                <w:sz w:val="22"/>
                <w:szCs w:val="22"/>
              </w:rPr>
            </w:pPr>
            <w:r>
              <w:t>130</w:t>
            </w:r>
          </w:p>
        </w:tc>
        <w:tc>
          <w:tcPr>
            <w:tcW w:w="1350" w:type="dxa"/>
            <w:shd w:val="clear" w:color="auto" w:fill="auto"/>
            <w:vAlign w:val="center"/>
          </w:tcPr>
          <w:p w:rsidR="00407274" w:rsidRPr="00BC519A" w:rsidP="005A20F8" w14:paraId="0E841C2B" w14:textId="7230E8B9">
            <w:pPr>
              <w:widowControl/>
              <w:tabs>
                <w:tab w:val="left" w:pos="360"/>
                <w:tab w:val="left" w:pos="720"/>
              </w:tabs>
              <w:autoSpaceDE/>
              <w:autoSpaceDN/>
              <w:adjustRightInd/>
              <w:jc w:val="right"/>
              <w:rPr>
                <w:rFonts w:eastAsia="Calibri"/>
                <w:sz w:val="22"/>
                <w:szCs w:val="22"/>
              </w:rPr>
            </w:pPr>
            <w:r>
              <w:t>1,969.50</w:t>
            </w:r>
          </w:p>
        </w:tc>
        <w:tc>
          <w:tcPr>
            <w:tcW w:w="1350" w:type="dxa"/>
            <w:tcBorders>
              <w:bottom w:val="single" w:sz="4" w:space="0" w:color="auto"/>
            </w:tcBorders>
            <w:shd w:val="clear" w:color="auto" w:fill="auto"/>
            <w:vAlign w:val="center"/>
          </w:tcPr>
          <w:p w:rsidR="00407274" w:rsidRPr="00E02852" w:rsidP="005A20F8" w14:paraId="7D396014" w14:textId="3182C993">
            <w:pPr>
              <w:widowControl/>
              <w:tabs>
                <w:tab w:val="left" w:pos="360"/>
                <w:tab w:val="left" w:pos="720"/>
              </w:tabs>
              <w:autoSpaceDE/>
              <w:autoSpaceDN/>
              <w:adjustRightInd/>
              <w:jc w:val="right"/>
              <w:rPr>
                <w:rFonts w:eastAsia="Calibri"/>
              </w:rPr>
            </w:pPr>
            <w:r w:rsidRPr="00E02852">
              <w:t>2,242.50</w:t>
            </w:r>
          </w:p>
        </w:tc>
        <w:tc>
          <w:tcPr>
            <w:tcW w:w="1440" w:type="dxa"/>
            <w:tcBorders>
              <w:bottom w:val="single" w:sz="4" w:space="0" w:color="auto"/>
            </w:tcBorders>
            <w:vAlign w:val="center"/>
          </w:tcPr>
          <w:p w:rsidR="00407274" w:rsidRPr="00E02852" w:rsidP="005A20F8" w14:paraId="39C622EC" w14:textId="2D6F8009">
            <w:pPr>
              <w:tabs>
                <w:tab w:val="left" w:pos="360"/>
                <w:tab w:val="left" w:pos="720"/>
              </w:tabs>
              <w:jc w:val="right"/>
            </w:pPr>
            <w:r w:rsidRPr="00E02852">
              <w:rPr>
                <w:color w:val="000000"/>
              </w:rPr>
              <w:t>$126,568</w:t>
            </w:r>
          </w:p>
        </w:tc>
        <w:tc>
          <w:tcPr>
            <w:tcW w:w="1440" w:type="dxa"/>
            <w:tcBorders>
              <w:bottom w:val="single" w:sz="4" w:space="0" w:color="auto"/>
            </w:tcBorders>
            <w:vAlign w:val="center"/>
          </w:tcPr>
          <w:p w:rsidR="00407274" w:rsidRPr="00E02852" w:rsidP="005A20F8" w14:paraId="0A97755B" w14:textId="54EF4179">
            <w:pPr>
              <w:tabs>
                <w:tab w:val="left" w:pos="360"/>
                <w:tab w:val="left" w:pos="720"/>
              </w:tabs>
              <w:jc w:val="right"/>
            </w:pPr>
            <w:r w:rsidRPr="00E02852">
              <w:rPr>
                <w:color w:val="000000"/>
              </w:rPr>
              <w:t>$144,118</w:t>
            </w:r>
          </w:p>
        </w:tc>
      </w:tr>
      <w:tr w14:paraId="7B1BEE1D" w14:textId="059E46A8" w:rsidTr="005A20F8">
        <w:tblPrEx>
          <w:tblW w:w="9900" w:type="dxa"/>
          <w:tblInd w:w="-5" w:type="dxa"/>
          <w:tblLayout w:type="fixed"/>
          <w:tblLook w:val="04A0"/>
        </w:tblPrEx>
        <w:trPr>
          <w:cantSplit/>
          <w:trHeight w:val="360"/>
          <w:tblHeader/>
        </w:trPr>
        <w:tc>
          <w:tcPr>
            <w:tcW w:w="1890" w:type="dxa"/>
            <w:shd w:val="clear" w:color="auto" w:fill="auto"/>
            <w:vAlign w:val="center"/>
          </w:tcPr>
          <w:p w:rsidR="00407274" w:rsidRPr="00204D03" w:rsidP="00407274" w14:paraId="26E6C163" w14:textId="77777777">
            <w:pPr>
              <w:tabs>
                <w:tab w:val="left" w:pos="-1080"/>
                <w:tab w:val="left" w:pos="-720"/>
              </w:tabs>
            </w:pPr>
            <w:r w:rsidRPr="00204D03">
              <w:t>Indian Tribes/NHOs</w:t>
            </w:r>
          </w:p>
        </w:tc>
        <w:tc>
          <w:tcPr>
            <w:tcW w:w="1260" w:type="dxa"/>
            <w:shd w:val="clear" w:color="auto" w:fill="auto"/>
            <w:vAlign w:val="center"/>
          </w:tcPr>
          <w:p w:rsidR="00407274" w:rsidP="005A20F8" w14:paraId="7D95A8AF" w14:textId="70EEC77B">
            <w:pPr>
              <w:tabs>
                <w:tab w:val="left" w:pos="360"/>
                <w:tab w:val="left" w:pos="720"/>
              </w:tabs>
              <w:jc w:val="right"/>
              <w:rPr>
                <w:rFonts w:eastAsia="Calibri"/>
                <w:sz w:val="22"/>
                <w:szCs w:val="22"/>
              </w:rPr>
            </w:pPr>
            <w:r>
              <w:rPr>
                <w:color w:val="000000"/>
              </w:rPr>
              <w:t xml:space="preserve">10,166 </w:t>
            </w:r>
          </w:p>
        </w:tc>
        <w:tc>
          <w:tcPr>
            <w:tcW w:w="1170" w:type="dxa"/>
            <w:vAlign w:val="center"/>
          </w:tcPr>
          <w:p w:rsidR="00407274" w:rsidP="005A20F8" w14:paraId="71754AD7" w14:textId="7788B1E9">
            <w:pPr>
              <w:tabs>
                <w:tab w:val="left" w:pos="360"/>
                <w:tab w:val="left" w:pos="720"/>
              </w:tabs>
              <w:jc w:val="right"/>
              <w:rPr>
                <w:rFonts w:eastAsia="Calibri"/>
                <w:sz w:val="22"/>
                <w:szCs w:val="22"/>
              </w:rPr>
            </w:pPr>
            <w:r>
              <w:t>4,806</w:t>
            </w:r>
          </w:p>
        </w:tc>
        <w:tc>
          <w:tcPr>
            <w:tcW w:w="1350" w:type="dxa"/>
            <w:shd w:val="clear" w:color="auto" w:fill="auto"/>
            <w:vAlign w:val="center"/>
          </w:tcPr>
          <w:p w:rsidR="00407274" w:rsidP="005A20F8" w14:paraId="123629F8" w14:textId="5220719B">
            <w:pPr>
              <w:tabs>
                <w:tab w:val="left" w:pos="360"/>
                <w:tab w:val="left" w:pos="720"/>
              </w:tabs>
              <w:jc w:val="right"/>
              <w:rPr>
                <w:rFonts w:eastAsia="Calibri"/>
                <w:sz w:val="22"/>
                <w:szCs w:val="22"/>
              </w:rPr>
            </w:pPr>
            <w:r>
              <w:t>38,772.50</w:t>
            </w:r>
          </w:p>
        </w:tc>
        <w:tc>
          <w:tcPr>
            <w:tcW w:w="1350" w:type="dxa"/>
            <w:tcBorders>
              <w:bottom w:val="single" w:sz="4" w:space="0" w:color="auto"/>
            </w:tcBorders>
            <w:shd w:val="clear" w:color="auto" w:fill="auto"/>
            <w:vAlign w:val="center"/>
          </w:tcPr>
          <w:p w:rsidR="00407274" w:rsidRPr="00E02852" w:rsidP="005A20F8" w14:paraId="42F4C4E4" w14:textId="334FD8BC">
            <w:pPr>
              <w:tabs>
                <w:tab w:val="left" w:pos="360"/>
                <w:tab w:val="left" w:pos="720"/>
              </w:tabs>
              <w:jc w:val="right"/>
              <w:rPr>
                <w:rFonts w:eastAsia="Calibri"/>
              </w:rPr>
            </w:pPr>
            <w:r w:rsidRPr="00E02852">
              <w:t>15,297.50</w:t>
            </w:r>
          </w:p>
        </w:tc>
        <w:tc>
          <w:tcPr>
            <w:tcW w:w="1440" w:type="dxa"/>
            <w:tcBorders>
              <w:bottom w:val="single" w:sz="4" w:space="0" w:color="auto"/>
            </w:tcBorders>
            <w:vAlign w:val="center"/>
          </w:tcPr>
          <w:p w:rsidR="00407274" w:rsidRPr="00E02852" w:rsidP="005A20F8" w14:paraId="16D38255" w14:textId="1805B14C">
            <w:pPr>
              <w:tabs>
                <w:tab w:val="left" w:pos="360"/>
                <w:tab w:val="left" w:pos="720"/>
              </w:tabs>
              <w:jc w:val="right"/>
            </w:pPr>
            <w:r w:rsidRPr="00E02852">
              <w:rPr>
                <w:color w:val="000000"/>
              </w:rPr>
              <w:t>$2,491,502</w:t>
            </w:r>
          </w:p>
        </w:tc>
        <w:tc>
          <w:tcPr>
            <w:tcW w:w="1440" w:type="dxa"/>
            <w:tcBorders>
              <w:bottom w:val="single" w:sz="4" w:space="0" w:color="auto"/>
            </w:tcBorders>
            <w:vAlign w:val="center"/>
          </w:tcPr>
          <w:p w:rsidR="00407274" w:rsidRPr="00E02852" w:rsidP="005A20F8" w14:paraId="24095387" w14:textId="79AFA801">
            <w:pPr>
              <w:tabs>
                <w:tab w:val="left" w:pos="360"/>
                <w:tab w:val="left" w:pos="720"/>
              </w:tabs>
              <w:jc w:val="right"/>
            </w:pPr>
            <w:r w:rsidRPr="00E02852">
              <w:rPr>
                <w:color w:val="000000"/>
              </w:rPr>
              <w:t>$983,006</w:t>
            </w:r>
          </w:p>
        </w:tc>
      </w:tr>
      <w:tr w14:paraId="0F1A78F9" w14:textId="79D051B9" w:rsidTr="005A20F8">
        <w:tblPrEx>
          <w:tblW w:w="9900" w:type="dxa"/>
          <w:tblInd w:w="-5" w:type="dxa"/>
          <w:tblLayout w:type="fixed"/>
          <w:tblLook w:val="04A0"/>
        </w:tblPrEx>
        <w:trPr>
          <w:cantSplit/>
          <w:trHeight w:val="360"/>
          <w:tblHeader/>
        </w:trPr>
        <w:tc>
          <w:tcPr>
            <w:tcW w:w="1890" w:type="dxa"/>
            <w:shd w:val="clear" w:color="auto" w:fill="auto"/>
            <w:vAlign w:val="center"/>
          </w:tcPr>
          <w:p w:rsidR="00407274" w:rsidRPr="00204D03" w:rsidP="00407274" w14:paraId="798ACEBC" w14:textId="77777777">
            <w:pPr>
              <w:tabs>
                <w:tab w:val="left" w:pos="-1080"/>
                <w:tab w:val="left" w:pos="-720"/>
              </w:tabs>
            </w:pPr>
            <w:r w:rsidRPr="00204D03">
              <w:t>Federal agencies</w:t>
            </w:r>
          </w:p>
        </w:tc>
        <w:tc>
          <w:tcPr>
            <w:tcW w:w="1260" w:type="dxa"/>
            <w:shd w:val="clear" w:color="auto" w:fill="auto"/>
            <w:vAlign w:val="center"/>
          </w:tcPr>
          <w:p w:rsidR="00407274" w:rsidP="005A20F8" w14:paraId="5D29FA68" w14:textId="5EDD678C">
            <w:pPr>
              <w:tabs>
                <w:tab w:val="left" w:pos="360"/>
                <w:tab w:val="left" w:pos="720"/>
              </w:tabs>
              <w:jc w:val="right"/>
              <w:rPr>
                <w:rFonts w:eastAsia="Calibri"/>
                <w:sz w:val="22"/>
                <w:szCs w:val="22"/>
              </w:rPr>
            </w:pPr>
            <w:r>
              <w:rPr>
                <w:color w:val="000000"/>
              </w:rPr>
              <w:t>3,</w:t>
            </w:r>
            <w:r w:rsidR="00A60F8A">
              <w:rPr>
                <w:color w:val="000000"/>
              </w:rPr>
              <w:t>536</w:t>
            </w:r>
            <w:r>
              <w:rPr>
                <w:color w:val="000000"/>
              </w:rPr>
              <w:t xml:space="preserve"> </w:t>
            </w:r>
          </w:p>
        </w:tc>
        <w:tc>
          <w:tcPr>
            <w:tcW w:w="1170" w:type="dxa"/>
            <w:vAlign w:val="center"/>
          </w:tcPr>
          <w:p w:rsidR="00407274" w:rsidP="005A20F8" w14:paraId="2E784837" w14:textId="0582320A">
            <w:pPr>
              <w:tabs>
                <w:tab w:val="left" w:pos="360"/>
                <w:tab w:val="left" w:pos="720"/>
              </w:tabs>
              <w:jc w:val="right"/>
              <w:rPr>
                <w:rFonts w:eastAsia="Calibri"/>
                <w:sz w:val="22"/>
                <w:szCs w:val="22"/>
              </w:rPr>
            </w:pPr>
            <w:r>
              <w:t>4,438</w:t>
            </w:r>
          </w:p>
        </w:tc>
        <w:tc>
          <w:tcPr>
            <w:tcW w:w="1350" w:type="dxa"/>
            <w:shd w:val="clear" w:color="auto" w:fill="auto"/>
            <w:vAlign w:val="center"/>
          </w:tcPr>
          <w:p w:rsidR="00407274" w:rsidP="005A20F8" w14:paraId="1387DC18" w14:textId="713EED50">
            <w:pPr>
              <w:tabs>
                <w:tab w:val="left" w:pos="360"/>
                <w:tab w:val="left" w:pos="720"/>
              </w:tabs>
              <w:jc w:val="right"/>
              <w:rPr>
                <w:rFonts w:eastAsia="Calibri"/>
                <w:sz w:val="22"/>
                <w:szCs w:val="22"/>
              </w:rPr>
            </w:pPr>
            <w:r>
              <w:t>81,</w:t>
            </w:r>
            <w:r w:rsidR="00D11A1C">
              <w:t>2</w:t>
            </w:r>
            <w:r>
              <w:t>8</w:t>
            </w:r>
            <w:r w:rsidR="00D11A1C">
              <w:t>9</w:t>
            </w:r>
            <w:r>
              <w:t>.</w:t>
            </w:r>
            <w:r w:rsidR="00D11A1C">
              <w:t>0</w:t>
            </w:r>
            <w:r>
              <w:t>0</w:t>
            </w:r>
          </w:p>
        </w:tc>
        <w:tc>
          <w:tcPr>
            <w:tcW w:w="1350" w:type="dxa"/>
            <w:tcBorders>
              <w:bottom w:val="single" w:sz="4" w:space="0" w:color="auto"/>
            </w:tcBorders>
            <w:shd w:val="clear" w:color="auto" w:fill="auto"/>
            <w:vAlign w:val="center"/>
          </w:tcPr>
          <w:p w:rsidR="00407274" w:rsidRPr="00E02852" w:rsidP="005A20F8" w14:paraId="5E134D8C" w14:textId="4B8D41AF">
            <w:pPr>
              <w:tabs>
                <w:tab w:val="left" w:pos="360"/>
                <w:tab w:val="left" w:pos="720"/>
              </w:tabs>
              <w:jc w:val="right"/>
              <w:rPr>
                <w:rFonts w:eastAsia="Calibri"/>
              </w:rPr>
            </w:pPr>
            <w:r w:rsidRPr="00E02852">
              <w:t>75,439.75</w:t>
            </w:r>
          </w:p>
        </w:tc>
        <w:tc>
          <w:tcPr>
            <w:tcW w:w="1440" w:type="dxa"/>
            <w:tcBorders>
              <w:bottom w:val="single" w:sz="4" w:space="0" w:color="auto"/>
            </w:tcBorders>
            <w:vAlign w:val="center"/>
          </w:tcPr>
          <w:p w:rsidR="00407274" w:rsidRPr="00E02852" w:rsidP="005A20F8" w14:paraId="03B4025E" w14:textId="3C2B3A3E">
            <w:pPr>
              <w:tabs>
                <w:tab w:val="left" w:pos="360"/>
                <w:tab w:val="left" w:pos="720"/>
              </w:tabs>
              <w:jc w:val="right"/>
            </w:pPr>
            <w:r w:rsidRPr="00E02852">
              <w:rPr>
                <w:color w:val="000000"/>
              </w:rPr>
              <w:t>$5,2</w:t>
            </w:r>
            <w:r w:rsidR="00D11A1C">
              <w:rPr>
                <w:color w:val="000000"/>
              </w:rPr>
              <w:t>23</w:t>
            </w:r>
            <w:r w:rsidRPr="00E02852">
              <w:rPr>
                <w:color w:val="000000"/>
              </w:rPr>
              <w:t>,</w:t>
            </w:r>
            <w:r w:rsidR="00D11A1C">
              <w:rPr>
                <w:color w:val="000000"/>
              </w:rPr>
              <w:t>660</w:t>
            </w:r>
          </w:p>
        </w:tc>
        <w:tc>
          <w:tcPr>
            <w:tcW w:w="1440" w:type="dxa"/>
            <w:tcBorders>
              <w:bottom w:val="single" w:sz="4" w:space="0" w:color="auto"/>
            </w:tcBorders>
            <w:vAlign w:val="center"/>
          </w:tcPr>
          <w:p w:rsidR="00407274" w:rsidRPr="00E02852" w:rsidP="005A20F8" w14:paraId="47DC12A1" w14:textId="62CD2187">
            <w:pPr>
              <w:tabs>
                <w:tab w:val="left" w:pos="360"/>
                <w:tab w:val="left" w:pos="720"/>
              </w:tabs>
              <w:jc w:val="right"/>
            </w:pPr>
            <w:r w:rsidRPr="00E02852">
              <w:rPr>
                <w:color w:val="000000"/>
              </w:rPr>
              <w:t>$4,847,785</w:t>
            </w:r>
          </w:p>
        </w:tc>
      </w:tr>
      <w:tr w14:paraId="70B6E418" w14:textId="579AB803" w:rsidTr="005A20F8">
        <w:tblPrEx>
          <w:tblW w:w="9900" w:type="dxa"/>
          <w:tblInd w:w="-5" w:type="dxa"/>
          <w:tblLayout w:type="fixed"/>
          <w:tblLook w:val="04A0"/>
        </w:tblPrEx>
        <w:trPr>
          <w:cantSplit/>
          <w:trHeight w:val="360"/>
          <w:tblHeader/>
        </w:trPr>
        <w:tc>
          <w:tcPr>
            <w:tcW w:w="1890" w:type="dxa"/>
            <w:shd w:val="clear" w:color="auto" w:fill="auto"/>
            <w:vAlign w:val="center"/>
          </w:tcPr>
          <w:p w:rsidR="00407274" w:rsidRPr="00204D03" w:rsidP="00407274" w14:paraId="059FAE5E" w14:textId="77777777">
            <w:pPr>
              <w:tabs>
                <w:tab w:val="left" w:pos="-1080"/>
                <w:tab w:val="left" w:pos="-720"/>
              </w:tabs>
            </w:pPr>
            <w:r>
              <w:t>Museums</w:t>
            </w:r>
          </w:p>
        </w:tc>
        <w:tc>
          <w:tcPr>
            <w:tcW w:w="1260" w:type="dxa"/>
            <w:shd w:val="clear" w:color="auto" w:fill="auto"/>
            <w:vAlign w:val="center"/>
          </w:tcPr>
          <w:p w:rsidR="00407274" w:rsidP="005A20F8" w14:paraId="59F111AE" w14:textId="5C4397C4">
            <w:pPr>
              <w:tabs>
                <w:tab w:val="left" w:pos="360"/>
                <w:tab w:val="left" w:pos="720"/>
              </w:tabs>
              <w:jc w:val="right"/>
              <w:rPr>
                <w:rFonts w:eastAsia="Calibri"/>
                <w:sz w:val="22"/>
                <w:szCs w:val="22"/>
              </w:rPr>
            </w:pPr>
            <w:r>
              <w:rPr>
                <w:color w:val="000000"/>
              </w:rPr>
              <w:t xml:space="preserve">19,370 </w:t>
            </w:r>
          </w:p>
        </w:tc>
        <w:tc>
          <w:tcPr>
            <w:tcW w:w="1170" w:type="dxa"/>
            <w:vAlign w:val="center"/>
          </w:tcPr>
          <w:p w:rsidR="00407274" w:rsidP="005A20F8" w14:paraId="10402FA2" w14:textId="0C493FC3">
            <w:pPr>
              <w:tabs>
                <w:tab w:val="left" w:pos="360"/>
                <w:tab w:val="left" w:pos="720"/>
              </w:tabs>
              <w:jc w:val="right"/>
              <w:rPr>
                <w:rFonts w:eastAsia="Calibri"/>
                <w:sz w:val="22"/>
                <w:szCs w:val="22"/>
              </w:rPr>
            </w:pPr>
            <w:r>
              <w:t>12,839</w:t>
            </w:r>
          </w:p>
        </w:tc>
        <w:tc>
          <w:tcPr>
            <w:tcW w:w="1350" w:type="dxa"/>
            <w:shd w:val="clear" w:color="auto" w:fill="auto"/>
            <w:vAlign w:val="center"/>
          </w:tcPr>
          <w:p w:rsidR="00407274" w:rsidP="005A20F8" w14:paraId="2B4EBA98" w14:textId="1E06F544">
            <w:pPr>
              <w:tabs>
                <w:tab w:val="left" w:pos="360"/>
                <w:tab w:val="left" w:pos="720"/>
              </w:tabs>
              <w:jc w:val="right"/>
              <w:rPr>
                <w:rFonts w:eastAsia="Calibri"/>
                <w:sz w:val="22"/>
                <w:szCs w:val="22"/>
              </w:rPr>
            </w:pPr>
            <w:r>
              <w:t>863,941.00</w:t>
            </w:r>
          </w:p>
        </w:tc>
        <w:tc>
          <w:tcPr>
            <w:tcW w:w="1350" w:type="dxa"/>
            <w:tcBorders>
              <w:bottom w:val="single" w:sz="4" w:space="0" w:color="auto"/>
            </w:tcBorders>
            <w:shd w:val="clear" w:color="auto" w:fill="auto"/>
            <w:vAlign w:val="center"/>
          </w:tcPr>
          <w:p w:rsidR="00407274" w:rsidRPr="00E02852" w:rsidP="005A20F8" w14:paraId="06592041" w14:textId="35BF6BAB">
            <w:pPr>
              <w:tabs>
                <w:tab w:val="left" w:pos="360"/>
                <w:tab w:val="left" w:pos="720"/>
              </w:tabs>
              <w:jc w:val="right"/>
              <w:rPr>
                <w:rFonts w:eastAsia="Calibri"/>
              </w:rPr>
            </w:pPr>
            <w:r w:rsidRPr="00E02852">
              <w:t>258,335.75</w:t>
            </w:r>
          </w:p>
        </w:tc>
        <w:tc>
          <w:tcPr>
            <w:tcW w:w="1440" w:type="dxa"/>
            <w:tcBorders>
              <w:bottom w:val="single" w:sz="4" w:space="0" w:color="auto"/>
            </w:tcBorders>
            <w:vAlign w:val="center"/>
          </w:tcPr>
          <w:p w:rsidR="00407274" w:rsidRPr="00E02852" w:rsidP="005A20F8" w14:paraId="624108E0" w14:textId="43FE9E70">
            <w:pPr>
              <w:tabs>
                <w:tab w:val="left" w:pos="360"/>
                <w:tab w:val="left" w:pos="720"/>
              </w:tabs>
              <w:jc w:val="right"/>
            </w:pPr>
            <w:r w:rsidRPr="00E02852">
              <w:rPr>
                <w:color w:val="000000"/>
              </w:rPr>
              <w:t>$55,516,890</w:t>
            </w:r>
          </w:p>
        </w:tc>
        <w:tc>
          <w:tcPr>
            <w:tcW w:w="1440" w:type="dxa"/>
            <w:tcBorders>
              <w:bottom w:val="single" w:sz="4" w:space="0" w:color="auto"/>
            </w:tcBorders>
            <w:vAlign w:val="center"/>
          </w:tcPr>
          <w:p w:rsidR="00407274" w:rsidRPr="00E02852" w:rsidP="005A20F8" w14:paraId="65922035" w14:textId="728C18EC">
            <w:pPr>
              <w:tabs>
                <w:tab w:val="left" w:pos="360"/>
                <w:tab w:val="left" w:pos="720"/>
              </w:tabs>
              <w:jc w:val="right"/>
            </w:pPr>
            <w:r w:rsidRPr="00E02852">
              <w:rPr>
                <w:color w:val="000000"/>
              </w:rPr>
              <w:t>$16,600,735</w:t>
            </w:r>
          </w:p>
        </w:tc>
      </w:tr>
      <w:tr w14:paraId="14E1C863" w14:textId="47442779" w:rsidTr="005A20F8">
        <w:tblPrEx>
          <w:tblW w:w="9900" w:type="dxa"/>
          <w:tblInd w:w="-5" w:type="dxa"/>
          <w:tblLayout w:type="fixed"/>
          <w:tblLook w:val="04A0"/>
        </w:tblPrEx>
        <w:trPr>
          <w:cantSplit/>
          <w:trHeight w:val="360"/>
          <w:tblHeader/>
        </w:trPr>
        <w:tc>
          <w:tcPr>
            <w:tcW w:w="1890" w:type="dxa"/>
            <w:tcBorders>
              <w:bottom w:val="single" w:sz="4" w:space="0" w:color="auto"/>
            </w:tcBorders>
            <w:shd w:val="clear" w:color="auto" w:fill="auto"/>
            <w:vAlign w:val="center"/>
          </w:tcPr>
          <w:p w:rsidR="00407274" w:rsidRPr="00243113" w:rsidP="00407274" w14:paraId="33595000" w14:textId="77777777">
            <w:pPr>
              <w:tabs>
                <w:tab w:val="left" w:pos="-1080"/>
                <w:tab w:val="left" w:pos="-720"/>
                <w:tab w:val="left" w:pos="720"/>
              </w:tabs>
              <w:ind w:left="-14" w:firstLine="13"/>
              <w:jc w:val="right"/>
              <w:rPr>
                <w:b/>
                <w:bCs/>
                <w:sz w:val="22"/>
                <w:szCs w:val="22"/>
              </w:rPr>
            </w:pPr>
            <w:r w:rsidRPr="00243113">
              <w:rPr>
                <w:b/>
                <w:bCs/>
                <w:sz w:val="22"/>
                <w:szCs w:val="22"/>
              </w:rPr>
              <w:t>Total</w:t>
            </w:r>
          </w:p>
        </w:tc>
        <w:tc>
          <w:tcPr>
            <w:tcW w:w="1260" w:type="dxa"/>
            <w:shd w:val="clear" w:color="auto" w:fill="auto"/>
            <w:vAlign w:val="center"/>
          </w:tcPr>
          <w:p w:rsidR="00407274" w:rsidRPr="00BC519A" w:rsidP="005A20F8" w14:paraId="045EDD68" w14:textId="5ED0A1AE">
            <w:pPr>
              <w:widowControl/>
              <w:tabs>
                <w:tab w:val="left" w:pos="360"/>
                <w:tab w:val="left" w:pos="720"/>
              </w:tabs>
              <w:autoSpaceDE/>
              <w:autoSpaceDN/>
              <w:adjustRightInd/>
              <w:jc w:val="right"/>
              <w:rPr>
                <w:rFonts w:eastAsia="Calibri"/>
                <w:b/>
                <w:bCs/>
                <w:sz w:val="22"/>
                <w:szCs w:val="22"/>
              </w:rPr>
            </w:pPr>
            <w:r>
              <w:rPr>
                <w:rFonts w:eastAsia="Calibri"/>
                <w:b/>
                <w:bCs/>
                <w:sz w:val="22"/>
                <w:szCs w:val="22"/>
              </w:rPr>
              <w:t>33,</w:t>
            </w:r>
            <w:r w:rsidR="008E41D0">
              <w:rPr>
                <w:rFonts w:eastAsia="Calibri"/>
                <w:b/>
                <w:bCs/>
                <w:sz w:val="22"/>
                <w:szCs w:val="22"/>
              </w:rPr>
              <w:t>748</w:t>
            </w:r>
          </w:p>
        </w:tc>
        <w:tc>
          <w:tcPr>
            <w:tcW w:w="1170" w:type="dxa"/>
            <w:tcBorders>
              <w:top w:val="single" w:sz="4" w:space="0" w:color="auto"/>
              <w:bottom w:val="single" w:sz="4" w:space="0" w:color="auto"/>
            </w:tcBorders>
            <w:vAlign w:val="center"/>
          </w:tcPr>
          <w:p w:rsidR="00407274" w:rsidRPr="00BC519A" w:rsidP="005A20F8" w14:paraId="4660843F" w14:textId="38F2B174">
            <w:pPr>
              <w:widowControl/>
              <w:tabs>
                <w:tab w:val="left" w:pos="360"/>
                <w:tab w:val="left" w:pos="720"/>
              </w:tabs>
              <w:autoSpaceDE/>
              <w:autoSpaceDN/>
              <w:adjustRightInd/>
              <w:jc w:val="right"/>
              <w:rPr>
                <w:b/>
                <w:bCs/>
                <w:color w:val="000000"/>
                <w:sz w:val="22"/>
                <w:szCs w:val="22"/>
              </w:rPr>
            </w:pPr>
            <w:r>
              <w:rPr>
                <w:rFonts w:eastAsia="Calibri"/>
                <w:b/>
                <w:bCs/>
                <w:sz w:val="22"/>
                <w:szCs w:val="22"/>
              </w:rPr>
              <w:t>22,889</w:t>
            </w:r>
          </w:p>
        </w:tc>
        <w:tc>
          <w:tcPr>
            <w:tcW w:w="1350" w:type="dxa"/>
            <w:tcBorders>
              <w:top w:val="single" w:sz="4" w:space="0" w:color="auto"/>
              <w:bottom w:val="single" w:sz="4" w:space="0" w:color="auto"/>
            </w:tcBorders>
            <w:shd w:val="clear" w:color="auto" w:fill="auto"/>
            <w:vAlign w:val="center"/>
          </w:tcPr>
          <w:p w:rsidR="00407274" w:rsidRPr="00BC519A" w:rsidP="005A20F8" w14:paraId="3F70C324" w14:textId="05849553">
            <w:pPr>
              <w:widowControl/>
              <w:tabs>
                <w:tab w:val="left" w:pos="360"/>
                <w:tab w:val="left" w:pos="720"/>
              </w:tabs>
              <w:autoSpaceDE/>
              <w:autoSpaceDN/>
              <w:adjustRightInd/>
              <w:jc w:val="right"/>
              <w:rPr>
                <w:rFonts w:eastAsia="Calibri"/>
                <w:b/>
                <w:bCs/>
                <w:sz w:val="22"/>
                <w:szCs w:val="22"/>
              </w:rPr>
            </w:pPr>
            <w:r>
              <w:rPr>
                <w:b/>
                <w:bCs/>
              </w:rPr>
              <w:t>98</w:t>
            </w:r>
            <w:r w:rsidR="008E41D0">
              <w:rPr>
                <w:b/>
                <w:bCs/>
              </w:rPr>
              <w:t>6</w:t>
            </w:r>
            <w:r>
              <w:rPr>
                <w:b/>
                <w:bCs/>
              </w:rPr>
              <w:t>,</w:t>
            </w:r>
            <w:r w:rsidR="008E41D0">
              <w:rPr>
                <w:b/>
                <w:bCs/>
              </w:rPr>
              <w:t>739</w:t>
            </w:r>
            <w:r>
              <w:rPr>
                <w:b/>
                <w:bCs/>
              </w:rPr>
              <w:t>.</w:t>
            </w:r>
            <w:r w:rsidR="008E41D0">
              <w:rPr>
                <w:b/>
                <w:bCs/>
              </w:rPr>
              <w:t>0</w:t>
            </w:r>
            <w:r>
              <w:rPr>
                <w:b/>
                <w:bCs/>
              </w:rPr>
              <w:t>0</w:t>
            </w:r>
          </w:p>
        </w:tc>
        <w:tc>
          <w:tcPr>
            <w:tcW w:w="1350" w:type="dxa"/>
            <w:tcBorders>
              <w:top w:val="single" w:sz="4" w:space="0" w:color="auto"/>
              <w:bottom w:val="single" w:sz="4" w:space="0" w:color="auto"/>
            </w:tcBorders>
            <w:shd w:val="clear" w:color="auto" w:fill="auto"/>
            <w:vAlign w:val="center"/>
          </w:tcPr>
          <w:p w:rsidR="00407274" w:rsidRPr="00E02852" w:rsidP="005A20F8" w14:paraId="63FB111F" w14:textId="44041744">
            <w:pPr>
              <w:widowControl/>
              <w:tabs>
                <w:tab w:val="left" w:pos="360"/>
                <w:tab w:val="left" w:pos="720"/>
              </w:tabs>
              <w:autoSpaceDE/>
              <w:autoSpaceDN/>
              <w:adjustRightInd/>
              <w:jc w:val="right"/>
              <w:rPr>
                <w:b/>
                <w:bCs/>
              </w:rPr>
            </w:pPr>
            <w:r w:rsidRPr="00E02852">
              <w:rPr>
                <w:b/>
                <w:bCs/>
              </w:rPr>
              <w:t>352,388.00</w:t>
            </w:r>
          </w:p>
        </w:tc>
        <w:tc>
          <w:tcPr>
            <w:tcW w:w="1440" w:type="dxa"/>
            <w:tcBorders>
              <w:top w:val="single" w:sz="4" w:space="0" w:color="auto"/>
              <w:bottom w:val="single" w:sz="4" w:space="0" w:color="auto"/>
            </w:tcBorders>
            <w:vAlign w:val="center"/>
          </w:tcPr>
          <w:p w:rsidR="00407274" w:rsidRPr="00E02852" w:rsidP="005A20F8" w14:paraId="52F0903F" w14:textId="232B6461">
            <w:pPr>
              <w:tabs>
                <w:tab w:val="left" w:pos="360"/>
                <w:tab w:val="left" w:pos="720"/>
              </w:tabs>
              <w:jc w:val="right"/>
              <w:rPr>
                <w:b/>
                <w:bCs/>
              </w:rPr>
            </w:pPr>
            <w:r w:rsidRPr="00E02852">
              <w:rPr>
                <w:b/>
                <w:bCs/>
                <w:color w:val="000000"/>
              </w:rPr>
              <w:t>$63,</w:t>
            </w:r>
            <w:r w:rsidR="00CD53C8">
              <w:rPr>
                <w:b/>
                <w:bCs/>
                <w:color w:val="000000"/>
              </w:rPr>
              <w:t>388,832</w:t>
            </w:r>
          </w:p>
        </w:tc>
        <w:tc>
          <w:tcPr>
            <w:tcW w:w="1440" w:type="dxa"/>
            <w:tcBorders>
              <w:top w:val="single" w:sz="4" w:space="0" w:color="auto"/>
              <w:bottom w:val="single" w:sz="4" w:space="0" w:color="auto"/>
            </w:tcBorders>
            <w:vAlign w:val="center"/>
          </w:tcPr>
          <w:p w:rsidR="00407274" w:rsidRPr="005A20F8" w:rsidP="005A20F8" w14:paraId="1CAB36C2" w14:textId="03A5109F">
            <w:pPr>
              <w:tabs>
                <w:tab w:val="left" w:pos="360"/>
                <w:tab w:val="left" w:pos="720"/>
              </w:tabs>
              <w:jc w:val="right"/>
              <w:rPr>
                <w:b/>
                <w:bCs/>
              </w:rPr>
            </w:pPr>
            <w:r w:rsidRPr="005A20F8">
              <w:rPr>
                <w:b/>
                <w:bCs/>
                <w:color w:val="000000"/>
              </w:rPr>
              <w:t>$22,617,660</w:t>
            </w:r>
          </w:p>
        </w:tc>
      </w:tr>
    </w:tbl>
    <w:p w:rsidR="005844D3" w:rsidP="006C0DE9" w14:paraId="38EA52FD" w14:textId="77777777"/>
    <w:p w:rsidR="00F11A75" w:rsidP="006C0DE9" w14:paraId="0D1CDCB7" w14:textId="77777777"/>
    <w:p w:rsidR="006C0DE9" w:rsidP="006C0DE9" w14:paraId="5E944744" w14:textId="1F4AAD7A">
      <w:pPr>
        <w:rPr>
          <w:b/>
          <w:i/>
        </w:rPr>
      </w:pPr>
      <w:r>
        <w:t>In addition, t</w:t>
      </w:r>
      <w:r w:rsidRPr="0016728A">
        <w:t xml:space="preserve">he NPS anticipates the </w:t>
      </w:r>
      <w:r>
        <w:t xml:space="preserve">proposed regulatory action </w:t>
      </w:r>
      <w:r w:rsidRPr="0016728A">
        <w:t xml:space="preserve">will likely result in a potential economic benefit to museums and Federal agencies by reducing the costs for </w:t>
      </w:r>
      <w:r>
        <w:t xml:space="preserve">long-term </w:t>
      </w:r>
      <w:r w:rsidRPr="0016728A">
        <w:t>curation</w:t>
      </w:r>
      <w:r>
        <w:t xml:space="preserve"> of NAGPRA holdings or collections</w:t>
      </w:r>
      <w:r w:rsidRPr="0016728A">
        <w:t>. Curation fees can exceed $2000 per cubic foot box</w:t>
      </w:r>
      <w:r w:rsidR="0062620E">
        <w:t>.</w:t>
      </w:r>
      <w:r>
        <w:rPr>
          <w:rStyle w:val="FootnoteReference"/>
        </w:rPr>
        <w:footnoteReference w:id="14"/>
      </w:r>
      <w:r w:rsidRPr="0016728A">
        <w:t xml:space="preserve"> Although it is unknown how many cubic feet of space are </w:t>
      </w:r>
      <w:r>
        <w:t>occupied by Native American human remains and funerary objects</w:t>
      </w:r>
      <w:r w:rsidRPr="0016728A">
        <w:t xml:space="preserve">, there is very likely a large potential cost savings </w:t>
      </w:r>
      <w:r>
        <w:t>in</w:t>
      </w:r>
      <w:r w:rsidRPr="0016728A">
        <w:t xml:space="preserve"> expeditious repatriation.</w:t>
      </w:r>
      <w:r w:rsidR="00F31E75">
        <w:rPr>
          <w:b/>
          <w:i/>
        </w:rPr>
        <w:t xml:space="preserve"> </w:t>
      </w:r>
    </w:p>
    <w:p w:rsidR="006C0DE9" w:rsidP="006C0DE9" w14:paraId="797EDE28" w14:textId="77777777"/>
    <w:p w:rsidR="00B524BB" w:rsidP="006C0DE9" w14:paraId="00EEAC7D" w14:textId="77777777">
      <w:pPr>
        <w:rPr>
          <w:bCs/>
          <w:iCs/>
        </w:rPr>
      </w:pPr>
      <w:r>
        <w:t>In addition to the decreased costs, s</w:t>
      </w:r>
      <w:r w:rsidRPr="0041046A">
        <w:t xml:space="preserve">everal of these revisions </w:t>
      </w:r>
      <w:r>
        <w:t xml:space="preserve">in the proposed regulatory action </w:t>
      </w:r>
      <w:r w:rsidRPr="0041046A">
        <w:t xml:space="preserve">are considered administrative or procedural in nature with the intent to provide clarification or </w:t>
      </w:r>
      <w:r w:rsidRPr="0041046A">
        <w:rPr>
          <w:bCs/>
          <w:iCs/>
        </w:rPr>
        <w:t xml:space="preserve">make the </w:t>
      </w:r>
      <w:r>
        <w:rPr>
          <w:bCs/>
          <w:iCs/>
        </w:rPr>
        <w:t xml:space="preserve">existing </w:t>
      </w:r>
      <w:r w:rsidRPr="0041046A">
        <w:rPr>
          <w:bCs/>
          <w:iCs/>
        </w:rPr>
        <w:t xml:space="preserve">regulations more user-friendly. </w:t>
      </w:r>
      <w:r w:rsidR="00B025D8">
        <w:rPr>
          <w:color w:val="000000" w:themeColor="text1"/>
        </w:rPr>
        <w:t>Lastly, a</w:t>
      </w:r>
      <w:r>
        <w:t>dditional</w:t>
      </w:r>
      <w:r w:rsidRPr="0041046A">
        <w:t xml:space="preserve"> benefits associated with the proposed </w:t>
      </w:r>
      <w:r>
        <w:t>regulatory action include</w:t>
      </w:r>
      <w:r w:rsidRPr="00501915">
        <w:t xml:space="preserve"> equity in the treatment accorded the human remains of native and non-native people</w:t>
      </w:r>
      <w:r>
        <w:t xml:space="preserve"> and overall</w:t>
      </w:r>
      <w:r w:rsidRPr="0041046A">
        <w:t xml:space="preserve"> </w:t>
      </w:r>
      <w:r w:rsidRPr="0041046A">
        <w:rPr>
          <w:bCs/>
        </w:rPr>
        <w:t xml:space="preserve">improved efficiency in the systematic process for </w:t>
      </w:r>
      <w:r w:rsidRPr="0041046A">
        <w:rPr>
          <w:bCs/>
          <w:iCs/>
        </w:rPr>
        <w:t>museums, Federal agencies, Indian Tribes, and N</w:t>
      </w:r>
      <w:r>
        <w:rPr>
          <w:bCs/>
          <w:iCs/>
        </w:rPr>
        <w:t>HO</w:t>
      </w:r>
      <w:r w:rsidRPr="0041046A">
        <w:rPr>
          <w:bCs/>
          <w:iCs/>
        </w:rPr>
        <w:t>s</w:t>
      </w:r>
      <w:r>
        <w:rPr>
          <w:bCs/>
          <w:iCs/>
        </w:rPr>
        <w:t xml:space="preserve">. </w:t>
      </w:r>
    </w:p>
    <w:p w:rsidR="00B524BB" w:rsidP="006C0DE9" w14:paraId="6197376F" w14:textId="77777777">
      <w:pPr>
        <w:rPr>
          <w:bCs/>
          <w:iCs/>
        </w:rPr>
      </w:pPr>
    </w:p>
    <w:p w:rsidR="003018F8" w:rsidP="006C0DE9" w14:paraId="59F9220D" w14:textId="2FD5FA6B">
      <w:r w:rsidRPr="0016728A">
        <w:t xml:space="preserve">Within </w:t>
      </w:r>
      <w:r w:rsidR="00915FF7">
        <w:t>the analyzed time horizon of the rule</w:t>
      </w:r>
      <w:r w:rsidRPr="0016728A">
        <w:t>, NPS expects that 1,3</w:t>
      </w:r>
      <w:r>
        <w:t>88</w:t>
      </w:r>
      <w:r w:rsidRPr="0016728A">
        <w:t xml:space="preserve"> public and private museums, 57</w:t>
      </w:r>
      <w:r>
        <w:t>4</w:t>
      </w:r>
      <w:r w:rsidRPr="0016728A">
        <w:t xml:space="preserve"> federally recognized Indian Tribes, hundreds of </w:t>
      </w:r>
      <w:r>
        <w:t>NHO</w:t>
      </w:r>
      <w:r w:rsidRPr="0016728A">
        <w:t>s</w:t>
      </w:r>
      <w:r w:rsidR="0097124F">
        <w:t>, and 19 Federal agencies</w:t>
      </w:r>
      <w:r w:rsidRPr="0016728A">
        <w:t xml:space="preserve"> will likely benefit from the </w:t>
      </w:r>
      <w:r>
        <w:t xml:space="preserve">proposed regulatory action </w:t>
      </w:r>
      <w:r w:rsidRPr="0016728A">
        <w:t>and the resulting improvements to the systematic process for repatriation.</w:t>
      </w:r>
      <w:r>
        <w:t xml:space="preserve"> Therefore, the </w:t>
      </w:r>
      <w:r w:rsidRPr="0041046A">
        <w:t>NPS believes positive benefits will be generated by this proposed action.</w:t>
      </w:r>
    </w:p>
    <w:p w:rsidR="001318B3" w:rsidP="006C0DE9" w14:paraId="3F4432C2" w14:textId="77777777"/>
    <w:p w:rsidR="001318B3" w:rsidP="006C0DE9" w14:paraId="03D14A1F" w14:textId="77777777"/>
    <w:p w:rsidR="001318B3" w:rsidRPr="00B15B29" w:rsidP="00B15B29" w14:paraId="3D1C2F17" w14:textId="69D1D9C6">
      <w:pPr>
        <w:pStyle w:val="Heading4"/>
      </w:pPr>
      <w:r>
        <w:t>Transfers of the proposed regulatory action</w:t>
      </w:r>
    </w:p>
    <w:p w:rsidR="00B945BB" w:rsidP="006C0DE9" w14:paraId="75BF6AF0" w14:textId="77777777"/>
    <w:p w:rsidR="00B15B29" w:rsidP="006C0DE9" w14:paraId="1A45B617" w14:textId="0B651E30">
      <w:r>
        <w:t xml:space="preserve">The Act authorizes grants to Indian Tribes, NHOs, and museums for the purpose of assisting with repatriation and in conducting the inventories and identifications required by the Act and its implementing regulations. </w:t>
      </w:r>
      <w:r w:rsidR="00FE235E">
        <w:t xml:space="preserve">Since 1994, Congress has appropriated approximately $2 million </w:t>
      </w:r>
      <w:r w:rsidR="00FE235E">
        <w:t xml:space="preserve">annually for </w:t>
      </w:r>
      <w:r w:rsidR="004B3B4D">
        <w:t xml:space="preserve">grants under this authorization. </w:t>
      </w:r>
      <w:r w:rsidR="00BE2340">
        <w:t>Each year, approximately 5% of the available funds ($100,000 or less)</w:t>
      </w:r>
      <w:r w:rsidR="00730617">
        <w:t xml:space="preserve"> is awarded for repatriation assistance, which </w:t>
      </w:r>
      <w:r w:rsidR="00AA7556">
        <w:t xml:space="preserve">can </w:t>
      </w:r>
      <w:r w:rsidR="00730617">
        <w:t>include transportation</w:t>
      </w:r>
      <w:r w:rsidR="00AA7556">
        <w:t xml:space="preserve"> of people and objects</w:t>
      </w:r>
      <w:r w:rsidR="00B94CF6">
        <w:t xml:space="preserve"> as well as other costs associated with repatriation and reburial.</w:t>
      </w:r>
      <w:r w:rsidR="0026397E">
        <w:t xml:space="preserve"> Recipients of these grants include both Indian Tribes or NHOs and museums. </w:t>
      </w:r>
      <w:r w:rsidR="00D357AD">
        <w:t>The majority of appropriated funds (95%</w:t>
      </w:r>
      <w:r w:rsidR="00292B7E">
        <w:t xml:space="preserve">) are awarded for consultation or documentation projects related to </w:t>
      </w:r>
      <w:r w:rsidR="003702AD">
        <w:t>the inventory</w:t>
      </w:r>
      <w:r w:rsidR="00197EDF">
        <w:t xml:space="preserve">, </w:t>
      </w:r>
      <w:r w:rsidR="003702AD">
        <w:t>summary</w:t>
      </w:r>
      <w:r w:rsidR="00197EDF">
        <w:t xml:space="preserve">, or notification process under the Act and the regulations. </w:t>
      </w:r>
      <w:r w:rsidR="0026397E">
        <w:t>Both museums and Indian Tribes or NHOs receive these grants for specific projects</w:t>
      </w:r>
      <w:r w:rsidR="00EB7C3E">
        <w:t xml:space="preserve">. Many museum projects involve updating inventories or re-evaluating collections </w:t>
      </w:r>
      <w:r w:rsidR="00BF6114">
        <w:t>to identify</w:t>
      </w:r>
      <w:r w:rsidR="00EB7C3E">
        <w:t xml:space="preserve"> additional human remains or funerary objects. </w:t>
      </w:r>
      <w:r w:rsidR="00134E00">
        <w:t xml:space="preserve">Indian Tribes and NHOs use these funds to consult on specific collections or with specific museums and sometimes to create procedures and protocols for </w:t>
      </w:r>
      <w:r w:rsidR="007B2CD7">
        <w:t xml:space="preserve">making requests for repatriation. </w:t>
      </w:r>
    </w:p>
    <w:p w:rsidR="007B2CD7" w:rsidP="006C0DE9" w14:paraId="2F8E0523" w14:textId="77777777"/>
    <w:p w:rsidR="007B2CD7" w:rsidP="006C0DE9" w14:paraId="0716B0B3" w14:textId="649311DD">
      <w:r>
        <w:t xml:space="preserve">The NPS anticipates </w:t>
      </w:r>
      <w:r w:rsidR="007A56DE">
        <w:t xml:space="preserve">a change in grant projects under the proposed regulatory action. </w:t>
      </w:r>
      <w:r w:rsidR="00680FD1">
        <w:t>During the first three years after publication of a final rule, grant funds will likely continue to go to consultation and documentation projects related to the requirement to update inventories. After four years, the NPS anticipates</w:t>
      </w:r>
      <w:r w:rsidR="00B17AB9">
        <w:t xml:space="preserve"> grant funds will be use mostly for repatriation assistance or for making requests for repatriation. The NPS anticipates the recipients of these grant funds will also change from mostly museums to mostly Indian Tribes or NHOs. </w:t>
      </w:r>
      <w:r w:rsidR="00C64A96">
        <w:t>Museums may still request funds to assist with new inventories or summaries, or for consultation on summary cultural items. The changes to the requirements for inventories is likely to impact the use of grant funds.</w:t>
      </w:r>
      <w:r w:rsidR="007E1BA1">
        <w:t xml:space="preserve"> At this time, NPS does not have data to assess the full extent of the transfer impacts</w:t>
      </w:r>
      <w:r w:rsidR="008A1193">
        <w:t xml:space="preserve"> of grant funds.</w:t>
      </w:r>
    </w:p>
    <w:p w:rsidR="000E5324" w:rsidP="006C0DE9" w14:paraId="28C05E61" w14:textId="77777777"/>
    <w:p w:rsidR="00F95910" w:rsidRPr="000E5468" w:rsidP="00173654" w14:paraId="2B2F7257" w14:textId="38381136">
      <w:pPr>
        <w:pStyle w:val="Heading2"/>
      </w:pPr>
      <w:bookmarkStart w:id="31" w:name="_Toc113867000"/>
      <w:r w:rsidRPr="000E5468">
        <w:t>Uncertainty</w:t>
      </w:r>
      <w:bookmarkEnd w:id="31"/>
    </w:p>
    <w:p w:rsidR="000E5468" w:rsidP="000E5468" w14:paraId="564242BB" w14:textId="77777777"/>
    <w:p w:rsidR="00144315" w:rsidP="000E5468" w14:paraId="4706D294" w14:textId="724A3C2E">
      <w:r w:rsidRPr="0041046A">
        <w:t xml:space="preserve">The </w:t>
      </w:r>
      <w:r w:rsidR="00000694">
        <w:t xml:space="preserve">total </w:t>
      </w:r>
      <w:r w:rsidRPr="0041046A">
        <w:t xml:space="preserve">benefits </w:t>
      </w:r>
      <w:r w:rsidR="00B3736E">
        <w:t xml:space="preserve">associated </w:t>
      </w:r>
      <w:r w:rsidR="008C2F6F">
        <w:t>with</w:t>
      </w:r>
      <w:r w:rsidR="00A828B1">
        <w:t xml:space="preserve"> th</w:t>
      </w:r>
      <w:r w:rsidR="00E01DF6">
        <w:t>e</w:t>
      </w:r>
      <w:r w:rsidRPr="0041046A">
        <w:t xml:space="preserve"> proposed </w:t>
      </w:r>
      <w:r w:rsidR="004A1FB4">
        <w:t>regulatory action</w:t>
      </w:r>
      <w:r w:rsidRPr="0041046A">
        <w:t xml:space="preserve"> could not be quantified due to a lack of available data. </w:t>
      </w:r>
      <w:r w:rsidR="00A828B1">
        <w:t xml:space="preserve">The total </w:t>
      </w:r>
      <w:r w:rsidR="00E01DF6">
        <w:t xml:space="preserve">costs </w:t>
      </w:r>
      <w:r w:rsidR="00195140">
        <w:t xml:space="preserve">and </w:t>
      </w:r>
      <w:r w:rsidR="0079627A">
        <w:t>hour</w:t>
      </w:r>
      <w:r w:rsidR="00DB73F5">
        <w:t>s</w:t>
      </w:r>
      <w:r w:rsidR="0079627A">
        <w:t xml:space="preserve"> </w:t>
      </w:r>
      <w:r w:rsidR="00E01DF6">
        <w:t>associated</w:t>
      </w:r>
      <w:r w:rsidR="00A828B1">
        <w:t xml:space="preserve"> </w:t>
      </w:r>
      <w:r w:rsidR="00E01DF6">
        <w:t>with</w:t>
      </w:r>
      <w:r w:rsidR="00A828B1">
        <w:t xml:space="preserve"> th</w:t>
      </w:r>
      <w:r w:rsidR="00E01DF6">
        <w:t>e</w:t>
      </w:r>
      <w:r w:rsidR="00A828B1">
        <w:t xml:space="preserve"> proposed </w:t>
      </w:r>
      <w:r w:rsidR="007C6186">
        <w:t>regulatory action</w:t>
      </w:r>
      <w:r w:rsidR="00A828B1">
        <w:t xml:space="preserve"> were estimated with the best available data. </w:t>
      </w:r>
      <w:r>
        <w:t xml:space="preserve">Any uncertainty involved in this analysis is </w:t>
      </w:r>
      <w:r w:rsidR="00915FF7">
        <w:t xml:space="preserve">anticipated to be </w:t>
      </w:r>
      <w:r>
        <w:t xml:space="preserve">associated </w:t>
      </w:r>
      <w:r w:rsidR="00584176">
        <w:t>with the magnitude of these</w:t>
      </w:r>
      <w:r>
        <w:t xml:space="preserve"> benefits</w:t>
      </w:r>
      <w:r w:rsidR="00CC562A">
        <w:t xml:space="preserve"> </w:t>
      </w:r>
      <w:r w:rsidRPr="0041046A" w:rsidR="001F7B0B">
        <w:rPr>
          <w:bCs/>
          <w:iCs/>
        </w:rPr>
        <w:t>to museums, Federal agencies, Indian Tribes, and N</w:t>
      </w:r>
      <w:r w:rsidR="003C75A2">
        <w:rPr>
          <w:bCs/>
          <w:iCs/>
        </w:rPr>
        <w:t>HO</w:t>
      </w:r>
      <w:r w:rsidRPr="0041046A" w:rsidR="001F7B0B">
        <w:rPr>
          <w:bCs/>
          <w:iCs/>
        </w:rPr>
        <w:t>s</w:t>
      </w:r>
      <w:r w:rsidR="001F7B0B">
        <w:t xml:space="preserve"> </w:t>
      </w:r>
      <w:r w:rsidR="00CC562A">
        <w:t>under the proposed changes</w:t>
      </w:r>
      <w:r>
        <w:t>.</w:t>
      </w:r>
      <w:r w:rsidR="004C5EDA">
        <w:t xml:space="preserve"> </w:t>
      </w:r>
      <w:r>
        <w:t>NPS is not aware of any other sources of uncertainty.</w:t>
      </w:r>
      <w:r w:rsidR="004C5EDA">
        <w:t xml:space="preserve"> </w:t>
      </w:r>
    </w:p>
    <w:p w:rsidR="006F0BD9" w:rsidP="00F95910" w14:paraId="6BC95F04" w14:textId="77777777">
      <w:pPr>
        <w:rPr>
          <w:b/>
        </w:rPr>
      </w:pPr>
    </w:p>
    <w:p w:rsidR="00A159A5" w:rsidP="00F95910" w14:paraId="042C8935" w14:textId="77777777">
      <w:pPr>
        <w:rPr>
          <w:b/>
        </w:rPr>
      </w:pPr>
    </w:p>
    <w:p w:rsidR="008657DA" w:rsidRPr="000E5468" w:rsidP="00173654" w14:paraId="274F01D5" w14:textId="77777777">
      <w:pPr>
        <w:pStyle w:val="Heading2"/>
      </w:pPr>
      <w:bookmarkStart w:id="32" w:name="_Toc113867001"/>
      <w:r w:rsidRPr="000E5468">
        <w:t>Conclusion</w:t>
      </w:r>
      <w:bookmarkEnd w:id="32"/>
    </w:p>
    <w:p w:rsidR="0045588D" w:rsidRPr="00643EC1" w:rsidP="00F95910" w14:paraId="1D061914" w14:textId="77777777">
      <w:pPr>
        <w:rPr>
          <w:b/>
        </w:rPr>
      </w:pPr>
    </w:p>
    <w:p w:rsidR="002B1D22" w:rsidP="00CE7788" w14:paraId="4CE8D19B" w14:textId="36F8CAB4">
      <w:r>
        <w:t>The NPS anticipates a temporary increase of $</w:t>
      </w:r>
      <w:r w:rsidR="00026F09">
        <w:t>600</w:t>
      </w:r>
      <w:r>
        <w:t>,</w:t>
      </w:r>
      <w:r w:rsidR="00026F09">
        <w:t>387</w:t>
      </w:r>
      <w:r>
        <w:t xml:space="preserve"> in annual costs for the first three years under the proposed </w:t>
      </w:r>
      <w:r w:rsidR="007C6186">
        <w:t>regulatory action</w:t>
      </w:r>
      <w:r>
        <w:t xml:space="preserve"> compared to baseline conditions. </w:t>
      </w:r>
      <w:r w:rsidR="0005652D">
        <w:t xml:space="preserve">Starting </w:t>
      </w:r>
      <w:r>
        <w:t xml:space="preserve">year four, NPS </w:t>
      </w:r>
      <w:r w:rsidR="00FA0DD8">
        <w:t>anticipates</w:t>
      </w:r>
      <w:r>
        <w:t xml:space="preserve"> a </w:t>
      </w:r>
      <w:r w:rsidRPr="009D6AC4">
        <w:t>$1.8</w:t>
      </w:r>
      <w:r w:rsidR="00026F09">
        <w:t>5</w:t>
      </w:r>
      <w:r>
        <w:t xml:space="preserve"> million benefit in reduced annual costs compared to baseline conditions. </w:t>
      </w:r>
      <w:r w:rsidR="00C51ABA">
        <w:t xml:space="preserve">This proposed regulatory action would become net beneficial in year </w:t>
      </w:r>
      <w:r w:rsidR="00D06683">
        <w:t>four</w:t>
      </w:r>
      <w:r w:rsidR="00C51ABA">
        <w:t xml:space="preserve"> when reduced annual costs exceed the total temporary increase in costs from the first three years. Across the horizon of 26 years, the net savings in cost</w:t>
      </w:r>
      <w:r w:rsidR="00D06683">
        <w:t>s</w:t>
      </w:r>
      <w:r w:rsidR="00C51ABA">
        <w:t xml:space="preserve"> of the proposed regulatory action totals $40</w:t>
      </w:r>
      <w:r w:rsidR="00674684">
        <w:t>.</w:t>
      </w:r>
      <w:r w:rsidR="00C51ABA">
        <w:t>7</w:t>
      </w:r>
      <w:r w:rsidR="00674684">
        <w:t xml:space="preserve"> million</w:t>
      </w:r>
      <w:r w:rsidR="00C51ABA">
        <w:t xml:space="preserve">. </w:t>
      </w:r>
      <w:r w:rsidRPr="00F76D6F" w:rsidR="008657DA">
        <w:t>The</w:t>
      </w:r>
      <w:r w:rsidR="00FA0DD8">
        <w:t>refore, the</w:t>
      </w:r>
      <w:r w:rsidRPr="00F76D6F" w:rsidR="008657DA">
        <w:t xml:space="preserve"> results of this cost-benefit analysis indicate that positive net b</w:t>
      </w:r>
      <w:r w:rsidRPr="00F76D6F" w:rsidR="00A91D22">
        <w:t>enefits</w:t>
      </w:r>
      <w:r w:rsidRPr="00F76D6F" w:rsidR="00F76D6F">
        <w:t xml:space="preserve"> </w:t>
      </w:r>
      <w:r w:rsidR="009A1024">
        <w:t>w</w:t>
      </w:r>
      <w:r w:rsidR="008A7834">
        <w:t>ill</w:t>
      </w:r>
      <w:r w:rsidRPr="00F76D6F" w:rsidR="009A1024">
        <w:t xml:space="preserve"> </w:t>
      </w:r>
      <w:r w:rsidRPr="00F76D6F" w:rsidR="00142270">
        <w:t xml:space="preserve">be generated by </w:t>
      </w:r>
      <w:r w:rsidRPr="00F76D6F" w:rsidR="0072258C">
        <w:t xml:space="preserve">implementing </w:t>
      </w:r>
      <w:r w:rsidRPr="00F76D6F" w:rsidR="00B849F9">
        <w:t>the proposed regulatory action</w:t>
      </w:r>
      <w:r w:rsidRPr="00F76D6F" w:rsidR="008657DA">
        <w:t>.</w:t>
      </w:r>
      <w:r w:rsidR="004C5EDA">
        <w:t xml:space="preserve"> </w:t>
      </w:r>
      <w:r w:rsidR="008657DA">
        <w:t>Given that, NPS concludes that t</w:t>
      </w:r>
      <w:r w:rsidR="00142270">
        <w:t>he</w:t>
      </w:r>
      <w:r w:rsidR="0096506B">
        <w:t xml:space="preserve"> </w:t>
      </w:r>
      <w:r w:rsidR="00142270">
        <w:t xml:space="preserve">benefits associated with </w:t>
      </w:r>
      <w:r w:rsidR="00B849F9">
        <w:t>the proposed regulatory action</w:t>
      </w:r>
      <w:r w:rsidR="008657DA">
        <w:t xml:space="preserve"> justify the associated costs.</w:t>
      </w:r>
      <w:r w:rsidR="004C5EDA">
        <w:t xml:space="preserve"> </w:t>
      </w:r>
      <w:r w:rsidR="008657DA">
        <w:t xml:space="preserve">Further, </w:t>
      </w:r>
      <w:r w:rsidR="00B849F9">
        <w:t>this proposed regulatory action</w:t>
      </w:r>
      <w:r w:rsidR="00142270">
        <w:t xml:space="preserve"> i</w:t>
      </w:r>
      <w:r w:rsidR="008657DA">
        <w:t>s not expected to ha</w:t>
      </w:r>
      <w:r w:rsidR="00647A2B">
        <w:t>v</w:t>
      </w:r>
      <w:r w:rsidR="008657DA">
        <w:t>e an annual economic effect of $100 million</w:t>
      </w:r>
      <w:r w:rsidR="00B849F9">
        <w:t>.</w:t>
      </w:r>
      <w:r w:rsidR="004C5EDA">
        <w:t xml:space="preserve"> </w:t>
      </w:r>
      <w:r w:rsidRPr="005A2C77" w:rsidR="005A2C77">
        <w:t xml:space="preserve">This proposed regulatory action would streamline requirements, clarify timelines and terms, reduce ambiguity, and improve efficiency in the systematic process for the disposition and repatriation </w:t>
      </w:r>
      <w:r w:rsidRPr="005A2C77" w:rsidR="005A2C77">
        <w:t>of Native American human remains, funerary objects, sacred objects, and objects of cultural patrimony.</w:t>
      </w:r>
    </w:p>
    <w:p w:rsidR="000E5468" w:rsidP="003C1829" w14:paraId="73D16DF4" w14:textId="77777777">
      <w:pPr>
        <w:rPr>
          <w:rFonts w:ascii="Arial" w:hAnsi="Arial"/>
          <w:b/>
          <w:color w:val="000000" w:themeColor="text1"/>
          <w:sz w:val="32"/>
          <w:szCs w:val="18"/>
        </w:rPr>
      </w:pPr>
    </w:p>
    <w:p w:rsidR="008D0394" w:rsidP="003C1829" w14:paraId="1E2D8EF3" w14:textId="77777777">
      <w:pPr>
        <w:rPr>
          <w:rFonts w:ascii="Arial" w:hAnsi="Arial"/>
          <w:b/>
          <w:color w:val="000000" w:themeColor="text1"/>
          <w:sz w:val="32"/>
          <w:szCs w:val="18"/>
        </w:rPr>
      </w:pPr>
    </w:p>
    <w:p w:rsidR="00931699" w:rsidRPr="000E5468" w:rsidP="00173654" w14:paraId="44742366" w14:textId="1721DDD6">
      <w:pPr>
        <w:pStyle w:val="Heading1"/>
      </w:pPr>
      <w:bookmarkStart w:id="33" w:name="_Toc113867002"/>
      <w:r w:rsidRPr="000E5468">
        <w:t xml:space="preserve">Regulatory </w:t>
      </w:r>
      <w:r w:rsidRPr="000E5468" w:rsidR="0010071F">
        <w:t>Flexibility</w:t>
      </w:r>
      <w:r w:rsidRPr="000E5468" w:rsidR="00EA122B">
        <w:t xml:space="preserve"> </w:t>
      </w:r>
      <w:r w:rsidR="00BD6DE4">
        <w:t xml:space="preserve">Threshold </w:t>
      </w:r>
      <w:r w:rsidRPr="000E5468" w:rsidR="00EA122B">
        <w:t>Analysis</w:t>
      </w:r>
      <w:bookmarkEnd w:id="33"/>
    </w:p>
    <w:p w:rsidR="003F259A" w:rsidP="00A4664B" w14:paraId="367EE057" w14:textId="77777777"/>
    <w:p w:rsidR="008657DA" w:rsidP="00A4664B" w14:paraId="3C712CBE" w14:textId="0860E667">
      <w:r w:rsidRPr="00165E16">
        <w:t>The Regulatory Flexibility Act, as amended, requires agencies to analyze impacts of regulatory actions on small entities (businesses, nonprofit organizations, and governments), and to consider alternatives that minimize such impacts while achieving regulatory objectives</w:t>
      </w:r>
      <w:r w:rsidR="00F06A46">
        <w:t>.</w:t>
      </w:r>
      <w:r>
        <w:rPr>
          <w:rStyle w:val="FootnoteReference"/>
        </w:rPr>
        <w:footnoteReference w:id="15"/>
      </w:r>
      <w:r w:rsidRPr="00165E16">
        <w:t xml:space="preserve"> (Small Business Administration</w:t>
      </w:r>
      <w:r w:rsidR="002F74AD">
        <w:t>,</w:t>
      </w:r>
      <w:r w:rsidR="00977DAF">
        <w:t xml:space="preserve"> 2017</w:t>
      </w:r>
      <w:r w:rsidRPr="00165E16">
        <w:t xml:space="preserve">). </w:t>
      </w:r>
      <w:r>
        <w:t>Agencies must first conduct a threshold analysis to determine whether regulatory actions are expected to have significant economic impact on a substantial number of small entities.</w:t>
      </w:r>
      <w:r w:rsidR="004C5EDA">
        <w:t xml:space="preserve"> </w:t>
      </w:r>
      <w:r>
        <w:t>If the threshold analysis indicates a significant economic impact on a substantial number of small enti</w:t>
      </w:r>
      <w:r w:rsidR="00BA4495">
        <w:t>ties, an</w:t>
      </w:r>
      <w:r>
        <w:t xml:space="preserve"> initial </w:t>
      </w:r>
      <w:r w:rsidR="00BA4495">
        <w:t>regulatory flexibility analysis must be produced and made available for public review and comment along with the proposed regulatory action.</w:t>
      </w:r>
      <w:r w:rsidR="004C5EDA">
        <w:t xml:space="preserve"> </w:t>
      </w:r>
      <w:r w:rsidR="00BA4495">
        <w:t>A final regulatory flexibility analysis that considers public comments must then be produced and made publicly available with the final regulatory action.</w:t>
      </w:r>
      <w:r w:rsidR="004C5EDA">
        <w:t xml:space="preserve"> </w:t>
      </w:r>
      <w:r w:rsidR="00BA4495">
        <w:t xml:space="preserve">Agencies must publish a certification of no significant impact on a </w:t>
      </w:r>
      <w:r w:rsidR="005E5E48">
        <w:t>substantial number of small entities if the threshold analysis does not indicate such impacts.</w:t>
      </w:r>
      <w:r w:rsidR="004C5EDA">
        <w:t xml:space="preserve"> </w:t>
      </w:r>
    </w:p>
    <w:p w:rsidR="008657DA" w:rsidRPr="0010071F" w:rsidP="00A4664B" w14:paraId="5CCE4545" w14:textId="77777777"/>
    <w:p w:rsidR="00977DAF" w:rsidP="00165E16" w14:paraId="4EEB5050" w14:textId="2D912CD8">
      <w:r>
        <w:t xml:space="preserve">This threshold analysis relies on the cost-benefit analysis, which concludes that </w:t>
      </w:r>
      <w:r w:rsidR="00BA55DA">
        <w:t xml:space="preserve">this proposed regulatory action </w:t>
      </w:r>
      <w:r w:rsidR="005F7EBC">
        <w:t xml:space="preserve">will likely </w:t>
      </w:r>
      <w:r>
        <w:t xml:space="preserve">generate </w:t>
      </w:r>
      <w:r w:rsidR="00D76116">
        <w:rPr>
          <w:color w:val="000000"/>
        </w:rPr>
        <w:t xml:space="preserve">benefits for </w:t>
      </w:r>
      <w:r w:rsidRPr="003018F8" w:rsidR="00D76116">
        <w:rPr>
          <w:bCs/>
          <w:iCs/>
          <w:color w:val="000000"/>
        </w:rPr>
        <w:t>museums, Federal agencies, Indian Tribes, and N</w:t>
      </w:r>
      <w:r w:rsidR="003C75A2">
        <w:rPr>
          <w:bCs/>
          <w:iCs/>
          <w:color w:val="000000"/>
        </w:rPr>
        <w:t>HO</w:t>
      </w:r>
      <w:r w:rsidRPr="003018F8" w:rsidR="00D76116">
        <w:rPr>
          <w:bCs/>
          <w:iCs/>
          <w:color w:val="000000"/>
        </w:rPr>
        <w:t>s</w:t>
      </w:r>
      <w:r w:rsidR="00D76116">
        <w:rPr>
          <w:bCs/>
          <w:iCs/>
          <w:color w:val="000000"/>
        </w:rPr>
        <w:t xml:space="preserve"> that are greater than the </w:t>
      </w:r>
      <w:r w:rsidR="00DE2298">
        <w:rPr>
          <w:bCs/>
          <w:iCs/>
          <w:color w:val="000000"/>
        </w:rPr>
        <w:t xml:space="preserve">temporary </w:t>
      </w:r>
      <w:r w:rsidR="00A74F28">
        <w:rPr>
          <w:bCs/>
          <w:iCs/>
          <w:color w:val="000000"/>
        </w:rPr>
        <w:t>increase in</w:t>
      </w:r>
      <w:r w:rsidR="00D76116">
        <w:rPr>
          <w:bCs/>
          <w:iCs/>
          <w:color w:val="000000"/>
        </w:rPr>
        <w:t xml:space="preserve"> reporting costs for museums</w:t>
      </w:r>
      <w:r w:rsidR="0036503E">
        <w:t>.</w:t>
      </w:r>
      <w:r w:rsidR="004C5EDA">
        <w:t xml:space="preserve"> </w:t>
      </w:r>
      <w:r w:rsidRPr="007D52E3" w:rsidR="007D52E3">
        <w:t xml:space="preserve">From 1990 to date, </w:t>
      </w:r>
      <w:r w:rsidR="007D52E3">
        <w:t xml:space="preserve">the NPS has estimated that </w:t>
      </w:r>
      <w:r w:rsidRPr="007D52E3" w:rsidR="007D52E3">
        <w:t>approximately 1</w:t>
      </w:r>
      <w:r w:rsidR="004943DE">
        <w:t>0</w:t>
      </w:r>
      <w:r w:rsidRPr="007D52E3" w:rsidR="007D52E3">
        <w:t>% of the total number of responding museums could be ch</w:t>
      </w:r>
      <w:r w:rsidR="007D52E3">
        <w:t xml:space="preserve">aracterized as small entities. </w:t>
      </w:r>
      <w:r w:rsidR="00CD7995">
        <w:t xml:space="preserve">This estimate and impact on these entities are addressed in this analysis. </w:t>
      </w:r>
    </w:p>
    <w:p w:rsidR="00CD7995" w:rsidP="00CD7995" w14:paraId="3979B0D6" w14:textId="77777777"/>
    <w:p w:rsidR="002C477E" w:rsidP="00CD7995" w14:paraId="5952C74F" w14:textId="426D2792">
      <w:r>
        <w:t>Most</w:t>
      </w:r>
      <w:r w:rsidR="00704C92">
        <w:t xml:space="preserve"> of the</w:t>
      </w:r>
      <w:r w:rsidRPr="00CD7995" w:rsidR="00CD7995">
        <w:t xml:space="preserve"> state, local and private museums required to report under NAGPRA</w:t>
      </w:r>
      <w:r w:rsidR="00CD7995">
        <w:t xml:space="preserve"> are </w:t>
      </w:r>
      <w:r w:rsidR="00916C3B">
        <w:t xml:space="preserve">large </w:t>
      </w:r>
      <w:r w:rsidR="00CD7995">
        <w:t>not-for-profit enterprises, part of a univ</w:t>
      </w:r>
      <w:r>
        <w:t xml:space="preserve">ersity or college, or </w:t>
      </w:r>
      <w:r w:rsidR="00CD7995">
        <w:t>state or local government</w:t>
      </w:r>
      <w:r>
        <w:t xml:space="preserve"> entit</w:t>
      </w:r>
      <w:r w:rsidR="00755440">
        <w:t>ies</w:t>
      </w:r>
      <w:r w:rsidR="00CD7995">
        <w:t>.</w:t>
      </w:r>
      <w:r w:rsidR="00057F0A">
        <w:t xml:space="preserve"> </w:t>
      </w:r>
      <w:r w:rsidR="00CD7995">
        <w:t>Of the 1,3</w:t>
      </w:r>
      <w:r w:rsidR="00776FCC">
        <w:t>88</w:t>
      </w:r>
      <w:r w:rsidR="00CD7995">
        <w:t xml:space="preserve"> museums repo</w:t>
      </w:r>
      <w:r>
        <w:t>rting under NAGPRA</w:t>
      </w:r>
      <w:r w:rsidR="00CD7995">
        <w:t xml:space="preserve">, </w:t>
      </w:r>
      <w:r w:rsidR="00916C3B">
        <w:t xml:space="preserve">419 </w:t>
      </w:r>
      <w:r w:rsidR="00CD7995">
        <w:t xml:space="preserve">are </w:t>
      </w:r>
      <w:r w:rsidR="00916C3B">
        <w:t>classified as state entities</w:t>
      </w:r>
      <w:r w:rsidR="00CD7995">
        <w:t xml:space="preserve">, </w:t>
      </w:r>
      <w:r w:rsidR="00916C3B">
        <w:t xml:space="preserve">382 as local government entities, and </w:t>
      </w:r>
      <w:r w:rsidR="00CA1F0A">
        <w:t>5</w:t>
      </w:r>
      <w:r w:rsidR="00683C79">
        <w:t>87</w:t>
      </w:r>
      <w:r w:rsidR="00916C3B">
        <w:t xml:space="preserve"> as private museums. Of the private museums, 1</w:t>
      </w:r>
      <w:r w:rsidR="00B82697">
        <w:t>41</w:t>
      </w:r>
      <w:r w:rsidR="00916C3B">
        <w:t xml:space="preserve"> are classified as universities or colleges</w:t>
      </w:r>
      <w:r w:rsidR="00CD7995">
        <w:t xml:space="preserve">, </w:t>
      </w:r>
      <w:r w:rsidR="00B82697">
        <w:t>18</w:t>
      </w:r>
      <w:r w:rsidR="00916C3B">
        <w:t xml:space="preserve"> as </w:t>
      </w:r>
      <w:r w:rsidR="00CD7995">
        <w:t xml:space="preserve">large </w:t>
      </w:r>
      <w:r w:rsidR="00916C3B">
        <w:t>urban museums</w:t>
      </w:r>
      <w:r w:rsidR="00CD7995">
        <w:t xml:space="preserve">, </w:t>
      </w:r>
      <w:r w:rsidR="00B82697">
        <w:t>42</w:t>
      </w:r>
      <w:r w:rsidR="00916C3B">
        <w:t xml:space="preserve"> as </w:t>
      </w:r>
      <w:r w:rsidR="00CD7995">
        <w:t>l</w:t>
      </w:r>
      <w:r w:rsidR="00916C3B">
        <w:t>arge historical societies</w:t>
      </w:r>
      <w:r w:rsidR="00CD7995">
        <w:t xml:space="preserve">, </w:t>
      </w:r>
      <w:r w:rsidR="00916C3B">
        <w:t>2</w:t>
      </w:r>
      <w:r w:rsidR="00A24488">
        <w:t>4</w:t>
      </w:r>
      <w:r w:rsidR="00916C3B">
        <w:t>7 as</w:t>
      </w:r>
      <w:r w:rsidR="00CD7995">
        <w:t xml:space="preserve"> not-for profit museums or organizations that are large </w:t>
      </w:r>
      <w:r w:rsidR="00916C3B">
        <w:t xml:space="preserve">or dominant in the </w:t>
      </w:r>
      <w:r>
        <w:t>field, and t</w:t>
      </w:r>
      <w:r w:rsidR="00916C3B">
        <w:t xml:space="preserve">he remaining </w:t>
      </w:r>
      <w:r>
        <w:t>1</w:t>
      </w:r>
      <w:r w:rsidR="00151103">
        <w:t>39</w:t>
      </w:r>
      <w:r>
        <w:t xml:space="preserve"> entities</w:t>
      </w:r>
      <w:r w:rsidR="00916C3B">
        <w:t xml:space="preserve"> are small museums</w:t>
      </w:r>
      <w:r w:rsidR="001B3674">
        <w:t>, historical societies, or nature</w:t>
      </w:r>
      <w:r w:rsidRPr="001B3674" w:rsidR="001B3674">
        <w:t xml:space="preserve"> park</w:t>
      </w:r>
      <w:r w:rsidR="001B3674">
        <w:t>s</w:t>
      </w:r>
      <w:r w:rsidR="00CD7995">
        <w:t>.</w:t>
      </w:r>
      <w:r>
        <w:t xml:space="preserve"> </w:t>
      </w:r>
    </w:p>
    <w:p w:rsidR="005F6A6B" w:rsidP="00DF6C41" w14:paraId="33F7DF41" w14:textId="77777777">
      <w:pPr>
        <w:rPr>
          <w:b/>
        </w:rPr>
      </w:pPr>
    </w:p>
    <w:p w:rsidR="00AE60DD" w:rsidP="00676A9F" w14:paraId="773ED75E" w14:textId="6D27AEB9">
      <w:r w:rsidRPr="00580F7E">
        <w:t xml:space="preserve">Based on </w:t>
      </w:r>
      <w:r w:rsidR="007109AE">
        <w:t>the estimate</w:t>
      </w:r>
      <w:r w:rsidR="00B669CB">
        <w:t xml:space="preserve"> of baseline conditions </w:t>
      </w:r>
      <w:r w:rsidRPr="00580F7E">
        <w:t>and estimated changes</w:t>
      </w:r>
      <w:r w:rsidRPr="00580F7E" w:rsidR="00050F74">
        <w:t xml:space="preserve"> required</w:t>
      </w:r>
      <w:r w:rsidRPr="00580F7E">
        <w:t xml:space="preserve"> under the proposed </w:t>
      </w:r>
      <w:r w:rsidR="007C6186">
        <w:t>regulatory action</w:t>
      </w:r>
      <w:r w:rsidRPr="00580F7E">
        <w:t xml:space="preserve">, the NPS anticipates </w:t>
      </w:r>
      <w:r w:rsidR="00D24ACC">
        <w:t>1</w:t>
      </w:r>
      <w:r w:rsidR="004943DE">
        <w:t>0</w:t>
      </w:r>
      <w:r w:rsidRPr="00580F7E">
        <w:t xml:space="preserve">% of the change in museum responses </w:t>
      </w:r>
      <w:r w:rsidRPr="00580F7E" w:rsidR="009A1024">
        <w:t>w</w:t>
      </w:r>
      <w:r w:rsidR="008A7834">
        <w:t>ill</w:t>
      </w:r>
      <w:r w:rsidRPr="00580F7E" w:rsidR="009A1024">
        <w:t xml:space="preserve"> </w:t>
      </w:r>
      <w:r w:rsidRPr="00580F7E">
        <w:t>be from s</w:t>
      </w:r>
      <w:r w:rsidRPr="00580F7E" w:rsidR="001C71BC">
        <w:t>m</w:t>
      </w:r>
      <w:r w:rsidRPr="00580F7E" w:rsidR="000D00DA">
        <w:t xml:space="preserve">all entities. Table </w:t>
      </w:r>
      <w:r w:rsidR="00CB1E61">
        <w:t>1</w:t>
      </w:r>
      <w:r w:rsidR="00292399">
        <w:t>5</w:t>
      </w:r>
      <w:r w:rsidRPr="00580F7E" w:rsidR="000D00DA">
        <w:t xml:space="preserve"> show</w:t>
      </w:r>
      <w:r w:rsidR="00C54536">
        <w:t>s</w:t>
      </w:r>
      <w:r w:rsidRPr="00580F7E" w:rsidR="000D00DA">
        <w:t xml:space="preserve"> the</w:t>
      </w:r>
      <w:r w:rsidRPr="00580F7E">
        <w:t xml:space="preserve"> </w:t>
      </w:r>
      <w:r w:rsidR="00A21ADA">
        <w:t xml:space="preserve">number of </w:t>
      </w:r>
      <w:r w:rsidRPr="00580F7E" w:rsidR="00AF1FFC">
        <w:t>responses</w:t>
      </w:r>
      <w:r w:rsidRPr="00580F7E" w:rsidR="00146E64">
        <w:t>, hours, and costs</w:t>
      </w:r>
      <w:r w:rsidRPr="00580F7E" w:rsidR="00AF1FFC">
        <w:t xml:space="preserve"> </w:t>
      </w:r>
      <w:r w:rsidRPr="00580F7E" w:rsidR="00146E64">
        <w:t>for</w:t>
      </w:r>
      <w:r w:rsidRPr="00580F7E" w:rsidR="00AF1FFC">
        <w:t xml:space="preserve"> </w:t>
      </w:r>
      <w:r w:rsidR="00A21ADA">
        <w:t xml:space="preserve">all museums and </w:t>
      </w:r>
      <w:r w:rsidR="00C54536">
        <w:t xml:space="preserve">for </w:t>
      </w:r>
      <w:r w:rsidRPr="00580F7E" w:rsidR="00AF1FFC">
        <w:t>small entities</w:t>
      </w:r>
      <w:r w:rsidR="00C54536">
        <w:t xml:space="preserve"> (rounded up</w:t>
      </w:r>
      <w:r w:rsidR="00AB14DB">
        <w:t xml:space="preserve"> to whole numbers</w:t>
      </w:r>
      <w:r w:rsidR="00C54536">
        <w:t>)</w:t>
      </w:r>
      <w:r w:rsidR="00B91BF9">
        <w:t xml:space="preserve"> in each regulatory framework</w:t>
      </w:r>
      <w:r w:rsidR="00C54536">
        <w:t>.</w:t>
      </w:r>
      <w:r w:rsidRPr="00580F7E" w:rsidR="00BF73CF">
        <w:t xml:space="preserve"> </w:t>
      </w:r>
    </w:p>
    <w:p w:rsidR="00AE60DD" w:rsidP="00676A9F" w14:paraId="65477276" w14:textId="77777777"/>
    <w:p w:rsidR="00BC09B0" w:rsidP="00BC09B0" w14:paraId="4EB86B7B" w14:textId="77777777"/>
    <w:p w:rsidR="00BC09B0" w:rsidRPr="0083218B" w:rsidP="00BC09B0" w14:paraId="14003949" w14:textId="4D881C3E">
      <w:pPr>
        <w:pStyle w:val="Heading3"/>
      </w:pPr>
      <w:bookmarkStart w:id="34" w:name="_Toc113867041"/>
      <w:r>
        <w:t>T</w:t>
      </w:r>
      <w:r w:rsidRPr="00CF25F1">
        <w:t xml:space="preserve">able </w:t>
      </w:r>
      <w:r>
        <w:t>1</w:t>
      </w:r>
      <w:r w:rsidR="00292399">
        <w:t>5</w:t>
      </w:r>
      <w:r w:rsidRPr="00CF25F1">
        <w:t>.</w:t>
      </w:r>
      <w:r w:rsidRPr="009E1AEB">
        <w:t xml:space="preserve"> </w:t>
      </w:r>
      <w:r w:rsidRPr="00CF25F1">
        <w:t xml:space="preserve"> </w:t>
      </w:r>
      <w:r>
        <w:t>Comparison of regulatory framework</w:t>
      </w:r>
      <w:r w:rsidR="002A50FD">
        <w:t>s</w:t>
      </w:r>
      <w:r>
        <w:t xml:space="preserve"> for </w:t>
      </w:r>
      <w:r w:rsidR="00FC7C79">
        <w:t>museums</w:t>
      </w:r>
      <w:bookmarkEnd w:id="34"/>
    </w:p>
    <w:tbl>
      <w:tblPr>
        <w:tblStyle w:val="TableGrid"/>
        <w:tblW w:w="9445" w:type="dxa"/>
        <w:tblLayout w:type="fixed"/>
        <w:tblLook w:val="04A0"/>
      </w:tblPr>
      <w:tblGrid>
        <w:gridCol w:w="1885"/>
        <w:gridCol w:w="1350"/>
        <w:gridCol w:w="1350"/>
        <w:gridCol w:w="1260"/>
        <w:gridCol w:w="1080"/>
        <w:gridCol w:w="1350"/>
        <w:gridCol w:w="1170"/>
      </w:tblGrid>
      <w:tr w14:paraId="40ABBC0B" w14:textId="77777777" w:rsidTr="0070160B">
        <w:tblPrEx>
          <w:tblW w:w="9445" w:type="dxa"/>
          <w:tblLayout w:type="fixed"/>
          <w:tblLook w:val="04A0"/>
        </w:tblPrEx>
        <w:trPr>
          <w:trHeight w:val="360"/>
        </w:trPr>
        <w:tc>
          <w:tcPr>
            <w:tcW w:w="1885" w:type="dxa"/>
            <w:vAlign w:val="center"/>
            <w:hideMark/>
          </w:tcPr>
          <w:p w:rsidR="00594392" w:rsidP="0074675D" w14:paraId="67A252B3" w14:textId="501059E5">
            <w:pPr>
              <w:jc w:val="center"/>
              <w:rPr>
                <w:b/>
                <w:bCs/>
                <w:color w:val="000000"/>
              </w:rPr>
            </w:pPr>
            <w:r>
              <w:rPr>
                <w:b/>
                <w:bCs/>
                <w:color w:val="000000"/>
              </w:rPr>
              <w:t>Framework</w:t>
            </w:r>
          </w:p>
        </w:tc>
        <w:tc>
          <w:tcPr>
            <w:tcW w:w="1350" w:type="dxa"/>
            <w:vAlign w:val="center"/>
          </w:tcPr>
          <w:p w:rsidR="00594392" w:rsidP="00CE3F5A" w14:paraId="594B8B2C" w14:textId="4192738C">
            <w:pPr>
              <w:jc w:val="center"/>
              <w:rPr>
                <w:b/>
                <w:bCs/>
                <w:color w:val="000000"/>
              </w:rPr>
            </w:pPr>
            <w:r>
              <w:rPr>
                <w:b/>
                <w:bCs/>
                <w:color w:val="000000"/>
              </w:rPr>
              <w:t>Museums Number of Responses</w:t>
            </w:r>
          </w:p>
        </w:tc>
        <w:tc>
          <w:tcPr>
            <w:tcW w:w="1350" w:type="dxa"/>
            <w:vAlign w:val="center"/>
          </w:tcPr>
          <w:p w:rsidR="00594392" w:rsidP="00CE3F5A" w14:paraId="268968DB" w14:textId="2A678D77">
            <w:pPr>
              <w:jc w:val="center"/>
              <w:rPr>
                <w:b/>
                <w:bCs/>
                <w:color w:val="000000"/>
              </w:rPr>
            </w:pPr>
            <w:r>
              <w:rPr>
                <w:b/>
                <w:bCs/>
                <w:color w:val="000000"/>
              </w:rPr>
              <w:t>Small Entities Responses</w:t>
            </w:r>
          </w:p>
        </w:tc>
        <w:tc>
          <w:tcPr>
            <w:tcW w:w="1260" w:type="dxa"/>
            <w:vAlign w:val="center"/>
          </w:tcPr>
          <w:p w:rsidR="00594392" w:rsidP="00CE3F5A" w14:paraId="1A4D07C2" w14:textId="5A5D1F9B">
            <w:pPr>
              <w:jc w:val="center"/>
              <w:rPr>
                <w:b/>
                <w:bCs/>
                <w:color w:val="000000"/>
              </w:rPr>
            </w:pPr>
            <w:r>
              <w:rPr>
                <w:b/>
                <w:bCs/>
                <w:color w:val="000000"/>
              </w:rPr>
              <w:t>Museums Annual Hours</w:t>
            </w:r>
          </w:p>
        </w:tc>
        <w:tc>
          <w:tcPr>
            <w:tcW w:w="1080" w:type="dxa"/>
            <w:vAlign w:val="center"/>
            <w:hideMark/>
          </w:tcPr>
          <w:p w:rsidR="00594392" w:rsidP="00CE3F5A" w14:paraId="4226F146" w14:textId="12C13CFA">
            <w:pPr>
              <w:jc w:val="center"/>
              <w:rPr>
                <w:b/>
                <w:bCs/>
                <w:color w:val="000000"/>
              </w:rPr>
            </w:pPr>
            <w:r>
              <w:rPr>
                <w:b/>
                <w:bCs/>
                <w:color w:val="000000"/>
              </w:rPr>
              <w:t>Small Entities Annual Hours</w:t>
            </w:r>
          </w:p>
        </w:tc>
        <w:tc>
          <w:tcPr>
            <w:tcW w:w="1350" w:type="dxa"/>
            <w:vAlign w:val="center"/>
          </w:tcPr>
          <w:p w:rsidR="00594392" w:rsidP="00CE3F5A" w14:paraId="5C2B43FD" w14:textId="2F78D305">
            <w:pPr>
              <w:jc w:val="center"/>
              <w:rPr>
                <w:b/>
                <w:bCs/>
                <w:color w:val="000000"/>
              </w:rPr>
            </w:pPr>
            <w:r>
              <w:rPr>
                <w:b/>
                <w:bCs/>
                <w:color w:val="000000"/>
              </w:rPr>
              <w:t>Museums Annual Costs</w:t>
            </w:r>
          </w:p>
        </w:tc>
        <w:tc>
          <w:tcPr>
            <w:tcW w:w="1170" w:type="dxa"/>
            <w:vAlign w:val="center"/>
            <w:hideMark/>
          </w:tcPr>
          <w:p w:rsidR="00594392" w:rsidP="00CE3F5A" w14:paraId="6846E4E2" w14:textId="49444021">
            <w:pPr>
              <w:jc w:val="center"/>
              <w:rPr>
                <w:b/>
                <w:bCs/>
                <w:color w:val="000000"/>
              </w:rPr>
            </w:pPr>
            <w:r>
              <w:rPr>
                <w:b/>
                <w:bCs/>
                <w:color w:val="000000"/>
              </w:rPr>
              <w:t>Small Entities Annual Cost</w:t>
            </w:r>
            <w:r w:rsidR="00CE3F5A">
              <w:rPr>
                <w:b/>
                <w:bCs/>
                <w:color w:val="000000"/>
              </w:rPr>
              <w:t>s</w:t>
            </w:r>
          </w:p>
        </w:tc>
      </w:tr>
      <w:tr w14:paraId="276D453C" w14:textId="77777777" w:rsidTr="0070160B">
        <w:tblPrEx>
          <w:tblW w:w="9445" w:type="dxa"/>
          <w:tblLayout w:type="fixed"/>
          <w:tblLook w:val="04A0"/>
        </w:tblPrEx>
        <w:trPr>
          <w:trHeight w:val="360"/>
        </w:trPr>
        <w:tc>
          <w:tcPr>
            <w:tcW w:w="1885" w:type="dxa"/>
            <w:vAlign w:val="center"/>
            <w:hideMark/>
          </w:tcPr>
          <w:p w:rsidR="00594392" w:rsidP="00AD1D72" w14:paraId="1759D7AE" w14:textId="77777777">
            <w:pPr>
              <w:rPr>
                <w:color w:val="000000"/>
              </w:rPr>
            </w:pPr>
            <w:r>
              <w:rPr>
                <w:color w:val="000000"/>
              </w:rPr>
              <w:t>Baseline conditions</w:t>
            </w:r>
          </w:p>
        </w:tc>
        <w:tc>
          <w:tcPr>
            <w:tcW w:w="1350" w:type="dxa"/>
            <w:vAlign w:val="center"/>
          </w:tcPr>
          <w:p w:rsidR="00594392" w:rsidP="00CE3F5A" w14:paraId="6CB3E4FB" w14:textId="3A92E481">
            <w:pPr>
              <w:jc w:val="right"/>
              <w:rPr>
                <w:color w:val="000000"/>
              </w:rPr>
            </w:pPr>
            <w:r>
              <w:rPr>
                <w:color w:val="000000"/>
              </w:rPr>
              <w:t>745</w:t>
            </w:r>
          </w:p>
        </w:tc>
        <w:tc>
          <w:tcPr>
            <w:tcW w:w="1350" w:type="dxa"/>
            <w:vAlign w:val="center"/>
          </w:tcPr>
          <w:p w:rsidR="00594392" w:rsidP="00CE3F5A" w14:paraId="597CE092" w14:textId="0D01D820">
            <w:pPr>
              <w:jc w:val="right"/>
              <w:rPr>
                <w:color w:val="000000"/>
              </w:rPr>
            </w:pPr>
            <w:r>
              <w:rPr>
                <w:color w:val="000000"/>
              </w:rPr>
              <w:t>80</w:t>
            </w:r>
          </w:p>
        </w:tc>
        <w:tc>
          <w:tcPr>
            <w:tcW w:w="1260" w:type="dxa"/>
            <w:vAlign w:val="center"/>
          </w:tcPr>
          <w:p w:rsidR="00594392" w:rsidP="00CE3F5A" w14:paraId="2825FBCC" w14:textId="66E7D275">
            <w:pPr>
              <w:jc w:val="right"/>
              <w:rPr>
                <w:color w:val="000000"/>
              </w:rPr>
            </w:pPr>
            <w:r>
              <w:rPr>
                <w:color w:val="000000"/>
              </w:rPr>
              <w:t>33,228.50</w:t>
            </w:r>
          </w:p>
        </w:tc>
        <w:tc>
          <w:tcPr>
            <w:tcW w:w="1080" w:type="dxa"/>
            <w:vAlign w:val="center"/>
            <w:hideMark/>
          </w:tcPr>
          <w:p w:rsidR="00594392" w:rsidP="00CE3F5A" w14:paraId="4C6468EB" w14:textId="6BA004C6">
            <w:pPr>
              <w:jc w:val="right"/>
              <w:rPr>
                <w:color w:val="000000"/>
              </w:rPr>
            </w:pPr>
            <w:r>
              <w:rPr>
                <w:color w:val="000000"/>
              </w:rPr>
              <w:t>3,559</w:t>
            </w:r>
            <w:r w:rsidR="000C1B61">
              <w:rPr>
                <w:color w:val="000000"/>
              </w:rPr>
              <w:t>.00</w:t>
            </w:r>
          </w:p>
        </w:tc>
        <w:tc>
          <w:tcPr>
            <w:tcW w:w="1350" w:type="dxa"/>
            <w:vAlign w:val="center"/>
          </w:tcPr>
          <w:p w:rsidR="00594392" w:rsidP="00CE3F5A" w14:paraId="4519B592" w14:textId="0C208F77">
            <w:pPr>
              <w:jc w:val="right"/>
            </w:pPr>
            <w:r>
              <w:t>$2,135,265</w:t>
            </w:r>
          </w:p>
        </w:tc>
        <w:tc>
          <w:tcPr>
            <w:tcW w:w="1170" w:type="dxa"/>
            <w:vAlign w:val="center"/>
            <w:hideMark/>
          </w:tcPr>
          <w:p w:rsidR="00594392" w:rsidP="00CE3F5A" w14:paraId="5335ACB3" w14:textId="58FB8B3E">
            <w:pPr>
              <w:jc w:val="right"/>
              <w:rPr>
                <w:color w:val="000000"/>
              </w:rPr>
            </w:pPr>
            <w:r>
              <w:t>$228,700</w:t>
            </w:r>
          </w:p>
        </w:tc>
      </w:tr>
      <w:tr w14:paraId="50C5CCC4" w14:textId="77777777" w:rsidTr="0070160B">
        <w:tblPrEx>
          <w:tblW w:w="9445" w:type="dxa"/>
          <w:tblLayout w:type="fixed"/>
          <w:tblLook w:val="04A0"/>
        </w:tblPrEx>
        <w:trPr>
          <w:trHeight w:val="360"/>
        </w:trPr>
        <w:tc>
          <w:tcPr>
            <w:tcW w:w="1885" w:type="dxa"/>
            <w:vAlign w:val="center"/>
            <w:hideMark/>
          </w:tcPr>
          <w:p w:rsidR="00594392" w:rsidP="00AD1D72" w14:paraId="2605C7F8" w14:textId="77777777">
            <w:pPr>
              <w:rPr>
                <w:color w:val="000000"/>
              </w:rPr>
            </w:pPr>
            <w:r>
              <w:rPr>
                <w:color w:val="000000"/>
              </w:rPr>
              <w:t>Proposed action years 1-3</w:t>
            </w:r>
          </w:p>
        </w:tc>
        <w:tc>
          <w:tcPr>
            <w:tcW w:w="1350" w:type="dxa"/>
            <w:vAlign w:val="center"/>
          </w:tcPr>
          <w:p w:rsidR="00594392" w:rsidP="00CE3F5A" w14:paraId="46D53F46" w14:textId="6D6E3EB1">
            <w:pPr>
              <w:jc w:val="right"/>
              <w:rPr>
                <w:color w:val="000000"/>
              </w:rPr>
            </w:pPr>
            <w:r>
              <w:t>1,834</w:t>
            </w:r>
          </w:p>
        </w:tc>
        <w:tc>
          <w:tcPr>
            <w:tcW w:w="1350" w:type="dxa"/>
            <w:vAlign w:val="center"/>
          </w:tcPr>
          <w:p w:rsidR="00594392" w:rsidP="00CE3F5A" w14:paraId="37381BC8" w14:textId="5F039805">
            <w:pPr>
              <w:jc w:val="right"/>
            </w:pPr>
            <w:r>
              <w:t>192</w:t>
            </w:r>
          </w:p>
        </w:tc>
        <w:tc>
          <w:tcPr>
            <w:tcW w:w="1260" w:type="dxa"/>
            <w:vAlign w:val="center"/>
          </w:tcPr>
          <w:p w:rsidR="00594392" w:rsidP="00CE3F5A" w14:paraId="6FDBC87B" w14:textId="77320697">
            <w:pPr>
              <w:jc w:val="right"/>
            </w:pPr>
            <w:r>
              <w:t>34,337.00</w:t>
            </w:r>
          </w:p>
        </w:tc>
        <w:tc>
          <w:tcPr>
            <w:tcW w:w="1080" w:type="dxa"/>
            <w:vAlign w:val="center"/>
            <w:hideMark/>
          </w:tcPr>
          <w:p w:rsidR="00594392" w:rsidP="00CE3F5A" w14:paraId="7DE93386" w14:textId="68D288ED">
            <w:pPr>
              <w:jc w:val="right"/>
              <w:rPr>
                <w:color w:val="000000"/>
              </w:rPr>
            </w:pPr>
            <w:r>
              <w:t>3,662.25</w:t>
            </w:r>
          </w:p>
        </w:tc>
        <w:tc>
          <w:tcPr>
            <w:tcW w:w="1350" w:type="dxa"/>
            <w:vAlign w:val="center"/>
          </w:tcPr>
          <w:p w:rsidR="00594392" w:rsidP="00CE3F5A" w14:paraId="77C98749" w14:textId="17FE9F8D">
            <w:pPr>
              <w:jc w:val="right"/>
            </w:pPr>
            <w:r>
              <w:t>$2,206,498</w:t>
            </w:r>
          </w:p>
        </w:tc>
        <w:tc>
          <w:tcPr>
            <w:tcW w:w="1170" w:type="dxa"/>
            <w:vAlign w:val="center"/>
            <w:hideMark/>
          </w:tcPr>
          <w:p w:rsidR="00594392" w:rsidP="00CE3F5A" w14:paraId="6FB203E3" w14:textId="5A6535B0">
            <w:pPr>
              <w:jc w:val="right"/>
              <w:rPr>
                <w:color w:val="000000"/>
              </w:rPr>
            </w:pPr>
            <w:r>
              <w:t>$235,336</w:t>
            </w:r>
          </w:p>
        </w:tc>
      </w:tr>
      <w:tr w14:paraId="1BA6F462" w14:textId="77777777" w:rsidTr="0070160B">
        <w:tblPrEx>
          <w:tblW w:w="9445" w:type="dxa"/>
          <w:tblLayout w:type="fixed"/>
          <w:tblLook w:val="04A0"/>
        </w:tblPrEx>
        <w:trPr>
          <w:trHeight w:val="360"/>
        </w:trPr>
        <w:tc>
          <w:tcPr>
            <w:tcW w:w="1885" w:type="dxa"/>
            <w:vAlign w:val="center"/>
            <w:hideMark/>
          </w:tcPr>
          <w:p w:rsidR="00594392" w:rsidP="00AD1D72" w14:paraId="4F4D5711" w14:textId="77777777">
            <w:pPr>
              <w:rPr>
                <w:color w:val="000000"/>
              </w:rPr>
            </w:pPr>
            <w:r>
              <w:rPr>
                <w:color w:val="000000"/>
              </w:rPr>
              <w:t>Proposed action years 4 +</w:t>
            </w:r>
          </w:p>
        </w:tc>
        <w:tc>
          <w:tcPr>
            <w:tcW w:w="1350" w:type="dxa"/>
            <w:vAlign w:val="center"/>
          </w:tcPr>
          <w:p w:rsidR="00594392" w:rsidP="00CE3F5A" w14:paraId="6511F52D" w14:textId="042C6DD3">
            <w:pPr>
              <w:jc w:val="right"/>
              <w:rPr>
                <w:color w:val="000000"/>
              </w:rPr>
            </w:pPr>
            <w:r>
              <w:rPr>
                <w:color w:val="000000"/>
              </w:rPr>
              <w:t>319</w:t>
            </w:r>
          </w:p>
        </w:tc>
        <w:tc>
          <w:tcPr>
            <w:tcW w:w="1350" w:type="dxa"/>
            <w:vAlign w:val="center"/>
          </w:tcPr>
          <w:p w:rsidR="00594392" w:rsidP="00CE3F5A" w14:paraId="52520455" w14:textId="2C7F41FE">
            <w:pPr>
              <w:jc w:val="right"/>
              <w:rPr>
                <w:color w:val="000000"/>
              </w:rPr>
            </w:pPr>
            <w:r>
              <w:rPr>
                <w:color w:val="000000"/>
              </w:rPr>
              <w:t>36</w:t>
            </w:r>
          </w:p>
        </w:tc>
        <w:tc>
          <w:tcPr>
            <w:tcW w:w="1260" w:type="dxa"/>
            <w:vAlign w:val="center"/>
          </w:tcPr>
          <w:p w:rsidR="00594392" w:rsidP="00CE3F5A" w14:paraId="76C11254" w14:textId="04CE4A78">
            <w:pPr>
              <w:jc w:val="right"/>
              <w:rPr>
                <w:color w:val="000000"/>
              </w:rPr>
            </w:pPr>
            <w:r>
              <w:rPr>
                <w:color w:val="000000"/>
              </w:rPr>
              <w:t>6,753.25</w:t>
            </w:r>
          </w:p>
        </w:tc>
        <w:tc>
          <w:tcPr>
            <w:tcW w:w="1080" w:type="dxa"/>
            <w:vAlign w:val="center"/>
            <w:hideMark/>
          </w:tcPr>
          <w:p w:rsidR="00594392" w:rsidP="00CE3F5A" w14:paraId="7CF79C8E" w14:textId="0D0E402F">
            <w:pPr>
              <w:jc w:val="right"/>
              <w:rPr>
                <w:color w:val="000000"/>
              </w:rPr>
            </w:pPr>
            <w:r>
              <w:rPr>
                <w:color w:val="000000"/>
              </w:rPr>
              <w:t>838.25</w:t>
            </w:r>
          </w:p>
        </w:tc>
        <w:tc>
          <w:tcPr>
            <w:tcW w:w="1350" w:type="dxa"/>
            <w:vAlign w:val="center"/>
          </w:tcPr>
          <w:p w:rsidR="00594392" w:rsidP="00CE3F5A" w14:paraId="21CA84AE" w14:textId="066EF678">
            <w:pPr>
              <w:jc w:val="right"/>
              <w:rPr>
                <w:color w:val="000000"/>
              </w:rPr>
            </w:pPr>
            <w:r>
              <w:rPr>
                <w:color w:val="000000"/>
              </w:rPr>
              <w:t>$433,967</w:t>
            </w:r>
          </w:p>
        </w:tc>
        <w:tc>
          <w:tcPr>
            <w:tcW w:w="1170" w:type="dxa"/>
            <w:vAlign w:val="center"/>
            <w:hideMark/>
          </w:tcPr>
          <w:p w:rsidR="00594392" w:rsidP="00CE3F5A" w14:paraId="5D84E0B7" w14:textId="41D84B38">
            <w:pPr>
              <w:jc w:val="right"/>
              <w:rPr>
                <w:color w:val="000000"/>
              </w:rPr>
            </w:pPr>
            <w:r>
              <w:rPr>
                <w:color w:val="000000"/>
              </w:rPr>
              <w:t>$53,864</w:t>
            </w:r>
          </w:p>
        </w:tc>
      </w:tr>
    </w:tbl>
    <w:p w:rsidR="00BC09B0" w:rsidP="00BC09B0" w14:paraId="6EFA196F" w14:textId="77777777"/>
    <w:p w:rsidR="00BC09B0" w:rsidP="00676A9F" w14:paraId="7EDEC88C" w14:textId="77777777"/>
    <w:p w:rsidR="00676A9F" w:rsidRPr="00676A9F" w:rsidP="00676A9F" w14:paraId="06F7782F" w14:textId="18988815">
      <w:r w:rsidRPr="00580F7E">
        <w:t xml:space="preserve">As shown in Table </w:t>
      </w:r>
      <w:r w:rsidR="000C1B61">
        <w:t>1</w:t>
      </w:r>
      <w:r w:rsidR="00A867D8">
        <w:t>5</w:t>
      </w:r>
      <w:r w:rsidRPr="00580F7E">
        <w:t>, t</w:t>
      </w:r>
      <w:r w:rsidRPr="00580F7E" w:rsidR="00565561">
        <w:t xml:space="preserve">he </w:t>
      </w:r>
      <w:r w:rsidRPr="00580F7E" w:rsidR="000D00DA">
        <w:t>increase in hours</w:t>
      </w:r>
      <w:r w:rsidRPr="00580F7E">
        <w:t xml:space="preserve"> </w:t>
      </w:r>
      <w:r w:rsidR="000C1B61">
        <w:t xml:space="preserve">and costs for small entities between the baseline conditions and the proposed action in years </w:t>
      </w:r>
      <w:r w:rsidR="00D06683">
        <w:t>one through three</w:t>
      </w:r>
      <w:r w:rsidR="000C1B61">
        <w:t xml:space="preserve"> </w:t>
      </w:r>
      <w:r w:rsidR="00315081">
        <w:t xml:space="preserve">is 103.25 </w:t>
      </w:r>
      <w:r w:rsidR="004D3A9B">
        <w:t xml:space="preserve">annual </w:t>
      </w:r>
      <w:r w:rsidR="00315081">
        <w:t>hours and $</w:t>
      </w:r>
      <w:r w:rsidR="00CA3DA7">
        <w:t>6,636</w:t>
      </w:r>
      <w:r w:rsidR="004D3A9B">
        <w:t xml:space="preserve"> in annual costs</w:t>
      </w:r>
      <w:r w:rsidRPr="00580F7E" w:rsidR="00565561">
        <w:t>.</w:t>
      </w:r>
      <w:r w:rsidR="00CA3DA7">
        <w:t xml:space="preserve"> </w:t>
      </w:r>
      <w:r w:rsidR="004D3A9B">
        <w:t>Beginning in year four, t</w:t>
      </w:r>
      <w:r w:rsidR="00CA3DA7">
        <w:t xml:space="preserve">he </w:t>
      </w:r>
      <w:r w:rsidR="006C5AE8">
        <w:t xml:space="preserve">decrease in hours and costs </w:t>
      </w:r>
      <w:r w:rsidR="00AA37F5">
        <w:t xml:space="preserve">for small entities </w:t>
      </w:r>
      <w:r w:rsidR="00071420">
        <w:t xml:space="preserve">from baseline conditions </w:t>
      </w:r>
      <w:r w:rsidR="006C5AE8">
        <w:t>is</w:t>
      </w:r>
      <w:r w:rsidR="00057F0A">
        <w:t xml:space="preserve"> </w:t>
      </w:r>
      <w:r w:rsidR="00071420">
        <w:t xml:space="preserve">2,720.75 </w:t>
      </w:r>
      <w:r w:rsidR="004D3A9B">
        <w:t xml:space="preserve">annual </w:t>
      </w:r>
      <w:r w:rsidR="00071420">
        <w:t>hours</w:t>
      </w:r>
      <w:r w:rsidR="008E4D8A">
        <w:t xml:space="preserve"> and</w:t>
      </w:r>
      <w:r w:rsidR="00D43C74">
        <w:t xml:space="preserve"> $174</w:t>
      </w:r>
      <w:r w:rsidR="00061988">
        <w:t>,836</w:t>
      </w:r>
      <w:r w:rsidR="004D3A9B">
        <w:t xml:space="preserve"> in annual costs</w:t>
      </w:r>
      <w:r w:rsidR="00061988">
        <w:t>.</w:t>
      </w:r>
    </w:p>
    <w:p w:rsidR="00615DD7" w:rsidRPr="00580F7E" w:rsidP="00704C92" w14:paraId="75EEC06F" w14:textId="77777777"/>
    <w:p w:rsidR="00CA08F7" w:rsidP="00CA08F7" w14:paraId="68D8DE7C" w14:textId="15DB3D12">
      <w:r w:rsidRPr="00580F7E">
        <w:t xml:space="preserve">The impact on these small entities </w:t>
      </w:r>
      <w:r w:rsidRPr="00580F7E" w:rsidR="009528CE">
        <w:t>aligns with</w:t>
      </w:r>
      <w:r w:rsidRPr="00580F7E">
        <w:t xml:space="preserve"> </w:t>
      </w:r>
      <w:r w:rsidRPr="00580F7E" w:rsidR="00704C92">
        <w:t xml:space="preserve">their </w:t>
      </w:r>
      <w:r w:rsidRPr="00580F7E">
        <w:t xml:space="preserve">normal duties of collections management. </w:t>
      </w:r>
      <w:r w:rsidRPr="00580F7E">
        <w:t>In an effort to reduce respondent burden, the NAGPRA Program provides templates and technical assistance to direct inquiries by phone and email. The NAGPRA Program assists many small entities directly with drafting and completing the notice requirements</w:t>
      </w:r>
      <w:r w:rsidR="004962D0">
        <w:t>, which generally falls outside the scope of normal collections management duties</w:t>
      </w:r>
      <w:r w:rsidRPr="00580F7E">
        <w:t>. The NAGPRA Program also provides grants, when funds are appropriated, to any museum or Indian Tribe, including small entities.</w:t>
      </w:r>
      <w:r>
        <w:t xml:space="preserve"> </w:t>
      </w:r>
    </w:p>
    <w:p w:rsidR="00CA08F7" w:rsidP="00165E16" w14:paraId="544C4EA5" w14:textId="420E1C06"/>
    <w:p w:rsidR="00057F0A" w:rsidP="00165E16" w14:paraId="7FAE7E02" w14:textId="1062CC29">
      <w:r w:rsidRPr="00861CDD">
        <w:t xml:space="preserve">The increase in </w:t>
      </w:r>
      <w:r w:rsidR="00D06683">
        <w:t>costs</w:t>
      </w:r>
      <w:r w:rsidRPr="00861CDD">
        <w:t xml:space="preserve"> associated with the new information collection requirements is temporary and will not exist after all museums complete the </w:t>
      </w:r>
      <w:r w:rsidR="004962D0">
        <w:t>required</w:t>
      </w:r>
      <w:r w:rsidRPr="00861CDD">
        <w:t xml:space="preserve"> inventory updates which is expected to happen within three years of implementation. After this initial three-year period, the NPS expects overall hours</w:t>
      </w:r>
      <w:r w:rsidR="00D06683">
        <w:t xml:space="preserve"> and costs</w:t>
      </w:r>
      <w:r w:rsidRPr="00861CDD">
        <w:t xml:space="preserve"> for small entities </w:t>
      </w:r>
      <w:r w:rsidRPr="00861CDD" w:rsidR="00600648">
        <w:t>will</w:t>
      </w:r>
      <w:r w:rsidR="004962D0">
        <w:t xml:space="preserve"> be</w:t>
      </w:r>
      <w:r w:rsidRPr="00861CDD">
        <w:t xml:space="preserve"> less than current hours</w:t>
      </w:r>
      <w:r w:rsidR="00D06683">
        <w:t xml:space="preserve"> and costs</w:t>
      </w:r>
      <w:r w:rsidRPr="00861CDD">
        <w:t xml:space="preserve"> under baseline conditions. </w:t>
      </w:r>
      <w:r w:rsidRPr="00861CDD" w:rsidR="00A95153">
        <w:t>Given these findings</w:t>
      </w:r>
      <w:r w:rsidRPr="00861CDD">
        <w:t xml:space="preserve">, this threshold analysis concludes and certifies that this proposed regulatory action </w:t>
      </w:r>
      <w:r w:rsidRPr="00861CDD" w:rsidR="00833D1A">
        <w:t>will not</w:t>
      </w:r>
      <w:r w:rsidRPr="00861CDD">
        <w:t xml:space="preserve"> impose a significant economic impact on a substantial number of small entities.</w:t>
      </w:r>
      <w:r>
        <w:t xml:space="preserve"> </w:t>
      </w:r>
    </w:p>
    <w:p w:rsidR="003F043F" w:rsidP="003B7066" w14:paraId="489922F4" w14:textId="77777777">
      <w:pPr>
        <w:sectPr w:rsidSect="006F0BD9">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pPr>
    </w:p>
    <w:p w:rsidR="003B7066" w:rsidP="00173654" w14:paraId="4496C354" w14:textId="3248B4BD">
      <w:pPr>
        <w:pStyle w:val="Heading1"/>
      </w:pPr>
      <w:bookmarkStart w:id="35" w:name="_Toc113867003"/>
      <w:r>
        <w:t>Appendix</w:t>
      </w:r>
      <w:r w:rsidRPr="00324C20" w:rsidR="00EA6C78">
        <w:t xml:space="preserve"> –</w:t>
      </w:r>
      <w:r w:rsidR="00EA6C78">
        <w:t xml:space="preserve"> </w:t>
      </w:r>
      <w:bookmarkStart w:id="36" w:name="_Hlk112685505"/>
      <w:r w:rsidR="00EA6C78">
        <w:t>Detailed Estimated Costs</w:t>
      </w:r>
      <w:bookmarkEnd w:id="35"/>
      <w:bookmarkEnd w:id="36"/>
    </w:p>
    <w:p w:rsidR="0072258C" w:rsidP="0010071F" w14:paraId="2B0C28F7" w14:textId="77777777"/>
    <w:p w:rsidR="00321597" w:rsidP="0010071F" w14:paraId="15841B1D" w14:textId="77777777"/>
    <w:p w:rsidR="00C66E72" w:rsidRPr="00324C20" w:rsidP="00F350D3" w14:paraId="774DC7CB" w14:textId="056CAF6B">
      <w:pPr>
        <w:pStyle w:val="Heading2"/>
      </w:pPr>
      <w:bookmarkStart w:id="37" w:name="_Toc113867004"/>
      <w:r w:rsidRPr="00324C20">
        <w:t>Subpart B</w:t>
      </w:r>
      <w:r w:rsidR="006639B0">
        <w:t xml:space="preserve"> </w:t>
      </w:r>
      <w:r w:rsidRPr="00324C20" w:rsidR="006639B0">
        <w:t xml:space="preserve">– </w:t>
      </w:r>
      <w:r w:rsidRPr="00324C20">
        <w:t>Protection on Federal or Tribal Lands.</w:t>
      </w:r>
      <w:bookmarkEnd w:id="37"/>
    </w:p>
    <w:p w:rsidR="00C66E72" w:rsidP="00C66E72" w14:paraId="7DF6C16F" w14:textId="641B9946">
      <w:pPr>
        <w:pStyle w:val="ListParagraph"/>
        <w:ind w:left="0"/>
      </w:pPr>
      <w:r>
        <w:t>This</w:t>
      </w:r>
      <w:r w:rsidRPr="00D84109">
        <w:t xml:space="preserve"> estimate rel</w:t>
      </w:r>
      <w:r>
        <w:t>ies</w:t>
      </w:r>
      <w:r w:rsidRPr="00D84109">
        <w:t xml:space="preserve"> on an average of 11 notices</w:t>
      </w:r>
      <w:r w:rsidR="00B42766">
        <w:t xml:space="preserve"> of intended disposition</w:t>
      </w:r>
      <w:r w:rsidRPr="00D84109">
        <w:t xml:space="preserve"> submitted by Federal agencies </w:t>
      </w:r>
      <w:r w:rsidR="00090D95">
        <w:t xml:space="preserve">in the last three years </w:t>
      </w:r>
      <w:r>
        <w:t>(FY2019=13, FY2020=9, and FY2021=10). The number of discoveries</w:t>
      </w:r>
      <w:r w:rsidR="00090D95">
        <w:t xml:space="preserve"> and excavations</w:t>
      </w:r>
      <w:r>
        <w:t xml:space="preserve"> on Tribal lands is</w:t>
      </w:r>
      <w:r w:rsidR="00090D95">
        <w:t xml:space="preserve"> unknown</w:t>
      </w:r>
      <w:r>
        <w:t>.</w:t>
      </w:r>
    </w:p>
    <w:p w:rsidR="00820391" w:rsidP="00C66E72" w14:paraId="0A055164" w14:textId="77777777">
      <w:pPr>
        <w:pStyle w:val="ListParagraph"/>
        <w:ind w:left="0"/>
        <w:rPr>
          <w:i/>
          <w:iCs/>
        </w:rPr>
      </w:pPr>
    </w:p>
    <w:p w:rsidR="00820391" w:rsidP="00717C3B" w14:paraId="4964A58F" w14:textId="574F1A91">
      <w:pPr>
        <w:pStyle w:val="Heading3"/>
      </w:pPr>
      <w:bookmarkStart w:id="38" w:name="_Toc113867042"/>
      <w:r>
        <w:t>Table 16.</w:t>
      </w:r>
      <w:r w:rsidR="00D435F4">
        <w:t xml:space="preserve"> </w:t>
      </w:r>
      <w:r>
        <w:t xml:space="preserve"> </w:t>
      </w:r>
      <w:r w:rsidR="002937EA">
        <w:t xml:space="preserve">Estimate for </w:t>
      </w:r>
      <w:r w:rsidRPr="009A35C6" w:rsidR="009A35C6">
        <w:t>Baseline Conditions</w:t>
      </w:r>
      <w:r w:rsidR="006172FD">
        <w:t xml:space="preserve"> Subpart B</w:t>
      </w:r>
      <w:bookmarkEnd w:id="38"/>
      <w:r w:rsidR="006172FD">
        <w:t xml:space="preserve"> </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2430"/>
        <w:gridCol w:w="1350"/>
        <w:gridCol w:w="1260"/>
        <w:gridCol w:w="1620"/>
        <w:gridCol w:w="1170"/>
        <w:gridCol w:w="1440"/>
      </w:tblGrid>
      <w:tr w14:paraId="7D152691" w14:textId="77777777" w:rsidTr="006172FD">
        <w:tblPrEx>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600" w:type="dxa"/>
            <w:shd w:val="clear" w:color="auto" w:fill="auto"/>
            <w:noWrap/>
            <w:vAlign w:val="center"/>
          </w:tcPr>
          <w:p w:rsidR="003F043F" w:rsidRPr="006172FD" w:rsidP="006172FD" w14:paraId="6AE48D04" w14:textId="179180AF">
            <w:pPr>
              <w:jc w:val="center"/>
              <w:rPr>
                <w:b/>
                <w:bCs/>
                <w:color w:val="000000"/>
              </w:rPr>
            </w:pPr>
            <w:r w:rsidRPr="006172FD">
              <w:rPr>
                <w:b/>
                <w:bCs/>
                <w:color w:val="000000"/>
              </w:rPr>
              <w:t>Regulatory Requirement</w:t>
            </w:r>
          </w:p>
        </w:tc>
        <w:tc>
          <w:tcPr>
            <w:tcW w:w="2430" w:type="dxa"/>
            <w:shd w:val="clear" w:color="auto" w:fill="auto"/>
            <w:noWrap/>
            <w:vAlign w:val="center"/>
          </w:tcPr>
          <w:p w:rsidR="003F043F" w:rsidRPr="006172FD" w:rsidP="006172FD" w14:paraId="5D02B7FB" w14:textId="7A5A2F22">
            <w:pPr>
              <w:jc w:val="center"/>
              <w:rPr>
                <w:b/>
                <w:bCs/>
                <w:color w:val="000000"/>
              </w:rPr>
            </w:pPr>
            <w:r w:rsidRPr="006172FD">
              <w:rPr>
                <w:b/>
                <w:bCs/>
                <w:color w:val="000000"/>
              </w:rPr>
              <w:t>Responsible party</w:t>
            </w:r>
          </w:p>
        </w:tc>
        <w:tc>
          <w:tcPr>
            <w:tcW w:w="1350" w:type="dxa"/>
            <w:shd w:val="clear" w:color="auto" w:fill="auto"/>
            <w:noWrap/>
            <w:vAlign w:val="center"/>
          </w:tcPr>
          <w:p w:rsidR="003F043F" w:rsidRPr="006172FD" w:rsidP="006172FD" w14:paraId="4C58F6D1" w14:textId="4106F08D">
            <w:pPr>
              <w:jc w:val="center"/>
              <w:rPr>
                <w:b/>
                <w:bCs/>
                <w:color w:val="000000"/>
              </w:rPr>
            </w:pPr>
            <w:r w:rsidRPr="006172FD">
              <w:rPr>
                <w:b/>
                <w:bCs/>
              </w:rPr>
              <w:t>Number of responses</w:t>
            </w:r>
          </w:p>
        </w:tc>
        <w:tc>
          <w:tcPr>
            <w:tcW w:w="1260" w:type="dxa"/>
            <w:shd w:val="clear" w:color="auto" w:fill="auto"/>
            <w:noWrap/>
            <w:vAlign w:val="center"/>
          </w:tcPr>
          <w:p w:rsidR="003F043F" w:rsidRPr="006172FD" w:rsidP="006172FD" w14:paraId="0C019994" w14:textId="407F68A6">
            <w:pPr>
              <w:jc w:val="center"/>
              <w:rPr>
                <w:b/>
                <w:bCs/>
                <w:color w:val="000000"/>
              </w:rPr>
            </w:pPr>
            <w:r w:rsidRPr="006172FD">
              <w:rPr>
                <w:b/>
                <w:bCs/>
              </w:rPr>
              <w:t>Time per response</w:t>
            </w:r>
          </w:p>
        </w:tc>
        <w:tc>
          <w:tcPr>
            <w:tcW w:w="1620" w:type="dxa"/>
            <w:shd w:val="clear" w:color="auto" w:fill="auto"/>
            <w:noWrap/>
            <w:vAlign w:val="center"/>
          </w:tcPr>
          <w:p w:rsidR="003F043F" w:rsidRPr="006172FD" w:rsidP="006172FD" w14:paraId="346D7A97" w14:textId="72DE6EBC">
            <w:pPr>
              <w:jc w:val="center"/>
              <w:rPr>
                <w:b/>
                <w:bCs/>
                <w:color w:val="000000"/>
              </w:rPr>
            </w:pPr>
            <w:r w:rsidRPr="006172FD">
              <w:rPr>
                <w:b/>
                <w:bCs/>
              </w:rPr>
              <w:t>Annual Hours</w:t>
            </w:r>
          </w:p>
        </w:tc>
        <w:tc>
          <w:tcPr>
            <w:tcW w:w="1170" w:type="dxa"/>
            <w:shd w:val="clear" w:color="auto" w:fill="auto"/>
            <w:noWrap/>
            <w:vAlign w:val="center"/>
          </w:tcPr>
          <w:p w:rsidR="003F043F" w:rsidRPr="006172FD" w:rsidP="006172FD" w14:paraId="6704B2B1" w14:textId="5A4B189B">
            <w:pPr>
              <w:jc w:val="center"/>
              <w:rPr>
                <w:b/>
                <w:bCs/>
                <w:color w:val="000000"/>
              </w:rPr>
            </w:pPr>
            <w:r w:rsidRPr="006172FD">
              <w:rPr>
                <w:b/>
                <w:bCs/>
              </w:rPr>
              <w:t>Hourly Rate</w:t>
            </w:r>
          </w:p>
        </w:tc>
        <w:tc>
          <w:tcPr>
            <w:tcW w:w="1440" w:type="dxa"/>
            <w:shd w:val="clear" w:color="auto" w:fill="auto"/>
            <w:noWrap/>
            <w:vAlign w:val="center"/>
          </w:tcPr>
          <w:p w:rsidR="003F043F" w:rsidRPr="006172FD" w:rsidP="006172FD" w14:paraId="3A482736" w14:textId="0DFBEB52">
            <w:pPr>
              <w:jc w:val="center"/>
              <w:rPr>
                <w:b/>
                <w:bCs/>
                <w:color w:val="000000"/>
              </w:rPr>
            </w:pPr>
            <w:r w:rsidRPr="006172FD">
              <w:rPr>
                <w:b/>
                <w:bCs/>
              </w:rPr>
              <w:t>Annual Costs</w:t>
            </w:r>
          </w:p>
        </w:tc>
      </w:tr>
      <w:tr w14:paraId="097520EA"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1AFBDF90" w14:textId="01E7B68D">
            <w:pPr>
              <w:rPr>
                <w:color w:val="000000"/>
              </w:rPr>
            </w:pPr>
            <w:r w:rsidRPr="006172FD">
              <w:rPr>
                <w:color w:val="000000"/>
              </w:rPr>
              <w:t xml:space="preserve">Report a discovery </w:t>
            </w:r>
          </w:p>
        </w:tc>
        <w:tc>
          <w:tcPr>
            <w:tcW w:w="2430" w:type="dxa"/>
            <w:shd w:val="clear" w:color="auto" w:fill="auto"/>
            <w:noWrap/>
            <w:vAlign w:val="center"/>
            <w:hideMark/>
          </w:tcPr>
          <w:p w:rsidR="009517D5" w:rsidRPr="006172FD" w:rsidP="006172FD" w14:paraId="4BBC5F9E" w14:textId="77777777">
            <w:pPr>
              <w:rPr>
                <w:color w:val="000000"/>
              </w:rPr>
            </w:pPr>
            <w:r w:rsidRPr="006172FD">
              <w:rPr>
                <w:color w:val="000000"/>
              </w:rPr>
              <w:t>Any person</w:t>
            </w:r>
          </w:p>
        </w:tc>
        <w:tc>
          <w:tcPr>
            <w:tcW w:w="1350" w:type="dxa"/>
            <w:shd w:val="clear" w:color="auto" w:fill="auto"/>
            <w:noWrap/>
            <w:vAlign w:val="center"/>
            <w:hideMark/>
          </w:tcPr>
          <w:p w:rsidR="009517D5" w:rsidRPr="006172FD" w:rsidP="006172FD" w14:paraId="14AD151B" w14:textId="77777777">
            <w:pPr>
              <w:jc w:val="right"/>
              <w:rPr>
                <w:color w:val="000000"/>
              </w:rPr>
            </w:pPr>
            <w:r w:rsidRPr="006172FD">
              <w:rPr>
                <w:color w:val="000000"/>
              </w:rPr>
              <w:t>15</w:t>
            </w:r>
          </w:p>
        </w:tc>
        <w:tc>
          <w:tcPr>
            <w:tcW w:w="1260" w:type="dxa"/>
            <w:shd w:val="clear" w:color="auto" w:fill="auto"/>
            <w:noWrap/>
            <w:vAlign w:val="center"/>
            <w:hideMark/>
          </w:tcPr>
          <w:p w:rsidR="009517D5" w:rsidRPr="006172FD" w:rsidP="006172FD" w14:paraId="4F0F6514" w14:textId="77777777">
            <w:pPr>
              <w:jc w:val="right"/>
              <w:rPr>
                <w:color w:val="000000"/>
              </w:rPr>
            </w:pPr>
            <w:r w:rsidRPr="006172FD">
              <w:rPr>
                <w:color w:val="000000"/>
              </w:rPr>
              <w:t>0.50</w:t>
            </w:r>
          </w:p>
        </w:tc>
        <w:tc>
          <w:tcPr>
            <w:tcW w:w="1620" w:type="dxa"/>
            <w:shd w:val="clear" w:color="auto" w:fill="auto"/>
            <w:noWrap/>
            <w:vAlign w:val="center"/>
            <w:hideMark/>
          </w:tcPr>
          <w:p w:rsidR="009517D5" w:rsidRPr="006172FD" w:rsidP="006172FD" w14:paraId="1CA599EB" w14:textId="77777777">
            <w:pPr>
              <w:jc w:val="right"/>
              <w:rPr>
                <w:color w:val="000000"/>
              </w:rPr>
            </w:pPr>
            <w:r w:rsidRPr="006172FD">
              <w:rPr>
                <w:color w:val="000000"/>
              </w:rPr>
              <w:t>7.50</w:t>
            </w:r>
          </w:p>
        </w:tc>
        <w:tc>
          <w:tcPr>
            <w:tcW w:w="1170" w:type="dxa"/>
            <w:shd w:val="clear" w:color="auto" w:fill="auto"/>
            <w:noWrap/>
            <w:vAlign w:val="center"/>
            <w:hideMark/>
          </w:tcPr>
          <w:p w:rsidR="009517D5" w:rsidRPr="006172FD" w:rsidP="006172FD" w14:paraId="180E8432" w14:textId="77777777">
            <w:pPr>
              <w:jc w:val="right"/>
              <w:rPr>
                <w:color w:val="000000"/>
              </w:rPr>
            </w:pPr>
            <w:r w:rsidRPr="006172FD">
              <w:rPr>
                <w:color w:val="000000"/>
              </w:rPr>
              <w:t>$40.90</w:t>
            </w:r>
          </w:p>
        </w:tc>
        <w:tc>
          <w:tcPr>
            <w:tcW w:w="1440" w:type="dxa"/>
            <w:shd w:val="clear" w:color="auto" w:fill="auto"/>
            <w:noWrap/>
            <w:vAlign w:val="center"/>
            <w:hideMark/>
          </w:tcPr>
          <w:p w:rsidR="009517D5" w:rsidRPr="006172FD" w:rsidP="006172FD" w14:paraId="7FF23200" w14:textId="77777777">
            <w:pPr>
              <w:jc w:val="right"/>
              <w:rPr>
                <w:color w:val="000000"/>
              </w:rPr>
            </w:pPr>
            <w:r w:rsidRPr="006172FD">
              <w:rPr>
                <w:color w:val="000000"/>
              </w:rPr>
              <w:t>$307.00</w:t>
            </w:r>
          </w:p>
        </w:tc>
      </w:tr>
      <w:tr w14:paraId="434712EF"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6D7C6EAC" w14:textId="4C22E26D">
            <w:pPr>
              <w:rPr>
                <w:color w:val="000000"/>
              </w:rPr>
            </w:pPr>
            <w:r w:rsidRPr="006172FD">
              <w:rPr>
                <w:color w:val="000000"/>
              </w:rPr>
              <w:t>Respond to a discovery</w:t>
            </w:r>
          </w:p>
        </w:tc>
        <w:tc>
          <w:tcPr>
            <w:tcW w:w="2430" w:type="dxa"/>
            <w:shd w:val="clear" w:color="auto" w:fill="auto"/>
            <w:noWrap/>
            <w:vAlign w:val="center"/>
            <w:hideMark/>
          </w:tcPr>
          <w:p w:rsidR="009517D5" w:rsidRPr="006172FD" w:rsidP="006172FD" w14:paraId="59AEA921" w14:textId="77777777">
            <w:pPr>
              <w:rPr>
                <w:color w:val="000000"/>
              </w:rPr>
            </w:pPr>
            <w:r w:rsidRPr="006172FD">
              <w:rPr>
                <w:color w:val="000000"/>
              </w:rPr>
              <w:t>Indian Tribes/NHOs</w:t>
            </w:r>
          </w:p>
        </w:tc>
        <w:tc>
          <w:tcPr>
            <w:tcW w:w="1350" w:type="dxa"/>
            <w:shd w:val="clear" w:color="auto" w:fill="auto"/>
            <w:noWrap/>
            <w:vAlign w:val="center"/>
            <w:hideMark/>
          </w:tcPr>
          <w:p w:rsidR="009517D5" w:rsidRPr="006172FD" w:rsidP="006172FD" w14:paraId="1C9B3F84" w14:textId="77777777">
            <w:pPr>
              <w:jc w:val="right"/>
              <w:rPr>
                <w:color w:val="000000"/>
              </w:rPr>
            </w:pPr>
            <w:r w:rsidRPr="006172FD">
              <w:rPr>
                <w:color w:val="000000"/>
              </w:rPr>
              <w:t>4</w:t>
            </w:r>
          </w:p>
        </w:tc>
        <w:tc>
          <w:tcPr>
            <w:tcW w:w="1260" w:type="dxa"/>
            <w:shd w:val="clear" w:color="auto" w:fill="auto"/>
            <w:noWrap/>
            <w:vAlign w:val="center"/>
            <w:hideMark/>
          </w:tcPr>
          <w:p w:rsidR="009517D5" w:rsidRPr="006172FD" w:rsidP="006172FD" w14:paraId="0AE06D58" w14:textId="77777777">
            <w:pPr>
              <w:jc w:val="right"/>
              <w:rPr>
                <w:color w:val="000000"/>
              </w:rPr>
            </w:pPr>
            <w:r w:rsidRPr="006172FD">
              <w:rPr>
                <w:color w:val="000000"/>
              </w:rPr>
              <w:t>5.25</w:t>
            </w:r>
          </w:p>
        </w:tc>
        <w:tc>
          <w:tcPr>
            <w:tcW w:w="1620" w:type="dxa"/>
            <w:shd w:val="clear" w:color="auto" w:fill="auto"/>
            <w:noWrap/>
            <w:vAlign w:val="center"/>
            <w:hideMark/>
          </w:tcPr>
          <w:p w:rsidR="009517D5" w:rsidRPr="006172FD" w:rsidP="006172FD" w14:paraId="5ECF79E5" w14:textId="77777777">
            <w:pPr>
              <w:jc w:val="right"/>
              <w:rPr>
                <w:color w:val="000000"/>
              </w:rPr>
            </w:pPr>
            <w:r w:rsidRPr="006172FD">
              <w:rPr>
                <w:color w:val="000000"/>
              </w:rPr>
              <w:t>21.00</w:t>
            </w:r>
          </w:p>
        </w:tc>
        <w:tc>
          <w:tcPr>
            <w:tcW w:w="1170" w:type="dxa"/>
            <w:shd w:val="clear" w:color="auto" w:fill="auto"/>
            <w:noWrap/>
            <w:vAlign w:val="center"/>
            <w:hideMark/>
          </w:tcPr>
          <w:p w:rsidR="009517D5" w:rsidRPr="006172FD" w:rsidP="006172FD" w14:paraId="5884377B"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63515C19" w14:textId="77777777">
            <w:pPr>
              <w:jc w:val="right"/>
              <w:rPr>
                <w:color w:val="000000"/>
              </w:rPr>
            </w:pPr>
            <w:r w:rsidRPr="006172FD">
              <w:rPr>
                <w:color w:val="000000"/>
              </w:rPr>
              <w:t>$1,349.00</w:t>
            </w:r>
          </w:p>
        </w:tc>
      </w:tr>
      <w:tr w14:paraId="46679048"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18AE2B3A" w14:textId="10AA5F05">
            <w:pPr>
              <w:rPr>
                <w:color w:val="000000"/>
              </w:rPr>
            </w:pPr>
            <w:r w:rsidRPr="006172FD">
              <w:rPr>
                <w:color w:val="000000"/>
              </w:rPr>
              <w:t>Respond to a discovery</w:t>
            </w:r>
          </w:p>
        </w:tc>
        <w:tc>
          <w:tcPr>
            <w:tcW w:w="2430" w:type="dxa"/>
            <w:shd w:val="clear" w:color="auto" w:fill="auto"/>
            <w:noWrap/>
            <w:vAlign w:val="center"/>
            <w:hideMark/>
          </w:tcPr>
          <w:p w:rsidR="009517D5" w:rsidRPr="006172FD" w:rsidP="006172FD" w14:paraId="6CBCFFB9" w14:textId="77777777">
            <w:pPr>
              <w:rPr>
                <w:color w:val="000000"/>
              </w:rPr>
            </w:pPr>
            <w:r w:rsidRPr="006172FD">
              <w:rPr>
                <w:color w:val="000000"/>
              </w:rPr>
              <w:t>Federal Agency</w:t>
            </w:r>
          </w:p>
        </w:tc>
        <w:tc>
          <w:tcPr>
            <w:tcW w:w="1350" w:type="dxa"/>
            <w:shd w:val="clear" w:color="auto" w:fill="auto"/>
            <w:noWrap/>
            <w:vAlign w:val="center"/>
            <w:hideMark/>
          </w:tcPr>
          <w:p w:rsidR="009517D5" w:rsidRPr="006172FD" w:rsidP="006172FD" w14:paraId="29AB4A21" w14:textId="77777777">
            <w:pPr>
              <w:jc w:val="right"/>
              <w:rPr>
                <w:color w:val="000000"/>
              </w:rPr>
            </w:pPr>
            <w:r w:rsidRPr="006172FD">
              <w:rPr>
                <w:color w:val="000000"/>
              </w:rPr>
              <w:t>11</w:t>
            </w:r>
          </w:p>
        </w:tc>
        <w:tc>
          <w:tcPr>
            <w:tcW w:w="1260" w:type="dxa"/>
            <w:shd w:val="clear" w:color="auto" w:fill="auto"/>
            <w:noWrap/>
            <w:vAlign w:val="center"/>
            <w:hideMark/>
          </w:tcPr>
          <w:p w:rsidR="009517D5" w:rsidRPr="006172FD" w:rsidP="006172FD" w14:paraId="2B479973" w14:textId="77777777">
            <w:pPr>
              <w:jc w:val="right"/>
              <w:rPr>
                <w:color w:val="000000"/>
              </w:rPr>
            </w:pPr>
            <w:r w:rsidRPr="006172FD">
              <w:rPr>
                <w:color w:val="000000"/>
              </w:rPr>
              <w:t>5.25</w:t>
            </w:r>
          </w:p>
        </w:tc>
        <w:tc>
          <w:tcPr>
            <w:tcW w:w="1620" w:type="dxa"/>
            <w:shd w:val="clear" w:color="auto" w:fill="auto"/>
            <w:noWrap/>
            <w:vAlign w:val="center"/>
            <w:hideMark/>
          </w:tcPr>
          <w:p w:rsidR="009517D5" w:rsidRPr="006172FD" w:rsidP="006172FD" w14:paraId="74D692DC" w14:textId="77777777">
            <w:pPr>
              <w:jc w:val="right"/>
              <w:rPr>
                <w:color w:val="000000"/>
              </w:rPr>
            </w:pPr>
            <w:r w:rsidRPr="006172FD">
              <w:rPr>
                <w:color w:val="000000"/>
              </w:rPr>
              <w:t>57.75</w:t>
            </w:r>
          </w:p>
        </w:tc>
        <w:tc>
          <w:tcPr>
            <w:tcW w:w="1170" w:type="dxa"/>
            <w:shd w:val="clear" w:color="auto" w:fill="auto"/>
            <w:noWrap/>
            <w:vAlign w:val="center"/>
            <w:hideMark/>
          </w:tcPr>
          <w:p w:rsidR="009517D5" w:rsidRPr="006172FD" w:rsidP="006172FD" w14:paraId="66CD0A11"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630809A9" w14:textId="77777777">
            <w:pPr>
              <w:jc w:val="right"/>
              <w:rPr>
                <w:color w:val="000000"/>
              </w:rPr>
            </w:pPr>
            <w:r w:rsidRPr="006172FD">
              <w:rPr>
                <w:color w:val="000000"/>
              </w:rPr>
              <w:t>$3,711.00</w:t>
            </w:r>
          </w:p>
        </w:tc>
      </w:tr>
      <w:tr w14:paraId="21DC3117"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0E16E59D" w14:textId="1BED76BC">
            <w:pPr>
              <w:rPr>
                <w:color w:val="000000"/>
              </w:rPr>
            </w:pPr>
            <w:r w:rsidRPr="006172FD">
              <w:rPr>
                <w:color w:val="000000"/>
              </w:rPr>
              <w:t>Consent to an excavation</w:t>
            </w:r>
          </w:p>
        </w:tc>
        <w:tc>
          <w:tcPr>
            <w:tcW w:w="2430" w:type="dxa"/>
            <w:shd w:val="clear" w:color="auto" w:fill="auto"/>
            <w:noWrap/>
            <w:vAlign w:val="center"/>
            <w:hideMark/>
          </w:tcPr>
          <w:p w:rsidR="009517D5" w:rsidRPr="006172FD" w:rsidP="006172FD" w14:paraId="1F736824" w14:textId="77777777">
            <w:pPr>
              <w:rPr>
                <w:color w:val="000000"/>
              </w:rPr>
            </w:pPr>
            <w:r w:rsidRPr="006172FD">
              <w:rPr>
                <w:color w:val="000000"/>
              </w:rPr>
              <w:t>Indian Tribes/NHOs</w:t>
            </w:r>
          </w:p>
        </w:tc>
        <w:tc>
          <w:tcPr>
            <w:tcW w:w="1350" w:type="dxa"/>
            <w:shd w:val="clear" w:color="auto" w:fill="auto"/>
            <w:noWrap/>
            <w:vAlign w:val="center"/>
            <w:hideMark/>
          </w:tcPr>
          <w:p w:rsidR="009517D5" w:rsidRPr="006172FD" w:rsidP="006172FD" w14:paraId="296EF815" w14:textId="77777777">
            <w:pPr>
              <w:jc w:val="right"/>
              <w:rPr>
                <w:color w:val="000000"/>
              </w:rPr>
            </w:pPr>
            <w:r w:rsidRPr="006172FD">
              <w:rPr>
                <w:color w:val="000000"/>
              </w:rPr>
              <w:t>1</w:t>
            </w:r>
          </w:p>
        </w:tc>
        <w:tc>
          <w:tcPr>
            <w:tcW w:w="1260" w:type="dxa"/>
            <w:shd w:val="clear" w:color="auto" w:fill="auto"/>
            <w:noWrap/>
            <w:vAlign w:val="center"/>
            <w:hideMark/>
          </w:tcPr>
          <w:p w:rsidR="009517D5" w:rsidRPr="006172FD" w:rsidP="006172FD" w14:paraId="213010A7" w14:textId="77777777">
            <w:pPr>
              <w:jc w:val="right"/>
              <w:rPr>
                <w:color w:val="000000"/>
              </w:rPr>
            </w:pPr>
            <w:r w:rsidRPr="006172FD">
              <w:rPr>
                <w:color w:val="000000"/>
              </w:rPr>
              <w:t>5.25</w:t>
            </w:r>
          </w:p>
        </w:tc>
        <w:tc>
          <w:tcPr>
            <w:tcW w:w="1620" w:type="dxa"/>
            <w:shd w:val="clear" w:color="auto" w:fill="auto"/>
            <w:noWrap/>
            <w:vAlign w:val="center"/>
            <w:hideMark/>
          </w:tcPr>
          <w:p w:rsidR="009517D5" w:rsidRPr="006172FD" w:rsidP="006172FD" w14:paraId="4BFB9409" w14:textId="77777777">
            <w:pPr>
              <w:jc w:val="right"/>
              <w:rPr>
                <w:color w:val="000000"/>
              </w:rPr>
            </w:pPr>
            <w:r w:rsidRPr="006172FD">
              <w:rPr>
                <w:color w:val="000000"/>
              </w:rPr>
              <w:t>5.25</w:t>
            </w:r>
          </w:p>
        </w:tc>
        <w:tc>
          <w:tcPr>
            <w:tcW w:w="1170" w:type="dxa"/>
            <w:shd w:val="clear" w:color="auto" w:fill="auto"/>
            <w:noWrap/>
            <w:vAlign w:val="center"/>
            <w:hideMark/>
          </w:tcPr>
          <w:p w:rsidR="009517D5" w:rsidRPr="006172FD" w:rsidP="006172FD" w14:paraId="0D6AEE0C"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5A3AEE7E" w14:textId="77777777">
            <w:pPr>
              <w:jc w:val="right"/>
              <w:rPr>
                <w:color w:val="000000"/>
              </w:rPr>
            </w:pPr>
            <w:r w:rsidRPr="006172FD">
              <w:rPr>
                <w:color w:val="000000"/>
              </w:rPr>
              <w:t>$337.00</w:t>
            </w:r>
          </w:p>
        </w:tc>
      </w:tr>
      <w:tr w14:paraId="1B6D2795"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1754069D" w14:textId="2F20CF19">
            <w:pPr>
              <w:rPr>
                <w:color w:val="000000"/>
              </w:rPr>
            </w:pPr>
            <w:r w:rsidRPr="006172FD">
              <w:rPr>
                <w:color w:val="000000"/>
              </w:rPr>
              <w:t>Authorize an excavation</w:t>
            </w:r>
          </w:p>
        </w:tc>
        <w:tc>
          <w:tcPr>
            <w:tcW w:w="2430" w:type="dxa"/>
            <w:shd w:val="clear" w:color="auto" w:fill="auto"/>
            <w:noWrap/>
            <w:vAlign w:val="center"/>
            <w:hideMark/>
          </w:tcPr>
          <w:p w:rsidR="009517D5" w:rsidRPr="006172FD" w:rsidP="006172FD" w14:paraId="0D8E84EA" w14:textId="77777777">
            <w:pPr>
              <w:rPr>
                <w:color w:val="000000"/>
              </w:rPr>
            </w:pPr>
            <w:r w:rsidRPr="006172FD">
              <w:rPr>
                <w:color w:val="000000"/>
              </w:rPr>
              <w:t>Federal Agency</w:t>
            </w:r>
          </w:p>
        </w:tc>
        <w:tc>
          <w:tcPr>
            <w:tcW w:w="1350" w:type="dxa"/>
            <w:shd w:val="clear" w:color="auto" w:fill="auto"/>
            <w:noWrap/>
            <w:vAlign w:val="center"/>
            <w:hideMark/>
          </w:tcPr>
          <w:p w:rsidR="009517D5" w:rsidRPr="006172FD" w:rsidP="006172FD" w14:paraId="2F8DAA40" w14:textId="5E820BCF">
            <w:pPr>
              <w:jc w:val="right"/>
              <w:rPr>
                <w:color w:val="000000"/>
              </w:rPr>
            </w:pPr>
            <w:r>
              <w:rPr>
                <w:color w:val="000000"/>
              </w:rPr>
              <w:t>3</w:t>
            </w:r>
          </w:p>
        </w:tc>
        <w:tc>
          <w:tcPr>
            <w:tcW w:w="1260" w:type="dxa"/>
            <w:shd w:val="clear" w:color="auto" w:fill="auto"/>
            <w:noWrap/>
            <w:vAlign w:val="center"/>
            <w:hideMark/>
          </w:tcPr>
          <w:p w:rsidR="009517D5" w:rsidRPr="006172FD" w:rsidP="006172FD" w14:paraId="68C9174A" w14:textId="77777777">
            <w:pPr>
              <w:jc w:val="right"/>
              <w:rPr>
                <w:color w:val="000000"/>
              </w:rPr>
            </w:pPr>
            <w:r w:rsidRPr="006172FD">
              <w:rPr>
                <w:color w:val="000000"/>
              </w:rPr>
              <w:t>5.25</w:t>
            </w:r>
          </w:p>
        </w:tc>
        <w:tc>
          <w:tcPr>
            <w:tcW w:w="1620" w:type="dxa"/>
            <w:shd w:val="clear" w:color="auto" w:fill="auto"/>
            <w:noWrap/>
            <w:vAlign w:val="center"/>
            <w:hideMark/>
          </w:tcPr>
          <w:p w:rsidR="009517D5" w:rsidRPr="006172FD" w:rsidP="006172FD" w14:paraId="058F5B03" w14:textId="71497AD6">
            <w:pPr>
              <w:jc w:val="right"/>
              <w:rPr>
                <w:color w:val="000000"/>
              </w:rPr>
            </w:pPr>
            <w:r>
              <w:rPr>
                <w:color w:val="000000"/>
              </w:rPr>
              <w:t>15.75</w:t>
            </w:r>
          </w:p>
        </w:tc>
        <w:tc>
          <w:tcPr>
            <w:tcW w:w="1170" w:type="dxa"/>
            <w:shd w:val="clear" w:color="auto" w:fill="auto"/>
            <w:noWrap/>
            <w:vAlign w:val="center"/>
            <w:hideMark/>
          </w:tcPr>
          <w:p w:rsidR="009517D5" w:rsidRPr="006172FD" w:rsidP="006172FD" w14:paraId="67A32F7F"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7A61F7D2" w14:textId="32656E9F">
            <w:pPr>
              <w:jc w:val="right"/>
              <w:rPr>
                <w:color w:val="000000"/>
              </w:rPr>
            </w:pPr>
            <w:r>
              <w:rPr>
                <w:color w:val="000000"/>
              </w:rPr>
              <w:t>$1,012.00</w:t>
            </w:r>
          </w:p>
        </w:tc>
      </w:tr>
      <w:tr w14:paraId="584B7C8D"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45942F02" w14:textId="7F365D8B">
            <w:pPr>
              <w:rPr>
                <w:color w:val="000000"/>
              </w:rPr>
            </w:pPr>
            <w:r>
              <w:rPr>
                <w:color w:val="000000"/>
              </w:rPr>
              <w:t>C</w:t>
            </w:r>
            <w:r w:rsidRPr="006172FD">
              <w:rPr>
                <w:color w:val="000000"/>
              </w:rPr>
              <w:t>onduct consultation</w:t>
            </w:r>
          </w:p>
        </w:tc>
        <w:tc>
          <w:tcPr>
            <w:tcW w:w="2430" w:type="dxa"/>
            <w:shd w:val="clear" w:color="auto" w:fill="auto"/>
            <w:noWrap/>
            <w:vAlign w:val="center"/>
            <w:hideMark/>
          </w:tcPr>
          <w:p w:rsidR="009517D5" w:rsidRPr="006172FD" w:rsidP="006172FD" w14:paraId="60DC3C30" w14:textId="77777777">
            <w:pPr>
              <w:rPr>
                <w:color w:val="000000"/>
              </w:rPr>
            </w:pPr>
            <w:r w:rsidRPr="006172FD">
              <w:rPr>
                <w:color w:val="000000"/>
              </w:rPr>
              <w:t>Federal Agency</w:t>
            </w:r>
          </w:p>
        </w:tc>
        <w:tc>
          <w:tcPr>
            <w:tcW w:w="1350" w:type="dxa"/>
            <w:shd w:val="clear" w:color="auto" w:fill="auto"/>
            <w:noWrap/>
            <w:vAlign w:val="center"/>
            <w:hideMark/>
          </w:tcPr>
          <w:p w:rsidR="009517D5" w:rsidRPr="006172FD" w:rsidP="006172FD" w14:paraId="7BFDDCD1" w14:textId="77777777">
            <w:pPr>
              <w:jc w:val="right"/>
              <w:rPr>
                <w:color w:val="000000"/>
              </w:rPr>
            </w:pPr>
            <w:r w:rsidRPr="006172FD">
              <w:rPr>
                <w:color w:val="000000"/>
              </w:rPr>
              <w:t>3</w:t>
            </w:r>
          </w:p>
        </w:tc>
        <w:tc>
          <w:tcPr>
            <w:tcW w:w="1260" w:type="dxa"/>
            <w:shd w:val="clear" w:color="auto" w:fill="auto"/>
            <w:noWrap/>
            <w:vAlign w:val="center"/>
            <w:hideMark/>
          </w:tcPr>
          <w:p w:rsidR="009517D5" w:rsidRPr="006172FD" w:rsidP="006172FD" w14:paraId="550D46E5" w14:textId="77777777">
            <w:pPr>
              <w:jc w:val="right"/>
              <w:rPr>
                <w:color w:val="000000"/>
              </w:rPr>
            </w:pPr>
            <w:r w:rsidRPr="006172FD">
              <w:rPr>
                <w:color w:val="000000"/>
              </w:rPr>
              <w:t>30.25</w:t>
            </w:r>
          </w:p>
        </w:tc>
        <w:tc>
          <w:tcPr>
            <w:tcW w:w="1620" w:type="dxa"/>
            <w:shd w:val="clear" w:color="auto" w:fill="auto"/>
            <w:noWrap/>
            <w:vAlign w:val="center"/>
            <w:hideMark/>
          </w:tcPr>
          <w:p w:rsidR="009517D5" w:rsidRPr="006172FD" w:rsidP="006172FD" w14:paraId="79659A87" w14:textId="77777777">
            <w:pPr>
              <w:jc w:val="right"/>
              <w:rPr>
                <w:color w:val="000000"/>
              </w:rPr>
            </w:pPr>
            <w:r w:rsidRPr="006172FD">
              <w:rPr>
                <w:color w:val="000000"/>
              </w:rPr>
              <w:t>90.75</w:t>
            </w:r>
          </w:p>
        </w:tc>
        <w:tc>
          <w:tcPr>
            <w:tcW w:w="1170" w:type="dxa"/>
            <w:shd w:val="clear" w:color="auto" w:fill="auto"/>
            <w:noWrap/>
            <w:vAlign w:val="center"/>
            <w:hideMark/>
          </w:tcPr>
          <w:p w:rsidR="009517D5" w:rsidRPr="006172FD" w:rsidP="006172FD" w14:paraId="49E616FE"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1B0CE21F" w14:textId="77777777">
            <w:pPr>
              <w:jc w:val="right"/>
              <w:rPr>
                <w:color w:val="000000"/>
              </w:rPr>
            </w:pPr>
            <w:r w:rsidRPr="006172FD">
              <w:rPr>
                <w:color w:val="000000"/>
              </w:rPr>
              <w:t>$5,832.00</w:t>
            </w:r>
          </w:p>
        </w:tc>
      </w:tr>
      <w:tr w14:paraId="5C8BFCCD"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62F61D63" w14:textId="0D2C4506">
            <w:pPr>
              <w:rPr>
                <w:color w:val="000000"/>
              </w:rPr>
            </w:pPr>
            <w:r w:rsidRPr="006172FD">
              <w:rPr>
                <w:color w:val="000000"/>
              </w:rPr>
              <w:t xml:space="preserve">Complete a </w:t>
            </w:r>
            <w:r w:rsidR="00B66B9A">
              <w:rPr>
                <w:color w:val="000000"/>
              </w:rPr>
              <w:t>p</w:t>
            </w:r>
            <w:r w:rsidRPr="006172FD">
              <w:rPr>
                <w:color w:val="000000"/>
              </w:rPr>
              <w:t>lan of action</w:t>
            </w:r>
          </w:p>
        </w:tc>
        <w:tc>
          <w:tcPr>
            <w:tcW w:w="2430" w:type="dxa"/>
            <w:shd w:val="clear" w:color="auto" w:fill="auto"/>
            <w:noWrap/>
            <w:vAlign w:val="center"/>
            <w:hideMark/>
          </w:tcPr>
          <w:p w:rsidR="009517D5" w:rsidRPr="006172FD" w:rsidP="006172FD" w14:paraId="16D25BF3" w14:textId="77777777">
            <w:pPr>
              <w:rPr>
                <w:color w:val="000000"/>
              </w:rPr>
            </w:pPr>
            <w:r w:rsidRPr="006172FD">
              <w:rPr>
                <w:color w:val="000000"/>
              </w:rPr>
              <w:t>Federal Agency</w:t>
            </w:r>
          </w:p>
        </w:tc>
        <w:tc>
          <w:tcPr>
            <w:tcW w:w="1350" w:type="dxa"/>
            <w:shd w:val="clear" w:color="auto" w:fill="auto"/>
            <w:noWrap/>
            <w:vAlign w:val="center"/>
            <w:hideMark/>
          </w:tcPr>
          <w:p w:rsidR="009517D5" w:rsidRPr="006172FD" w:rsidP="006172FD" w14:paraId="1F1E2BDB" w14:textId="77777777">
            <w:pPr>
              <w:jc w:val="right"/>
              <w:rPr>
                <w:color w:val="000000"/>
              </w:rPr>
            </w:pPr>
            <w:r w:rsidRPr="006172FD">
              <w:rPr>
                <w:color w:val="000000"/>
              </w:rPr>
              <w:t>3</w:t>
            </w:r>
          </w:p>
        </w:tc>
        <w:tc>
          <w:tcPr>
            <w:tcW w:w="1260" w:type="dxa"/>
            <w:shd w:val="clear" w:color="auto" w:fill="auto"/>
            <w:noWrap/>
            <w:vAlign w:val="center"/>
            <w:hideMark/>
          </w:tcPr>
          <w:p w:rsidR="009517D5" w:rsidRPr="006172FD" w:rsidP="006172FD" w14:paraId="63853B56" w14:textId="77777777">
            <w:pPr>
              <w:jc w:val="right"/>
              <w:rPr>
                <w:color w:val="000000"/>
              </w:rPr>
            </w:pPr>
            <w:r w:rsidRPr="006172FD">
              <w:rPr>
                <w:color w:val="000000"/>
              </w:rPr>
              <w:t>20.50</w:t>
            </w:r>
          </w:p>
        </w:tc>
        <w:tc>
          <w:tcPr>
            <w:tcW w:w="1620" w:type="dxa"/>
            <w:shd w:val="clear" w:color="auto" w:fill="auto"/>
            <w:noWrap/>
            <w:vAlign w:val="center"/>
            <w:hideMark/>
          </w:tcPr>
          <w:p w:rsidR="009517D5" w:rsidRPr="006172FD" w:rsidP="006172FD" w14:paraId="094236BA" w14:textId="77777777">
            <w:pPr>
              <w:jc w:val="right"/>
              <w:rPr>
                <w:color w:val="000000"/>
              </w:rPr>
            </w:pPr>
            <w:r w:rsidRPr="006172FD">
              <w:rPr>
                <w:color w:val="000000"/>
              </w:rPr>
              <w:t>61.50</w:t>
            </w:r>
          </w:p>
        </w:tc>
        <w:tc>
          <w:tcPr>
            <w:tcW w:w="1170" w:type="dxa"/>
            <w:shd w:val="clear" w:color="auto" w:fill="auto"/>
            <w:noWrap/>
            <w:vAlign w:val="center"/>
            <w:hideMark/>
          </w:tcPr>
          <w:p w:rsidR="009517D5" w:rsidRPr="006172FD" w:rsidP="006172FD" w14:paraId="4C3A20F0"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6D0E66D5" w14:textId="77777777">
            <w:pPr>
              <w:jc w:val="right"/>
              <w:rPr>
                <w:color w:val="000000"/>
              </w:rPr>
            </w:pPr>
            <w:r w:rsidRPr="006172FD">
              <w:rPr>
                <w:color w:val="000000"/>
              </w:rPr>
              <w:t>$3,952.00</w:t>
            </w:r>
          </w:p>
        </w:tc>
      </w:tr>
      <w:tr w14:paraId="3D91CC7B"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016E3565" w14:textId="1C40771F">
            <w:pPr>
              <w:rPr>
                <w:color w:val="000000"/>
              </w:rPr>
            </w:pPr>
            <w:r w:rsidRPr="006172FD">
              <w:rPr>
                <w:color w:val="000000"/>
              </w:rPr>
              <w:t>Publish notices of intended disposition</w:t>
            </w:r>
          </w:p>
        </w:tc>
        <w:tc>
          <w:tcPr>
            <w:tcW w:w="2430" w:type="dxa"/>
            <w:shd w:val="clear" w:color="auto" w:fill="auto"/>
            <w:noWrap/>
            <w:vAlign w:val="center"/>
            <w:hideMark/>
          </w:tcPr>
          <w:p w:rsidR="009517D5" w:rsidRPr="006172FD" w:rsidP="006172FD" w14:paraId="7C030CE6" w14:textId="77777777">
            <w:pPr>
              <w:rPr>
                <w:color w:val="000000"/>
              </w:rPr>
            </w:pPr>
            <w:r w:rsidRPr="006172FD">
              <w:rPr>
                <w:color w:val="000000"/>
              </w:rPr>
              <w:t>Federal Agency</w:t>
            </w:r>
          </w:p>
        </w:tc>
        <w:tc>
          <w:tcPr>
            <w:tcW w:w="1350" w:type="dxa"/>
            <w:shd w:val="clear" w:color="auto" w:fill="auto"/>
            <w:noWrap/>
            <w:vAlign w:val="center"/>
            <w:hideMark/>
          </w:tcPr>
          <w:p w:rsidR="009517D5" w:rsidRPr="006172FD" w:rsidP="006172FD" w14:paraId="1C12D004" w14:textId="77777777">
            <w:pPr>
              <w:jc w:val="right"/>
              <w:rPr>
                <w:color w:val="000000"/>
              </w:rPr>
            </w:pPr>
            <w:r w:rsidRPr="006172FD">
              <w:rPr>
                <w:color w:val="000000"/>
              </w:rPr>
              <w:t>11</w:t>
            </w:r>
          </w:p>
        </w:tc>
        <w:tc>
          <w:tcPr>
            <w:tcW w:w="1260" w:type="dxa"/>
            <w:shd w:val="clear" w:color="auto" w:fill="auto"/>
            <w:noWrap/>
            <w:vAlign w:val="center"/>
            <w:hideMark/>
          </w:tcPr>
          <w:p w:rsidR="009517D5" w:rsidRPr="006172FD" w:rsidP="006172FD" w14:paraId="18C2DD3B" w14:textId="77777777">
            <w:pPr>
              <w:jc w:val="right"/>
              <w:rPr>
                <w:color w:val="000000"/>
              </w:rPr>
            </w:pPr>
            <w:r w:rsidRPr="006172FD">
              <w:rPr>
                <w:color w:val="000000"/>
              </w:rPr>
              <w:t>10.25</w:t>
            </w:r>
          </w:p>
        </w:tc>
        <w:tc>
          <w:tcPr>
            <w:tcW w:w="1620" w:type="dxa"/>
            <w:shd w:val="clear" w:color="auto" w:fill="auto"/>
            <w:noWrap/>
            <w:vAlign w:val="center"/>
            <w:hideMark/>
          </w:tcPr>
          <w:p w:rsidR="009517D5" w:rsidRPr="006172FD" w:rsidP="006172FD" w14:paraId="06ADE79F" w14:textId="77777777">
            <w:pPr>
              <w:jc w:val="right"/>
              <w:rPr>
                <w:color w:val="000000"/>
              </w:rPr>
            </w:pPr>
            <w:r w:rsidRPr="006172FD">
              <w:rPr>
                <w:color w:val="000000"/>
              </w:rPr>
              <w:t>112.75</w:t>
            </w:r>
          </w:p>
        </w:tc>
        <w:tc>
          <w:tcPr>
            <w:tcW w:w="1170" w:type="dxa"/>
            <w:shd w:val="clear" w:color="auto" w:fill="auto"/>
            <w:noWrap/>
            <w:vAlign w:val="center"/>
            <w:hideMark/>
          </w:tcPr>
          <w:p w:rsidR="009517D5" w:rsidRPr="006172FD" w:rsidP="006172FD" w14:paraId="589B614D"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5BF0BD0F" w14:textId="77777777">
            <w:pPr>
              <w:jc w:val="right"/>
              <w:rPr>
                <w:color w:val="000000"/>
              </w:rPr>
            </w:pPr>
            <w:r w:rsidRPr="006172FD">
              <w:rPr>
                <w:color w:val="000000"/>
              </w:rPr>
              <w:t>$7,245.00</w:t>
            </w:r>
          </w:p>
        </w:tc>
      </w:tr>
      <w:tr w14:paraId="72454D3F"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1D5E50F8" w14:textId="407366BC">
            <w:pPr>
              <w:rPr>
                <w:color w:val="000000"/>
              </w:rPr>
            </w:pPr>
            <w:r w:rsidRPr="006172FD">
              <w:rPr>
                <w:color w:val="000000"/>
              </w:rPr>
              <w:t>Submit a claim for disposition</w:t>
            </w:r>
          </w:p>
        </w:tc>
        <w:tc>
          <w:tcPr>
            <w:tcW w:w="2430" w:type="dxa"/>
            <w:shd w:val="clear" w:color="auto" w:fill="auto"/>
            <w:noWrap/>
            <w:vAlign w:val="center"/>
            <w:hideMark/>
          </w:tcPr>
          <w:p w:rsidR="009517D5" w:rsidRPr="006172FD" w:rsidP="006172FD" w14:paraId="4654FC1B" w14:textId="77777777">
            <w:pPr>
              <w:rPr>
                <w:color w:val="000000"/>
              </w:rPr>
            </w:pPr>
            <w:r w:rsidRPr="006172FD">
              <w:rPr>
                <w:color w:val="000000"/>
              </w:rPr>
              <w:t>Indian Tribes/NHOs</w:t>
            </w:r>
          </w:p>
        </w:tc>
        <w:tc>
          <w:tcPr>
            <w:tcW w:w="1350" w:type="dxa"/>
            <w:shd w:val="clear" w:color="auto" w:fill="auto"/>
            <w:noWrap/>
            <w:vAlign w:val="center"/>
            <w:hideMark/>
          </w:tcPr>
          <w:p w:rsidR="009517D5" w:rsidRPr="006172FD" w:rsidP="006172FD" w14:paraId="4558729F" w14:textId="77777777">
            <w:pPr>
              <w:jc w:val="right"/>
              <w:rPr>
                <w:color w:val="000000"/>
              </w:rPr>
            </w:pPr>
            <w:r w:rsidRPr="006172FD">
              <w:rPr>
                <w:color w:val="000000"/>
              </w:rPr>
              <w:t>11</w:t>
            </w:r>
          </w:p>
        </w:tc>
        <w:tc>
          <w:tcPr>
            <w:tcW w:w="1260" w:type="dxa"/>
            <w:shd w:val="clear" w:color="auto" w:fill="auto"/>
            <w:noWrap/>
            <w:vAlign w:val="center"/>
            <w:hideMark/>
          </w:tcPr>
          <w:p w:rsidR="009517D5" w:rsidRPr="006172FD" w:rsidP="006172FD" w14:paraId="6D321D4B" w14:textId="77777777">
            <w:pPr>
              <w:jc w:val="right"/>
              <w:rPr>
                <w:color w:val="000000"/>
              </w:rPr>
            </w:pPr>
            <w:r w:rsidRPr="006172FD">
              <w:rPr>
                <w:color w:val="000000"/>
              </w:rPr>
              <w:t>5.25</w:t>
            </w:r>
          </w:p>
        </w:tc>
        <w:tc>
          <w:tcPr>
            <w:tcW w:w="1620" w:type="dxa"/>
            <w:shd w:val="clear" w:color="auto" w:fill="auto"/>
            <w:noWrap/>
            <w:vAlign w:val="center"/>
            <w:hideMark/>
          </w:tcPr>
          <w:p w:rsidR="009517D5" w:rsidRPr="006172FD" w:rsidP="006172FD" w14:paraId="369AB6CA" w14:textId="77777777">
            <w:pPr>
              <w:jc w:val="right"/>
              <w:rPr>
                <w:color w:val="000000"/>
              </w:rPr>
            </w:pPr>
            <w:r w:rsidRPr="006172FD">
              <w:rPr>
                <w:color w:val="000000"/>
              </w:rPr>
              <w:t>57.75</w:t>
            </w:r>
          </w:p>
        </w:tc>
        <w:tc>
          <w:tcPr>
            <w:tcW w:w="1170" w:type="dxa"/>
            <w:shd w:val="clear" w:color="auto" w:fill="auto"/>
            <w:noWrap/>
            <w:vAlign w:val="center"/>
            <w:hideMark/>
          </w:tcPr>
          <w:p w:rsidR="009517D5" w:rsidRPr="006172FD" w:rsidP="006172FD" w14:paraId="686336A0"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413390C3" w14:textId="77777777">
            <w:pPr>
              <w:jc w:val="right"/>
              <w:rPr>
                <w:color w:val="000000"/>
              </w:rPr>
            </w:pPr>
            <w:r w:rsidRPr="006172FD">
              <w:rPr>
                <w:color w:val="000000"/>
              </w:rPr>
              <w:t>$3,711.00</w:t>
            </w:r>
          </w:p>
        </w:tc>
      </w:tr>
      <w:tr w14:paraId="7FA8C98B"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67B163DE" w14:textId="1C449969">
            <w:pPr>
              <w:rPr>
                <w:color w:val="000000"/>
              </w:rPr>
            </w:pPr>
            <w:r w:rsidRPr="006172FD">
              <w:rPr>
                <w:color w:val="000000"/>
              </w:rPr>
              <w:t xml:space="preserve">Evaluate competing claims for </w:t>
            </w:r>
            <w:r w:rsidRPr="006172FD" w:rsidR="008C5EDB">
              <w:rPr>
                <w:color w:val="000000"/>
              </w:rPr>
              <w:t>disposition</w:t>
            </w:r>
          </w:p>
        </w:tc>
        <w:tc>
          <w:tcPr>
            <w:tcW w:w="2430" w:type="dxa"/>
            <w:shd w:val="clear" w:color="auto" w:fill="auto"/>
            <w:noWrap/>
            <w:vAlign w:val="center"/>
            <w:hideMark/>
          </w:tcPr>
          <w:p w:rsidR="009517D5" w:rsidRPr="006172FD" w:rsidP="006172FD" w14:paraId="1B5130C4" w14:textId="77777777">
            <w:pPr>
              <w:rPr>
                <w:color w:val="000000"/>
              </w:rPr>
            </w:pPr>
            <w:r w:rsidRPr="006172FD">
              <w:rPr>
                <w:color w:val="000000"/>
              </w:rPr>
              <w:t>Federal Agency</w:t>
            </w:r>
          </w:p>
        </w:tc>
        <w:tc>
          <w:tcPr>
            <w:tcW w:w="1350" w:type="dxa"/>
            <w:shd w:val="clear" w:color="auto" w:fill="auto"/>
            <w:noWrap/>
            <w:vAlign w:val="center"/>
            <w:hideMark/>
          </w:tcPr>
          <w:p w:rsidR="009517D5" w:rsidRPr="006172FD" w:rsidP="006172FD" w14:paraId="14C87F03" w14:textId="77777777">
            <w:pPr>
              <w:jc w:val="right"/>
              <w:rPr>
                <w:color w:val="000000"/>
              </w:rPr>
            </w:pPr>
            <w:r w:rsidRPr="006172FD">
              <w:rPr>
                <w:color w:val="000000"/>
              </w:rPr>
              <w:t>1</w:t>
            </w:r>
          </w:p>
        </w:tc>
        <w:tc>
          <w:tcPr>
            <w:tcW w:w="1260" w:type="dxa"/>
            <w:shd w:val="clear" w:color="auto" w:fill="auto"/>
            <w:noWrap/>
            <w:vAlign w:val="center"/>
            <w:hideMark/>
          </w:tcPr>
          <w:p w:rsidR="009517D5" w:rsidRPr="006172FD" w:rsidP="006172FD" w14:paraId="6ABD4538" w14:textId="77777777">
            <w:pPr>
              <w:jc w:val="right"/>
              <w:rPr>
                <w:color w:val="000000"/>
              </w:rPr>
            </w:pPr>
            <w:r w:rsidRPr="006172FD">
              <w:rPr>
                <w:color w:val="000000"/>
              </w:rPr>
              <w:t>25.25</w:t>
            </w:r>
          </w:p>
        </w:tc>
        <w:tc>
          <w:tcPr>
            <w:tcW w:w="1620" w:type="dxa"/>
            <w:shd w:val="clear" w:color="auto" w:fill="auto"/>
            <w:noWrap/>
            <w:vAlign w:val="center"/>
            <w:hideMark/>
          </w:tcPr>
          <w:p w:rsidR="009517D5" w:rsidRPr="006172FD" w:rsidP="006172FD" w14:paraId="7A1558D8" w14:textId="77777777">
            <w:pPr>
              <w:jc w:val="right"/>
              <w:rPr>
                <w:color w:val="000000"/>
              </w:rPr>
            </w:pPr>
            <w:r w:rsidRPr="006172FD">
              <w:rPr>
                <w:color w:val="000000"/>
              </w:rPr>
              <w:t>25.25</w:t>
            </w:r>
          </w:p>
        </w:tc>
        <w:tc>
          <w:tcPr>
            <w:tcW w:w="1170" w:type="dxa"/>
            <w:shd w:val="clear" w:color="auto" w:fill="auto"/>
            <w:noWrap/>
            <w:vAlign w:val="center"/>
            <w:hideMark/>
          </w:tcPr>
          <w:p w:rsidR="009517D5" w:rsidRPr="006172FD" w:rsidP="006172FD" w14:paraId="1FFE5F11"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7C91C7BE" w14:textId="77777777">
            <w:pPr>
              <w:jc w:val="right"/>
              <w:rPr>
                <w:color w:val="000000"/>
              </w:rPr>
            </w:pPr>
            <w:r w:rsidRPr="006172FD">
              <w:rPr>
                <w:color w:val="000000"/>
              </w:rPr>
              <w:t>$1,623.00</w:t>
            </w:r>
          </w:p>
        </w:tc>
      </w:tr>
      <w:tr w14:paraId="2DE0F28C" w14:textId="77777777" w:rsidTr="006172FD">
        <w:tblPrEx>
          <w:tblW w:w="12870" w:type="dxa"/>
          <w:tblLook w:val="04A0"/>
        </w:tblPrEx>
        <w:trPr>
          <w:trHeight w:val="300"/>
        </w:trPr>
        <w:tc>
          <w:tcPr>
            <w:tcW w:w="3600" w:type="dxa"/>
            <w:shd w:val="clear" w:color="auto" w:fill="auto"/>
            <w:noWrap/>
            <w:vAlign w:val="center"/>
            <w:hideMark/>
          </w:tcPr>
          <w:p w:rsidR="009517D5" w:rsidRPr="006172FD" w:rsidP="006172FD" w14:paraId="0948CDB7" w14:textId="00854466">
            <w:pPr>
              <w:rPr>
                <w:color w:val="000000"/>
              </w:rPr>
            </w:pPr>
            <w:r w:rsidRPr="006172FD">
              <w:rPr>
                <w:color w:val="000000"/>
              </w:rPr>
              <w:t>Transfer or reinter unclaimed human remains or cultural items</w:t>
            </w:r>
          </w:p>
        </w:tc>
        <w:tc>
          <w:tcPr>
            <w:tcW w:w="2430" w:type="dxa"/>
            <w:shd w:val="clear" w:color="auto" w:fill="auto"/>
            <w:noWrap/>
            <w:vAlign w:val="center"/>
            <w:hideMark/>
          </w:tcPr>
          <w:p w:rsidR="009517D5" w:rsidRPr="006172FD" w:rsidP="006172FD" w14:paraId="49088E77" w14:textId="77777777">
            <w:pPr>
              <w:rPr>
                <w:color w:val="000000"/>
              </w:rPr>
            </w:pPr>
            <w:r w:rsidRPr="006172FD">
              <w:rPr>
                <w:color w:val="000000"/>
              </w:rPr>
              <w:t>Federal Agency</w:t>
            </w:r>
          </w:p>
        </w:tc>
        <w:tc>
          <w:tcPr>
            <w:tcW w:w="1350" w:type="dxa"/>
            <w:shd w:val="clear" w:color="auto" w:fill="auto"/>
            <w:noWrap/>
            <w:vAlign w:val="center"/>
            <w:hideMark/>
          </w:tcPr>
          <w:p w:rsidR="009517D5" w:rsidRPr="006172FD" w:rsidP="006172FD" w14:paraId="684E52C7" w14:textId="77777777">
            <w:pPr>
              <w:jc w:val="right"/>
              <w:rPr>
                <w:color w:val="000000"/>
              </w:rPr>
            </w:pPr>
            <w:r w:rsidRPr="006172FD">
              <w:rPr>
                <w:color w:val="000000"/>
              </w:rPr>
              <w:t>2</w:t>
            </w:r>
          </w:p>
        </w:tc>
        <w:tc>
          <w:tcPr>
            <w:tcW w:w="1260" w:type="dxa"/>
            <w:shd w:val="clear" w:color="auto" w:fill="auto"/>
            <w:noWrap/>
            <w:vAlign w:val="center"/>
            <w:hideMark/>
          </w:tcPr>
          <w:p w:rsidR="009517D5" w:rsidRPr="006172FD" w:rsidP="006172FD" w14:paraId="1FCA9D8C" w14:textId="77777777">
            <w:pPr>
              <w:jc w:val="right"/>
              <w:rPr>
                <w:color w:val="000000"/>
              </w:rPr>
            </w:pPr>
            <w:r w:rsidRPr="006172FD">
              <w:rPr>
                <w:color w:val="000000"/>
              </w:rPr>
              <w:t>5.25</w:t>
            </w:r>
          </w:p>
        </w:tc>
        <w:tc>
          <w:tcPr>
            <w:tcW w:w="1620" w:type="dxa"/>
            <w:shd w:val="clear" w:color="auto" w:fill="auto"/>
            <w:noWrap/>
            <w:vAlign w:val="center"/>
            <w:hideMark/>
          </w:tcPr>
          <w:p w:rsidR="009517D5" w:rsidRPr="006172FD" w:rsidP="006172FD" w14:paraId="3B0AC400" w14:textId="77777777">
            <w:pPr>
              <w:jc w:val="right"/>
              <w:rPr>
                <w:color w:val="000000"/>
              </w:rPr>
            </w:pPr>
            <w:r w:rsidRPr="006172FD">
              <w:rPr>
                <w:color w:val="000000"/>
              </w:rPr>
              <w:t>10.25</w:t>
            </w:r>
          </w:p>
        </w:tc>
        <w:tc>
          <w:tcPr>
            <w:tcW w:w="1170" w:type="dxa"/>
            <w:shd w:val="clear" w:color="auto" w:fill="auto"/>
            <w:noWrap/>
            <w:vAlign w:val="center"/>
            <w:hideMark/>
          </w:tcPr>
          <w:p w:rsidR="009517D5" w:rsidRPr="006172FD" w:rsidP="006172FD" w14:paraId="270DFA0F" w14:textId="77777777">
            <w:pPr>
              <w:jc w:val="right"/>
              <w:rPr>
                <w:color w:val="000000"/>
              </w:rPr>
            </w:pPr>
            <w:r w:rsidRPr="006172FD">
              <w:rPr>
                <w:color w:val="000000"/>
              </w:rPr>
              <w:t>$64.26</w:t>
            </w:r>
          </w:p>
        </w:tc>
        <w:tc>
          <w:tcPr>
            <w:tcW w:w="1440" w:type="dxa"/>
            <w:shd w:val="clear" w:color="auto" w:fill="auto"/>
            <w:noWrap/>
            <w:vAlign w:val="center"/>
            <w:hideMark/>
          </w:tcPr>
          <w:p w:rsidR="009517D5" w:rsidRPr="006172FD" w:rsidP="006172FD" w14:paraId="5E3EE4EB" w14:textId="77777777">
            <w:pPr>
              <w:jc w:val="right"/>
              <w:rPr>
                <w:color w:val="000000"/>
              </w:rPr>
            </w:pPr>
            <w:r w:rsidRPr="006172FD">
              <w:rPr>
                <w:color w:val="000000"/>
              </w:rPr>
              <w:t>$659.00</w:t>
            </w:r>
          </w:p>
        </w:tc>
      </w:tr>
      <w:tr w14:paraId="343E4366" w14:textId="77777777" w:rsidTr="006172FD">
        <w:tblPrEx>
          <w:tblW w:w="12870" w:type="dxa"/>
          <w:tblLook w:val="04A0"/>
        </w:tblPrEx>
        <w:trPr>
          <w:trHeight w:val="300"/>
        </w:trPr>
        <w:tc>
          <w:tcPr>
            <w:tcW w:w="3600" w:type="dxa"/>
            <w:shd w:val="clear" w:color="auto" w:fill="auto"/>
            <w:noWrap/>
            <w:vAlign w:val="bottom"/>
            <w:hideMark/>
          </w:tcPr>
          <w:p w:rsidR="009517D5" w:rsidRPr="00B66B9A" w:rsidP="00B66B9A" w14:paraId="29C5C345" w14:textId="48DED39A">
            <w:pPr>
              <w:jc w:val="right"/>
              <w:rPr>
                <w:b/>
                <w:bCs/>
                <w:color w:val="000000"/>
              </w:rPr>
            </w:pPr>
            <w:r w:rsidRPr="00B66B9A">
              <w:rPr>
                <w:b/>
                <w:bCs/>
                <w:color w:val="000000"/>
              </w:rPr>
              <w:t>Total</w:t>
            </w:r>
          </w:p>
        </w:tc>
        <w:tc>
          <w:tcPr>
            <w:tcW w:w="2430" w:type="dxa"/>
            <w:shd w:val="clear" w:color="auto" w:fill="auto"/>
            <w:noWrap/>
            <w:vAlign w:val="bottom"/>
            <w:hideMark/>
          </w:tcPr>
          <w:p w:rsidR="009517D5" w:rsidRPr="00B66B9A" w14:paraId="22E102D0" w14:textId="77777777">
            <w:pPr>
              <w:rPr>
                <w:b/>
                <w:bCs/>
              </w:rPr>
            </w:pPr>
          </w:p>
        </w:tc>
        <w:tc>
          <w:tcPr>
            <w:tcW w:w="1350" w:type="dxa"/>
            <w:shd w:val="clear" w:color="auto" w:fill="auto"/>
            <w:noWrap/>
            <w:vAlign w:val="center"/>
            <w:hideMark/>
          </w:tcPr>
          <w:p w:rsidR="009517D5" w:rsidRPr="00B66B9A" w:rsidP="006172FD" w14:paraId="2D35A9C0" w14:textId="033D608D">
            <w:pPr>
              <w:jc w:val="right"/>
              <w:rPr>
                <w:b/>
                <w:bCs/>
                <w:color w:val="000000"/>
              </w:rPr>
            </w:pPr>
            <w:r>
              <w:rPr>
                <w:b/>
                <w:bCs/>
                <w:color w:val="000000"/>
              </w:rPr>
              <w:t>65</w:t>
            </w:r>
          </w:p>
        </w:tc>
        <w:tc>
          <w:tcPr>
            <w:tcW w:w="1260" w:type="dxa"/>
            <w:shd w:val="clear" w:color="auto" w:fill="auto"/>
            <w:noWrap/>
            <w:vAlign w:val="center"/>
            <w:hideMark/>
          </w:tcPr>
          <w:p w:rsidR="009517D5" w:rsidRPr="00B66B9A" w:rsidP="006172FD" w14:paraId="7EBDE976" w14:textId="77777777">
            <w:pPr>
              <w:jc w:val="right"/>
              <w:rPr>
                <w:b/>
                <w:bCs/>
                <w:color w:val="000000"/>
              </w:rPr>
            </w:pPr>
          </w:p>
        </w:tc>
        <w:tc>
          <w:tcPr>
            <w:tcW w:w="1620" w:type="dxa"/>
            <w:shd w:val="clear" w:color="auto" w:fill="auto"/>
            <w:noWrap/>
            <w:vAlign w:val="center"/>
            <w:hideMark/>
          </w:tcPr>
          <w:p w:rsidR="009517D5" w:rsidRPr="00B66B9A" w:rsidP="006172FD" w14:paraId="56B25558" w14:textId="52325AB6">
            <w:pPr>
              <w:jc w:val="right"/>
              <w:rPr>
                <w:b/>
                <w:bCs/>
                <w:color w:val="000000"/>
              </w:rPr>
            </w:pPr>
            <w:r>
              <w:rPr>
                <w:b/>
                <w:bCs/>
                <w:color w:val="000000"/>
              </w:rPr>
              <w:t>465.50</w:t>
            </w:r>
          </w:p>
        </w:tc>
        <w:tc>
          <w:tcPr>
            <w:tcW w:w="1170" w:type="dxa"/>
            <w:shd w:val="clear" w:color="auto" w:fill="auto"/>
            <w:noWrap/>
            <w:vAlign w:val="center"/>
            <w:hideMark/>
          </w:tcPr>
          <w:p w:rsidR="009517D5" w:rsidRPr="00B66B9A" w:rsidP="006172FD" w14:paraId="1280E604" w14:textId="77777777">
            <w:pPr>
              <w:jc w:val="right"/>
              <w:rPr>
                <w:b/>
                <w:bCs/>
                <w:color w:val="000000"/>
              </w:rPr>
            </w:pPr>
          </w:p>
        </w:tc>
        <w:tc>
          <w:tcPr>
            <w:tcW w:w="1440" w:type="dxa"/>
            <w:shd w:val="clear" w:color="auto" w:fill="auto"/>
            <w:noWrap/>
            <w:vAlign w:val="center"/>
            <w:hideMark/>
          </w:tcPr>
          <w:p w:rsidR="009517D5" w:rsidRPr="00B66B9A" w:rsidP="006172FD" w14:paraId="7604E125" w14:textId="5D7B843A">
            <w:pPr>
              <w:jc w:val="right"/>
              <w:rPr>
                <w:b/>
                <w:bCs/>
                <w:color w:val="000000"/>
              </w:rPr>
            </w:pPr>
            <w:r>
              <w:rPr>
                <w:b/>
                <w:bCs/>
                <w:color w:val="000000"/>
              </w:rPr>
              <w:t>$29,738</w:t>
            </w:r>
          </w:p>
        </w:tc>
      </w:tr>
    </w:tbl>
    <w:p w:rsidR="00A57CFC" w:rsidP="00C66E72" w14:paraId="5FE28CC4" w14:textId="77777777">
      <w:pPr>
        <w:pStyle w:val="ListParagraph"/>
        <w:ind w:left="0"/>
        <w:rPr>
          <w:b/>
          <w:bCs/>
        </w:rPr>
      </w:pPr>
    </w:p>
    <w:p w:rsidR="00A57CFC" w:rsidRPr="009A35C6" w:rsidP="00C66E72" w14:paraId="3E7E3CFE" w14:textId="77777777">
      <w:pPr>
        <w:pStyle w:val="ListParagraph"/>
        <w:ind w:left="0"/>
        <w:rPr>
          <w:b/>
          <w:bCs/>
        </w:rPr>
      </w:pPr>
    </w:p>
    <w:p w:rsidR="007C566E" w:rsidRPr="003F47F8" w:rsidP="009D0B2E" w14:paraId="62DD7EF0" w14:textId="418E3CE6">
      <w:pPr>
        <w:pStyle w:val="ListParagraph"/>
        <w:ind w:left="0"/>
      </w:pPr>
      <w:r w:rsidRPr="007C566E">
        <w:rPr>
          <w:i/>
          <w:iCs/>
        </w:rPr>
        <w:t>Report a discovery</w:t>
      </w:r>
      <w:r w:rsidR="008D0E52">
        <w:rPr>
          <w:i/>
          <w:iCs/>
        </w:rPr>
        <w:t xml:space="preserve"> on Federal or Tribal lands</w:t>
      </w:r>
      <w:r w:rsidRPr="007C566E">
        <w:rPr>
          <w:i/>
          <w:iCs/>
        </w:rPr>
        <w:t>.</w:t>
      </w:r>
      <w:r w:rsidR="00A62FFB">
        <w:rPr>
          <w:i/>
          <w:iCs/>
        </w:rPr>
        <w:t xml:space="preserve"> </w:t>
      </w:r>
      <w:r w:rsidRPr="003F47F8">
        <w:t>We estimate the number of persons reporting a discovery on Federal or Tribal lands (n=15) based on available data for notices on Federal lands</w:t>
      </w:r>
      <w:r w:rsidR="009A1AAF">
        <w:t xml:space="preserve"> (n=11) plus </w:t>
      </w:r>
      <w:r w:rsidR="00C57890">
        <w:t>an estimated number of discoveries on Tribal lands (n=</w:t>
      </w:r>
      <w:r w:rsidR="005F1A70">
        <w:t>4</w:t>
      </w:r>
      <w:r w:rsidR="00C57890">
        <w:t>)</w:t>
      </w:r>
      <w:r w:rsidRPr="003F47F8">
        <w:t>.</w:t>
      </w:r>
      <w:r>
        <w:t xml:space="preserve"> </w:t>
      </w:r>
      <w:r w:rsidR="00C57890">
        <w:t>In reporting a discovery, t</w:t>
      </w:r>
      <w:r w:rsidRPr="003F47F8">
        <w:t xml:space="preserve">he existing regulations require immediate telephone notification with written confirmation. We estimate the time per response is less than one hour, or </w:t>
      </w:r>
      <w:r w:rsidR="0005652D">
        <w:t>0</w:t>
      </w:r>
      <w:r w:rsidRPr="003F47F8">
        <w:t>.5</w:t>
      </w:r>
      <w:r w:rsidR="002063BA">
        <w:t>0</w:t>
      </w:r>
      <w:r w:rsidRPr="003F47F8">
        <w:t xml:space="preserve"> hours.</w:t>
      </w:r>
    </w:p>
    <w:p w:rsidR="00C66E72" w:rsidP="00C66E72" w14:paraId="26EF8151" w14:textId="77777777">
      <w:pPr>
        <w:rPr>
          <w:i/>
          <w:iCs/>
        </w:rPr>
      </w:pPr>
    </w:p>
    <w:p w:rsidR="007C566E" w:rsidRPr="00F81B43" w:rsidP="007C566E" w14:paraId="1031EA09" w14:textId="5C6CF292">
      <w:r w:rsidRPr="007C566E">
        <w:rPr>
          <w:i/>
          <w:iCs/>
        </w:rPr>
        <w:t>Respond to a discovery.</w:t>
      </w:r>
      <w:r w:rsidR="00A62FFB">
        <w:rPr>
          <w:i/>
          <w:iCs/>
        </w:rPr>
        <w:t xml:space="preserve"> </w:t>
      </w:r>
      <w:r w:rsidRPr="00F81B43">
        <w:t>We estimate that the number of Indian Tribes and NHOs responding to a discovery on Tribal lands is 25% (n=4) of the total estimated number of discoveries on Federal or Tribal lands. The existing regulations require a response to a discovery no later than 3 working days after a discovery.</w:t>
      </w:r>
      <w:r>
        <w:t xml:space="preserve"> </w:t>
      </w:r>
      <w:r w:rsidRPr="00F81B43">
        <w:t xml:space="preserve">We estimate the time per response ranges from </w:t>
      </w:r>
      <w:r w:rsidR="002470FA">
        <w:t xml:space="preserve">less than one hour, or 0.50 hours, </w:t>
      </w:r>
      <w:r w:rsidRPr="00F81B43">
        <w:t>to 10 hours, depending on the size and complexity of the response, for a median of 5.25 hours.</w:t>
      </w:r>
    </w:p>
    <w:p w:rsidR="007C566E" w:rsidP="009D0B2E" w14:paraId="4855789C" w14:textId="77777777">
      <w:pPr>
        <w:rPr>
          <w:i/>
          <w:iCs/>
        </w:rPr>
      </w:pPr>
    </w:p>
    <w:p w:rsidR="008D0E52" w:rsidRPr="006506AD" w:rsidP="008D0E52" w14:paraId="41521FB6" w14:textId="792BC45B">
      <w:r w:rsidRPr="007C566E">
        <w:rPr>
          <w:i/>
          <w:iCs/>
        </w:rPr>
        <w:t>Respond to a discovery.</w:t>
      </w:r>
      <w:r w:rsidR="00A62FFB">
        <w:rPr>
          <w:i/>
          <w:iCs/>
        </w:rPr>
        <w:t xml:space="preserve"> </w:t>
      </w:r>
      <w:r w:rsidRPr="006506AD">
        <w:t>We estimate that the number of Federal agencies responding to a discovery is 75% (n=11) of the total estimated number of discoveries.</w:t>
      </w:r>
      <w:r>
        <w:t xml:space="preserve"> </w:t>
      </w:r>
      <w:r w:rsidRPr="006506AD">
        <w:t>The existing regulations</w:t>
      </w:r>
      <w:r>
        <w:t xml:space="preserve"> </w:t>
      </w:r>
      <w:r w:rsidRPr="006506AD">
        <w:t>require a response no later than 3 working days after a discovery.</w:t>
      </w:r>
      <w:r>
        <w:t xml:space="preserve"> </w:t>
      </w:r>
      <w:r w:rsidRPr="006506AD">
        <w:t>We estimate the time per response ranges from less than one hour</w:t>
      </w:r>
      <w:r w:rsidR="0029137E">
        <w:t xml:space="preserve">, </w:t>
      </w:r>
      <w:r w:rsidRPr="003F47F8" w:rsidR="0029137E">
        <w:t xml:space="preserve">or </w:t>
      </w:r>
      <w:r w:rsidR="0029137E">
        <w:t>0</w:t>
      </w:r>
      <w:r w:rsidRPr="003F47F8" w:rsidR="0029137E">
        <w:t>.5</w:t>
      </w:r>
      <w:r w:rsidR="0029137E">
        <w:t>0</w:t>
      </w:r>
      <w:r w:rsidRPr="003F47F8" w:rsidR="0029137E">
        <w:t xml:space="preserve"> hours</w:t>
      </w:r>
      <w:r w:rsidR="00A44309">
        <w:t>,</w:t>
      </w:r>
      <w:r w:rsidRPr="006506AD">
        <w:t xml:space="preserve"> to 10 hours, depending on the size and complexity of the discovery, for a median of 5.25 hours.</w:t>
      </w:r>
    </w:p>
    <w:p w:rsidR="008D0E52" w:rsidP="009D0B2E" w14:paraId="211D6806" w14:textId="77777777">
      <w:pPr>
        <w:rPr>
          <w:i/>
          <w:iCs/>
        </w:rPr>
      </w:pPr>
    </w:p>
    <w:p w:rsidR="007C566E" w:rsidRPr="00F81B43" w:rsidP="007C566E" w14:paraId="5FD0C2DE" w14:textId="10424FF9">
      <w:r w:rsidRPr="007C566E">
        <w:rPr>
          <w:i/>
          <w:iCs/>
        </w:rPr>
        <w:t>Consent to an excavation</w:t>
      </w:r>
      <w:r w:rsidR="00A62FFB">
        <w:rPr>
          <w:i/>
          <w:iCs/>
        </w:rPr>
        <w:t xml:space="preserve">. </w:t>
      </w:r>
      <w:r w:rsidRPr="00F81B43">
        <w:t>We estimate that the number of Indian Tribes and NHOs consenting to an excavation is 25% (n=1) of the discoveries on Tribal lands. We assume most Indian Tribes and NHOs prefer to avoid excavation whenever possible. We estimate the time per response ranges from less than one hour</w:t>
      </w:r>
      <w:r w:rsidR="00A44309">
        <w:t>,</w:t>
      </w:r>
      <w:r w:rsidRPr="00A44309" w:rsidR="00A44309">
        <w:t xml:space="preserve"> </w:t>
      </w:r>
      <w:r w:rsidRPr="003F47F8" w:rsidR="00A44309">
        <w:t xml:space="preserve">or </w:t>
      </w:r>
      <w:r w:rsidR="00A44309">
        <w:t>0</w:t>
      </w:r>
      <w:r w:rsidRPr="003F47F8" w:rsidR="00A44309">
        <w:t>.5</w:t>
      </w:r>
      <w:r w:rsidR="00A44309">
        <w:t>0</w:t>
      </w:r>
      <w:r w:rsidRPr="003F47F8" w:rsidR="00A44309">
        <w:t xml:space="preserve"> hours</w:t>
      </w:r>
      <w:r w:rsidR="00A44309">
        <w:t>,</w:t>
      </w:r>
      <w:r w:rsidRPr="00F81B43">
        <w:t xml:space="preserve"> to 10 hours, depending on the size and complexity of the response, for a median of 5.25 hours.</w:t>
      </w:r>
    </w:p>
    <w:p w:rsidR="007C566E" w:rsidP="009D0B2E" w14:paraId="444B20C1" w14:textId="77777777">
      <w:pPr>
        <w:rPr>
          <w:i/>
          <w:iCs/>
        </w:rPr>
      </w:pPr>
    </w:p>
    <w:p w:rsidR="008D0E52" w:rsidRPr="006506AD" w:rsidP="008D0E52" w14:paraId="2A9D9670" w14:textId="79DB2B4E">
      <w:r w:rsidRPr="007C566E">
        <w:rPr>
          <w:i/>
          <w:iCs/>
        </w:rPr>
        <w:t>Authorize an excavation.</w:t>
      </w:r>
      <w:r w:rsidR="00A62FFB">
        <w:rPr>
          <w:i/>
          <w:iCs/>
        </w:rPr>
        <w:t xml:space="preserve"> </w:t>
      </w:r>
      <w:r w:rsidRPr="006506AD">
        <w:t xml:space="preserve">We estimate that the number of Federal agencies authorizing an excavation is </w:t>
      </w:r>
      <w:r w:rsidR="00534174">
        <w:t>25</w:t>
      </w:r>
      <w:r w:rsidRPr="006506AD">
        <w:t>% (n=</w:t>
      </w:r>
      <w:r w:rsidR="00534174">
        <w:t>3</w:t>
      </w:r>
      <w:r w:rsidRPr="006506AD">
        <w:t>) of the discoveries on Federal lands. We assume most Federal agencies prefer to avoid excavation whenever possible.</w:t>
      </w:r>
      <w:r>
        <w:t xml:space="preserve"> </w:t>
      </w:r>
      <w:r w:rsidRPr="006506AD">
        <w:t>We estimate the time per response ranges from less than one hour</w:t>
      </w:r>
      <w:r w:rsidR="00A44309">
        <w:t xml:space="preserve">, </w:t>
      </w:r>
      <w:r w:rsidRPr="003F47F8" w:rsidR="00A44309">
        <w:t xml:space="preserve">or </w:t>
      </w:r>
      <w:r w:rsidR="00A44309">
        <w:t>0</w:t>
      </w:r>
      <w:r w:rsidRPr="003F47F8" w:rsidR="00A44309">
        <w:t>.5</w:t>
      </w:r>
      <w:r w:rsidR="00A44309">
        <w:t>0</w:t>
      </w:r>
      <w:r w:rsidRPr="003F47F8" w:rsidR="00A44309">
        <w:t xml:space="preserve"> hours</w:t>
      </w:r>
      <w:r w:rsidR="00A44309">
        <w:t>,</w:t>
      </w:r>
      <w:r w:rsidRPr="006506AD">
        <w:t xml:space="preserve"> to 10 hours, depending on the size and complexity of the discovery, for a median of 5.25 hours.</w:t>
      </w:r>
    </w:p>
    <w:p w:rsidR="008D0E52" w:rsidP="009D0B2E" w14:paraId="2163E557" w14:textId="77777777">
      <w:pPr>
        <w:rPr>
          <w:i/>
          <w:iCs/>
        </w:rPr>
      </w:pPr>
    </w:p>
    <w:p w:rsidR="008D0E52" w:rsidP="008D0E52" w14:paraId="2A456322" w14:textId="4ACCC067">
      <w:r>
        <w:rPr>
          <w:i/>
          <w:iCs/>
        </w:rPr>
        <w:t>C</w:t>
      </w:r>
      <w:r w:rsidRPr="007C566E">
        <w:rPr>
          <w:i/>
          <w:iCs/>
        </w:rPr>
        <w:t>onduct consultation.</w:t>
      </w:r>
      <w:r w:rsidR="00A62FFB">
        <w:rPr>
          <w:i/>
          <w:iCs/>
        </w:rPr>
        <w:t xml:space="preserve"> </w:t>
      </w:r>
      <w:r w:rsidRPr="009F6090">
        <w:t xml:space="preserve">We estimate that the number of Federal agencies conducting consultation is 25% (n=3) of the discoveries on Federal lands. </w:t>
      </w:r>
      <w:r w:rsidR="00CA597C">
        <w:t xml:space="preserve">Under the existing regulations, </w:t>
      </w:r>
      <w:r w:rsidR="00FE2969">
        <w:t xml:space="preserve">Federal agencies </w:t>
      </w:r>
      <w:r w:rsidR="00916EB5">
        <w:t>respond to a discovery</w:t>
      </w:r>
      <w:r w:rsidR="00F639BD">
        <w:t xml:space="preserve"> with an invitation to consult</w:t>
      </w:r>
      <w:r w:rsidR="00916EB5">
        <w:t xml:space="preserve">, estimated above for all discoveries. </w:t>
      </w:r>
      <w:r w:rsidR="00A6066A">
        <w:t>C</w:t>
      </w:r>
      <w:r w:rsidR="00CC3CF6">
        <w:t xml:space="preserve">onducting consultation is </w:t>
      </w:r>
      <w:r w:rsidR="00B15A82">
        <w:t>dependent on a response from Indian Tribes or NHOs</w:t>
      </w:r>
      <w:r w:rsidR="00CC3CF6">
        <w:t xml:space="preserve">. </w:t>
      </w:r>
      <w:r w:rsidR="00C60655">
        <w:t xml:space="preserve">Therefore, we have estimated a smaller number of discoveries will </w:t>
      </w:r>
      <w:r w:rsidR="00F32948">
        <w:t xml:space="preserve">result in conducting consultation. </w:t>
      </w:r>
      <w:r w:rsidRPr="009F6090">
        <w:t>We estimate the time per response ranges from less than one hour</w:t>
      </w:r>
      <w:r w:rsidR="00A44309">
        <w:t xml:space="preserve">, </w:t>
      </w:r>
      <w:r w:rsidRPr="003F47F8" w:rsidR="00A44309">
        <w:t xml:space="preserve">or </w:t>
      </w:r>
      <w:r w:rsidR="00A44309">
        <w:t>0</w:t>
      </w:r>
      <w:r w:rsidRPr="003F47F8" w:rsidR="00A44309">
        <w:t>.5</w:t>
      </w:r>
      <w:r w:rsidR="00A44309">
        <w:t>0</w:t>
      </w:r>
      <w:r w:rsidRPr="003F47F8" w:rsidR="00A44309">
        <w:t xml:space="preserve"> hours</w:t>
      </w:r>
      <w:r w:rsidR="00A44309">
        <w:t>,</w:t>
      </w:r>
      <w:r w:rsidRPr="009F6090">
        <w:t xml:space="preserve"> to 60 hours, depending on the size and complexity of the consultation, for a median of 30.25 hours.</w:t>
      </w:r>
    </w:p>
    <w:p w:rsidR="008D0E52" w:rsidP="008D0E52" w14:paraId="0CD93B17" w14:textId="77777777">
      <w:pPr>
        <w:rPr>
          <w:i/>
          <w:iCs/>
        </w:rPr>
      </w:pPr>
    </w:p>
    <w:p w:rsidR="008D0E52" w:rsidRPr="00391CBD" w:rsidP="008D0E52" w14:paraId="1C96A40F" w14:textId="2684F5E7">
      <w:r w:rsidRPr="007C566E">
        <w:rPr>
          <w:i/>
          <w:iCs/>
        </w:rPr>
        <w:t>Complete a plan of action.</w:t>
      </w:r>
      <w:r w:rsidR="00A62FFB">
        <w:rPr>
          <w:i/>
          <w:iCs/>
        </w:rPr>
        <w:t xml:space="preserve"> </w:t>
      </w:r>
      <w:r w:rsidRPr="00391CBD">
        <w:t>We estimate that the number of Federal agencies approving a plan of action is 25% (n=3) of the discoveries on Federal lands. We estimate the time per response ranges from one hour to 40 hours, depending on the size and complexity of the plan of action, for a median of 20.50 hours.</w:t>
      </w:r>
    </w:p>
    <w:p w:rsidR="008D0E52" w:rsidP="008D0E52" w14:paraId="57FF26BD" w14:textId="77777777">
      <w:pPr>
        <w:rPr>
          <w:i/>
          <w:iCs/>
        </w:rPr>
      </w:pPr>
    </w:p>
    <w:p w:rsidR="008D0E52" w:rsidRPr="00391CBD" w:rsidP="008D0E52" w14:paraId="104A9824" w14:textId="577B9E7D">
      <w:r w:rsidRPr="007C566E">
        <w:rPr>
          <w:i/>
          <w:iCs/>
        </w:rPr>
        <w:t>Publish notices of intended disposition.</w:t>
      </w:r>
      <w:r w:rsidR="00A62FFB">
        <w:rPr>
          <w:i/>
          <w:iCs/>
        </w:rPr>
        <w:t xml:space="preserve"> </w:t>
      </w:r>
      <w:r w:rsidRPr="00391CBD">
        <w:t xml:space="preserve">We estimate that the number of Federal agencies publishing notices of intended disposition (n=11) is the same as the number of discoveries on Federal lands. The information needed for notices of intended disposition are drawn directly from Federal records. NPS provides a simple template to fill in the necessary information. We estimate the time per </w:t>
      </w:r>
      <w:r w:rsidRPr="00391CBD">
        <w:t>response ranges from less than one hour</w:t>
      </w:r>
      <w:r w:rsidR="00A44309">
        <w:t>,</w:t>
      </w:r>
      <w:r w:rsidRPr="00A44309" w:rsidR="00A44309">
        <w:t xml:space="preserve"> </w:t>
      </w:r>
      <w:r w:rsidRPr="003F47F8" w:rsidR="00A44309">
        <w:t xml:space="preserve">or </w:t>
      </w:r>
      <w:r w:rsidR="00A44309">
        <w:t>0</w:t>
      </w:r>
      <w:r w:rsidRPr="003F47F8" w:rsidR="00A44309">
        <w:t>.5</w:t>
      </w:r>
      <w:r w:rsidR="00A44309">
        <w:t>0</w:t>
      </w:r>
      <w:r w:rsidRPr="003F47F8" w:rsidR="00A44309">
        <w:t xml:space="preserve"> hours</w:t>
      </w:r>
      <w:r w:rsidR="00A44309">
        <w:t>,</w:t>
      </w:r>
      <w:r w:rsidRPr="00391CBD">
        <w:t xml:space="preserve"> to 20 hours, depending on the size and complexity of the notice, for a median of 10.25 hours.</w:t>
      </w:r>
    </w:p>
    <w:p w:rsidR="008D0E52" w:rsidP="009D0B2E" w14:paraId="787BDCDE" w14:textId="77777777">
      <w:pPr>
        <w:rPr>
          <w:i/>
          <w:iCs/>
        </w:rPr>
      </w:pPr>
    </w:p>
    <w:p w:rsidR="007C566E" w:rsidRPr="00F81B43" w:rsidP="009D0B2E" w14:paraId="1A28E5C5" w14:textId="60257D89">
      <w:r w:rsidRPr="007C566E">
        <w:rPr>
          <w:i/>
          <w:iCs/>
        </w:rPr>
        <w:t>Submit</w:t>
      </w:r>
      <w:r w:rsidR="008C5EDB">
        <w:rPr>
          <w:i/>
          <w:iCs/>
        </w:rPr>
        <w:t xml:space="preserve"> a</w:t>
      </w:r>
      <w:r w:rsidRPr="007C566E">
        <w:rPr>
          <w:i/>
          <w:iCs/>
        </w:rPr>
        <w:t xml:space="preserve"> claim for disposition.</w:t>
      </w:r>
      <w:r w:rsidR="00A62FFB">
        <w:rPr>
          <w:i/>
          <w:iCs/>
        </w:rPr>
        <w:t xml:space="preserve"> </w:t>
      </w:r>
      <w:r w:rsidRPr="00F81B43">
        <w:t>We estimate that the number of Indian Tribes or NHOs submitting a claim for disposition (n=11) is the same as the number of discoveries on Federal lands. 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F81B43">
        <w:t xml:space="preserve"> to 10 hours, depending on the size and complexity of the response, for a median of 5.25 hours.</w:t>
      </w:r>
    </w:p>
    <w:p w:rsidR="007C566E" w:rsidP="009D0B2E" w14:paraId="38A7B967" w14:textId="77777777">
      <w:pPr>
        <w:rPr>
          <w:i/>
          <w:iCs/>
        </w:rPr>
      </w:pPr>
    </w:p>
    <w:p w:rsidR="008C5EDB" w:rsidRPr="009F6090" w:rsidP="008C5EDB" w14:paraId="76501487" w14:textId="7755D9A9">
      <w:r w:rsidRPr="007C566E">
        <w:rPr>
          <w:i/>
          <w:iCs/>
        </w:rPr>
        <w:t>Evaluate competing claims for disposition.</w:t>
      </w:r>
      <w:r w:rsidR="00A62FFB">
        <w:rPr>
          <w:i/>
          <w:iCs/>
        </w:rPr>
        <w:t xml:space="preserve"> </w:t>
      </w:r>
      <w:r w:rsidRPr="009F6090">
        <w:t>We estimate that the number of Federal agencies evaluating competing claims for disposition is 10% (n=1) of the discoveries on Federal lands. The information needed to evaluate competing claims is submitted by claimants and evaluated against the priority of custody in the existing regulations. 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9F6090">
        <w:t xml:space="preserve"> to 50 hours, depending on the size and complexity of the competing claims, for a median of 25.25 hours.</w:t>
      </w:r>
    </w:p>
    <w:p w:rsidR="008C5EDB" w:rsidP="009D0B2E" w14:paraId="4B7E994D" w14:textId="77777777">
      <w:pPr>
        <w:rPr>
          <w:i/>
          <w:iCs/>
        </w:rPr>
      </w:pPr>
    </w:p>
    <w:p w:rsidR="007C566E" w:rsidRPr="006506AD" w:rsidP="009D0B2E" w14:paraId="1325E827" w14:textId="6C09F3D4">
      <w:r w:rsidRPr="007C566E">
        <w:rPr>
          <w:i/>
          <w:iCs/>
        </w:rPr>
        <w:t>Transfer or reinter unclaimed human remains or cultural items.</w:t>
      </w:r>
      <w:r w:rsidR="00A62FFB">
        <w:rPr>
          <w:i/>
          <w:iCs/>
        </w:rPr>
        <w:t xml:space="preserve"> </w:t>
      </w:r>
      <w:r w:rsidRPr="00391CBD">
        <w:t xml:space="preserve">We estimate that the number of Federal agencies transferring or reinterring unclaimed human remains or cultural items (n=2) based on reporting over the last three years. The information needed to transfer or reinter unclaimed human remains or cultural items is drawn directly from Federal records. NPS provides a simple template to fill in the necessary information. </w:t>
      </w:r>
      <w:r w:rsidRPr="006506AD">
        <w:t>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6506AD">
        <w:t xml:space="preserve"> to 10 hours, depending on the size and complexity of the discovery, for a median of 5.25 hours.</w:t>
      </w:r>
    </w:p>
    <w:p w:rsidR="007C566E" w:rsidP="009D0B2E" w14:paraId="27CC61C3" w14:textId="77777777"/>
    <w:p w:rsidR="00717C3B" w:rsidRPr="00391CBD" w:rsidP="009D0B2E" w14:paraId="6C33B230" w14:textId="77777777"/>
    <w:p w:rsidR="008C5EDB" w:rsidP="00D435F4" w14:paraId="21F2773B" w14:textId="10BB204B">
      <w:pPr>
        <w:pStyle w:val="Heading3"/>
      </w:pPr>
      <w:bookmarkStart w:id="39" w:name="_Toc113867043"/>
      <w:r>
        <w:t>Table 17.</w:t>
      </w:r>
      <w:r w:rsidR="00D435F4">
        <w:t xml:space="preserve"> </w:t>
      </w:r>
      <w:r w:rsidR="002937EA">
        <w:t xml:space="preserve"> Estimate for</w:t>
      </w:r>
      <w:r>
        <w:t xml:space="preserve"> Proposed regulatory </w:t>
      </w:r>
      <w:r w:rsidR="00E02E5C">
        <w:t>action</w:t>
      </w:r>
      <w:r w:rsidR="00CA5D4A">
        <w:t xml:space="preserve"> </w:t>
      </w:r>
      <w:r>
        <w:t>Subpart B</w:t>
      </w:r>
      <w:bookmarkEnd w:id="39"/>
      <w:r>
        <w:t xml:space="preserve"> </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2430"/>
        <w:gridCol w:w="1350"/>
        <w:gridCol w:w="1260"/>
        <w:gridCol w:w="1620"/>
        <w:gridCol w:w="1170"/>
        <w:gridCol w:w="1440"/>
      </w:tblGrid>
      <w:tr w14:paraId="0002EEF5" w14:textId="77777777" w:rsidTr="004979B7">
        <w:tblPrEx>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600" w:type="dxa"/>
            <w:shd w:val="clear" w:color="auto" w:fill="auto"/>
            <w:noWrap/>
            <w:vAlign w:val="center"/>
          </w:tcPr>
          <w:p w:rsidR="008C5EDB" w:rsidRPr="006172FD" w:rsidP="0074675D" w14:paraId="6DD4D4E4" w14:textId="77777777">
            <w:pPr>
              <w:jc w:val="center"/>
              <w:rPr>
                <w:b/>
                <w:bCs/>
                <w:color w:val="000000"/>
              </w:rPr>
            </w:pPr>
            <w:r w:rsidRPr="006172FD">
              <w:rPr>
                <w:b/>
                <w:bCs/>
                <w:color w:val="000000"/>
              </w:rPr>
              <w:t>Regulatory Requirement</w:t>
            </w:r>
          </w:p>
        </w:tc>
        <w:tc>
          <w:tcPr>
            <w:tcW w:w="2430" w:type="dxa"/>
            <w:shd w:val="clear" w:color="auto" w:fill="auto"/>
            <w:noWrap/>
            <w:vAlign w:val="center"/>
          </w:tcPr>
          <w:p w:rsidR="008C5EDB" w:rsidRPr="006172FD" w:rsidP="0074675D" w14:paraId="18F83374" w14:textId="77777777">
            <w:pPr>
              <w:jc w:val="center"/>
              <w:rPr>
                <w:b/>
                <w:bCs/>
                <w:color w:val="000000"/>
              </w:rPr>
            </w:pPr>
            <w:r w:rsidRPr="006172FD">
              <w:rPr>
                <w:b/>
                <w:bCs/>
                <w:color w:val="000000"/>
              </w:rPr>
              <w:t>Responsible party</w:t>
            </w:r>
          </w:p>
        </w:tc>
        <w:tc>
          <w:tcPr>
            <w:tcW w:w="1350" w:type="dxa"/>
            <w:shd w:val="clear" w:color="auto" w:fill="auto"/>
            <w:noWrap/>
            <w:vAlign w:val="center"/>
          </w:tcPr>
          <w:p w:rsidR="008C5EDB" w:rsidRPr="006172FD" w:rsidP="0074675D" w14:paraId="04DAB01A" w14:textId="77777777">
            <w:pPr>
              <w:jc w:val="center"/>
              <w:rPr>
                <w:b/>
                <w:bCs/>
                <w:color w:val="000000"/>
              </w:rPr>
            </w:pPr>
            <w:r w:rsidRPr="006172FD">
              <w:rPr>
                <w:b/>
                <w:bCs/>
              </w:rPr>
              <w:t>Number of responses</w:t>
            </w:r>
          </w:p>
        </w:tc>
        <w:tc>
          <w:tcPr>
            <w:tcW w:w="1260" w:type="dxa"/>
            <w:shd w:val="clear" w:color="auto" w:fill="auto"/>
            <w:noWrap/>
            <w:vAlign w:val="center"/>
          </w:tcPr>
          <w:p w:rsidR="008C5EDB" w:rsidRPr="006172FD" w:rsidP="0074675D" w14:paraId="54A28972" w14:textId="77777777">
            <w:pPr>
              <w:jc w:val="center"/>
              <w:rPr>
                <w:b/>
                <w:bCs/>
                <w:color w:val="000000"/>
              </w:rPr>
            </w:pPr>
            <w:r w:rsidRPr="006172FD">
              <w:rPr>
                <w:b/>
                <w:bCs/>
              </w:rPr>
              <w:t>Time per response</w:t>
            </w:r>
          </w:p>
        </w:tc>
        <w:tc>
          <w:tcPr>
            <w:tcW w:w="1620" w:type="dxa"/>
            <w:shd w:val="clear" w:color="auto" w:fill="auto"/>
            <w:noWrap/>
            <w:vAlign w:val="center"/>
          </w:tcPr>
          <w:p w:rsidR="008C5EDB" w:rsidRPr="006172FD" w:rsidP="0074675D" w14:paraId="7A7FB67F" w14:textId="77777777">
            <w:pPr>
              <w:jc w:val="center"/>
              <w:rPr>
                <w:b/>
                <w:bCs/>
                <w:color w:val="000000"/>
              </w:rPr>
            </w:pPr>
            <w:r w:rsidRPr="006172FD">
              <w:rPr>
                <w:b/>
                <w:bCs/>
              </w:rPr>
              <w:t>Annual Hours</w:t>
            </w:r>
          </w:p>
        </w:tc>
        <w:tc>
          <w:tcPr>
            <w:tcW w:w="1170" w:type="dxa"/>
            <w:shd w:val="clear" w:color="auto" w:fill="auto"/>
            <w:noWrap/>
            <w:vAlign w:val="center"/>
          </w:tcPr>
          <w:p w:rsidR="008C5EDB" w:rsidRPr="006172FD" w:rsidP="0074675D" w14:paraId="10892F69" w14:textId="77777777">
            <w:pPr>
              <w:jc w:val="center"/>
              <w:rPr>
                <w:b/>
                <w:bCs/>
                <w:color w:val="000000"/>
              </w:rPr>
            </w:pPr>
            <w:r w:rsidRPr="006172FD">
              <w:rPr>
                <w:b/>
                <w:bCs/>
              </w:rPr>
              <w:t>Hourly Rate</w:t>
            </w:r>
          </w:p>
        </w:tc>
        <w:tc>
          <w:tcPr>
            <w:tcW w:w="1440" w:type="dxa"/>
            <w:shd w:val="clear" w:color="auto" w:fill="auto"/>
            <w:noWrap/>
            <w:vAlign w:val="center"/>
          </w:tcPr>
          <w:p w:rsidR="008C5EDB" w:rsidRPr="006172FD" w:rsidP="0074675D" w14:paraId="79EC79A0" w14:textId="77777777">
            <w:pPr>
              <w:jc w:val="center"/>
              <w:rPr>
                <w:b/>
                <w:bCs/>
                <w:color w:val="000000"/>
              </w:rPr>
            </w:pPr>
            <w:r w:rsidRPr="006172FD">
              <w:rPr>
                <w:b/>
                <w:bCs/>
              </w:rPr>
              <w:t>Annual Costs</w:t>
            </w:r>
          </w:p>
        </w:tc>
      </w:tr>
      <w:tr w14:paraId="1D60DA7D"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FCBE1D1" w14:textId="6AA760AF">
            <w:pPr>
              <w:rPr>
                <w:color w:val="000000"/>
              </w:rPr>
            </w:pPr>
            <w:r w:rsidRPr="00B66B9A">
              <w:rPr>
                <w:color w:val="000000"/>
              </w:rPr>
              <w:t>Report a discovery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BA31472" w14:textId="77777777">
            <w:pPr>
              <w:rPr>
                <w:color w:val="000000"/>
              </w:rPr>
            </w:pPr>
            <w:r w:rsidRPr="00B66B9A">
              <w:rPr>
                <w:color w:val="000000"/>
              </w:rPr>
              <w:t>Any person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A544DA1" w14:textId="77777777">
            <w:pPr>
              <w:jc w:val="right"/>
            </w:pPr>
            <w:r w:rsidRPr="00B66B9A">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F32E8D6" w14:textId="77777777">
            <w:pPr>
              <w:jc w:val="right"/>
            </w:pPr>
            <w:r w:rsidRPr="00B66B9A">
              <w:t>0.50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F1B414A" w14:textId="77777777">
            <w:pPr>
              <w:jc w:val="right"/>
            </w:pPr>
            <w:r w:rsidRPr="00B66B9A">
              <w:t>7.50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3A4B523" w14:textId="77777777">
            <w:pPr>
              <w:jc w:val="right"/>
            </w:pPr>
            <w:r w:rsidRPr="00B66B9A">
              <w:t>$40.90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0C5BFED" w14:textId="77777777">
            <w:pPr>
              <w:jc w:val="right"/>
            </w:pPr>
            <w:r w:rsidRPr="00B66B9A">
              <w:t>$307.00</w:t>
            </w:r>
          </w:p>
        </w:tc>
      </w:tr>
      <w:tr w14:paraId="10231E51"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7AABCC3" w14:textId="2FA016DF">
            <w:pPr>
              <w:rPr>
                <w:color w:val="000000"/>
              </w:rPr>
            </w:pPr>
            <w:r w:rsidRPr="00B66B9A">
              <w:rPr>
                <w:color w:val="000000"/>
              </w:rPr>
              <w:t>Respond to a discovery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C184607" w14:textId="77777777">
            <w:pPr>
              <w:rPr>
                <w:color w:val="000000"/>
              </w:rPr>
            </w:pPr>
            <w:r w:rsidRPr="00B66B9A">
              <w:rPr>
                <w:color w:val="000000"/>
              </w:rPr>
              <w:t>Indian Tribes/NHOs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A43556F" w14:textId="77777777">
            <w:pPr>
              <w:jc w:val="right"/>
            </w:pPr>
            <w:r w:rsidRPr="00B66B9A">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4314376" w14:textId="77777777">
            <w:pPr>
              <w:jc w:val="right"/>
            </w:pPr>
            <w:r w:rsidRPr="00B66B9A">
              <w:t>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0F5F24A" w14:textId="77777777">
            <w:pPr>
              <w:jc w:val="right"/>
            </w:pPr>
            <w:r w:rsidRPr="00B66B9A">
              <w:t>21.00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65CD46E"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24E47BF" w14:textId="77777777">
            <w:pPr>
              <w:jc w:val="right"/>
            </w:pPr>
            <w:r w:rsidRPr="00B66B9A">
              <w:t>$1,349.00</w:t>
            </w:r>
          </w:p>
        </w:tc>
      </w:tr>
      <w:tr w14:paraId="0637D69F"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E4EB82F" w14:textId="5D50C7BB">
            <w:pPr>
              <w:rPr>
                <w:color w:val="000000"/>
              </w:rPr>
            </w:pPr>
            <w:r w:rsidRPr="00B66B9A">
              <w:rPr>
                <w:color w:val="000000"/>
              </w:rPr>
              <w:t>Respond to a discovery</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CFCBABE"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694D26F" w14:textId="77777777">
            <w:pPr>
              <w:jc w:val="right"/>
            </w:pPr>
            <w:r w:rsidRPr="00B66B9A">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659A3C6" w14:textId="77777777">
            <w:pPr>
              <w:jc w:val="right"/>
            </w:pPr>
            <w:r w:rsidRPr="00B66B9A">
              <w:t>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7ECA64B" w14:textId="77777777">
            <w:pPr>
              <w:jc w:val="right"/>
            </w:pPr>
            <w:r w:rsidRPr="00B66B9A">
              <w:t>57.75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CB44A09"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B891D59" w14:textId="77777777">
            <w:pPr>
              <w:jc w:val="right"/>
            </w:pPr>
            <w:r w:rsidRPr="00B66B9A">
              <w:t>$3,711.00</w:t>
            </w:r>
          </w:p>
        </w:tc>
      </w:tr>
      <w:tr w14:paraId="763C1FA4"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7314BD5" w14:textId="589085CF">
            <w:pPr>
              <w:rPr>
                <w:color w:val="000000"/>
              </w:rPr>
            </w:pPr>
            <w:r w:rsidRPr="00B66B9A">
              <w:rPr>
                <w:color w:val="000000"/>
              </w:rPr>
              <w:t>Consent to an excavation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936FB74" w14:textId="77777777">
            <w:pPr>
              <w:rPr>
                <w:color w:val="000000"/>
              </w:rPr>
            </w:pPr>
            <w:r w:rsidRPr="00B66B9A">
              <w:rPr>
                <w:color w:val="000000"/>
              </w:rPr>
              <w:t>Indian Tribes/NHOs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D595926" w14:textId="77777777">
            <w:pPr>
              <w:jc w:val="right"/>
            </w:pPr>
            <w:r w:rsidRPr="00B66B9A">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7BDCFA3" w14:textId="77777777">
            <w:pPr>
              <w:jc w:val="right"/>
            </w:pPr>
            <w:r w:rsidRPr="00B66B9A">
              <w:t>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7D368F9" w14:textId="77777777">
            <w:pPr>
              <w:jc w:val="right"/>
            </w:pPr>
            <w:r w:rsidRPr="00B66B9A">
              <w:t>5.25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46EDA3E"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BB768CB" w14:textId="77777777">
            <w:pPr>
              <w:jc w:val="right"/>
            </w:pPr>
            <w:r w:rsidRPr="00B66B9A">
              <w:t>$337.00</w:t>
            </w:r>
          </w:p>
        </w:tc>
      </w:tr>
      <w:tr w14:paraId="0B5B381B"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B96C5FE" w14:textId="374036ED">
            <w:pPr>
              <w:rPr>
                <w:color w:val="000000"/>
              </w:rPr>
            </w:pPr>
            <w:r w:rsidRPr="00B66B9A">
              <w:rPr>
                <w:color w:val="000000"/>
              </w:rPr>
              <w:t>Authorize an excavation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236A55F"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5731057" w14:textId="16273995">
            <w:pPr>
              <w:jc w:val="right"/>
            </w:pPr>
            <w: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A46C9DA" w14:textId="77777777">
            <w:pPr>
              <w:jc w:val="right"/>
            </w:pPr>
            <w:r w:rsidRPr="00B66B9A">
              <w:t>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8BA676B" w14:textId="42D44925">
            <w:pPr>
              <w:jc w:val="right"/>
            </w:pPr>
            <w:r>
              <w:t>31.50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21E48B2"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ED77974" w14:textId="1A8AF786">
            <w:pPr>
              <w:jc w:val="right"/>
            </w:pPr>
            <w:r>
              <w:t>$2,024.00</w:t>
            </w:r>
          </w:p>
        </w:tc>
      </w:tr>
      <w:tr w14:paraId="0B82AF35"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5840993" w14:textId="6A6B5218">
            <w:pPr>
              <w:rPr>
                <w:color w:val="000000"/>
              </w:rPr>
            </w:pPr>
            <w:r w:rsidRPr="00B66B9A">
              <w:rPr>
                <w:color w:val="000000"/>
              </w:rPr>
              <w:t>Delegate or accept responsibility on Tribal lands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57014DB" w14:textId="77777777">
            <w:pPr>
              <w:rPr>
                <w:color w:val="000000"/>
              </w:rPr>
            </w:pPr>
            <w:r w:rsidRPr="00B66B9A">
              <w:rPr>
                <w:color w:val="000000"/>
              </w:rPr>
              <w:t>Indian Tribes/NHOs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7DD0832" w14:textId="77777777">
            <w:pPr>
              <w:jc w:val="right"/>
            </w:pPr>
            <w:r w:rsidRPr="00B66B9A">
              <w:t>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5906312" w14:textId="77777777">
            <w:pPr>
              <w:jc w:val="right"/>
            </w:pPr>
            <w:r w:rsidRPr="00B66B9A">
              <w:t>1.25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F357B83" w14:textId="77777777">
            <w:pPr>
              <w:jc w:val="right"/>
            </w:pPr>
            <w:r w:rsidRPr="00B66B9A">
              <w:t>16.25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1D01F7E"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854E284" w14:textId="77777777">
            <w:pPr>
              <w:jc w:val="right"/>
            </w:pPr>
            <w:r w:rsidRPr="00B66B9A">
              <w:t>$1,044.00</w:t>
            </w:r>
          </w:p>
        </w:tc>
      </w:tr>
      <w:tr w14:paraId="5B52590E"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F884225" w14:textId="624A0D33">
            <w:pPr>
              <w:rPr>
                <w:color w:val="000000"/>
              </w:rPr>
            </w:pPr>
            <w:r>
              <w:rPr>
                <w:color w:val="000000"/>
              </w:rPr>
              <w:t>C</w:t>
            </w:r>
            <w:r w:rsidRPr="00B66B9A">
              <w:rPr>
                <w:color w:val="000000"/>
              </w:rPr>
              <w:t>onduct consultation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95E60A2"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4ADDC80" w14:textId="77777777">
            <w:pPr>
              <w:jc w:val="right"/>
            </w:pPr>
            <w:r w:rsidRPr="00B66B9A">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CF0F670" w14:textId="77777777">
            <w:pPr>
              <w:jc w:val="right"/>
            </w:pPr>
            <w:r w:rsidRPr="00B66B9A">
              <w:t>30.25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32AFBA8" w14:textId="77777777">
            <w:pPr>
              <w:jc w:val="right"/>
            </w:pPr>
            <w:r w:rsidRPr="00B66B9A">
              <w:t>332.75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3053520"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9D3BEFA" w14:textId="77777777">
            <w:pPr>
              <w:jc w:val="right"/>
            </w:pPr>
            <w:r w:rsidRPr="00B66B9A">
              <w:t>$21,383.00</w:t>
            </w:r>
          </w:p>
        </w:tc>
      </w:tr>
      <w:tr w14:paraId="72C22950"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12F5EEF" w14:textId="1228EB00">
            <w:pPr>
              <w:rPr>
                <w:color w:val="000000"/>
              </w:rPr>
            </w:pPr>
            <w:r>
              <w:rPr>
                <w:color w:val="000000"/>
              </w:rPr>
              <w:t>Submit a request to consult</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1599912" w14:textId="77777777">
            <w:pPr>
              <w:rPr>
                <w:color w:val="000000"/>
              </w:rPr>
            </w:pPr>
            <w:r w:rsidRPr="00B66B9A">
              <w:rPr>
                <w:color w:val="000000"/>
              </w:rPr>
              <w:t>Indian Tribes/NHOs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551FB64" w14:textId="77777777">
            <w:pPr>
              <w:jc w:val="right"/>
            </w:pPr>
            <w:r w:rsidRPr="00B66B9A">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52604FB" w14:textId="77777777">
            <w:pPr>
              <w:jc w:val="right"/>
            </w:pPr>
            <w:r w:rsidRPr="00B66B9A">
              <w:t>1.25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E99E49E" w14:textId="77777777">
            <w:pPr>
              <w:jc w:val="right"/>
            </w:pPr>
            <w:r w:rsidRPr="00B66B9A">
              <w:t>13.75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0E451E9"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22724F9" w14:textId="77777777">
            <w:pPr>
              <w:jc w:val="right"/>
            </w:pPr>
            <w:r w:rsidRPr="00B66B9A">
              <w:t>$884.00</w:t>
            </w:r>
          </w:p>
        </w:tc>
      </w:tr>
      <w:tr w14:paraId="2BBE3B24"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DB7DF7F" w14:textId="0FCF465C">
            <w:pPr>
              <w:rPr>
                <w:color w:val="000000"/>
              </w:rPr>
            </w:pPr>
            <w:r>
              <w:rPr>
                <w:color w:val="000000"/>
              </w:rPr>
              <w:t>Complete a p</w:t>
            </w:r>
            <w:r w:rsidRPr="00B66B9A">
              <w:rPr>
                <w:color w:val="000000"/>
              </w:rPr>
              <w:t>lan of action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205C150"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1D5DA0E" w14:textId="77777777">
            <w:pPr>
              <w:jc w:val="right"/>
            </w:pPr>
            <w:r w:rsidRPr="00B66B9A">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41B0336" w14:textId="77777777">
            <w:pPr>
              <w:jc w:val="right"/>
            </w:pPr>
            <w:r w:rsidRPr="00B66B9A">
              <w:t>20.50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B56E3F7" w14:textId="77777777">
            <w:pPr>
              <w:jc w:val="right"/>
            </w:pPr>
            <w:r w:rsidRPr="00B66B9A">
              <w:t>225.50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F746129"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EC020FB" w14:textId="77777777">
            <w:pPr>
              <w:jc w:val="right"/>
            </w:pPr>
            <w:r w:rsidRPr="00B66B9A">
              <w:t>$14,491.00</w:t>
            </w:r>
          </w:p>
        </w:tc>
      </w:tr>
      <w:tr w14:paraId="3FB65DEA"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BEF9498" w14:textId="3569002F">
            <w:pPr>
              <w:rPr>
                <w:color w:val="000000"/>
              </w:rPr>
            </w:pPr>
            <w:r w:rsidRPr="00B66B9A">
              <w:rPr>
                <w:color w:val="000000"/>
              </w:rPr>
              <w:t>Publish notices of intended disposition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1244DC1"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8C7CA58" w14:textId="77777777">
            <w:pPr>
              <w:jc w:val="right"/>
            </w:pPr>
            <w:r w:rsidRPr="00B66B9A">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3AA54BB" w14:textId="77777777">
            <w:pPr>
              <w:jc w:val="right"/>
            </w:pPr>
            <w:r w:rsidRPr="00B66B9A">
              <w:t>10.25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8815DB3" w14:textId="77777777">
            <w:pPr>
              <w:jc w:val="right"/>
            </w:pPr>
            <w:r w:rsidRPr="00B66B9A">
              <w:t>112.75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5F49F14"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4879044" w14:textId="77777777">
            <w:pPr>
              <w:jc w:val="right"/>
            </w:pPr>
            <w:r w:rsidRPr="00B66B9A">
              <w:t>$7,245.00</w:t>
            </w:r>
          </w:p>
        </w:tc>
      </w:tr>
      <w:tr w14:paraId="73C662D1"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23DB259" w14:textId="34494279">
            <w:pPr>
              <w:rPr>
                <w:color w:val="000000"/>
              </w:rPr>
            </w:pPr>
            <w:r w:rsidRPr="00B66B9A">
              <w:rPr>
                <w:color w:val="000000"/>
              </w:rPr>
              <w:t>Submit a claim for disposition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3EFE018" w14:textId="77777777">
            <w:pPr>
              <w:rPr>
                <w:color w:val="000000"/>
              </w:rPr>
            </w:pPr>
            <w:r w:rsidRPr="00B66B9A">
              <w:rPr>
                <w:color w:val="000000"/>
              </w:rPr>
              <w:t>Indian Tribes/NHOs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474B171" w14:textId="77777777">
            <w:pPr>
              <w:jc w:val="right"/>
            </w:pPr>
            <w:r w:rsidRPr="00B66B9A">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BC802C8" w14:textId="77777777">
            <w:pPr>
              <w:jc w:val="right"/>
            </w:pPr>
            <w:r w:rsidRPr="00B66B9A">
              <w:t>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31F9E7A" w14:textId="77777777">
            <w:pPr>
              <w:jc w:val="right"/>
            </w:pPr>
            <w:r w:rsidRPr="00B66B9A">
              <w:t>57.75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F0F96C4"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417E55A" w14:textId="77777777">
            <w:pPr>
              <w:jc w:val="right"/>
            </w:pPr>
            <w:r w:rsidRPr="00B66B9A">
              <w:t>$3,711.00</w:t>
            </w:r>
          </w:p>
        </w:tc>
      </w:tr>
      <w:tr w14:paraId="5412C0A6"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CC9E3D0" w14:textId="366CE873">
            <w:pPr>
              <w:rPr>
                <w:color w:val="000000"/>
              </w:rPr>
            </w:pPr>
            <w:r w:rsidRPr="00B66B9A">
              <w:rPr>
                <w:color w:val="000000"/>
              </w:rPr>
              <w:t>Send or complete a disposition statement</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8356E05" w14:textId="77777777">
            <w:pPr>
              <w:rPr>
                <w:color w:val="000000"/>
              </w:rPr>
            </w:pPr>
            <w:r w:rsidRPr="00B66B9A">
              <w:rPr>
                <w:color w:val="000000"/>
              </w:rPr>
              <w:t>Indian Tribes/NHOs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4CA65ED" w14:textId="77777777">
            <w:pPr>
              <w:jc w:val="right"/>
            </w:pPr>
            <w:r w:rsidRPr="00B66B9A">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3B4D9BC" w14:textId="77777777">
            <w:pPr>
              <w:jc w:val="right"/>
            </w:pPr>
            <w:r w:rsidRPr="00B66B9A">
              <w:t>0.50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C11FAAF" w14:textId="77777777">
            <w:pPr>
              <w:jc w:val="right"/>
            </w:pPr>
            <w:r w:rsidRPr="00B66B9A">
              <w:t>2.00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8CAC8F1"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68B9653" w14:textId="77777777">
            <w:pPr>
              <w:jc w:val="right"/>
            </w:pPr>
            <w:r w:rsidRPr="00B66B9A">
              <w:t>$129.00</w:t>
            </w:r>
          </w:p>
        </w:tc>
      </w:tr>
      <w:tr w14:paraId="64BD25E2"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E75799E" w14:textId="2DC4443D">
            <w:pPr>
              <w:rPr>
                <w:color w:val="000000"/>
              </w:rPr>
            </w:pPr>
            <w:r w:rsidRPr="00B66B9A">
              <w:rPr>
                <w:color w:val="000000"/>
              </w:rPr>
              <w:t>Send a disposition statement</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BC79005"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1ECDFC4" w14:textId="77777777">
            <w:pPr>
              <w:jc w:val="right"/>
            </w:pPr>
            <w:r w:rsidRPr="00B66B9A">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75134C7" w14:textId="77777777">
            <w:pPr>
              <w:jc w:val="right"/>
            </w:pPr>
            <w:r w:rsidRPr="00B66B9A">
              <w:t>2.75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1627037" w14:textId="77777777">
            <w:pPr>
              <w:jc w:val="right"/>
            </w:pPr>
            <w:r w:rsidRPr="00B66B9A">
              <w:t>30.25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877B11D"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2D29C27" w14:textId="77777777">
            <w:pPr>
              <w:jc w:val="right"/>
            </w:pPr>
            <w:r w:rsidRPr="00B66B9A">
              <w:t>$1,944.00</w:t>
            </w:r>
          </w:p>
        </w:tc>
      </w:tr>
      <w:tr w14:paraId="4F3CAC87"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7634544" w14:textId="7D7ABC27">
            <w:pPr>
              <w:rPr>
                <w:color w:val="000000"/>
              </w:rPr>
            </w:pPr>
            <w:r w:rsidRPr="00B66B9A">
              <w:rPr>
                <w:color w:val="000000"/>
              </w:rPr>
              <w:t>Evaluate competing claims for disposition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6651D57"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0237211" w14:textId="77777777">
            <w:pPr>
              <w:jc w:val="right"/>
            </w:pPr>
            <w:r w:rsidRPr="00B66B9A">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ADBB963" w14:textId="77777777">
            <w:pPr>
              <w:jc w:val="right"/>
            </w:pPr>
            <w:r w:rsidRPr="00B66B9A">
              <w:t>25.25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A63E22F" w14:textId="77777777">
            <w:pPr>
              <w:jc w:val="right"/>
            </w:pPr>
            <w:r w:rsidRPr="00B66B9A">
              <w:t>25.25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4E8E909"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640CE72" w14:textId="77777777">
            <w:pPr>
              <w:jc w:val="right"/>
            </w:pPr>
            <w:r w:rsidRPr="00B66B9A">
              <w:t>$1,623.00</w:t>
            </w:r>
          </w:p>
        </w:tc>
      </w:tr>
      <w:tr w14:paraId="148A7106"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5B38AF6" w14:textId="36D5B564">
            <w:pPr>
              <w:rPr>
                <w:color w:val="000000"/>
              </w:rPr>
            </w:pPr>
            <w:r w:rsidRPr="00B66B9A">
              <w:rPr>
                <w:color w:val="000000"/>
              </w:rPr>
              <w:t>Request transfer of unclaimed human remains or cultural items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3E6E9FE" w14:textId="77777777">
            <w:pPr>
              <w:rPr>
                <w:color w:val="000000"/>
              </w:rPr>
            </w:pPr>
            <w:r w:rsidRPr="00B66B9A">
              <w:rPr>
                <w:color w:val="000000"/>
              </w:rPr>
              <w:t>Indian Tribes/NHOs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CAB7AF5" w14:textId="77777777">
            <w:pPr>
              <w:jc w:val="right"/>
            </w:pPr>
            <w:r w:rsidRPr="00B66B9A">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998E000" w14:textId="77777777">
            <w:pPr>
              <w:jc w:val="right"/>
            </w:pPr>
            <w:r w:rsidRPr="00B66B9A">
              <w:t>1.25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8D60F0F" w14:textId="77777777">
            <w:pPr>
              <w:jc w:val="right"/>
            </w:pPr>
            <w:r w:rsidRPr="00B66B9A">
              <w:t>1.25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70C689F"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216821D" w14:textId="77777777">
            <w:pPr>
              <w:jc w:val="right"/>
            </w:pPr>
            <w:r w:rsidRPr="00B66B9A">
              <w:t>$80.00</w:t>
            </w:r>
          </w:p>
        </w:tc>
      </w:tr>
      <w:tr w14:paraId="2EC5476E" w14:textId="77777777" w:rsidTr="00B66B9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E1EA888" w14:textId="1D48976E">
            <w:pPr>
              <w:rPr>
                <w:color w:val="000000"/>
              </w:rPr>
            </w:pPr>
            <w:r w:rsidRPr="00B66B9A">
              <w:rPr>
                <w:color w:val="000000"/>
              </w:rPr>
              <w:t>Transfer or reinter unclaimed human remains or cultural items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9342979" w14:textId="77777777">
            <w:pPr>
              <w:rPr>
                <w:color w:val="000000"/>
              </w:rPr>
            </w:pPr>
            <w:r w:rsidRPr="00B66B9A">
              <w:rPr>
                <w:color w:val="000000"/>
              </w:rPr>
              <w:t>Federal Agency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127C60D" w14:textId="77777777">
            <w:pPr>
              <w:jc w:val="right"/>
            </w:pPr>
            <w:r w:rsidRPr="00B66B9A">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DE591F3" w14:textId="77777777">
            <w:pPr>
              <w:jc w:val="right"/>
            </w:pPr>
            <w:r w:rsidRPr="00B66B9A">
              <w:t>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1B1CFE15" w14:textId="77777777">
            <w:pPr>
              <w:jc w:val="right"/>
            </w:pPr>
            <w:r w:rsidRPr="00B66B9A">
              <w:t>10.25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424C32BC" w14:textId="77777777">
            <w:pPr>
              <w:jc w:val="right"/>
            </w:pPr>
            <w:r w:rsidRPr="00B66B9A">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00433E9A" w14:textId="77777777">
            <w:pPr>
              <w:jc w:val="right"/>
            </w:pPr>
            <w:r w:rsidRPr="00B66B9A">
              <w:t>$659.00</w:t>
            </w:r>
          </w:p>
        </w:tc>
      </w:tr>
      <w:tr w14:paraId="028AC30D" w14:textId="77777777" w:rsidTr="00123B2A">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123B2A" w14:paraId="61520441" w14:textId="6C0FE404">
            <w:pPr>
              <w:jc w:val="right"/>
              <w:rPr>
                <w:b/>
                <w:bCs/>
                <w:color w:val="000000"/>
              </w:rPr>
            </w:pPr>
            <w:r>
              <w:rPr>
                <w:b/>
                <w:bCs/>
                <w:color w:val="000000"/>
              </w:rPr>
              <w:t>Total</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227A09CE" w14:textId="77777777">
            <w:pPr>
              <w:jc w:val="center"/>
              <w:rPr>
                <w:b/>
                <w:bC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3ED6F5A8" w14:textId="425B736E">
            <w:pPr>
              <w:jc w:val="right"/>
              <w:rPr>
                <w:b/>
                <w:bCs/>
              </w:rPr>
            </w:pPr>
            <w:r w:rsidRPr="00B66B9A">
              <w:rPr>
                <w:b/>
                <w:bCs/>
              </w:rPr>
              <w:t>124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79B155B" w14:textId="77777777">
            <w:pPr>
              <w:jc w:val="right"/>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738F3067" w14:textId="77777777">
            <w:pPr>
              <w:jc w:val="right"/>
              <w:rPr>
                <w:b/>
                <w:bCs/>
              </w:rPr>
            </w:pPr>
            <w:r w:rsidRPr="00B66B9A">
              <w:rPr>
                <w:b/>
                <w:bCs/>
              </w:rPr>
              <w:t>950.75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5740D248" w14:textId="77777777">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B9A" w:rsidRPr="00B66B9A" w:rsidP="00B66B9A" w14:paraId="6CCFFF87" w14:textId="708D90E1">
            <w:pPr>
              <w:jc w:val="right"/>
              <w:rPr>
                <w:b/>
                <w:bCs/>
              </w:rPr>
            </w:pPr>
            <w:r>
              <w:rPr>
                <w:b/>
                <w:bCs/>
              </w:rPr>
              <w:t>$</w:t>
            </w:r>
            <w:r w:rsidRPr="00B66B9A">
              <w:rPr>
                <w:b/>
                <w:bCs/>
              </w:rPr>
              <w:t>60,921.00</w:t>
            </w:r>
          </w:p>
        </w:tc>
      </w:tr>
    </w:tbl>
    <w:p w:rsidR="007C566E" w:rsidP="009D0B2E" w14:paraId="27FC3CDB" w14:textId="77777777"/>
    <w:p w:rsidR="00717C3B" w:rsidRPr="009F6090" w:rsidP="009D0B2E" w14:paraId="5A9FF855" w14:textId="77777777"/>
    <w:p w:rsidR="00F350D3" w:rsidRPr="00157826" w:rsidP="00F350D3" w14:paraId="535B05E7" w14:textId="77777777">
      <w:pPr>
        <w:rPr>
          <w:b/>
          <w:bCs/>
        </w:rPr>
      </w:pPr>
      <w:r w:rsidRPr="00157826">
        <w:rPr>
          <w:b/>
          <w:bCs/>
        </w:rPr>
        <w:t>No change from baseline conditions for:</w:t>
      </w:r>
    </w:p>
    <w:p w:rsidR="00F350D3" w:rsidRPr="00157826" w:rsidP="00F350D3" w14:paraId="65FE4934" w14:textId="77777777">
      <w:pPr>
        <w:rPr>
          <w:i/>
          <w:iCs/>
        </w:rPr>
      </w:pPr>
      <w:r w:rsidRPr="00157826">
        <w:rPr>
          <w:i/>
          <w:iCs/>
        </w:rPr>
        <w:t>Report a discovery</w:t>
      </w:r>
      <w:r>
        <w:rPr>
          <w:i/>
          <w:iCs/>
        </w:rPr>
        <w:t>.</w:t>
      </w:r>
    </w:p>
    <w:p w:rsidR="00F350D3" w:rsidRPr="00157826" w:rsidP="00F350D3" w14:paraId="674B4B5F" w14:textId="77777777">
      <w:pPr>
        <w:rPr>
          <w:i/>
          <w:iCs/>
        </w:rPr>
      </w:pPr>
      <w:r w:rsidRPr="00157826">
        <w:rPr>
          <w:i/>
          <w:iCs/>
        </w:rPr>
        <w:t>Respond to a discovery</w:t>
      </w:r>
      <w:r>
        <w:rPr>
          <w:i/>
          <w:iCs/>
        </w:rPr>
        <w:t>.</w:t>
      </w:r>
    </w:p>
    <w:p w:rsidR="002A12F5" w:rsidRPr="00157826" w:rsidP="002A12F5" w14:paraId="56BA18D4" w14:textId="77777777">
      <w:pPr>
        <w:rPr>
          <w:i/>
          <w:iCs/>
        </w:rPr>
      </w:pPr>
      <w:r w:rsidRPr="00157826">
        <w:rPr>
          <w:i/>
          <w:iCs/>
        </w:rPr>
        <w:t>Respond to a discovery</w:t>
      </w:r>
      <w:r>
        <w:rPr>
          <w:i/>
          <w:iCs/>
        </w:rPr>
        <w:t>.</w:t>
      </w:r>
    </w:p>
    <w:p w:rsidR="00F350D3" w:rsidRPr="00157826" w:rsidP="00F350D3" w14:paraId="4E97628A" w14:textId="77777777">
      <w:pPr>
        <w:rPr>
          <w:i/>
          <w:iCs/>
        </w:rPr>
      </w:pPr>
      <w:r w:rsidRPr="00157826">
        <w:rPr>
          <w:i/>
          <w:iCs/>
        </w:rPr>
        <w:t>Consent to an excavation</w:t>
      </w:r>
      <w:r>
        <w:rPr>
          <w:i/>
          <w:iCs/>
        </w:rPr>
        <w:t>.</w:t>
      </w:r>
    </w:p>
    <w:p w:rsidR="00F350D3" w:rsidRPr="00157826" w:rsidP="00F350D3" w14:paraId="0538CF4C" w14:textId="77777777">
      <w:pPr>
        <w:rPr>
          <w:i/>
          <w:iCs/>
        </w:rPr>
      </w:pPr>
      <w:r w:rsidRPr="00157826">
        <w:rPr>
          <w:i/>
          <w:iCs/>
        </w:rPr>
        <w:t>Publish notices of intended disposition</w:t>
      </w:r>
      <w:r>
        <w:rPr>
          <w:i/>
          <w:iCs/>
        </w:rPr>
        <w:t>.</w:t>
      </w:r>
    </w:p>
    <w:p w:rsidR="00F350D3" w:rsidRPr="00157826" w:rsidP="00F350D3" w14:paraId="6F755A0B" w14:textId="77777777">
      <w:pPr>
        <w:rPr>
          <w:i/>
          <w:iCs/>
        </w:rPr>
      </w:pPr>
      <w:r w:rsidRPr="00157826">
        <w:rPr>
          <w:i/>
          <w:iCs/>
        </w:rPr>
        <w:t>Submit a claim for disposition</w:t>
      </w:r>
      <w:r>
        <w:rPr>
          <w:i/>
          <w:iCs/>
        </w:rPr>
        <w:t>.</w:t>
      </w:r>
    </w:p>
    <w:p w:rsidR="00F350D3" w:rsidRPr="00157826" w:rsidP="00F350D3" w14:paraId="040C441F" w14:textId="77777777">
      <w:pPr>
        <w:rPr>
          <w:i/>
          <w:iCs/>
        </w:rPr>
      </w:pPr>
      <w:r w:rsidRPr="00157826">
        <w:rPr>
          <w:i/>
          <w:iCs/>
        </w:rPr>
        <w:t>Evaluate competing claims for disposition</w:t>
      </w:r>
      <w:r>
        <w:rPr>
          <w:i/>
          <w:iCs/>
        </w:rPr>
        <w:t>.</w:t>
      </w:r>
    </w:p>
    <w:p w:rsidR="00F350D3" w:rsidP="00F350D3" w14:paraId="659E10EE" w14:textId="77777777">
      <w:r w:rsidRPr="00157826">
        <w:rPr>
          <w:i/>
          <w:iCs/>
        </w:rPr>
        <w:t>Transfer or reinter unclaimed human remains or cultural items</w:t>
      </w:r>
      <w:r>
        <w:rPr>
          <w:i/>
          <w:iCs/>
        </w:rPr>
        <w:t>.</w:t>
      </w:r>
    </w:p>
    <w:p w:rsidR="00F350D3" w:rsidP="00F350D3" w14:paraId="7BFC7916" w14:textId="77777777"/>
    <w:p w:rsidR="00F350D3" w:rsidRPr="00157826" w:rsidP="00F350D3" w14:paraId="1FBE4026" w14:textId="77AA144B">
      <w:pPr>
        <w:rPr>
          <w:b/>
          <w:bCs/>
        </w:rPr>
      </w:pPr>
      <w:r>
        <w:rPr>
          <w:b/>
          <w:bCs/>
        </w:rPr>
        <w:t>Revisions</w:t>
      </w:r>
      <w:r w:rsidRPr="00157826">
        <w:rPr>
          <w:b/>
          <w:bCs/>
        </w:rPr>
        <w:t xml:space="preserve"> to baseline conditions under proposed </w:t>
      </w:r>
      <w:r>
        <w:rPr>
          <w:b/>
          <w:bCs/>
        </w:rPr>
        <w:t>action</w:t>
      </w:r>
      <w:r w:rsidRPr="00157826">
        <w:rPr>
          <w:b/>
          <w:bCs/>
        </w:rPr>
        <w:t>:</w:t>
      </w:r>
    </w:p>
    <w:p w:rsidR="00665C71" w:rsidRPr="006506AD" w:rsidP="00665C71" w14:paraId="095B4E52" w14:textId="101C080A">
      <w:r w:rsidRPr="007C566E">
        <w:rPr>
          <w:i/>
          <w:iCs/>
        </w:rPr>
        <w:t>Authorize an excavation.</w:t>
      </w:r>
      <w:r>
        <w:rPr>
          <w:i/>
          <w:iCs/>
        </w:rPr>
        <w:t xml:space="preserve"> </w:t>
      </w:r>
      <w:r w:rsidRPr="006506AD">
        <w:t xml:space="preserve">We estimate that the number of Federal agencies authorizing an excavation is </w:t>
      </w:r>
      <w:r>
        <w:t>50</w:t>
      </w:r>
      <w:r w:rsidRPr="006506AD">
        <w:t>% (n=</w:t>
      </w:r>
      <w:r>
        <w:t>6</w:t>
      </w:r>
      <w:r w:rsidRPr="006506AD">
        <w:t>) of the discoveries on Federal lands. We assume most Federal agencies prefer to avoid excavation whenever possible</w:t>
      </w:r>
      <w:r w:rsidR="00235D45">
        <w:t>, but the additional requirements to consult</w:t>
      </w:r>
      <w:r w:rsidR="00F66184">
        <w:t xml:space="preserve"> and develop plans of action</w:t>
      </w:r>
      <w:r w:rsidR="00655286">
        <w:t xml:space="preserve"> in the proposed regulatory action</w:t>
      </w:r>
      <w:r w:rsidR="00235D45">
        <w:t xml:space="preserve"> will result in additional excavations</w:t>
      </w:r>
      <w:r w:rsidR="00F66184">
        <w:t xml:space="preserve"> on Federal lands</w:t>
      </w:r>
      <w:r w:rsidRPr="006506AD">
        <w:t>.</w:t>
      </w:r>
      <w:r>
        <w:t xml:space="preserve"> </w:t>
      </w:r>
      <w:r w:rsidRPr="006506AD">
        <w:t>We estimate the time per response ranges from less than one hour</w:t>
      </w:r>
      <w:r>
        <w:t xml:space="preserve">, </w:t>
      </w:r>
      <w:r w:rsidRPr="003F47F8">
        <w:t xml:space="preserve">or </w:t>
      </w:r>
      <w:r>
        <w:t>0</w:t>
      </w:r>
      <w:r w:rsidRPr="003F47F8">
        <w:t>.5</w:t>
      </w:r>
      <w:r>
        <w:t>0</w:t>
      </w:r>
      <w:r w:rsidRPr="003F47F8">
        <w:t xml:space="preserve"> hours</w:t>
      </w:r>
      <w:r>
        <w:t>,</w:t>
      </w:r>
      <w:r w:rsidRPr="006506AD">
        <w:t xml:space="preserve"> to 10 hours, depending on the size and complexity of the discovery, for a median of 5.25 hours.</w:t>
      </w:r>
    </w:p>
    <w:p w:rsidR="00665C71" w:rsidP="00665C71" w14:paraId="0ED854B1" w14:textId="77777777">
      <w:pPr>
        <w:rPr>
          <w:i/>
          <w:iCs/>
        </w:rPr>
      </w:pPr>
    </w:p>
    <w:p w:rsidR="00F350D3" w:rsidP="00F350D3" w14:paraId="60AFAEB8" w14:textId="739FE6E9">
      <w:r>
        <w:rPr>
          <w:i/>
          <w:iCs/>
        </w:rPr>
        <w:t>C</w:t>
      </w:r>
      <w:r>
        <w:rPr>
          <w:i/>
          <w:iCs/>
        </w:rPr>
        <w:t>onduct consultation.</w:t>
      </w:r>
      <w:r>
        <w:t xml:space="preserve"> Consultation will be required on all discoveries on Federal lands (n=11). We do not estimate a change in the time per response from baseline conditions.</w:t>
      </w:r>
    </w:p>
    <w:p w:rsidR="00F350D3" w:rsidP="00F350D3" w14:paraId="4ECEBC88" w14:textId="77777777"/>
    <w:p w:rsidR="00F350D3" w:rsidP="00F350D3" w14:paraId="6C2398A0" w14:textId="77777777">
      <w:r>
        <w:rPr>
          <w:i/>
          <w:iCs/>
        </w:rPr>
        <w:t xml:space="preserve">Complete a plan of action. </w:t>
      </w:r>
      <w:r>
        <w:t>Completing a plan of action will be required for all discoveries on Federal lands (n=11). We do not estimate a change in the time per response from baseline conditions.</w:t>
      </w:r>
    </w:p>
    <w:p w:rsidR="00F350D3" w:rsidP="00F350D3" w14:paraId="2CA32F8E" w14:textId="77777777"/>
    <w:p w:rsidR="00F350D3" w:rsidRPr="00157826" w:rsidP="00F350D3" w14:paraId="0B643720" w14:textId="77777777">
      <w:pPr>
        <w:rPr>
          <w:b/>
          <w:bCs/>
        </w:rPr>
      </w:pPr>
      <w:r w:rsidRPr="00157826">
        <w:rPr>
          <w:b/>
          <w:bCs/>
        </w:rPr>
        <w:t xml:space="preserve">New requirements in proposed </w:t>
      </w:r>
      <w:r>
        <w:rPr>
          <w:b/>
          <w:bCs/>
        </w:rPr>
        <w:t>action</w:t>
      </w:r>
      <w:r w:rsidRPr="00157826">
        <w:rPr>
          <w:b/>
          <w:bCs/>
        </w:rPr>
        <w:t>:</w:t>
      </w:r>
    </w:p>
    <w:p w:rsidR="00F350D3" w:rsidRPr="00C50FFF" w:rsidP="00F350D3" w14:paraId="1EA3869E" w14:textId="6B005C90">
      <w:r w:rsidRPr="00C50FFF">
        <w:rPr>
          <w:i/>
          <w:iCs/>
        </w:rPr>
        <w:t>Delegate or accept responsibility on Tribal land</w:t>
      </w:r>
      <w:r>
        <w:rPr>
          <w:i/>
          <w:iCs/>
        </w:rPr>
        <w:t xml:space="preserve">s. </w:t>
      </w:r>
      <w:r>
        <w:t>W</w:t>
      </w:r>
      <w:r w:rsidRPr="00C50FFF">
        <w:t>e estimate 2% of Indian Tribes (n=11) and NHOs (n=2) will delegate or accept responsibility</w:t>
      </w:r>
      <w:r>
        <w:t xml:space="preserve"> on their Tribal lands</w:t>
      </w:r>
      <w:r w:rsidRPr="00C50FFF">
        <w:t>. (The total number of Indian Tribes is 574. The estimated number of NHOs is 120</w:t>
      </w:r>
      <w:r w:rsidR="0005652D">
        <w:t>.</w:t>
      </w:r>
      <w:r w:rsidRPr="00C50FFF">
        <w:t>)</w:t>
      </w:r>
      <w:r>
        <w:t xml:space="preserve"> </w:t>
      </w:r>
      <w:r w:rsidRPr="00CE6CC6">
        <w:t>We estimate the time per response range</w:t>
      </w:r>
      <w:r>
        <w:t>s</w:t>
      </w:r>
      <w:r w:rsidRPr="00CE6CC6">
        <w:t xml:space="preserve">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CE6CC6">
        <w:t xml:space="preserve"> to </w:t>
      </w:r>
      <w:r>
        <w:t>2</w:t>
      </w:r>
      <w:r w:rsidRPr="00CE6CC6">
        <w:t xml:space="preserve"> hours, depending on the size and complexity of the </w:t>
      </w:r>
      <w:r>
        <w:t>request</w:t>
      </w:r>
      <w:r w:rsidRPr="00CE6CC6">
        <w:t xml:space="preserve">, for a median of </w:t>
      </w:r>
      <w:r>
        <w:t>1</w:t>
      </w:r>
      <w:r w:rsidRPr="00CE6CC6">
        <w:t>.25 hours.</w:t>
      </w:r>
    </w:p>
    <w:p w:rsidR="00F350D3" w:rsidP="00F350D3" w14:paraId="02701386" w14:textId="77777777">
      <w:pPr>
        <w:rPr>
          <w:i/>
          <w:iCs/>
        </w:rPr>
      </w:pPr>
    </w:p>
    <w:p w:rsidR="00F350D3" w:rsidP="00F350D3" w14:paraId="20A9B108" w14:textId="3828F4B6">
      <w:r>
        <w:rPr>
          <w:i/>
          <w:iCs/>
        </w:rPr>
        <w:t>Submit a r</w:t>
      </w:r>
      <w:r w:rsidRPr="00C50FFF">
        <w:rPr>
          <w:i/>
          <w:iCs/>
        </w:rPr>
        <w:t xml:space="preserve">equest </w:t>
      </w:r>
      <w:r w:rsidR="00E03765">
        <w:rPr>
          <w:i/>
          <w:iCs/>
        </w:rPr>
        <w:t xml:space="preserve">to </w:t>
      </w:r>
      <w:r w:rsidRPr="002063BA" w:rsidR="002063BA">
        <w:rPr>
          <w:i/>
          <w:iCs/>
        </w:rPr>
        <w:t>consult</w:t>
      </w:r>
      <w:r>
        <w:rPr>
          <w:i/>
          <w:iCs/>
        </w:rPr>
        <w:t>.</w:t>
      </w:r>
      <w:r>
        <w:t xml:space="preserve"> </w:t>
      </w:r>
      <w:r w:rsidR="00B52CAF">
        <w:t>We estimate</w:t>
      </w:r>
      <w:r w:rsidR="00F81202">
        <w:t xml:space="preserve"> Indian Tribes and NHOs</w:t>
      </w:r>
      <w:r w:rsidR="00B52CAF">
        <w:t xml:space="preserve"> </w:t>
      </w:r>
      <w:r w:rsidR="000A3429">
        <w:t>will</w:t>
      </w:r>
      <w:r w:rsidR="00420269">
        <w:t xml:space="preserve"> </w:t>
      </w:r>
      <w:r w:rsidR="000A3429">
        <w:t>request</w:t>
      </w:r>
      <w:r w:rsidR="00420269">
        <w:t xml:space="preserve"> </w:t>
      </w:r>
      <w:r>
        <w:t>to consult</w:t>
      </w:r>
      <w:r w:rsidR="00203ED8">
        <w:t xml:space="preserve"> on all</w:t>
      </w:r>
      <w:r w:rsidR="00B52CAF">
        <w:t xml:space="preserve"> discoveries on Federal lands</w:t>
      </w:r>
      <w:r w:rsidR="00203ED8">
        <w:t xml:space="preserve"> (n=11)</w:t>
      </w:r>
      <w:r w:rsidR="00B52CAF">
        <w:t xml:space="preserve">. </w:t>
      </w:r>
      <w:r w:rsidRPr="00CE6CC6">
        <w:t>We estimate the time per response range</w:t>
      </w:r>
      <w:r>
        <w:t>s</w:t>
      </w:r>
      <w:r w:rsidRPr="00CE6CC6">
        <w:t xml:space="preserve">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CE6CC6">
        <w:t xml:space="preserve"> to </w:t>
      </w:r>
      <w:r>
        <w:t>2</w:t>
      </w:r>
      <w:r w:rsidRPr="00CE6CC6">
        <w:t xml:space="preserve"> hours, depending on the size and complexity of the </w:t>
      </w:r>
      <w:r>
        <w:t>request</w:t>
      </w:r>
      <w:r w:rsidRPr="00CE6CC6">
        <w:t xml:space="preserve">, for a median of </w:t>
      </w:r>
      <w:r>
        <w:t>1</w:t>
      </w:r>
      <w:r w:rsidRPr="00CE6CC6">
        <w:t>.25 hours.</w:t>
      </w:r>
    </w:p>
    <w:p w:rsidR="00F350D3" w:rsidRPr="00157826" w:rsidP="00F350D3" w14:paraId="28F93FF9" w14:textId="77777777"/>
    <w:p w:rsidR="00F350D3" w:rsidP="00F350D3" w14:paraId="7D18098C" w14:textId="66001648">
      <w:r w:rsidRPr="00C50FFF">
        <w:rPr>
          <w:i/>
          <w:iCs/>
        </w:rPr>
        <w:t>Send or complete a disposition statement</w:t>
      </w:r>
      <w:r>
        <w:rPr>
          <w:i/>
          <w:iCs/>
        </w:rPr>
        <w:t>.</w:t>
      </w:r>
      <w:r w:rsidRPr="00C50FFF">
        <w:t xml:space="preserve"> </w:t>
      </w:r>
      <w:r>
        <w:t>W</w:t>
      </w:r>
      <w:r w:rsidRPr="00C50FFF">
        <w:t>e estimate that all of the discoveries on Tribal lands (n=4) will require a disposition statement</w:t>
      </w:r>
      <w:r>
        <w:t xml:space="preserve">. </w:t>
      </w:r>
      <w:r w:rsidRPr="00CE6CC6">
        <w:t xml:space="preserve">We estimate the time per response </w:t>
      </w:r>
      <w:r>
        <w:t>is</w:t>
      </w:r>
      <w:r w:rsidRPr="00CE6CC6">
        <w:t xml:space="preserve"> less than one hour</w:t>
      </w:r>
      <w:r w:rsidR="0005652D">
        <w:t>, or 0.50 hours</w:t>
      </w:r>
      <w:r w:rsidRPr="00CE6CC6">
        <w:t>.</w:t>
      </w:r>
    </w:p>
    <w:p w:rsidR="00F350D3" w:rsidRPr="00C50FFF" w:rsidP="00F350D3" w14:paraId="1E3334C0" w14:textId="77777777">
      <w:r w:rsidRPr="00C50FFF">
        <w:t xml:space="preserve"> </w:t>
      </w:r>
    </w:p>
    <w:p w:rsidR="00F350D3" w:rsidRPr="00157826" w:rsidP="00F350D3" w14:paraId="2D7B6B04" w14:textId="05672071">
      <w:r w:rsidRPr="00C50FFF">
        <w:rPr>
          <w:i/>
          <w:iCs/>
        </w:rPr>
        <w:t>Send a disposition statement</w:t>
      </w:r>
      <w:r>
        <w:rPr>
          <w:i/>
          <w:iCs/>
        </w:rPr>
        <w:t>.</w:t>
      </w:r>
      <w:r>
        <w:t xml:space="preserve"> We estimate that all of the discoveries on Federal lands (n=11) will require a disposition statement. </w:t>
      </w:r>
      <w:r w:rsidRPr="00CE6CC6">
        <w:t>We estimate the time per response range</w:t>
      </w:r>
      <w:r>
        <w:t>s</w:t>
      </w:r>
      <w:r w:rsidRPr="00CE6CC6">
        <w:t xml:space="preserve">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CE6CC6">
        <w:t xml:space="preserve"> to </w:t>
      </w:r>
      <w:r>
        <w:t>5</w:t>
      </w:r>
      <w:r w:rsidRPr="00CE6CC6">
        <w:t xml:space="preserve"> hours, depending on the size and complexity of the </w:t>
      </w:r>
      <w:r>
        <w:t>request</w:t>
      </w:r>
      <w:r w:rsidRPr="00CE6CC6">
        <w:t xml:space="preserve">, for a median of </w:t>
      </w:r>
      <w:r>
        <w:t>2</w:t>
      </w:r>
      <w:r w:rsidRPr="00CE6CC6">
        <w:t>.</w:t>
      </w:r>
      <w:r>
        <w:t>7</w:t>
      </w:r>
      <w:r w:rsidRPr="00CE6CC6">
        <w:t>5 hours.</w:t>
      </w:r>
    </w:p>
    <w:p w:rsidR="00F350D3" w:rsidP="00F350D3" w14:paraId="72C533F2" w14:textId="77777777"/>
    <w:p w:rsidR="00F350D3" w:rsidP="00F350D3" w14:paraId="1266AD4C" w14:textId="78C65A46">
      <w:r>
        <w:rPr>
          <w:i/>
          <w:iCs/>
        </w:rPr>
        <w:t xml:space="preserve">Request transfer of unclaimed human remains or cultural items. </w:t>
      </w:r>
      <w:r>
        <w:t xml:space="preserve">We estimate that the number of Indian Tribes or NHOs requesting transfer of unclaimed human remains or cultural items (n=1) based on reporting over the last three years. </w:t>
      </w:r>
      <w:r w:rsidRPr="00CE6CC6">
        <w:t>We estimate the time per response range</w:t>
      </w:r>
      <w:r>
        <w:t>s</w:t>
      </w:r>
      <w:r w:rsidRPr="00CE6CC6">
        <w:t xml:space="preserve">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CE6CC6">
        <w:t xml:space="preserve"> to </w:t>
      </w:r>
      <w:r>
        <w:t>2</w:t>
      </w:r>
      <w:r w:rsidRPr="00CE6CC6">
        <w:t xml:space="preserve"> hours, depending on the size and complexity of the </w:t>
      </w:r>
      <w:r>
        <w:t>request</w:t>
      </w:r>
      <w:r w:rsidRPr="00CE6CC6">
        <w:t xml:space="preserve">, for a median of </w:t>
      </w:r>
      <w:r>
        <w:t>1</w:t>
      </w:r>
      <w:r w:rsidRPr="00CE6CC6">
        <w:t>.25 hours.</w:t>
      </w:r>
    </w:p>
    <w:p w:rsidR="00C66E72" w:rsidP="00C66E72" w14:paraId="39D53A02" w14:textId="203A5C61"/>
    <w:p w:rsidR="00C66E72" w:rsidP="00C66E72" w14:paraId="441F27C8" w14:textId="77777777">
      <w:pPr>
        <w:rPr>
          <w:rFonts w:ascii="Arial" w:hAnsi="Arial" w:cs="Arial"/>
          <w:b/>
          <w:bCs/>
          <w:sz w:val="23"/>
          <w:szCs w:val="23"/>
        </w:rPr>
      </w:pPr>
    </w:p>
    <w:p w:rsidR="00C66E72" w:rsidRPr="00324C20" w:rsidP="00717C3B" w14:paraId="7A460150" w14:textId="77777777">
      <w:pPr>
        <w:pStyle w:val="Heading2"/>
      </w:pPr>
      <w:bookmarkStart w:id="40" w:name="_Toc113867005"/>
      <w:r w:rsidRPr="00324C20">
        <w:t>Subpart C – Repatriation by Museums and Federal agencies.</w:t>
      </w:r>
      <w:bookmarkEnd w:id="40"/>
    </w:p>
    <w:p w:rsidR="00C66E72" w:rsidP="00C66E72" w14:paraId="6AAD5C36" w14:textId="77777777">
      <w:pPr>
        <w:contextualSpacing/>
      </w:pPr>
      <w:r>
        <w:t>This</w:t>
      </w:r>
      <w:r w:rsidRPr="00D84109">
        <w:t xml:space="preserve"> estimate rel</w:t>
      </w:r>
      <w:r>
        <w:t>ies</w:t>
      </w:r>
      <w:r w:rsidRPr="00D84109">
        <w:t xml:space="preserve"> on </w:t>
      </w:r>
      <w:r>
        <w:t xml:space="preserve">the </w:t>
      </w:r>
      <w:r w:rsidRPr="00D84109">
        <w:t xml:space="preserve">average </w:t>
      </w:r>
      <w:r>
        <w:t>number of submissions by museums and Federal agencies over the last three years or calculates an estimate based on those submissions.</w:t>
      </w:r>
      <w:r>
        <w:rPr>
          <w:rStyle w:val="FootnoteReference"/>
        </w:rPr>
        <w:footnoteReference w:id="16"/>
      </w:r>
    </w:p>
    <w:p w:rsidR="002937EA" w:rsidP="00C66E72" w14:paraId="6C871A62" w14:textId="77777777">
      <w:pPr>
        <w:contextualSpacing/>
      </w:pPr>
    </w:p>
    <w:p w:rsidR="000739FD" w:rsidP="00C66E72" w14:paraId="429651A5" w14:textId="77777777">
      <w:pPr>
        <w:contextualSpacing/>
      </w:pPr>
    </w:p>
    <w:p w:rsidR="000C1F33" w:rsidRPr="00D435F4" w:rsidP="00D435F4" w14:paraId="1CDF9C42" w14:textId="75D29B22">
      <w:pPr>
        <w:pStyle w:val="Heading3"/>
      </w:pPr>
      <w:bookmarkStart w:id="41" w:name="_Toc113867044"/>
      <w:r w:rsidRPr="00D435F4">
        <w:t xml:space="preserve">Table 18. </w:t>
      </w:r>
      <w:r w:rsidRPr="00D435F4" w:rsidR="00D435F4">
        <w:t xml:space="preserve"> </w:t>
      </w:r>
      <w:r w:rsidRPr="00D435F4">
        <w:t>Estimate for Baseline Conditions Subpart C</w:t>
      </w:r>
      <w:bookmarkEnd w:id="41"/>
      <w:r w:rsidRPr="00D435F4">
        <w:t xml:space="preserve"> </w:t>
      </w:r>
    </w:p>
    <w:tbl>
      <w:tblPr>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7"/>
        <w:gridCol w:w="2415"/>
        <w:gridCol w:w="1343"/>
        <w:gridCol w:w="1253"/>
        <w:gridCol w:w="1487"/>
        <w:gridCol w:w="1164"/>
        <w:gridCol w:w="1596"/>
      </w:tblGrid>
      <w:tr w14:paraId="7525745D" w14:textId="77777777" w:rsidTr="004979B7">
        <w:tblPrEx>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577" w:type="dxa"/>
            <w:shd w:val="clear" w:color="auto" w:fill="auto"/>
            <w:noWrap/>
            <w:vAlign w:val="center"/>
          </w:tcPr>
          <w:p w:rsidR="000C1F33" w:rsidRPr="006172FD" w:rsidP="0074675D" w14:paraId="497A445A" w14:textId="77777777">
            <w:pPr>
              <w:jc w:val="center"/>
              <w:rPr>
                <w:b/>
                <w:bCs/>
                <w:color w:val="000000"/>
              </w:rPr>
            </w:pPr>
            <w:r w:rsidRPr="006172FD">
              <w:rPr>
                <w:b/>
                <w:bCs/>
                <w:color w:val="000000"/>
              </w:rPr>
              <w:t>Regulatory Requirement</w:t>
            </w:r>
          </w:p>
        </w:tc>
        <w:tc>
          <w:tcPr>
            <w:tcW w:w="2415" w:type="dxa"/>
            <w:shd w:val="clear" w:color="auto" w:fill="auto"/>
            <w:noWrap/>
            <w:vAlign w:val="center"/>
          </w:tcPr>
          <w:p w:rsidR="000C1F33" w:rsidRPr="006172FD" w:rsidP="0074675D" w14:paraId="729D0942" w14:textId="77777777">
            <w:pPr>
              <w:jc w:val="center"/>
              <w:rPr>
                <w:b/>
                <w:bCs/>
                <w:color w:val="000000"/>
              </w:rPr>
            </w:pPr>
            <w:r w:rsidRPr="006172FD">
              <w:rPr>
                <w:b/>
                <w:bCs/>
                <w:color w:val="000000"/>
              </w:rPr>
              <w:t>Responsible party</w:t>
            </w:r>
          </w:p>
        </w:tc>
        <w:tc>
          <w:tcPr>
            <w:tcW w:w="1343" w:type="dxa"/>
            <w:shd w:val="clear" w:color="auto" w:fill="auto"/>
            <w:noWrap/>
            <w:vAlign w:val="center"/>
          </w:tcPr>
          <w:p w:rsidR="000C1F33" w:rsidRPr="006172FD" w:rsidP="0074675D" w14:paraId="0D791DA5" w14:textId="77777777">
            <w:pPr>
              <w:jc w:val="center"/>
              <w:rPr>
                <w:b/>
                <w:bCs/>
                <w:color w:val="000000"/>
              </w:rPr>
            </w:pPr>
            <w:r w:rsidRPr="006172FD">
              <w:rPr>
                <w:b/>
                <w:bCs/>
              </w:rPr>
              <w:t>Number of responses</w:t>
            </w:r>
          </w:p>
        </w:tc>
        <w:tc>
          <w:tcPr>
            <w:tcW w:w="1253" w:type="dxa"/>
            <w:shd w:val="clear" w:color="auto" w:fill="auto"/>
            <w:noWrap/>
            <w:vAlign w:val="center"/>
          </w:tcPr>
          <w:p w:rsidR="000C1F33" w:rsidRPr="006172FD" w:rsidP="0074675D" w14:paraId="7A72EF5F" w14:textId="77777777">
            <w:pPr>
              <w:jc w:val="center"/>
              <w:rPr>
                <w:b/>
                <w:bCs/>
                <w:color w:val="000000"/>
              </w:rPr>
            </w:pPr>
            <w:r w:rsidRPr="006172FD">
              <w:rPr>
                <w:b/>
                <w:bCs/>
              </w:rPr>
              <w:t>Time per response</w:t>
            </w:r>
          </w:p>
        </w:tc>
        <w:tc>
          <w:tcPr>
            <w:tcW w:w="1487" w:type="dxa"/>
            <w:shd w:val="clear" w:color="auto" w:fill="auto"/>
            <w:noWrap/>
            <w:vAlign w:val="center"/>
          </w:tcPr>
          <w:p w:rsidR="000C1F33" w:rsidRPr="006172FD" w:rsidP="0074675D" w14:paraId="265604B4" w14:textId="77777777">
            <w:pPr>
              <w:jc w:val="center"/>
              <w:rPr>
                <w:b/>
                <w:bCs/>
                <w:color w:val="000000"/>
              </w:rPr>
            </w:pPr>
            <w:r w:rsidRPr="006172FD">
              <w:rPr>
                <w:b/>
                <w:bCs/>
              </w:rPr>
              <w:t>Annual Hours</w:t>
            </w:r>
          </w:p>
        </w:tc>
        <w:tc>
          <w:tcPr>
            <w:tcW w:w="1164" w:type="dxa"/>
            <w:shd w:val="clear" w:color="auto" w:fill="auto"/>
            <w:noWrap/>
            <w:vAlign w:val="center"/>
          </w:tcPr>
          <w:p w:rsidR="000C1F33" w:rsidRPr="006172FD" w:rsidP="0074675D" w14:paraId="4CFF242A" w14:textId="77777777">
            <w:pPr>
              <w:jc w:val="center"/>
              <w:rPr>
                <w:b/>
                <w:bCs/>
                <w:color w:val="000000"/>
              </w:rPr>
            </w:pPr>
            <w:r w:rsidRPr="006172FD">
              <w:rPr>
                <w:b/>
                <w:bCs/>
              </w:rPr>
              <w:t>Hourly Rate</w:t>
            </w:r>
          </w:p>
        </w:tc>
        <w:tc>
          <w:tcPr>
            <w:tcW w:w="1596" w:type="dxa"/>
            <w:shd w:val="clear" w:color="auto" w:fill="auto"/>
            <w:noWrap/>
            <w:vAlign w:val="center"/>
          </w:tcPr>
          <w:p w:rsidR="000C1F33" w:rsidRPr="006172FD" w:rsidP="0074675D" w14:paraId="731B30A1" w14:textId="77777777">
            <w:pPr>
              <w:jc w:val="center"/>
              <w:rPr>
                <w:b/>
                <w:bCs/>
                <w:color w:val="000000"/>
              </w:rPr>
            </w:pPr>
            <w:r w:rsidRPr="006172FD">
              <w:rPr>
                <w:b/>
                <w:bCs/>
              </w:rPr>
              <w:t>Annual Costs</w:t>
            </w:r>
          </w:p>
        </w:tc>
      </w:tr>
      <w:tr w14:paraId="5BEBA7CD"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12C5689" w14:textId="0937CD62">
            <w:pPr>
              <w:rPr>
                <w:color w:val="000000"/>
              </w:rPr>
            </w:pPr>
            <w:r w:rsidRPr="00973FE5">
              <w:rPr>
                <w:color w:val="000000"/>
              </w:rPr>
              <w:t>Identify holdings or collection in museum custody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D008515"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7FE6320" w14:textId="77777777">
            <w:pPr>
              <w:jc w:val="right"/>
            </w:pPr>
            <w:r w:rsidRPr="00973FE5">
              <w:t>3</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52D9D11" w14:textId="77777777">
            <w:pPr>
              <w:jc w:val="right"/>
            </w:pPr>
            <w:r w:rsidRPr="00973FE5">
              <w:t>50.25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1EF51DE" w14:textId="77777777">
            <w:pPr>
              <w:jc w:val="right"/>
            </w:pPr>
            <w:r w:rsidRPr="00973FE5">
              <w:t>150.75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5249070"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6C5C38C" w14:textId="77777777">
            <w:pPr>
              <w:jc w:val="right"/>
            </w:pPr>
            <w:r w:rsidRPr="00973FE5">
              <w:t>$9,687.00</w:t>
            </w:r>
          </w:p>
        </w:tc>
      </w:tr>
      <w:tr w14:paraId="3BA4A175" w14:textId="77777777" w:rsidTr="00BF11A6">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72567B0A" w14:textId="77777777">
            <w:pPr>
              <w:rPr>
                <w:color w:val="000000"/>
              </w:rPr>
            </w:pPr>
            <w:r w:rsidRPr="00973FE5">
              <w:rPr>
                <w:color w:val="000000"/>
              </w:rPr>
              <w:t>Submit a new summary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7ABB1714"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7671628F" w14:textId="77777777">
            <w:pPr>
              <w:jc w:val="right"/>
            </w:pPr>
            <w:r w:rsidRPr="00973FE5">
              <w:t>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76DEF15F" w14:textId="77777777">
            <w:pPr>
              <w:jc w:val="right"/>
            </w:pPr>
            <w:r w:rsidRPr="00973FE5">
              <w:t>52.50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61DEB93A" w14:textId="77777777">
            <w:pPr>
              <w:jc w:val="right"/>
            </w:pPr>
            <w:r w:rsidRPr="00973FE5">
              <w:t>367.50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3874DFAE"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76B5E87B" w14:textId="77777777">
            <w:pPr>
              <w:jc w:val="right"/>
            </w:pPr>
            <w:r w:rsidRPr="00973FE5">
              <w:t>$23,616.00</w:t>
            </w:r>
          </w:p>
        </w:tc>
      </w:tr>
      <w:tr w14:paraId="19AA834F"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2868A62" w14:textId="555D5B5C">
            <w:pPr>
              <w:rPr>
                <w:color w:val="000000"/>
              </w:rPr>
            </w:pPr>
            <w:r w:rsidRPr="00973FE5">
              <w:rPr>
                <w:color w:val="000000"/>
              </w:rPr>
              <w:t>Submit a new summary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E77A2BF"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EAB6EB9" w14:textId="77777777">
            <w:pPr>
              <w:jc w:val="right"/>
            </w:pPr>
            <w:r w:rsidRPr="00973FE5">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1C39A6F" w14:textId="77777777">
            <w:pPr>
              <w:jc w:val="right"/>
            </w:pPr>
            <w:r w:rsidRPr="00973FE5">
              <w:t>52.50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808451B" w14:textId="77777777">
            <w:pPr>
              <w:jc w:val="right"/>
            </w:pPr>
            <w:r w:rsidRPr="00973FE5">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04FD9CE"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26361C4" w14:textId="77777777">
            <w:pPr>
              <w:jc w:val="right"/>
            </w:pPr>
            <w:r w:rsidRPr="00973FE5">
              <w:t>$0.00</w:t>
            </w:r>
          </w:p>
        </w:tc>
      </w:tr>
      <w:tr w14:paraId="209B78E9" w14:textId="77777777" w:rsidTr="005D600F">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488FB36B" w14:textId="77777777">
            <w:pPr>
              <w:rPr>
                <w:color w:val="000000"/>
              </w:rPr>
            </w:pPr>
            <w:r>
              <w:rPr>
                <w:color w:val="000000"/>
              </w:rPr>
              <w:t xml:space="preserve">Initiate consultation </w:t>
            </w:r>
            <w:r w:rsidRPr="00973FE5">
              <w:rPr>
                <w:color w:val="000000"/>
              </w:rPr>
              <w:t>and request information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4BE2D93A"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58B4593D" w14:textId="77777777">
            <w:pPr>
              <w:jc w:val="right"/>
            </w:pPr>
            <w:r w:rsidRPr="00973FE5">
              <w:t>14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19D06AD4" w14:textId="77777777">
            <w:pPr>
              <w:jc w:val="right"/>
            </w:pPr>
            <w:r w:rsidRPr="00973FE5">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6B9F0F8B" w14:textId="77777777">
            <w:pPr>
              <w:jc w:val="right"/>
            </w:pPr>
            <w:r w:rsidRPr="00973FE5">
              <w:t>38.50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5024411B"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19E27B28" w14:textId="77777777">
            <w:pPr>
              <w:jc w:val="right"/>
            </w:pPr>
            <w:r w:rsidRPr="00973FE5">
              <w:t>$2,474.00</w:t>
            </w:r>
          </w:p>
        </w:tc>
      </w:tr>
      <w:tr w14:paraId="63B1A78E" w14:textId="77777777" w:rsidTr="005D600F">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077A5226" w14:textId="77777777">
            <w:pPr>
              <w:rPr>
                <w:color w:val="000000"/>
              </w:rPr>
            </w:pPr>
            <w:r>
              <w:rPr>
                <w:color w:val="000000"/>
              </w:rPr>
              <w:t xml:space="preserve">Initiate consultation </w:t>
            </w:r>
            <w:r w:rsidRPr="00973FE5">
              <w:rPr>
                <w:color w:val="000000"/>
              </w:rPr>
              <w:t>and request information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7AAE2490"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05BDA153" w14:textId="77777777">
            <w:pPr>
              <w:jc w:val="right"/>
            </w:pPr>
            <w:r w:rsidRPr="00973FE5">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56E2AE1D" w14:textId="77777777">
            <w:pPr>
              <w:jc w:val="right"/>
            </w:pPr>
            <w:r w:rsidRPr="00973FE5">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513E7AE1" w14:textId="77777777">
            <w:pPr>
              <w:jc w:val="right"/>
            </w:pPr>
            <w:r w:rsidRPr="00973FE5">
              <w:t>13.75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64FCFC9A"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58738B3E" w14:textId="77777777">
            <w:pPr>
              <w:jc w:val="right"/>
            </w:pPr>
            <w:r w:rsidRPr="00973FE5">
              <w:t>$884.00</w:t>
            </w:r>
          </w:p>
        </w:tc>
      </w:tr>
      <w:tr w14:paraId="65403E97" w14:textId="77777777" w:rsidTr="005D600F">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3175F137" w14:textId="77777777">
            <w:pPr>
              <w:rPr>
                <w:color w:val="000000"/>
              </w:rPr>
            </w:pPr>
            <w:r>
              <w:rPr>
                <w:color w:val="000000"/>
              </w:rPr>
              <w:t>Submit a r</w:t>
            </w:r>
            <w:r w:rsidRPr="00973FE5">
              <w:rPr>
                <w:color w:val="000000"/>
              </w:rPr>
              <w:t>equest</w:t>
            </w:r>
            <w:r>
              <w:rPr>
                <w:color w:val="000000"/>
              </w:rPr>
              <w:t xml:space="preserve"> to consult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14B3A3C6" w14:textId="77777777">
            <w:pPr>
              <w:rPr>
                <w:color w:val="000000"/>
              </w:rPr>
            </w:pPr>
            <w:r w:rsidRPr="00973FE5">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4A9E9FC5" w14:textId="77777777">
            <w:pPr>
              <w:jc w:val="right"/>
            </w:pPr>
            <w:r w:rsidRPr="00973FE5">
              <w:t>215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4264354A" w14:textId="77777777">
            <w:pPr>
              <w:jc w:val="right"/>
            </w:pPr>
            <w:r w:rsidRPr="00973FE5">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195D20DE" w14:textId="77777777">
            <w:pPr>
              <w:jc w:val="right"/>
            </w:pPr>
            <w:r w:rsidRPr="00973FE5">
              <w:t>268.75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24C294FB"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57DA1ABA" w14:textId="77777777">
            <w:pPr>
              <w:jc w:val="right"/>
            </w:pPr>
            <w:r w:rsidRPr="00973FE5">
              <w:t>$17,270.00</w:t>
            </w:r>
          </w:p>
        </w:tc>
      </w:tr>
      <w:tr w14:paraId="3DC0E042" w14:textId="77777777" w:rsidTr="005D600F">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6CAE0BB5" w14:textId="77777777">
            <w:pPr>
              <w:rPr>
                <w:color w:val="000000"/>
              </w:rPr>
            </w:pPr>
            <w:r>
              <w:rPr>
                <w:color w:val="000000"/>
              </w:rPr>
              <w:t>Submit a r</w:t>
            </w:r>
            <w:r w:rsidRPr="00973FE5">
              <w:rPr>
                <w:color w:val="000000"/>
              </w:rPr>
              <w:t>equest</w:t>
            </w:r>
            <w:r>
              <w:rPr>
                <w:color w:val="000000"/>
              </w:rPr>
              <w:t xml:space="preserve"> to consult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6C040B53" w14:textId="77777777">
            <w:pPr>
              <w:rPr>
                <w:color w:val="000000"/>
              </w:rPr>
            </w:pPr>
            <w:r w:rsidRPr="00973FE5">
              <w:rPr>
                <w:color w:val="000000"/>
              </w:rPr>
              <w:t>Lineal descendants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723350A2" w14:textId="77777777">
            <w:pPr>
              <w:jc w:val="right"/>
            </w:pPr>
            <w:r w:rsidRPr="00973FE5">
              <w:t>3</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35A93CD4" w14:textId="77777777">
            <w:pPr>
              <w:jc w:val="right"/>
            </w:pPr>
            <w:r w:rsidRPr="00973FE5">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388F7319" w14:textId="77777777">
            <w:pPr>
              <w:jc w:val="right"/>
            </w:pPr>
            <w:r w:rsidRPr="00973FE5">
              <w:t>3.75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723F5700" w14:textId="77777777">
            <w:pPr>
              <w:jc w:val="right"/>
            </w:pPr>
            <w:r w:rsidRPr="00973FE5">
              <w:t>$38.61</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0F" w:rsidRPr="00973FE5" w:rsidP="004208E6" w14:paraId="02F9A1CD" w14:textId="77777777">
            <w:pPr>
              <w:jc w:val="right"/>
            </w:pPr>
            <w:r w:rsidRPr="00973FE5">
              <w:t>$145.00</w:t>
            </w:r>
          </w:p>
        </w:tc>
      </w:tr>
      <w:tr w14:paraId="44020653" w14:textId="77777777" w:rsidTr="0051531D">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31D" w:rsidRPr="00973FE5" w:rsidP="0074675D" w14:paraId="0AA60224" w14:textId="07F88B2A">
            <w:pPr>
              <w:rPr>
                <w:color w:val="000000"/>
              </w:rPr>
            </w:pPr>
            <w:r>
              <w:rPr>
                <w:color w:val="000000"/>
              </w:rPr>
              <w:t>C</w:t>
            </w:r>
            <w:r w:rsidRPr="00973FE5">
              <w:rPr>
                <w:color w:val="000000"/>
              </w:rPr>
              <w:t>onduct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31D" w:rsidRPr="00973FE5" w:rsidP="0074675D" w14:paraId="1DACD973"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31D" w:rsidRPr="00973FE5" w:rsidP="0074675D" w14:paraId="0B1ED75D" w14:textId="77777777">
            <w:pPr>
              <w:jc w:val="right"/>
            </w:pPr>
            <w:r w:rsidRPr="00973FE5">
              <w:t>204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31D" w:rsidRPr="00973FE5" w:rsidP="0074675D" w14:paraId="3938C24F" w14:textId="77777777">
            <w:pPr>
              <w:jc w:val="right"/>
            </w:pPr>
            <w:r w:rsidRPr="00973FE5">
              <w:t>100.25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31D" w:rsidRPr="00973FE5" w:rsidP="0074675D" w14:paraId="51831B07" w14:textId="63E3702C">
            <w:pPr>
              <w:jc w:val="right"/>
            </w:pPr>
            <w:r w:rsidRPr="00973FE5">
              <w:t>20</w:t>
            </w:r>
            <w:r w:rsidR="00E769A3">
              <w:t>,</w:t>
            </w:r>
            <w:r w:rsidRPr="00973FE5">
              <w:t>451.00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31D" w:rsidRPr="00973FE5" w:rsidP="0074675D" w14:paraId="2DB0BC94"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31D" w:rsidRPr="00973FE5" w:rsidP="0074675D" w14:paraId="703F35DB" w14:textId="77777777">
            <w:pPr>
              <w:jc w:val="right"/>
            </w:pPr>
            <w:r w:rsidRPr="00973FE5">
              <w:t>$1,314,181.00</w:t>
            </w:r>
          </w:p>
        </w:tc>
      </w:tr>
      <w:tr w14:paraId="6D8D00BE"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521E032" w14:textId="1BF697C9">
            <w:pPr>
              <w:rPr>
                <w:color w:val="000000"/>
              </w:rPr>
            </w:pPr>
            <w:r>
              <w:rPr>
                <w:color w:val="000000"/>
              </w:rPr>
              <w:t>C</w:t>
            </w:r>
            <w:r w:rsidRPr="00973FE5">
              <w:rPr>
                <w:color w:val="000000"/>
              </w:rPr>
              <w:t>onduct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FA2B070"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F577D18" w14:textId="77777777">
            <w:pPr>
              <w:jc w:val="right"/>
            </w:pPr>
            <w:r w:rsidRPr="00973FE5">
              <w:t>14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A66FBB4" w14:textId="77777777">
            <w:pPr>
              <w:jc w:val="right"/>
            </w:pPr>
            <w:r w:rsidRPr="00973FE5">
              <w:t>100.25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BD2F725" w14:textId="77777777">
            <w:pPr>
              <w:jc w:val="right"/>
            </w:pPr>
            <w:r w:rsidRPr="00973FE5">
              <w:t>1403.50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75FF640"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776A462" w14:textId="77777777">
            <w:pPr>
              <w:jc w:val="right"/>
            </w:pPr>
            <w:r w:rsidRPr="00973FE5">
              <w:t>$90,189.00</w:t>
            </w:r>
          </w:p>
        </w:tc>
      </w:tr>
      <w:tr w14:paraId="6DD74CC3" w14:textId="77777777" w:rsidTr="00BF11A6">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43E8035A" w14:textId="77777777">
            <w:pPr>
              <w:rPr>
                <w:color w:val="000000"/>
              </w:rPr>
            </w:pPr>
            <w:r w:rsidRPr="00973FE5">
              <w:rPr>
                <w:color w:val="000000"/>
              </w:rPr>
              <w:t>Submit a new inventory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36D5794D"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369B3E23" w14:textId="77777777">
            <w:pPr>
              <w:jc w:val="right"/>
            </w:pPr>
            <w:r w:rsidRPr="00973FE5">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7CABA345" w14:textId="77777777">
            <w:pPr>
              <w:jc w:val="right"/>
            </w:pPr>
            <w:r w:rsidRPr="00973FE5">
              <w:t>155.00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5FA3971C" w14:textId="77777777">
            <w:pPr>
              <w:jc w:val="right"/>
            </w:pPr>
            <w:r w:rsidRPr="00973FE5">
              <w:t>775.00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21E8EF8E"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1A6" w:rsidRPr="00973FE5" w:rsidP="0074675D" w14:paraId="003AE106" w14:textId="77777777">
            <w:pPr>
              <w:jc w:val="right"/>
            </w:pPr>
            <w:r w:rsidRPr="00973FE5">
              <w:t>$49,802.00</w:t>
            </w:r>
          </w:p>
        </w:tc>
      </w:tr>
      <w:tr w14:paraId="17B4FEE8"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C548FB2" w14:textId="4BAF8C28">
            <w:pPr>
              <w:rPr>
                <w:color w:val="000000"/>
              </w:rPr>
            </w:pPr>
            <w:r w:rsidRPr="00973FE5">
              <w:rPr>
                <w:color w:val="000000"/>
              </w:rPr>
              <w:t>Submit a new inventory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3195DA1"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F29CBA5" w14:textId="77777777">
            <w:pPr>
              <w:jc w:val="right"/>
            </w:pPr>
            <w:r w:rsidRPr="00973FE5">
              <w:t>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17650FB" w14:textId="77777777">
            <w:pPr>
              <w:jc w:val="right"/>
            </w:pPr>
            <w:r w:rsidRPr="00973FE5">
              <w:t>155.00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30D976E" w14:textId="77777777">
            <w:pPr>
              <w:jc w:val="right"/>
            </w:pPr>
            <w:r w:rsidRPr="00973FE5">
              <w:t>155.00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B7746AE"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9DF5462" w14:textId="77777777">
            <w:pPr>
              <w:jc w:val="right"/>
            </w:pPr>
            <w:r w:rsidRPr="00973FE5">
              <w:t>$9,960.00</w:t>
            </w:r>
          </w:p>
        </w:tc>
      </w:tr>
      <w:tr w14:paraId="7F226BB5"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5A3D2D1" w14:textId="41409D97">
            <w:pPr>
              <w:rPr>
                <w:color w:val="000000"/>
              </w:rPr>
            </w:pPr>
            <w:r w:rsidRPr="00973FE5">
              <w:rPr>
                <w:color w:val="000000"/>
              </w:rPr>
              <w:t>Update inventory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8DB48CF"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F84FF79" w14:textId="77777777">
            <w:pPr>
              <w:jc w:val="right"/>
            </w:pPr>
            <w:r w:rsidRPr="00973FE5">
              <w:t>167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C49895E" w14:textId="77777777">
            <w:pPr>
              <w:jc w:val="right"/>
            </w:pPr>
            <w:r w:rsidRPr="00973FE5">
              <w:t>50.25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C27AEC5" w14:textId="77777777">
            <w:pPr>
              <w:jc w:val="right"/>
            </w:pPr>
            <w:r w:rsidRPr="00973FE5">
              <w:t>8391.75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9688A51"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A8F1B99" w14:textId="77777777">
            <w:pPr>
              <w:jc w:val="right"/>
            </w:pPr>
            <w:r w:rsidRPr="00973FE5">
              <w:t>$539,254.00</w:t>
            </w:r>
          </w:p>
        </w:tc>
      </w:tr>
      <w:tr w14:paraId="5BF0E58E" w14:textId="77777777" w:rsidTr="00610318">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552BF376" w14:textId="77777777">
            <w:pPr>
              <w:rPr>
                <w:color w:val="000000"/>
              </w:rPr>
            </w:pPr>
            <w:r w:rsidRPr="00973FE5">
              <w:rPr>
                <w:color w:val="000000"/>
              </w:rPr>
              <w:t>Update inventory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1227D1F5"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1CAE608C" w14:textId="77777777">
            <w:pPr>
              <w:jc w:val="right"/>
            </w:pPr>
            <w:r w:rsidRPr="00973FE5">
              <w:t>8</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68BAABB4" w14:textId="77777777">
            <w:pPr>
              <w:jc w:val="right"/>
            </w:pPr>
            <w:r w:rsidRPr="00973FE5">
              <w:t>50.25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5C5A1838" w14:textId="77777777">
            <w:pPr>
              <w:jc w:val="right"/>
            </w:pPr>
            <w:r w:rsidRPr="00973FE5">
              <w:t>402.00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075FF18A"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06C202C5" w14:textId="77777777">
            <w:pPr>
              <w:jc w:val="right"/>
            </w:pPr>
            <w:r w:rsidRPr="00973FE5">
              <w:t>$25,833.00</w:t>
            </w:r>
          </w:p>
        </w:tc>
      </w:tr>
      <w:tr w14:paraId="3E2A5118"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6A39021" w14:textId="0C3D6A81">
            <w:pPr>
              <w:rPr>
                <w:color w:val="000000"/>
              </w:rPr>
            </w:pPr>
            <w:r w:rsidRPr="00973FE5">
              <w:rPr>
                <w:color w:val="000000"/>
              </w:rPr>
              <w:t>Update summary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BDD2426"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DC07755" w14:textId="77777777">
            <w:pPr>
              <w:jc w:val="right"/>
            </w:pPr>
            <w:r w:rsidRPr="00973FE5">
              <w:t>49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BAED431" w14:textId="77777777">
            <w:pPr>
              <w:jc w:val="right"/>
            </w:pPr>
            <w:r w:rsidRPr="00973FE5">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D0F2D40" w14:textId="77777777">
            <w:pPr>
              <w:jc w:val="right"/>
            </w:pPr>
            <w:r w:rsidRPr="00973FE5">
              <w:t>502.25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A47B4BB"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BED6AE2" w14:textId="77777777">
            <w:pPr>
              <w:jc w:val="right"/>
            </w:pPr>
            <w:r w:rsidRPr="00973FE5">
              <w:t>$32,275.00</w:t>
            </w:r>
          </w:p>
        </w:tc>
      </w:tr>
      <w:tr w14:paraId="553F3A6D" w14:textId="77777777" w:rsidTr="00610318">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631F9580" w14:textId="77777777">
            <w:pPr>
              <w:rPr>
                <w:color w:val="000000"/>
              </w:rPr>
            </w:pPr>
            <w:r w:rsidRPr="00973FE5">
              <w:rPr>
                <w:color w:val="000000"/>
              </w:rPr>
              <w:t>Update summary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4DB744D6"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0AD8B0D1" w14:textId="77777777">
            <w:pPr>
              <w:jc w:val="right"/>
            </w:pPr>
            <w:r w:rsidRPr="00973FE5">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36040B0F" w14:textId="77777777">
            <w:pPr>
              <w:jc w:val="right"/>
            </w:pPr>
            <w:r w:rsidRPr="00973FE5">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5428FCB7" w14:textId="77777777">
            <w:pPr>
              <w:jc w:val="right"/>
            </w:pPr>
            <w:r w:rsidRPr="00973FE5">
              <w:t>20.50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4373D026"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318" w:rsidRPr="00973FE5" w:rsidP="0074675D" w14:paraId="4D050936" w14:textId="77777777">
            <w:pPr>
              <w:jc w:val="right"/>
            </w:pPr>
            <w:r w:rsidRPr="00973FE5">
              <w:t>$1,317.00</w:t>
            </w:r>
          </w:p>
        </w:tc>
      </w:tr>
      <w:tr w14:paraId="7B9F2173"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4B6068F" w14:textId="2B4DF79E">
            <w:pPr>
              <w:rPr>
                <w:color w:val="000000"/>
              </w:rPr>
            </w:pPr>
            <w:r w:rsidRPr="00973FE5">
              <w:rPr>
                <w:color w:val="000000"/>
              </w:rPr>
              <w:t>Submit notices of intent to repatriate</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6269A82"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20218C3" w14:textId="77777777">
            <w:pPr>
              <w:jc w:val="right"/>
            </w:pPr>
            <w:r w:rsidRPr="00973FE5">
              <w:t>32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57CB8C5" w14:textId="77777777">
            <w:pPr>
              <w:jc w:val="right"/>
            </w:pPr>
            <w:r w:rsidRPr="00973FE5">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CC945CB" w14:textId="77777777">
            <w:pPr>
              <w:jc w:val="right"/>
            </w:pPr>
            <w:r w:rsidRPr="00973FE5">
              <w:t>168.00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08749B2"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1232069" w14:textId="77777777">
            <w:pPr>
              <w:jc w:val="right"/>
            </w:pPr>
            <w:r w:rsidRPr="00973FE5">
              <w:t>$10,796.00</w:t>
            </w:r>
          </w:p>
        </w:tc>
      </w:tr>
      <w:tr w14:paraId="624E9E25"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0F8A28B8" w14:textId="77777777">
            <w:pPr>
              <w:rPr>
                <w:color w:val="000000"/>
              </w:rPr>
            </w:pPr>
            <w:r w:rsidRPr="00973FE5">
              <w:rPr>
                <w:color w:val="000000"/>
              </w:rPr>
              <w:t>Submit notices of intent to repatriate</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4248CE2B"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7E1A31B7" w14:textId="77777777">
            <w:pPr>
              <w:jc w:val="right"/>
            </w:pPr>
            <w:r w:rsidRPr="00973FE5">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4DF2417A" w14:textId="77777777">
            <w:pPr>
              <w:jc w:val="right"/>
            </w:pPr>
            <w:r w:rsidRPr="00973FE5">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61C6B2DF" w14:textId="77777777">
            <w:pPr>
              <w:jc w:val="right"/>
            </w:pPr>
            <w:r w:rsidRPr="00973FE5">
              <w:t>26.25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1EC8EEC7"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1D7D1300" w14:textId="77777777">
            <w:pPr>
              <w:jc w:val="right"/>
            </w:pPr>
            <w:r w:rsidRPr="00973FE5">
              <w:t>$1,687.00</w:t>
            </w:r>
          </w:p>
        </w:tc>
      </w:tr>
      <w:tr w14:paraId="566B4DA0"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39D658A2" w14:textId="77777777">
            <w:pPr>
              <w:rPr>
                <w:color w:val="000000"/>
              </w:rPr>
            </w:pPr>
            <w:r w:rsidRPr="00973FE5">
              <w:rPr>
                <w:color w:val="000000"/>
              </w:rPr>
              <w:t>Submit notices of inventory completion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6F131338"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49D5396A" w14:textId="77777777">
            <w:pPr>
              <w:jc w:val="right"/>
            </w:pPr>
            <w:r w:rsidRPr="00973FE5">
              <w:t>119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14086AE8" w14:textId="77777777">
            <w:pPr>
              <w:jc w:val="right"/>
            </w:pPr>
            <w:r w:rsidRPr="00973FE5">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21FA0021" w14:textId="77777777">
            <w:pPr>
              <w:jc w:val="right"/>
            </w:pPr>
            <w:r w:rsidRPr="00973FE5">
              <w:t>1219.75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0EE3AE29"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9A9" w:rsidRPr="00973FE5" w:rsidP="0074675D" w14:paraId="4F9D08E6" w14:textId="77777777">
            <w:pPr>
              <w:jc w:val="right"/>
            </w:pPr>
            <w:r w:rsidRPr="00973FE5">
              <w:t>$78,381.00</w:t>
            </w:r>
          </w:p>
        </w:tc>
      </w:tr>
      <w:tr w14:paraId="37E9432D"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2D339A8" w14:textId="11EA0FB6">
            <w:pPr>
              <w:rPr>
                <w:color w:val="000000"/>
              </w:rPr>
            </w:pPr>
            <w:r w:rsidRPr="00973FE5">
              <w:rPr>
                <w:color w:val="000000"/>
              </w:rPr>
              <w:t>Submit notices of inventory completion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C57A5B2"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97C51F6" w14:textId="77777777">
            <w:pPr>
              <w:jc w:val="right"/>
            </w:pPr>
            <w:r w:rsidRPr="00973FE5">
              <w:t>31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1614253" w14:textId="77777777">
            <w:pPr>
              <w:jc w:val="right"/>
            </w:pPr>
            <w:r w:rsidRPr="00973FE5">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B3A62EF" w14:textId="77777777">
            <w:pPr>
              <w:jc w:val="right"/>
            </w:pPr>
            <w:r w:rsidRPr="00973FE5">
              <w:t>317.75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9F26389"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2E14A39" w14:textId="77777777">
            <w:pPr>
              <w:jc w:val="right"/>
            </w:pPr>
            <w:r w:rsidRPr="00973FE5">
              <w:t>$20,419.00</w:t>
            </w:r>
          </w:p>
        </w:tc>
      </w:tr>
      <w:tr w14:paraId="0EC996D4"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F8E3D17" w14:textId="4662CB9E">
            <w:pPr>
              <w:rPr>
                <w:color w:val="000000"/>
              </w:rPr>
            </w:pPr>
            <w:r w:rsidRPr="00973FE5">
              <w:rPr>
                <w:color w:val="000000"/>
              </w:rPr>
              <w:t>Submit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ECA5CEA" w14:textId="77777777">
            <w:pPr>
              <w:rPr>
                <w:color w:val="000000"/>
              </w:rPr>
            </w:pPr>
            <w:r w:rsidRPr="00973FE5">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45B7ABD" w14:textId="77777777">
            <w:pPr>
              <w:jc w:val="right"/>
            </w:pPr>
            <w:r w:rsidRPr="00973FE5">
              <w:t>154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48076B5" w14:textId="77777777">
            <w:pPr>
              <w:jc w:val="right"/>
            </w:pPr>
            <w:r w:rsidRPr="00973FE5">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F56D39F" w14:textId="77777777">
            <w:pPr>
              <w:jc w:val="right"/>
            </w:pPr>
            <w:r w:rsidRPr="00973FE5">
              <w:t>808.50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1015AC0"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C031F04" w14:textId="77777777">
            <w:pPr>
              <w:jc w:val="right"/>
            </w:pPr>
            <w:r w:rsidRPr="00973FE5">
              <w:t>$51,954.00</w:t>
            </w:r>
          </w:p>
        </w:tc>
      </w:tr>
      <w:tr w14:paraId="5CBAAE64"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6ABEEBC" w14:textId="6ABF6EEE">
            <w:pPr>
              <w:rPr>
                <w:color w:val="000000"/>
              </w:rPr>
            </w:pPr>
            <w:r w:rsidRPr="00973FE5">
              <w:rPr>
                <w:color w:val="000000"/>
              </w:rPr>
              <w:t>Submit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CF28ED4" w14:textId="77777777">
            <w:pPr>
              <w:rPr>
                <w:color w:val="000000"/>
              </w:rPr>
            </w:pPr>
            <w:r w:rsidRPr="00973FE5">
              <w:rPr>
                <w:color w:val="000000"/>
              </w:rPr>
              <w:t>Lineal descendants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05E4C29" w14:textId="77777777">
            <w:pPr>
              <w:jc w:val="right"/>
            </w:pPr>
            <w:r w:rsidRPr="00973FE5">
              <w:t>3</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C9C7F29" w14:textId="77777777">
            <w:pPr>
              <w:jc w:val="right"/>
            </w:pPr>
            <w:r w:rsidRPr="00973FE5">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AC71F90" w14:textId="77777777">
            <w:pPr>
              <w:jc w:val="right"/>
            </w:pPr>
            <w:r w:rsidRPr="00973FE5">
              <w:t>15.75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4129EB9" w14:textId="77777777">
            <w:pPr>
              <w:jc w:val="right"/>
            </w:pPr>
            <w:r w:rsidRPr="00973FE5">
              <w:t>$38.61</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95FD6A8" w14:textId="77777777">
            <w:pPr>
              <w:jc w:val="right"/>
            </w:pPr>
            <w:r w:rsidRPr="00973FE5">
              <w:t>$608.00</w:t>
            </w:r>
          </w:p>
        </w:tc>
      </w:tr>
      <w:tr w14:paraId="76609C6F"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0C1177C" w14:textId="630E0711">
            <w:pPr>
              <w:rPr>
                <w:color w:val="000000"/>
              </w:rPr>
            </w:pPr>
            <w:r w:rsidRPr="00973FE5">
              <w:rPr>
                <w:color w:val="000000"/>
              </w:rPr>
              <w:t>Document physical transfer</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AAEABC5"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A004F20" w14:textId="77777777">
            <w:pPr>
              <w:jc w:val="right"/>
            </w:pPr>
            <w:r w:rsidRPr="00973FE5">
              <w:t>127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8E86A90" w14:textId="77777777">
            <w:pPr>
              <w:jc w:val="right"/>
            </w:pPr>
            <w:r w:rsidRPr="00973FE5">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74CCFB4" w14:textId="77777777">
            <w:pPr>
              <w:jc w:val="right"/>
            </w:pPr>
            <w:r w:rsidRPr="00973FE5">
              <w:t>666.75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8C931D6"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989CBEA" w14:textId="77777777">
            <w:pPr>
              <w:jc w:val="right"/>
            </w:pPr>
            <w:r w:rsidRPr="00973FE5">
              <w:t>$42,845.00</w:t>
            </w:r>
          </w:p>
        </w:tc>
      </w:tr>
      <w:tr w14:paraId="6149AE4C"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35E32A7" w14:textId="60FBA5A7">
            <w:pPr>
              <w:rPr>
                <w:color w:val="000000"/>
              </w:rPr>
            </w:pPr>
            <w:r w:rsidRPr="00973FE5">
              <w:rPr>
                <w:color w:val="000000"/>
              </w:rPr>
              <w:t>Document physical transfer</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FCA12E5"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643E07E" w14:textId="77777777">
            <w:pPr>
              <w:jc w:val="right"/>
            </w:pPr>
            <w:r w:rsidRPr="00973FE5">
              <w:t>30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507FAA4" w14:textId="77777777">
            <w:pPr>
              <w:jc w:val="right"/>
            </w:pPr>
            <w:r w:rsidRPr="00973FE5">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E27609C" w14:textId="77777777">
            <w:pPr>
              <w:jc w:val="right"/>
            </w:pPr>
            <w:r w:rsidRPr="00973FE5">
              <w:t>157.50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7B22466"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82B5430" w14:textId="77777777">
            <w:pPr>
              <w:jc w:val="right"/>
            </w:pPr>
            <w:r w:rsidRPr="00973FE5">
              <w:t>$10,121.00</w:t>
            </w:r>
          </w:p>
        </w:tc>
      </w:tr>
      <w:tr w14:paraId="0068B8A9"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2B072EC" w14:textId="191D1C07">
            <w:pPr>
              <w:rPr>
                <w:color w:val="000000"/>
              </w:rPr>
            </w:pPr>
            <w:r w:rsidRPr="00973FE5">
              <w:rPr>
                <w:color w:val="000000"/>
              </w:rPr>
              <w:t>Evaluate competing requests and resolve stays of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635B55B"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57B33EE" w14:textId="77777777">
            <w:pPr>
              <w:jc w:val="right"/>
            </w:pPr>
            <w:r w:rsidRPr="00973FE5">
              <w:t>12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284236E" w14:textId="77777777">
            <w:pPr>
              <w:jc w:val="right"/>
            </w:pPr>
            <w:r w:rsidRPr="00973FE5">
              <w:t>25.25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24FF113" w14:textId="77777777">
            <w:pPr>
              <w:jc w:val="right"/>
            </w:pPr>
            <w:r w:rsidRPr="00973FE5">
              <w:t>303.00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FE055FE"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C4FE749" w14:textId="77777777">
            <w:pPr>
              <w:jc w:val="right"/>
            </w:pPr>
            <w:r w:rsidRPr="00973FE5">
              <w:t>$19,471.00</w:t>
            </w:r>
          </w:p>
        </w:tc>
      </w:tr>
      <w:tr w14:paraId="75011CEE"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C80D667" w14:textId="65D5DF28">
            <w:pPr>
              <w:rPr>
                <w:color w:val="000000"/>
              </w:rPr>
            </w:pPr>
            <w:r w:rsidRPr="00973FE5">
              <w:rPr>
                <w:color w:val="000000"/>
              </w:rPr>
              <w:t>Evaluate competing requests and resolve stays of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5AE114D" w14:textId="77777777">
            <w:pPr>
              <w:rPr>
                <w:color w:val="000000"/>
              </w:rPr>
            </w:pPr>
            <w:r w:rsidRPr="00973FE5">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1DA7DB6" w14:textId="77777777">
            <w:pPr>
              <w:jc w:val="right"/>
            </w:pPr>
            <w:r w:rsidRPr="00973FE5">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6154E37" w14:textId="77777777">
            <w:pPr>
              <w:jc w:val="right"/>
            </w:pPr>
            <w:r w:rsidRPr="00973FE5">
              <w:t>25.25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A665611" w14:textId="77777777">
            <w:pPr>
              <w:jc w:val="right"/>
            </w:pPr>
            <w:r w:rsidRPr="00973FE5">
              <w:t>50.50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300C2F5"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F4429B6" w14:textId="77777777">
            <w:pPr>
              <w:jc w:val="right"/>
            </w:pPr>
            <w:r w:rsidRPr="00973FE5">
              <w:t>$3,245.00</w:t>
            </w:r>
          </w:p>
        </w:tc>
      </w:tr>
      <w:tr w14:paraId="7E4E46E3"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6BFD35E" w14:textId="3CE20F25">
            <w:pPr>
              <w:rPr>
                <w:color w:val="000000"/>
              </w:rPr>
            </w:pPr>
            <w:r w:rsidRPr="00973FE5">
              <w:rPr>
                <w:color w:val="000000"/>
              </w:rPr>
              <w:t>File an allegation of failure to comply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81C8F32" w14:textId="77777777">
            <w:pPr>
              <w:rPr>
                <w:color w:val="000000"/>
              </w:rPr>
            </w:pPr>
            <w:r w:rsidRPr="00973FE5">
              <w:rPr>
                <w:color w:val="000000"/>
              </w:rPr>
              <w:t>Any person</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AAE4709" w14:textId="77777777">
            <w:pPr>
              <w:jc w:val="right"/>
            </w:pPr>
            <w:r w:rsidRPr="00973FE5">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AE7DDE3" w14:textId="77777777">
            <w:pPr>
              <w:jc w:val="right"/>
            </w:pPr>
            <w:r w:rsidRPr="00973FE5">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C384175" w14:textId="77777777">
            <w:pPr>
              <w:jc w:val="right"/>
            </w:pPr>
            <w:r w:rsidRPr="00973FE5">
              <w:t>2.50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533DFDF" w14:textId="77777777">
            <w:pPr>
              <w:jc w:val="right"/>
            </w:pPr>
            <w:r w:rsidRPr="00973FE5">
              <w:t>$40.90</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2205AF6" w14:textId="77777777">
            <w:pPr>
              <w:jc w:val="right"/>
            </w:pPr>
            <w:r w:rsidRPr="00973FE5">
              <w:t>$102.00</w:t>
            </w:r>
          </w:p>
        </w:tc>
      </w:tr>
      <w:tr w14:paraId="6E598759"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1C026329" w14:textId="45CE80B9">
            <w:pPr>
              <w:rPr>
                <w:color w:val="000000"/>
              </w:rPr>
            </w:pPr>
            <w:r w:rsidRPr="00973FE5">
              <w:rPr>
                <w:color w:val="000000"/>
              </w:rPr>
              <w:t>Respond to a civil penalty action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2A2D691" w14:textId="77777777">
            <w:pPr>
              <w:rPr>
                <w:color w:val="000000"/>
              </w:rPr>
            </w:pPr>
            <w:r w:rsidRPr="00973FE5">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C0E34C4" w14:textId="77777777">
            <w:pPr>
              <w:jc w:val="right"/>
            </w:pPr>
            <w:r w:rsidRPr="00973FE5">
              <w:t>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280B36F8" w14:textId="77777777">
            <w:pPr>
              <w:jc w:val="right"/>
            </w:pPr>
            <w:r w:rsidRPr="00973FE5">
              <w:t>17.50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14893EC" w14:textId="77777777">
            <w:pPr>
              <w:jc w:val="right"/>
            </w:pPr>
            <w:r w:rsidRPr="00973FE5">
              <w:t>70.00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85F97AE" w14:textId="77777777">
            <w:pPr>
              <w:jc w:val="right"/>
            </w:pPr>
            <w:r w:rsidRPr="00973FE5">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64ACAF9" w14:textId="77777777">
            <w:pPr>
              <w:jc w:val="right"/>
            </w:pPr>
            <w:r w:rsidRPr="00973FE5">
              <w:t>$4,498.00</w:t>
            </w:r>
          </w:p>
        </w:tc>
      </w:tr>
      <w:tr w14:paraId="5D9B248B" w14:textId="77777777" w:rsidTr="007A59A9">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7BAA59D0" w14:textId="3E7013C5">
            <w:pPr>
              <w:jc w:val="right"/>
              <w:rPr>
                <w:b/>
                <w:bCs/>
                <w:color w:val="000000"/>
              </w:rPr>
            </w:pPr>
            <w:r>
              <w:rPr>
                <w:b/>
                <w:bCs/>
                <w:color w:val="000000"/>
              </w:rPr>
              <w:t>Total</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14483C3" w14:textId="77777777">
            <w:pPr>
              <w:jc w:val="center"/>
              <w:rPr>
                <w:b/>
                <w:bCs/>
                <w:color w:val="000000"/>
              </w:rPr>
            </w:pP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4C7FABC7" w14:textId="464E60CF">
            <w:pPr>
              <w:jc w:val="right"/>
              <w:rPr>
                <w:b/>
                <w:bCs/>
              </w:rPr>
            </w:pPr>
            <w:r w:rsidRPr="00973FE5">
              <w:rPr>
                <w:b/>
                <w:bCs/>
              </w:rPr>
              <w:t>1,218</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58EDC643" w14:textId="77777777">
            <w:pPr>
              <w:jc w:val="right"/>
              <w:rPr>
                <w:b/>
                <w:bCs/>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34DBD16E" w14:textId="77777777">
            <w:pPr>
              <w:jc w:val="right"/>
              <w:rPr>
                <w:b/>
                <w:bCs/>
              </w:rPr>
            </w:pPr>
            <w:r w:rsidRPr="00973FE5">
              <w:rPr>
                <w:b/>
                <w:bCs/>
              </w:rPr>
              <w:t>36,750.25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6FFE41AC" w14:textId="77777777">
            <w:pPr>
              <w:jc w:val="right"/>
              <w:rPr>
                <w:b/>
                <w:bCs/>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FE5" w:rsidRPr="00973FE5" w:rsidP="00973FE5" w14:paraId="082A6617" w14:textId="47E4B932">
            <w:pPr>
              <w:jc w:val="right"/>
              <w:rPr>
                <w:b/>
                <w:bCs/>
              </w:rPr>
            </w:pPr>
            <w:r>
              <w:rPr>
                <w:b/>
                <w:bCs/>
              </w:rPr>
              <w:t>$</w:t>
            </w:r>
            <w:r w:rsidRPr="00973FE5">
              <w:rPr>
                <w:b/>
                <w:bCs/>
              </w:rPr>
              <w:t>2,361,014.00</w:t>
            </w:r>
          </w:p>
        </w:tc>
      </w:tr>
    </w:tbl>
    <w:p w:rsidR="00C66E72" w:rsidP="00C66E72" w14:paraId="17B77117" w14:textId="1BC6F279">
      <w:pPr>
        <w:pStyle w:val="ListParagraph"/>
        <w:ind w:left="0"/>
      </w:pPr>
    </w:p>
    <w:p w:rsidR="002937EA" w:rsidRPr="00370648" w:rsidP="00973FE5" w14:paraId="3FC70225" w14:textId="614051D1">
      <w:pPr>
        <w:pStyle w:val="ListParagraph"/>
        <w:tabs>
          <w:tab w:val="left" w:pos="1813"/>
        </w:tabs>
        <w:ind w:left="0"/>
      </w:pPr>
    </w:p>
    <w:p w:rsidR="00706A4D" w:rsidP="00706A4D" w14:paraId="7B8FA713" w14:textId="33757756">
      <w:pPr>
        <w:tabs>
          <w:tab w:val="left" w:pos="1813"/>
        </w:tabs>
      </w:pPr>
      <w:r w:rsidRPr="00706A4D">
        <w:rPr>
          <w:i/>
          <w:iCs/>
        </w:rPr>
        <w:t xml:space="preserve">Identify Federal collections in museums. </w:t>
      </w:r>
      <w:r w:rsidRPr="00370648">
        <w:t xml:space="preserve">We </w:t>
      </w:r>
      <w:r w:rsidRPr="00370648" w:rsidR="002372A7">
        <w:t>estimate</w:t>
      </w:r>
      <w:r w:rsidRPr="00370648">
        <w:t xml:space="preserve"> the number of Federal agencies (n=3) identifying Federal collections in the custody of museums based on revised inventory data submitted in FY2022. There is currently no requirement in the existing regulations for a museum to report on a Federal holding or a collection. Other authorities allow Federal agencies to request information, but the process of requesting information from museums has proven difficult, time consuming, and inefficient for many Federal agencies. 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370648">
        <w:t xml:space="preserve"> to 100 hours, depending on the size and complexity of the update, for a median of 50.25 hours</w:t>
      </w:r>
      <w:r>
        <w:t>.</w:t>
      </w:r>
    </w:p>
    <w:p w:rsidR="0051531D" w:rsidRPr="00370648" w:rsidP="0051531D" w14:paraId="323E867F" w14:textId="77777777">
      <w:pPr>
        <w:pStyle w:val="ListParagraph"/>
        <w:ind w:left="0"/>
      </w:pPr>
    </w:p>
    <w:p w:rsidR="0051531D" w:rsidRPr="00370648" w:rsidP="0051531D" w14:paraId="23BA7AFF" w14:textId="7A45828D">
      <w:pPr>
        <w:pStyle w:val="ListParagraph"/>
        <w:widowControl w:val="0"/>
        <w:tabs>
          <w:tab w:val="left" w:pos="1813"/>
        </w:tabs>
        <w:autoSpaceDE w:val="0"/>
        <w:autoSpaceDN w:val="0"/>
        <w:adjustRightInd w:val="0"/>
        <w:ind w:left="0"/>
      </w:pPr>
      <w:r w:rsidRPr="0051531D">
        <w:rPr>
          <w:i/>
          <w:iCs/>
        </w:rPr>
        <w:t xml:space="preserve">Submit a new summary. </w:t>
      </w:r>
      <w:r w:rsidRPr="00370648">
        <w:t>We estimate the number of museums (n=7) and Federal agencies (n=0) submitting new summaries based on the number of new submissions in FY2022. A new summary is a general description of a holding or collection sent by letter to lineal descendants, Indian Tribes, and NHOs. We estimate the time per response will range from five hours to 100 hours, depending on the size and complexity of a collection, for a median of 52.5 hours.</w:t>
      </w:r>
    </w:p>
    <w:p w:rsidR="008C7C21" w:rsidP="008C7C21" w14:paraId="4A7B6879" w14:textId="77777777"/>
    <w:p w:rsidR="008C7C21" w:rsidRPr="00370648" w:rsidP="008C7C21" w14:paraId="3BA36E92" w14:textId="17FD62FB">
      <w:pPr>
        <w:pStyle w:val="ListParagraph"/>
        <w:tabs>
          <w:tab w:val="left" w:pos="1813"/>
        </w:tabs>
        <w:ind w:left="0"/>
      </w:pPr>
      <w:r>
        <w:rPr>
          <w:i/>
          <w:iCs/>
        </w:rPr>
        <w:t>Initiate consultation</w:t>
      </w:r>
      <w:r w:rsidRPr="000C1F33">
        <w:rPr>
          <w:i/>
          <w:iCs/>
        </w:rPr>
        <w:t xml:space="preserve"> and request information.</w:t>
      </w:r>
      <w:r w:rsidRPr="00370648">
        <w:t xml:space="preserve"> </w:t>
      </w:r>
      <w:r>
        <w:t xml:space="preserve">(previously </w:t>
      </w:r>
      <w:r w:rsidRPr="00A33F14">
        <w:t>Notify Indian Tribes</w:t>
      </w:r>
      <w:r>
        <w:t>/</w:t>
      </w:r>
      <w:r w:rsidRPr="00A33F14">
        <w:t>NHOs and request information</w:t>
      </w:r>
      <w:r>
        <w:t>)</w:t>
      </w:r>
      <w:r w:rsidR="00A62FFB">
        <w:t xml:space="preserve"> </w:t>
      </w:r>
      <w:r>
        <w:t>Previously, w</w:t>
      </w:r>
      <w:r w:rsidRPr="00370648">
        <w:t>e estimate</w:t>
      </w:r>
      <w:r>
        <w:t>d</w:t>
      </w:r>
      <w:r w:rsidRPr="00370648">
        <w:t xml:space="preserve"> the number of museums (n=14) and Federal agencies (n=5) </w:t>
      </w:r>
      <w:r>
        <w:t>required to notify</w:t>
      </w:r>
      <w:r w:rsidRPr="00370648">
        <w:t xml:space="preserve"> Indian Tribes or NHOs and </w:t>
      </w:r>
      <w:r>
        <w:t>request</w:t>
      </w:r>
      <w:r w:rsidRPr="00370648">
        <w:t xml:space="preserve"> information </w:t>
      </w:r>
      <w:r>
        <w:t xml:space="preserve">under similar estimates for the Paperwork Reduction Act </w:t>
      </w:r>
      <w:r w:rsidRPr="003856EF">
        <w:t xml:space="preserve">previously reviewed and approved </w:t>
      </w:r>
      <w:r>
        <w:t xml:space="preserve">under </w:t>
      </w:r>
      <w:r w:rsidRPr="003856EF">
        <w:t>OMB Control Number 1024-0144 (expires 4/30/2025</w:t>
      </w:r>
      <w:r>
        <w:t>).</w:t>
      </w:r>
      <w:r w:rsidRPr="00370648">
        <w:t xml:space="preserve"> </w:t>
      </w:r>
      <w:r>
        <w:t xml:space="preserve">For purposes of this estimate, we have not revised the number of responses but it is likely underestimated. </w:t>
      </w:r>
      <w:r w:rsidRPr="00370648">
        <w:t xml:space="preserve">The existing regulations require notification to Indian Tribes and NHOs about culturally unidentifiable human remains and requests information about temporal or geographic criteria. </w:t>
      </w:r>
      <w:r>
        <w:t>In estimating the time per response, w</w:t>
      </w:r>
      <w:r w:rsidRPr="00370648">
        <w:t>e assume museums and Federal agencies previously prepared and submitted inventories in accordance with the existing regulations and will only be required to share previously prepared and updated information to meet this requirement.</w:t>
      </w:r>
      <w:r>
        <w:t xml:space="preserve"> </w:t>
      </w:r>
      <w:r w:rsidRPr="00370648">
        <w:t>We estimate the time per response ranges from less than one hour</w:t>
      </w:r>
      <w:r>
        <w:t xml:space="preserve">, </w:t>
      </w:r>
      <w:r w:rsidRPr="003F47F8">
        <w:t xml:space="preserve">or </w:t>
      </w:r>
      <w:r>
        <w:t>0</w:t>
      </w:r>
      <w:r w:rsidRPr="003F47F8">
        <w:t>.5</w:t>
      </w:r>
      <w:r>
        <w:t>0</w:t>
      </w:r>
      <w:r w:rsidRPr="003F47F8">
        <w:t xml:space="preserve"> hours</w:t>
      </w:r>
      <w:r>
        <w:t>,</w:t>
      </w:r>
      <w:r w:rsidRPr="00370648">
        <w:t xml:space="preserve"> to 5 hours, depending on the size and complexity of the holding or collection, for a median of 2.75 hours.</w:t>
      </w:r>
    </w:p>
    <w:p w:rsidR="008C7C21" w:rsidP="008C7C21" w14:paraId="07D59ADA" w14:textId="77777777">
      <w:pPr>
        <w:rPr>
          <w:i/>
          <w:iCs/>
        </w:rPr>
      </w:pPr>
    </w:p>
    <w:p w:rsidR="008C7C21" w:rsidRPr="007F7E75" w:rsidP="008C7C21" w14:paraId="7833EEAD" w14:textId="3278325A">
      <w:r>
        <w:rPr>
          <w:i/>
          <w:iCs/>
        </w:rPr>
        <w:t>Submit a request to consult</w:t>
      </w:r>
      <w:r w:rsidRPr="000C1F33">
        <w:rPr>
          <w:i/>
          <w:iCs/>
        </w:rPr>
        <w:t xml:space="preserve">. </w:t>
      </w:r>
      <w:r w:rsidRPr="007F7E75">
        <w:t xml:space="preserve">We estimate </w:t>
      </w:r>
      <w:r>
        <w:t>lineal descendants</w:t>
      </w:r>
      <w:r w:rsidR="00F41F9A">
        <w:t xml:space="preserve"> (n=3)</w:t>
      </w:r>
      <w:r>
        <w:t>, Indian Tribes, and NHOs</w:t>
      </w:r>
      <w:r w:rsidR="00F41F9A">
        <w:t xml:space="preserve"> (n=215)</w:t>
      </w:r>
      <w:r>
        <w:t xml:space="preserve"> request </w:t>
      </w:r>
      <w:r w:rsidR="00FE7304">
        <w:t>to</w:t>
      </w:r>
      <w:r>
        <w:t xml:space="preserve"> consult </w:t>
      </w:r>
      <w:r w:rsidRPr="007F7E75">
        <w:t>based on the total number of new or updated inventories (which require consultation) and the total number of notices of intent to repatriate (which require consultation). We estimate the time per response ranges from less than one hour</w:t>
      </w:r>
      <w:r>
        <w:t xml:space="preserve">, </w:t>
      </w:r>
      <w:r w:rsidRPr="003F47F8">
        <w:t xml:space="preserve">or </w:t>
      </w:r>
      <w:r>
        <w:t>0</w:t>
      </w:r>
      <w:r w:rsidRPr="003F47F8">
        <w:t>.5</w:t>
      </w:r>
      <w:r>
        <w:t>0</w:t>
      </w:r>
      <w:r w:rsidRPr="003F47F8">
        <w:t xml:space="preserve"> hours</w:t>
      </w:r>
      <w:r>
        <w:t>,</w:t>
      </w:r>
      <w:r w:rsidRPr="007F7E75">
        <w:t xml:space="preserve"> to 2 hours, depending on the size and complexity of the request, for a median of 1.25 hours.</w:t>
      </w:r>
    </w:p>
    <w:p w:rsidR="008C7C21" w:rsidP="008C7C21" w14:paraId="7B585C61" w14:textId="77777777">
      <w:pPr>
        <w:rPr>
          <w:i/>
          <w:iCs/>
        </w:rPr>
      </w:pPr>
    </w:p>
    <w:p w:rsidR="0051531D" w:rsidRPr="00370648" w:rsidP="0051531D" w14:paraId="10E3A2B6" w14:textId="7080FA9D">
      <w:pPr>
        <w:tabs>
          <w:tab w:val="left" w:pos="1813"/>
        </w:tabs>
      </w:pPr>
      <w:r>
        <w:rPr>
          <w:i/>
          <w:iCs/>
        </w:rPr>
        <w:t>C</w:t>
      </w:r>
      <w:r w:rsidRPr="00133132">
        <w:rPr>
          <w:i/>
          <w:iCs/>
        </w:rPr>
        <w:t xml:space="preserve">onduct consultation. </w:t>
      </w:r>
      <w:r w:rsidRPr="00370648">
        <w:t>We estimate that the number of museums (n=204) and Federal agencies (n=14) initiating and conducting consultation based on the number of new or updated inventories (which require consultation) and the number of notices of intent to repatriate (which require consultation). 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370648">
        <w:t xml:space="preserve"> to 200 hours, depending on the size and complexity of the consultation, for a median of 100.25 hours.</w:t>
      </w:r>
    </w:p>
    <w:p w:rsidR="0051531D" w:rsidRPr="00370648" w:rsidP="0051531D" w14:paraId="07E5E07C" w14:textId="77777777"/>
    <w:p w:rsidR="0051531D" w:rsidRPr="00370648" w:rsidP="0051531D" w14:paraId="24360C6A" w14:textId="4EF4B3A5">
      <w:pPr>
        <w:pStyle w:val="ListParagraph"/>
        <w:tabs>
          <w:tab w:val="left" w:pos="1813"/>
        </w:tabs>
        <w:ind w:left="0"/>
      </w:pPr>
      <w:r w:rsidRPr="00133132">
        <w:rPr>
          <w:i/>
          <w:iCs/>
        </w:rPr>
        <w:t xml:space="preserve">Submit a new inventory. </w:t>
      </w:r>
      <w:r w:rsidRPr="00370648">
        <w:t>We estimate the number of museums (n=5) and Federal agencies (n=1) submitting new inventories based on the number of new submissions in FY2022. A new inventory requires preparation of a simple itemized list based on available information. We estimate the time per response ranges from ten hours to 300 hours, depending on the size and complexity of a collection, for a median of 155 hours.</w:t>
      </w:r>
    </w:p>
    <w:p w:rsidR="004D7DAF" w:rsidP="00973FE5" w14:paraId="119CA90B" w14:textId="77777777">
      <w:pPr>
        <w:pStyle w:val="ListParagraph"/>
        <w:tabs>
          <w:tab w:val="left" w:pos="1813"/>
        </w:tabs>
        <w:ind w:left="0"/>
      </w:pPr>
    </w:p>
    <w:p w:rsidR="00C834AE" w:rsidRPr="00370648" w:rsidP="003F6A48" w14:paraId="7BB0A8B7" w14:textId="08CBD31C">
      <w:pPr>
        <w:pStyle w:val="ListParagraph"/>
        <w:tabs>
          <w:tab w:val="left" w:pos="1813"/>
        </w:tabs>
        <w:ind w:left="0"/>
      </w:pPr>
      <w:r w:rsidRPr="003F6A48">
        <w:rPr>
          <w:i/>
          <w:iCs/>
        </w:rPr>
        <w:t xml:space="preserve">Update inventory data. </w:t>
      </w:r>
      <w:r w:rsidRPr="00370648">
        <w:t>We estimate the number of museums (n=167) and Federal agencies (n=8) updating inventory data based on the average number of updates we received in FY2021 and FY2022. The number of museums updating inventory data is relatively large and accounts for multiple submissions from a single museum because the data is updated on a case-by-case basis. We assume museums and Federal agencies previously prepared and submitted inventories in accordance with the existing regulations and an update to that inventory requires less time than submission of a new inventory. 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370648">
        <w:t xml:space="preserve"> to 100 hours, depending on the size and complexity of the update, for a median of 50.25 hours.</w:t>
      </w:r>
    </w:p>
    <w:p w:rsidR="00610318" w:rsidP="00610318" w14:paraId="37EB34AB" w14:textId="77777777">
      <w:pPr>
        <w:pStyle w:val="ListParagraph"/>
        <w:tabs>
          <w:tab w:val="left" w:pos="1813"/>
        </w:tabs>
        <w:ind w:left="0"/>
      </w:pPr>
    </w:p>
    <w:p w:rsidR="003F6A48" w:rsidP="003F6A48" w14:paraId="6A635836" w14:textId="2FC88818">
      <w:pPr>
        <w:pStyle w:val="ListParagraph"/>
        <w:tabs>
          <w:tab w:val="left" w:pos="1813"/>
        </w:tabs>
        <w:ind w:left="0"/>
      </w:pPr>
      <w:r w:rsidRPr="00610318">
        <w:rPr>
          <w:i/>
          <w:iCs/>
        </w:rPr>
        <w:t xml:space="preserve">Update summary data. </w:t>
      </w:r>
      <w:r w:rsidRPr="00370648">
        <w:t xml:space="preserve">We estimate the number of museums (n=49) and Federal agencies (n=2) updating summary data based on the average number of updates we received in FY2021 and FY2022. We assume museums and Federal agencies previously prepared and submitted summaries in accordance with the existing regulations and an update to that summary requires less time than submission of a new summary. </w:t>
      </w:r>
      <w:r w:rsidRPr="00370648">
        <w:t>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370648">
        <w:t xml:space="preserve"> to 20 hours, depending on the size and complexity of the </w:t>
      </w:r>
      <w:r>
        <w:t>response</w:t>
      </w:r>
      <w:r w:rsidRPr="00370648">
        <w:t>, for a median of 10.25 hours.</w:t>
      </w:r>
    </w:p>
    <w:p w:rsidR="00610318" w:rsidP="00C834AE" w14:paraId="55444A82" w14:textId="77777777">
      <w:pPr>
        <w:pStyle w:val="ListParagraph"/>
        <w:tabs>
          <w:tab w:val="left" w:pos="1813"/>
        </w:tabs>
        <w:ind w:left="0"/>
        <w:rPr>
          <w:i/>
          <w:iCs/>
        </w:rPr>
      </w:pPr>
    </w:p>
    <w:p w:rsidR="00C834AE" w:rsidRPr="00370648" w:rsidP="00A62FFB" w14:paraId="53EE3B74" w14:textId="2386278E">
      <w:pPr>
        <w:pStyle w:val="ListParagraph"/>
        <w:tabs>
          <w:tab w:val="left" w:pos="1813"/>
        </w:tabs>
        <w:ind w:left="0"/>
      </w:pPr>
      <w:r w:rsidRPr="004D7DAF">
        <w:rPr>
          <w:i/>
          <w:iCs/>
        </w:rPr>
        <w:t xml:space="preserve">Submit notices of intent to repatriate. </w:t>
      </w:r>
      <w:r w:rsidRPr="00370648">
        <w:t>We estimate the number of notice</w:t>
      </w:r>
      <w:r w:rsidR="0005652D">
        <w:t>s</w:t>
      </w:r>
      <w:r w:rsidRPr="00370648">
        <w:t xml:space="preserve"> of intent to repatriate by museums (n=32) and Federal agencies (n=5) based on the average number of notices published in the last three years. The information needed for notices of intent to repatriate are drawn directly from the summary and available records. NPS provides a simple template to fill in the necessary information. 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370648">
        <w:t xml:space="preserve"> to 10 hours, depending on the size and complexity of the </w:t>
      </w:r>
      <w:r>
        <w:t>response</w:t>
      </w:r>
      <w:r w:rsidRPr="00370648">
        <w:t>, for a median of 5.25 hours.</w:t>
      </w:r>
    </w:p>
    <w:p w:rsidR="000C1F33" w:rsidP="00973FE5" w14:paraId="5D8A5610" w14:textId="77777777">
      <w:pPr>
        <w:pStyle w:val="ListParagraph"/>
        <w:tabs>
          <w:tab w:val="left" w:pos="1813"/>
        </w:tabs>
        <w:ind w:left="0"/>
      </w:pPr>
    </w:p>
    <w:p w:rsidR="002937EA" w:rsidP="00973FE5" w14:paraId="3E7A8773" w14:textId="1AA3D584">
      <w:pPr>
        <w:pStyle w:val="ListParagraph"/>
        <w:tabs>
          <w:tab w:val="left" w:pos="1813"/>
        </w:tabs>
        <w:ind w:left="0"/>
      </w:pPr>
      <w:r w:rsidRPr="007A59A9">
        <w:rPr>
          <w:i/>
          <w:iCs/>
        </w:rPr>
        <w:t xml:space="preserve">Submit notices of inventory completion. </w:t>
      </w:r>
      <w:r w:rsidRPr="00370648">
        <w:t>We estimate the number of notices of inventory completion by museums (n=119) and Federal agencies (n=31) based on the average number of notices published in the last three years. Museums submit multiple notices each year, according to their own requirements or in response to consultations. The information needed for notices of inventory completion are drawn directly from the inventory. NPS provides a simple template to fill in the necessary information. We estimate the time per response ranges from less than one hour</w:t>
      </w:r>
      <w:r w:rsidR="002470FA">
        <w:t xml:space="preserve">, </w:t>
      </w:r>
      <w:r w:rsidRPr="003F47F8" w:rsidR="002470FA">
        <w:t xml:space="preserve">or </w:t>
      </w:r>
      <w:r w:rsidR="002470FA">
        <w:t>0</w:t>
      </w:r>
      <w:r w:rsidRPr="003F47F8" w:rsidR="002470FA">
        <w:t>.5</w:t>
      </w:r>
      <w:r w:rsidR="002470FA">
        <w:t>0</w:t>
      </w:r>
      <w:r w:rsidRPr="003F47F8" w:rsidR="002470FA">
        <w:t xml:space="preserve"> hours</w:t>
      </w:r>
      <w:r w:rsidR="002470FA">
        <w:t>,</w:t>
      </w:r>
      <w:r w:rsidRPr="00370648">
        <w:t xml:space="preserve"> to 20 hours, depending on the size and complexity of the </w:t>
      </w:r>
      <w:r>
        <w:t>response</w:t>
      </w:r>
      <w:r w:rsidRPr="00370648">
        <w:t>, for a median of 10.25 hours.</w:t>
      </w:r>
    </w:p>
    <w:p w:rsidR="008C7C21" w:rsidP="004D7DAF" w14:paraId="2D1CF1F7" w14:textId="77777777">
      <w:pPr>
        <w:rPr>
          <w:i/>
          <w:iCs/>
        </w:rPr>
      </w:pPr>
    </w:p>
    <w:p w:rsidR="004D7DAF" w:rsidRPr="007F7E75" w:rsidP="004D7DAF" w14:paraId="4BD1C3EA" w14:textId="04B21AFD">
      <w:r w:rsidRPr="000C1F33">
        <w:rPr>
          <w:i/>
          <w:iCs/>
        </w:rPr>
        <w:t>Submit a request for repatriation.</w:t>
      </w:r>
      <w:r w:rsidR="00A62FFB">
        <w:rPr>
          <w:i/>
          <w:iCs/>
        </w:rPr>
        <w:t xml:space="preserve"> </w:t>
      </w:r>
      <w:r w:rsidRPr="007F7E75">
        <w:t xml:space="preserve">We estimate the number of lineal descendants (n=3) and Indian Tribes or NHOs (n=154) submitting a request for repatriation is 80% of the total number of notices of inventory completion (which precede a request) and 100% of the total number of notices of intent to repatriate (which follow a request). A request for repatriation ranges from a simple statement in response to a notice to a detailed request with supporting documentation to satisfy the criteria for a request. We estimate the time per response ranges from </w:t>
      </w:r>
      <w:r w:rsidR="002470FA">
        <w:t xml:space="preserve">less than one hour, or 0.50 hours, </w:t>
      </w:r>
      <w:r w:rsidRPr="007F7E75">
        <w:t>to 10 hours, depending on the size and complexity of the claim or request, for a median of 5.25 hours.</w:t>
      </w:r>
    </w:p>
    <w:p w:rsidR="004D7DAF" w:rsidP="004D7DAF" w14:paraId="2D9EB94A" w14:textId="77777777">
      <w:pPr>
        <w:pStyle w:val="ListParagraph"/>
        <w:tabs>
          <w:tab w:val="left" w:pos="1813"/>
        </w:tabs>
        <w:ind w:left="0"/>
        <w:rPr>
          <w:i/>
          <w:iCs/>
        </w:rPr>
      </w:pPr>
    </w:p>
    <w:p w:rsidR="004D7DAF" w:rsidRPr="00370648" w:rsidP="00536A00" w14:paraId="2FA51B71" w14:textId="672A826B">
      <w:pPr>
        <w:pStyle w:val="ListParagraph"/>
        <w:tabs>
          <w:tab w:val="left" w:pos="1813"/>
        </w:tabs>
        <w:ind w:left="0"/>
      </w:pPr>
      <w:r w:rsidRPr="004D7DAF">
        <w:rPr>
          <w:i/>
          <w:iCs/>
        </w:rPr>
        <w:t>Document physical transfer.</w:t>
      </w:r>
      <w:r w:rsidR="00A62FFB">
        <w:rPr>
          <w:i/>
          <w:iCs/>
        </w:rPr>
        <w:t xml:space="preserve"> </w:t>
      </w:r>
      <w:r w:rsidRPr="00370648">
        <w:t xml:space="preserve">We estimate the number of museums (n=127) and Federal agencies (n=30) documenting physical transfer of a repatriation is 80% of the total number of notices of inventory completion (which precede a request) and 100% of the total number of notices of intent to repatriate (which follow a request). The existing regulations require internal procedures to permanently document repatriations. We estimate the time per response ranges from </w:t>
      </w:r>
      <w:r w:rsidR="002470FA">
        <w:t xml:space="preserve">less than one hour, or 0.50 hours, </w:t>
      </w:r>
      <w:r w:rsidRPr="00370648">
        <w:t xml:space="preserve">to 10 hours, depending on the size and complexity of the </w:t>
      </w:r>
      <w:r>
        <w:t>response</w:t>
      </w:r>
      <w:r w:rsidRPr="00370648">
        <w:t>, for a median of 5.25 hours.</w:t>
      </w:r>
    </w:p>
    <w:p w:rsidR="00F15D68" w:rsidRPr="00370648" w:rsidP="00973FE5" w14:paraId="78DFACA9" w14:textId="77777777">
      <w:pPr>
        <w:pStyle w:val="ListParagraph"/>
        <w:tabs>
          <w:tab w:val="left" w:pos="1813"/>
        </w:tabs>
        <w:ind w:left="0"/>
      </w:pPr>
    </w:p>
    <w:p w:rsidR="00706A4D" w:rsidRPr="00F15D68" w:rsidP="00706A4D" w14:paraId="733A2887" w14:textId="17D122A9">
      <w:pPr>
        <w:tabs>
          <w:tab w:val="left" w:pos="1813"/>
        </w:tabs>
        <w:rPr>
          <w:b/>
          <w:bCs/>
        </w:rPr>
      </w:pPr>
      <w:r w:rsidRPr="00F15D68">
        <w:rPr>
          <w:i/>
          <w:iCs/>
        </w:rPr>
        <w:t xml:space="preserve">Evaluate competing requests for repatriation. </w:t>
      </w:r>
      <w:r w:rsidRPr="00370648">
        <w:t>We estimate the number of museums (n=12) and Federal agencies (n=2) evaluating competing requests for repatriation based on the number of competing requests known to the National NAGPRA Program or the Review Committee in an average year. The information needed to evaluate competing requests is submitted by requestors evaluated against the criteria in the existing regulations</w:t>
      </w:r>
      <w:r>
        <w:t>.</w:t>
      </w:r>
      <w:r>
        <w:rPr>
          <w:b/>
          <w:bCs/>
        </w:rPr>
        <w:t xml:space="preserve"> </w:t>
      </w:r>
      <w:r w:rsidRPr="00370648">
        <w:t xml:space="preserve">We estimate the time per response ranges from </w:t>
      </w:r>
      <w:r w:rsidR="002470FA">
        <w:t xml:space="preserve">less than one hour, or 0.50 hours, </w:t>
      </w:r>
      <w:r w:rsidRPr="00370648">
        <w:t>to 50 hours, depending on the size and complexity of the competing claims, for a median of 25.25 hours</w:t>
      </w:r>
    </w:p>
    <w:p w:rsidR="00706A4D" w:rsidP="00973FE5" w14:paraId="4CB51E5F" w14:textId="77777777">
      <w:pPr>
        <w:pStyle w:val="ListParagraph"/>
        <w:ind w:left="0"/>
        <w:rPr>
          <w:i/>
          <w:iCs/>
        </w:rPr>
      </w:pPr>
    </w:p>
    <w:p w:rsidR="00973FE5" w:rsidRPr="007F7E75" w:rsidP="00973FE5" w14:paraId="49943267" w14:textId="4DA4AC50">
      <w:pPr>
        <w:pStyle w:val="ListParagraph"/>
        <w:ind w:left="0"/>
      </w:pPr>
      <w:r w:rsidRPr="000739FD">
        <w:rPr>
          <w:i/>
          <w:iCs/>
        </w:rPr>
        <w:t xml:space="preserve">File an allegation of failure to comply. </w:t>
      </w:r>
      <w:r w:rsidRPr="007F7E75">
        <w:t xml:space="preserve">We estimate the number of persons alleging a failure to comply (n=2) based on available data for civil penalty actions in an average year. The time per response ranges from </w:t>
      </w:r>
      <w:r w:rsidR="002470FA">
        <w:t xml:space="preserve">less than one hour, or 0.50 hours, </w:t>
      </w:r>
      <w:r w:rsidRPr="007F7E75">
        <w:t>to 2 hours, depending on the size and complexity of the allegation, for a median of 1.25 hours</w:t>
      </w:r>
    </w:p>
    <w:p w:rsidR="000C1F33" w:rsidP="00973FE5" w14:paraId="749D4DDD" w14:textId="77777777">
      <w:pPr>
        <w:pStyle w:val="ListParagraph"/>
        <w:tabs>
          <w:tab w:val="left" w:pos="1813"/>
        </w:tabs>
        <w:ind w:left="0"/>
      </w:pPr>
    </w:p>
    <w:p w:rsidR="002937EA" w:rsidRPr="00370648" w:rsidP="00F15D68" w14:paraId="289F041E" w14:textId="141348E8">
      <w:pPr>
        <w:pStyle w:val="ListParagraph"/>
        <w:tabs>
          <w:tab w:val="left" w:pos="1813"/>
        </w:tabs>
        <w:ind w:left="0"/>
      </w:pPr>
      <w:r w:rsidRPr="00F15D68">
        <w:rPr>
          <w:i/>
          <w:iCs/>
        </w:rPr>
        <w:t xml:space="preserve">Respond to a civil penalty action. </w:t>
      </w:r>
      <w:r w:rsidRPr="00370648">
        <w:t>The number of museums responding to a civil penalty action (n=4) is based on the average number of civil penalty actions taken in past years. The time per response ranges from 5 hours to 30 hours, depending on the complexity of the action, for a median of 17.5 hours.</w:t>
      </w:r>
    </w:p>
    <w:p w:rsidR="00AA3403" w:rsidP="00AA3403" w14:paraId="03AB997D" w14:textId="77777777"/>
    <w:p w:rsidR="00FB38D0" w:rsidP="00AA3403" w14:paraId="0AB49AE1" w14:textId="77777777"/>
    <w:p w:rsidR="00FB38D0" w:rsidP="00D435F4" w14:paraId="4A0AB5EB" w14:textId="2B9668E7">
      <w:pPr>
        <w:pStyle w:val="Heading3"/>
      </w:pPr>
      <w:bookmarkStart w:id="42" w:name="_Toc113867045"/>
      <w:r>
        <w:t>Table 19.</w:t>
      </w:r>
      <w:r w:rsidR="00D435F4">
        <w:t xml:space="preserve"> </w:t>
      </w:r>
      <w:r>
        <w:t xml:space="preserve"> Estimate for Proposed regulatory action (years 1-3) Subpart C</w:t>
      </w:r>
      <w:bookmarkEnd w:id="42"/>
      <w:r>
        <w:t xml:space="preserve"> </w:t>
      </w:r>
    </w:p>
    <w:tbl>
      <w:tblPr>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7"/>
        <w:gridCol w:w="2415"/>
        <w:gridCol w:w="1343"/>
        <w:gridCol w:w="1253"/>
        <w:gridCol w:w="1487"/>
        <w:gridCol w:w="1164"/>
        <w:gridCol w:w="1596"/>
      </w:tblGrid>
      <w:tr w14:paraId="21E39711" w14:textId="77777777" w:rsidTr="00AD0BFE">
        <w:tblPrEx>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577" w:type="dxa"/>
            <w:shd w:val="clear" w:color="auto" w:fill="auto"/>
            <w:noWrap/>
            <w:vAlign w:val="center"/>
          </w:tcPr>
          <w:p w:rsidR="00FB38D0" w:rsidRPr="006172FD" w:rsidP="0074675D" w14:paraId="17F1CB2B" w14:textId="77777777">
            <w:pPr>
              <w:jc w:val="center"/>
              <w:rPr>
                <w:b/>
                <w:bCs/>
                <w:color w:val="000000"/>
              </w:rPr>
            </w:pPr>
            <w:r w:rsidRPr="006172FD">
              <w:rPr>
                <w:b/>
                <w:bCs/>
                <w:color w:val="000000"/>
              </w:rPr>
              <w:t>Regulatory Requirement</w:t>
            </w:r>
          </w:p>
        </w:tc>
        <w:tc>
          <w:tcPr>
            <w:tcW w:w="2415" w:type="dxa"/>
            <w:shd w:val="clear" w:color="auto" w:fill="auto"/>
            <w:noWrap/>
            <w:vAlign w:val="center"/>
          </w:tcPr>
          <w:p w:rsidR="00FB38D0" w:rsidRPr="006172FD" w:rsidP="0074675D" w14:paraId="320BFF72" w14:textId="77777777">
            <w:pPr>
              <w:jc w:val="center"/>
              <w:rPr>
                <w:b/>
                <w:bCs/>
                <w:color w:val="000000"/>
              </w:rPr>
            </w:pPr>
            <w:r w:rsidRPr="006172FD">
              <w:rPr>
                <w:b/>
                <w:bCs/>
                <w:color w:val="000000"/>
              </w:rPr>
              <w:t>Responsible party</w:t>
            </w:r>
          </w:p>
        </w:tc>
        <w:tc>
          <w:tcPr>
            <w:tcW w:w="1343" w:type="dxa"/>
            <w:shd w:val="clear" w:color="auto" w:fill="auto"/>
            <w:noWrap/>
            <w:vAlign w:val="center"/>
          </w:tcPr>
          <w:p w:rsidR="00FB38D0" w:rsidRPr="006172FD" w:rsidP="0074675D" w14:paraId="1153958E" w14:textId="77777777">
            <w:pPr>
              <w:jc w:val="center"/>
              <w:rPr>
                <w:b/>
                <w:bCs/>
                <w:color w:val="000000"/>
              </w:rPr>
            </w:pPr>
            <w:r w:rsidRPr="006172FD">
              <w:rPr>
                <w:b/>
                <w:bCs/>
              </w:rPr>
              <w:t>Number of responses</w:t>
            </w:r>
          </w:p>
        </w:tc>
        <w:tc>
          <w:tcPr>
            <w:tcW w:w="1253" w:type="dxa"/>
            <w:shd w:val="clear" w:color="auto" w:fill="auto"/>
            <w:noWrap/>
            <w:vAlign w:val="center"/>
          </w:tcPr>
          <w:p w:rsidR="00FB38D0" w:rsidRPr="006172FD" w:rsidP="0074675D" w14:paraId="4E9D1398" w14:textId="77777777">
            <w:pPr>
              <w:jc w:val="center"/>
              <w:rPr>
                <w:b/>
                <w:bCs/>
                <w:color w:val="000000"/>
              </w:rPr>
            </w:pPr>
            <w:r w:rsidRPr="006172FD">
              <w:rPr>
                <w:b/>
                <w:bCs/>
              </w:rPr>
              <w:t>Time per response</w:t>
            </w:r>
          </w:p>
        </w:tc>
        <w:tc>
          <w:tcPr>
            <w:tcW w:w="1487" w:type="dxa"/>
            <w:shd w:val="clear" w:color="auto" w:fill="auto"/>
            <w:noWrap/>
            <w:vAlign w:val="center"/>
          </w:tcPr>
          <w:p w:rsidR="00FB38D0" w:rsidRPr="006172FD" w:rsidP="0074675D" w14:paraId="7B059218" w14:textId="77777777">
            <w:pPr>
              <w:jc w:val="center"/>
              <w:rPr>
                <w:b/>
                <w:bCs/>
                <w:color w:val="000000"/>
              </w:rPr>
            </w:pPr>
            <w:r w:rsidRPr="006172FD">
              <w:rPr>
                <w:b/>
                <w:bCs/>
              </w:rPr>
              <w:t>Annual Hours</w:t>
            </w:r>
          </w:p>
        </w:tc>
        <w:tc>
          <w:tcPr>
            <w:tcW w:w="1164" w:type="dxa"/>
            <w:shd w:val="clear" w:color="auto" w:fill="auto"/>
            <w:noWrap/>
            <w:vAlign w:val="center"/>
          </w:tcPr>
          <w:p w:rsidR="00FB38D0" w:rsidRPr="006172FD" w:rsidP="0074675D" w14:paraId="1FC2A7CB" w14:textId="77777777">
            <w:pPr>
              <w:jc w:val="center"/>
              <w:rPr>
                <w:b/>
                <w:bCs/>
                <w:color w:val="000000"/>
              </w:rPr>
            </w:pPr>
            <w:r w:rsidRPr="006172FD">
              <w:rPr>
                <w:b/>
                <w:bCs/>
              </w:rPr>
              <w:t>Hourly Rate</w:t>
            </w:r>
          </w:p>
        </w:tc>
        <w:tc>
          <w:tcPr>
            <w:tcW w:w="1596" w:type="dxa"/>
            <w:shd w:val="clear" w:color="auto" w:fill="auto"/>
            <w:noWrap/>
            <w:vAlign w:val="center"/>
          </w:tcPr>
          <w:p w:rsidR="00FB38D0" w:rsidRPr="006172FD" w:rsidP="0074675D" w14:paraId="09ABE101" w14:textId="77777777">
            <w:pPr>
              <w:jc w:val="center"/>
              <w:rPr>
                <w:b/>
                <w:bCs/>
                <w:color w:val="000000"/>
              </w:rPr>
            </w:pPr>
            <w:r w:rsidRPr="006172FD">
              <w:rPr>
                <w:b/>
                <w:bCs/>
              </w:rPr>
              <w:t>Annual Costs</w:t>
            </w:r>
          </w:p>
        </w:tc>
      </w:tr>
      <w:tr w14:paraId="1BE4D341"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C4467E0" w14:textId="43A752D6">
            <w:pPr>
              <w:rPr>
                <w:color w:val="000000"/>
              </w:rPr>
            </w:pPr>
            <w:r w:rsidRPr="004979B7">
              <w:rPr>
                <w:color w:val="000000"/>
              </w:rPr>
              <w:t>Submit statements describing holdings or collections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751D444"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9491104" w14:textId="77777777">
            <w:pPr>
              <w:jc w:val="right"/>
            </w:pPr>
            <w:r w:rsidRPr="004979B7">
              <w:t>70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31E97E6"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7B63D66" w14:textId="77777777">
            <w:pPr>
              <w:jc w:val="right"/>
            </w:pPr>
            <w:r w:rsidRPr="004979B7">
              <w:t>367.50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55E7328"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3749E2C" w14:textId="77777777">
            <w:pPr>
              <w:jc w:val="right"/>
            </w:pPr>
            <w:r w:rsidRPr="004979B7">
              <w:t>$23,616.00</w:t>
            </w:r>
          </w:p>
        </w:tc>
      </w:tr>
      <w:tr w14:paraId="5648C674"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4893337" w14:textId="66DCEA62">
            <w:pPr>
              <w:rPr>
                <w:color w:val="000000"/>
              </w:rPr>
            </w:pPr>
            <w:r w:rsidRPr="004979B7">
              <w:rPr>
                <w:color w:val="000000"/>
              </w:rPr>
              <w:t>Respond to statement describing holdings or collections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E7E8D37"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7FC2E5B" w14:textId="77777777">
            <w:pPr>
              <w:jc w:val="right"/>
            </w:pPr>
            <w:r w:rsidRPr="004979B7">
              <w:t>70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08B1574"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2C2C60D" w14:textId="77777777">
            <w:pPr>
              <w:jc w:val="right"/>
            </w:pPr>
            <w:r w:rsidRPr="004979B7">
              <w:t>367.50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534C26E"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413CA68" w14:textId="77777777">
            <w:pPr>
              <w:jc w:val="right"/>
            </w:pPr>
            <w:r w:rsidRPr="004979B7">
              <w:t>$23,616.00</w:t>
            </w:r>
          </w:p>
        </w:tc>
      </w:tr>
      <w:tr w14:paraId="04334B4F"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0F245B4" w14:textId="4B2D0F1C">
            <w:pPr>
              <w:rPr>
                <w:color w:val="000000"/>
              </w:rPr>
            </w:pPr>
            <w:r w:rsidRPr="004979B7">
              <w:rPr>
                <w:color w:val="000000"/>
              </w:rPr>
              <w:t>Submit a new summary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968E402"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7FFDD7F" w14:textId="77777777">
            <w:pPr>
              <w:jc w:val="right"/>
            </w:pPr>
            <w:r w:rsidRPr="004979B7">
              <w:t>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DE11086" w14:textId="77777777">
            <w:pPr>
              <w:jc w:val="right"/>
            </w:pPr>
            <w:r w:rsidRPr="004979B7">
              <w:t>52.50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E43D824" w14:textId="77777777">
            <w:pPr>
              <w:jc w:val="right"/>
            </w:pPr>
            <w:r w:rsidRPr="004979B7">
              <w:t>367.50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BC7D9D6"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CFCAAD9" w14:textId="77777777">
            <w:pPr>
              <w:jc w:val="right"/>
            </w:pPr>
            <w:r w:rsidRPr="004979B7">
              <w:t>$23,616.00</w:t>
            </w:r>
          </w:p>
        </w:tc>
      </w:tr>
      <w:tr w14:paraId="0C0A3390"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EDCCE92" w14:textId="749DD3E5">
            <w:pPr>
              <w:rPr>
                <w:color w:val="000000"/>
              </w:rPr>
            </w:pPr>
            <w:r w:rsidRPr="004979B7">
              <w:rPr>
                <w:color w:val="000000"/>
              </w:rPr>
              <w:t>Submit a new summary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7ED8BB5"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F158256" w14:textId="77777777">
            <w:pPr>
              <w:jc w:val="right"/>
            </w:pPr>
            <w:r w:rsidRPr="004979B7">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735E013" w14:textId="77777777">
            <w:pPr>
              <w:jc w:val="right"/>
            </w:pPr>
            <w:r w:rsidRPr="004979B7">
              <w:t>52.50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8E23A02" w14:textId="77777777">
            <w:pPr>
              <w:jc w:val="right"/>
            </w:pPr>
            <w:r w:rsidRPr="004979B7">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9D810EE"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10E48C3" w14:textId="77777777">
            <w:pPr>
              <w:jc w:val="right"/>
            </w:pPr>
            <w:r w:rsidRPr="004979B7">
              <w:t>$0.00</w:t>
            </w:r>
          </w:p>
        </w:tc>
      </w:tr>
      <w:tr w14:paraId="029C1D88" w14:textId="77777777" w:rsidTr="006B37AC">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44DC4A36" w14:textId="77777777">
            <w:pPr>
              <w:rPr>
                <w:color w:val="000000"/>
              </w:rPr>
            </w:pPr>
            <w:r>
              <w:rPr>
                <w:color w:val="000000"/>
              </w:rPr>
              <w:t xml:space="preserve">Initiate consultation </w:t>
            </w:r>
            <w:r w:rsidRPr="004979B7">
              <w:rPr>
                <w:color w:val="000000"/>
              </w:rPr>
              <w:t>and request information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5217E54A"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79C42265" w14:textId="77777777">
            <w:pPr>
              <w:jc w:val="right"/>
            </w:pPr>
            <w:r w:rsidRPr="004979B7">
              <w:t>137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746866B6" w14:textId="77777777">
            <w:pPr>
              <w:jc w:val="right"/>
            </w:pPr>
            <w:r w:rsidRPr="004979B7">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64395537" w14:textId="77777777">
            <w:pPr>
              <w:jc w:val="right"/>
            </w:pPr>
            <w:r w:rsidRPr="004979B7">
              <w:t>376.75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06871DFD"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089621D2" w14:textId="77777777">
            <w:pPr>
              <w:jc w:val="right"/>
            </w:pPr>
            <w:r w:rsidRPr="004979B7">
              <w:t>$24,210.00</w:t>
            </w:r>
          </w:p>
        </w:tc>
      </w:tr>
      <w:tr w14:paraId="48FD5E4C" w14:textId="77777777" w:rsidTr="006B37AC">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3A258C46" w14:textId="1BF61F4A">
            <w:pPr>
              <w:rPr>
                <w:color w:val="000000"/>
              </w:rPr>
            </w:pPr>
            <w:r>
              <w:rPr>
                <w:color w:val="000000"/>
              </w:rPr>
              <w:t>Initiate consult</w:t>
            </w:r>
            <w:r w:rsidR="001A6FD0">
              <w:rPr>
                <w:color w:val="000000"/>
              </w:rPr>
              <w:t>at</w:t>
            </w:r>
            <w:r>
              <w:rPr>
                <w:color w:val="000000"/>
              </w:rPr>
              <w:t>ion</w:t>
            </w:r>
            <w:r w:rsidRPr="004979B7">
              <w:rPr>
                <w:color w:val="000000"/>
              </w:rPr>
              <w:t xml:space="preserve"> and request information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4D83372B"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3DE84004" w14:textId="77777777">
            <w:pPr>
              <w:jc w:val="right"/>
            </w:pPr>
            <w:r w:rsidRPr="004979B7">
              <w:t>43</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11ECB9AA" w14:textId="77777777">
            <w:pPr>
              <w:jc w:val="right"/>
            </w:pPr>
            <w:r w:rsidRPr="004979B7">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419B6AED" w14:textId="77777777">
            <w:pPr>
              <w:jc w:val="right"/>
            </w:pPr>
            <w:r w:rsidRPr="004979B7">
              <w:t>118.25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0261DA79"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7F06F54C" w14:textId="77777777">
            <w:pPr>
              <w:jc w:val="right"/>
            </w:pPr>
            <w:r w:rsidRPr="004979B7">
              <w:t>$7,599.00</w:t>
            </w:r>
          </w:p>
        </w:tc>
      </w:tr>
      <w:tr w14:paraId="66109F24" w14:textId="77777777" w:rsidTr="006B37AC">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3B175390" w14:textId="77777777">
            <w:pPr>
              <w:rPr>
                <w:color w:val="000000"/>
              </w:rPr>
            </w:pPr>
            <w:r>
              <w:rPr>
                <w:color w:val="000000"/>
              </w:rPr>
              <w:t>Submit a r</w:t>
            </w:r>
            <w:r w:rsidRPr="00973FE5">
              <w:rPr>
                <w:color w:val="000000"/>
              </w:rPr>
              <w:t>equest</w:t>
            </w:r>
            <w:r>
              <w:rPr>
                <w:color w:val="000000"/>
              </w:rPr>
              <w:t xml:space="preserve"> to consult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08ED9FDF" w14:textId="77777777">
            <w:pPr>
              <w:rPr>
                <w:color w:val="000000"/>
              </w:rPr>
            </w:pPr>
            <w:r w:rsidRPr="004979B7">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1F1AD859" w14:textId="77777777">
            <w:pPr>
              <w:jc w:val="right"/>
            </w:pPr>
            <w:r w:rsidRPr="004979B7">
              <w:t>219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63EA99DC" w14:textId="77777777">
            <w:pPr>
              <w:jc w:val="right"/>
            </w:pPr>
            <w:r w:rsidRPr="004979B7">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3A1D6A5C" w14:textId="77777777">
            <w:pPr>
              <w:jc w:val="right"/>
            </w:pPr>
            <w:r w:rsidRPr="004979B7">
              <w:t>273.75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1586124F"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53790DBB" w14:textId="77777777">
            <w:pPr>
              <w:jc w:val="right"/>
            </w:pPr>
            <w:r w:rsidRPr="004979B7">
              <w:t>$17,591.00</w:t>
            </w:r>
          </w:p>
        </w:tc>
      </w:tr>
      <w:tr w14:paraId="4D1035C3" w14:textId="77777777" w:rsidTr="006B37AC">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26B60A9C" w14:textId="77777777">
            <w:pPr>
              <w:rPr>
                <w:color w:val="000000"/>
              </w:rPr>
            </w:pPr>
            <w:r>
              <w:rPr>
                <w:color w:val="000000"/>
              </w:rPr>
              <w:t>Submit a r</w:t>
            </w:r>
            <w:r w:rsidRPr="00973FE5">
              <w:rPr>
                <w:color w:val="000000"/>
              </w:rPr>
              <w:t>equest</w:t>
            </w:r>
            <w:r>
              <w:rPr>
                <w:color w:val="000000"/>
              </w:rPr>
              <w:t xml:space="preserve"> to consult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30C1D70B" w14:textId="77777777">
            <w:pPr>
              <w:rPr>
                <w:color w:val="000000"/>
              </w:rPr>
            </w:pPr>
            <w:r w:rsidRPr="004979B7">
              <w:rPr>
                <w:color w:val="000000"/>
              </w:rPr>
              <w:t>Lineal descendants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176388B5" w14:textId="77777777">
            <w:pPr>
              <w:jc w:val="right"/>
            </w:pPr>
            <w:r w:rsidRPr="004979B7">
              <w:t>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608034B6" w14:textId="77777777">
            <w:pPr>
              <w:jc w:val="right"/>
            </w:pPr>
            <w:r w:rsidRPr="004979B7">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3173035C" w14:textId="77777777">
            <w:pPr>
              <w:jc w:val="right"/>
            </w:pPr>
            <w:r w:rsidRPr="004979B7">
              <w:t>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2454A0B6" w14:textId="77777777">
            <w:pPr>
              <w:jc w:val="right"/>
            </w:pPr>
            <w:r w:rsidRPr="004979B7">
              <w:t>$38.61</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7AC" w:rsidRPr="004979B7" w:rsidP="004208E6" w14:paraId="5DA63A1C" w14:textId="77777777">
            <w:pPr>
              <w:jc w:val="right"/>
            </w:pPr>
            <w:r w:rsidRPr="004979B7">
              <w:t>$193.00</w:t>
            </w:r>
          </w:p>
        </w:tc>
      </w:tr>
      <w:tr w14:paraId="20CDBAE0"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E68E32A" w14:textId="55B2AF2E">
            <w:pPr>
              <w:rPr>
                <w:color w:val="000000"/>
              </w:rPr>
            </w:pPr>
            <w:r>
              <w:rPr>
                <w:color w:val="000000"/>
              </w:rPr>
              <w:t>C</w:t>
            </w:r>
            <w:r w:rsidRPr="004979B7">
              <w:rPr>
                <w:color w:val="000000"/>
              </w:rPr>
              <w:t>onduct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8DFC9E1"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C508DE2" w14:textId="77777777">
            <w:pPr>
              <w:jc w:val="right"/>
            </w:pPr>
            <w:r w:rsidRPr="004979B7">
              <w:t>174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9600C71" w14:textId="77777777">
            <w:pPr>
              <w:jc w:val="right"/>
            </w:pPr>
            <w:r w:rsidRPr="004979B7">
              <w:t>100.25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4CA0FC3" w14:textId="77777777">
            <w:pPr>
              <w:jc w:val="right"/>
            </w:pPr>
            <w:r w:rsidRPr="004979B7">
              <w:t>17443.50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6CB74F9"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65332B8" w14:textId="77777777">
            <w:pPr>
              <w:jc w:val="right"/>
            </w:pPr>
            <w:r w:rsidRPr="004979B7">
              <w:t>$1,120,919.00</w:t>
            </w:r>
          </w:p>
        </w:tc>
      </w:tr>
      <w:tr w14:paraId="1196C0D6"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F86EAC9" w14:textId="42D07064">
            <w:pPr>
              <w:rPr>
                <w:color w:val="000000"/>
              </w:rPr>
            </w:pPr>
            <w:r>
              <w:rPr>
                <w:color w:val="000000"/>
              </w:rPr>
              <w:t>C</w:t>
            </w:r>
            <w:r w:rsidRPr="004979B7">
              <w:rPr>
                <w:color w:val="000000"/>
              </w:rPr>
              <w:t>onduct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5E9D877"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72236F5" w14:textId="77777777">
            <w:pPr>
              <w:jc w:val="right"/>
            </w:pPr>
            <w:r w:rsidRPr="004979B7">
              <w:t>49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6A313CB" w14:textId="77777777">
            <w:pPr>
              <w:jc w:val="right"/>
            </w:pPr>
            <w:r w:rsidRPr="004979B7">
              <w:t>100.25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93B34D4" w14:textId="77777777">
            <w:pPr>
              <w:jc w:val="right"/>
            </w:pPr>
            <w:r w:rsidRPr="004979B7">
              <w:t>4912.25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F6679F0"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960CC9E" w14:textId="77777777">
            <w:pPr>
              <w:jc w:val="right"/>
            </w:pPr>
            <w:r w:rsidRPr="004979B7">
              <w:t>$315,661.00</w:t>
            </w:r>
          </w:p>
        </w:tc>
      </w:tr>
      <w:tr w14:paraId="793E67F9" w14:textId="77777777" w:rsidTr="001A6FD0">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7D04318B" w14:textId="77777777">
            <w:pPr>
              <w:rPr>
                <w:color w:val="000000"/>
              </w:rPr>
            </w:pPr>
            <w:r w:rsidRPr="004979B7">
              <w:rPr>
                <w:color w:val="000000"/>
              </w:rPr>
              <w:t>Make a record of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24ED9350"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49393A9B" w14:textId="77777777">
            <w:pPr>
              <w:jc w:val="right"/>
            </w:pPr>
            <w:r w:rsidRPr="004979B7">
              <w:t>174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338A1E48"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54B87F0E" w14:textId="77777777">
            <w:pPr>
              <w:jc w:val="right"/>
            </w:pPr>
            <w:r w:rsidRPr="004979B7">
              <w:t>913.50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44EF2031"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24B2C50E" w14:textId="77777777">
            <w:pPr>
              <w:jc w:val="right"/>
            </w:pPr>
            <w:r w:rsidRPr="004979B7">
              <w:t>$58,702.00</w:t>
            </w:r>
          </w:p>
        </w:tc>
      </w:tr>
      <w:tr w14:paraId="79CAA209" w14:textId="77777777" w:rsidTr="001A6FD0">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6A27BD01" w14:textId="77777777">
            <w:pPr>
              <w:rPr>
                <w:color w:val="000000"/>
              </w:rPr>
            </w:pPr>
            <w:r w:rsidRPr="004979B7">
              <w:rPr>
                <w:color w:val="000000"/>
              </w:rPr>
              <w:t>Make a record of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118AD1D1"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159FFB79" w14:textId="77777777">
            <w:pPr>
              <w:jc w:val="right"/>
            </w:pPr>
            <w:r w:rsidRPr="004979B7">
              <w:t>49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357EFB71"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6380F783" w14:textId="77777777">
            <w:pPr>
              <w:jc w:val="right"/>
            </w:pPr>
            <w:r w:rsidRPr="004979B7">
              <w:t>257.25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65A45825"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FD0" w:rsidRPr="004979B7" w:rsidP="004208E6" w14:paraId="6CD6716F" w14:textId="77777777">
            <w:pPr>
              <w:jc w:val="right"/>
            </w:pPr>
            <w:r w:rsidRPr="004979B7">
              <w:t>$16,531.00</w:t>
            </w:r>
          </w:p>
        </w:tc>
      </w:tr>
      <w:tr w14:paraId="6ED18903"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F7099E6" w14:textId="5236947E">
            <w:pPr>
              <w:rPr>
                <w:color w:val="000000"/>
              </w:rPr>
            </w:pPr>
            <w:r w:rsidRPr="004979B7">
              <w:rPr>
                <w:color w:val="000000"/>
              </w:rPr>
              <w:t>Submit a new inventory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DCCE351"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839A7AB" w14:textId="77777777">
            <w:pPr>
              <w:jc w:val="right"/>
            </w:pPr>
            <w:r w:rsidRPr="004979B7">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6E20DBC" w14:textId="77777777">
            <w:pPr>
              <w:jc w:val="right"/>
            </w:pPr>
            <w:r w:rsidRPr="004979B7">
              <w:t>155.00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935AB20" w14:textId="77777777">
            <w:pPr>
              <w:jc w:val="right"/>
            </w:pPr>
            <w:r w:rsidRPr="004979B7">
              <w:t>775.00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AF2F5EB"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5D1059F" w14:textId="77777777">
            <w:pPr>
              <w:jc w:val="right"/>
            </w:pPr>
            <w:r w:rsidRPr="004979B7">
              <w:t>$49,802.00</w:t>
            </w:r>
          </w:p>
        </w:tc>
      </w:tr>
      <w:tr w14:paraId="23A4EE61"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78239CA" w14:textId="5F1490E4">
            <w:pPr>
              <w:rPr>
                <w:color w:val="000000"/>
              </w:rPr>
            </w:pPr>
            <w:r w:rsidRPr="004979B7">
              <w:rPr>
                <w:color w:val="000000"/>
              </w:rPr>
              <w:t>Submit a new inventory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9EFE468"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31A4485" w14:textId="77777777">
            <w:pPr>
              <w:jc w:val="right"/>
            </w:pPr>
            <w:r w:rsidRPr="004979B7">
              <w:t>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1C37AE3" w14:textId="77777777">
            <w:pPr>
              <w:jc w:val="right"/>
            </w:pPr>
            <w:r w:rsidRPr="004979B7">
              <w:t>155.00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34DFE67" w14:textId="77777777">
            <w:pPr>
              <w:jc w:val="right"/>
            </w:pPr>
            <w:r w:rsidRPr="004979B7">
              <w:t>155.00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2258825"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4E4ABF1" w14:textId="77777777">
            <w:pPr>
              <w:jc w:val="right"/>
            </w:pPr>
            <w:r w:rsidRPr="004979B7">
              <w:t>$9,960.00</w:t>
            </w:r>
          </w:p>
        </w:tc>
      </w:tr>
      <w:tr w14:paraId="36BEE146"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959D110" w14:textId="3B1FE6BA">
            <w:pPr>
              <w:rPr>
                <w:color w:val="000000"/>
              </w:rPr>
            </w:pPr>
            <w:r w:rsidRPr="004979B7">
              <w:rPr>
                <w:color w:val="000000"/>
              </w:rPr>
              <w:t>Update summary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5B613C6"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5217F47" w14:textId="77777777">
            <w:pPr>
              <w:jc w:val="right"/>
            </w:pPr>
            <w:r w:rsidRPr="004979B7">
              <w:t>49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11C934C" w14:textId="77777777">
            <w:pPr>
              <w:jc w:val="right"/>
            </w:pPr>
            <w:r w:rsidRPr="004979B7">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04B8F8B" w14:textId="77777777">
            <w:pPr>
              <w:jc w:val="right"/>
            </w:pPr>
            <w:r w:rsidRPr="004979B7">
              <w:t>502.25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DCEA588"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BB12AAC" w14:textId="77777777">
            <w:pPr>
              <w:jc w:val="right"/>
            </w:pPr>
            <w:r w:rsidRPr="004979B7">
              <w:t>$32,275.00</w:t>
            </w:r>
          </w:p>
        </w:tc>
      </w:tr>
      <w:tr w14:paraId="51D39174"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3D51DA2" w14:textId="13C5F13F">
            <w:pPr>
              <w:rPr>
                <w:color w:val="000000"/>
              </w:rPr>
            </w:pPr>
            <w:r w:rsidRPr="004979B7">
              <w:rPr>
                <w:color w:val="000000"/>
              </w:rPr>
              <w:t>Update summary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1DEBC93"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8F51C62" w14:textId="77777777">
            <w:pPr>
              <w:jc w:val="right"/>
            </w:pPr>
            <w:r w:rsidRPr="004979B7">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E4EB24A" w14:textId="77777777">
            <w:pPr>
              <w:jc w:val="right"/>
            </w:pPr>
            <w:r w:rsidRPr="004979B7">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C1AC728" w14:textId="77777777">
            <w:pPr>
              <w:jc w:val="right"/>
            </w:pPr>
            <w:r w:rsidRPr="004979B7">
              <w:t>20.50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A571031"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914E64B" w14:textId="77777777">
            <w:pPr>
              <w:jc w:val="right"/>
            </w:pPr>
            <w:r w:rsidRPr="004979B7">
              <w:t>$1,317.00</w:t>
            </w:r>
          </w:p>
        </w:tc>
      </w:tr>
      <w:tr w14:paraId="363CE688"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C7FF08C" w14:textId="5A4C9875">
            <w:pPr>
              <w:rPr>
                <w:color w:val="000000"/>
              </w:rPr>
            </w:pPr>
            <w:r w:rsidRPr="004979B7">
              <w:rPr>
                <w:color w:val="000000"/>
              </w:rPr>
              <w:t>Update inventory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33C09CC"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1508FE9" w14:textId="77777777">
            <w:pPr>
              <w:jc w:val="right"/>
            </w:pPr>
            <w:r w:rsidRPr="004979B7">
              <w:t>137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AAD84FC" w14:textId="77777777">
            <w:pPr>
              <w:jc w:val="right"/>
            </w:pPr>
            <w:r w:rsidRPr="004979B7">
              <w:t>50.25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DD378E3" w14:textId="77777777">
            <w:pPr>
              <w:jc w:val="right"/>
            </w:pPr>
            <w:r w:rsidRPr="004979B7">
              <w:t>6884.25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4D16A6D"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0ECC48C" w14:textId="77777777">
            <w:pPr>
              <w:jc w:val="right"/>
            </w:pPr>
            <w:r w:rsidRPr="004979B7">
              <w:t>$442,382.00</w:t>
            </w:r>
          </w:p>
        </w:tc>
      </w:tr>
      <w:tr w14:paraId="5785F130"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964C7AC" w14:textId="3A1439BE">
            <w:pPr>
              <w:rPr>
                <w:color w:val="000000"/>
              </w:rPr>
            </w:pPr>
            <w:r w:rsidRPr="004979B7">
              <w:rPr>
                <w:color w:val="000000"/>
              </w:rPr>
              <w:t>Update inventory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A4CEA47"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3C462A3" w14:textId="77777777">
            <w:pPr>
              <w:jc w:val="right"/>
            </w:pPr>
            <w:r w:rsidRPr="004979B7">
              <w:t>43</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008CD92" w14:textId="77777777">
            <w:pPr>
              <w:jc w:val="right"/>
            </w:pPr>
            <w:r w:rsidRPr="004979B7">
              <w:t>50.25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CC34962" w14:textId="77777777">
            <w:pPr>
              <w:jc w:val="right"/>
            </w:pPr>
            <w:r w:rsidRPr="004979B7">
              <w:t>2160.75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AE30B4A"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3351C27" w14:textId="77777777">
            <w:pPr>
              <w:jc w:val="right"/>
            </w:pPr>
            <w:r w:rsidRPr="004979B7">
              <w:t>$138,850.00</w:t>
            </w:r>
          </w:p>
        </w:tc>
      </w:tr>
      <w:tr w14:paraId="01348CDA"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882A35E" w14:textId="4F66D22A">
            <w:pPr>
              <w:rPr>
                <w:color w:val="000000"/>
              </w:rPr>
            </w:pPr>
            <w:r w:rsidRPr="004979B7">
              <w:rPr>
                <w:color w:val="000000"/>
              </w:rPr>
              <w:t>Submit notices of intent to repatriate</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6C21A53"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F78BF6F" w14:textId="77777777">
            <w:pPr>
              <w:jc w:val="right"/>
            </w:pPr>
            <w:r w:rsidRPr="004979B7">
              <w:t>32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6550B00"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793B447" w14:textId="77777777">
            <w:pPr>
              <w:jc w:val="right"/>
            </w:pPr>
            <w:r w:rsidRPr="004979B7">
              <w:t>168.00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877C0E3"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52FAE0A" w14:textId="77777777">
            <w:pPr>
              <w:jc w:val="right"/>
            </w:pPr>
            <w:r w:rsidRPr="004979B7">
              <w:t>$10,796.00</w:t>
            </w:r>
          </w:p>
        </w:tc>
      </w:tr>
      <w:tr w14:paraId="01A2A94A"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80C4B27" w14:textId="2C81265E">
            <w:pPr>
              <w:rPr>
                <w:color w:val="000000"/>
              </w:rPr>
            </w:pPr>
            <w:r w:rsidRPr="004979B7">
              <w:rPr>
                <w:color w:val="000000"/>
              </w:rPr>
              <w:t>Submit notices of intent to repatriate</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AAC0DB4"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596A554" w14:textId="77777777">
            <w:pPr>
              <w:jc w:val="right"/>
            </w:pPr>
            <w:r w:rsidRPr="004979B7">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F5179C8"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3B9C792" w14:textId="77777777">
            <w:pPr>
              <w:jc w:val="right"/>
            </w:pPr>
            <w:r w:rsidRPr="004979B7">
              <w:t>26.25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92A04AF"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C025C7A" w14:textId="77777777">
            <w:pPr>
              <w:jc w:val="right"/>
            </w:pPr>
            <w:r w:rsidRPr="004979B7">
              <w:t>$1,687.00</w:t>
            </w:r>
          </w:p>
        </w:tc>
      </w:tr>
      <w:tr w14:paraId="60913469"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8451DD3" w14:textId="57532DEA">
            <w:pPr>
              <w:rPr>
                <w:color w:val="000000"/>
              </w:rPr>
            </w:pPr>
            <w:r w:rsidRPr="004979B7">
              <w:rPr>
                <w:color w:val="000000"/>
              </w:rPr>
              <w:t>Submit notices of inventory completion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E960C5B"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D64E929" w14:textId="77777777">
            <w:pPr>
              <w:jc w:val="right"/>
            </w:pPr>
            <w:r w:rsidRPr="004979B7">
              <w:t>274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3518529" w14:textId="77777777">
            <w:pPr>
              <w:jc w:val="right"/>
            </w:pPr>
            <w:r w:rsidRPr="004979B7">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96E69BD" w14:textId="77777777">
            <w:pPr>
              <w:jc w:val="right"/>
            </w:pPr>
            <w:r w:rsidRPr="004979B7">
              <w:t>2808.50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BDB243E"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10A3B48" w14:textId="77777777">
            <w:pPr>
              <w:jc w:val="right"/>
            </w:pPr>
            <w:r w:rsidRPr="004979B7">
              <w:t>$180,474.00</w:t>
            </w:r>
          </w:p>
        </w:tc>
      </w:tr>
      <w:tr w14:paraId="021A88E9"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D9498A1" w14:textId="77D7FF1C">
            <w:pPr>
              <w:rPr>
                <w:color w:val="000000"/>
              </w:rPr>
            </w:pPr>
            <w:r w:rsidRPr="004979B7">
              <w:rPr>
                <w:color w:val="000000"/>
              </w:rPr>
              <w:t>Submit notices of inventory completion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8B03554"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AFA8D03" w14:textId="77777777">
            <w:pPr>
              <w:jc w:val="right"/>
            </w:pPr>
            <w:r w:rsidRPr="004979B7">
              <w:t>86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900A075" w14:textId="77777777">
            <w:pPr>
              <w:jc w:val="right"/>
            </w:pPr>
            <w:r w:rsidRPr="004979B7">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8185F6E" w14:textId="77777777">
            <w:pPr>
              <w:jc w:val="right"/>
            </w:pPr>
            <w:r w:rsidRPr="004979B7">
              <w:t>881.50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A11B7E7"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4C91AEC" w14:textId="77777777">
            <w:pPr>
              <w:jc w:val="right"/>
            </w:pPr>
            <w:r w:rsidRPr="004979B7">
              <w:t>$56,645.00</w:t>
            </w:r>
          </w:p>
        </w:tc>
      </w:tr>
      <w:tr w14:paraId="4142D3D8"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99398E6" w14:textId="1E0BF6E7">
            <w:pPr>
              <w:rPr>
                <w:color w:val="000000"/>
              </w:rPr>
            </w:pPr>
            <w:r>
              <w:rPr>
                <w:color w:val="000000"/>
              </w:rPr>
              <w:t>S</w:t>
            </w:r>
            <w:r w:rsidRPr="004979B7">
              <w:rPr>
                <w:color w:val="000000"/>
              </w:rPr>
              <w:t>ubmit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E5D7276" w14:textId="77777777">
            <w:pPr>
              <w:rPr>
                <w:color w:val="000000"/>
              </w:rPr>
            </w:pPr>
            <w:r w:rsidRPr="004979B7">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1FD20EF" w14:textId="77777777">
            <w:pPr>
              <w:jc w:val="right"/>
            </w:pPr>
            <w:r w:rsidRPr="004979B7">
              <w:t>320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6E56BA2"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A5EF486" w14:textId="77777777">
            <w:pPr>
              <w:jc w:val="right"/>
            </w:pPr>
            <w:r w:rsidRPr="004979B7">
              <w:t>1680.00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7D7AE3E"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8445A24" w14:textId="77777777">
            <w:pPr>
              <w:jc w:val="right"/>
            </w:pPr>
            <w:r w:rsidRPr="004979B7">
              <w:t>$107,957.00</w:t>
            </w:r>
          </w:p>
        </w:tc>
      </w:tr>
      <w:tr w14:paraId="419D96DD"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BC5EB39" w14:textId="4B6ED7A2">
            <w:pPr>
              <w:rPr>
                <w:color w:val="000000"/>
              </w:rPr>
            </w:pPr>
            <w:r w:rsidRPr="004979B7">
              <w:rPr>
                <w:color w:val="000000"/>
              </w:rPr>
              <w:t>Submit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2DDB6CF" w14:textId="77777777">
            <w:pPr>
              <w:rPr>
                <w:color w:val="000000"/>
              </w:rPr>
            </w:pPr>
            <w:r w:rsidRPr="004979B7">
              <w:rPr>
                <w:color w:val="000000"/>
              </w:rPr>
              <w:t>Lineal descendants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EBAF983" w14:textId="77777777">
            <w:pPr>
              <w:jc w:val="right"/>
            </w:pPr>
            <w:r w:rsidRPr="004979B7">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6032062"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0FE2AF1" w14:textId="77777777">
            <w:pPr>
              <w:jc w:val="right"/>
            </w:pPr>
            <w:r w:rsidRPr="004979B7">
              <w:t>26.25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1C22323" w14:textId="77777777">
            <w:pPr>
              <w:jc w:val="right"/>
            </w:pPr>
            <w:r w:rsidRPr="004979B7">
              <w:t>$38.61</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FCAC969" w14:textId="77777777">
            <w:pPr>
              <w:jc w:val="right"/>
            </w:pPr>
            <w:r w:rsidRPr="004979B7">
              <w:t>$1,014.00</w:t>
            </w:r>
          </w:p>
        </w:tc>
      </w:tr>
      <w:tr w14:paraId="56947E07"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5B16E55" w14:textId="2E4F17FF">
            <w:pPr>
              <w:rPr>
                <w:color w:val="000000"/>
              </w:rPr>
            </w:pPr>
            <w:r w:rsidRPr="004979B7">
              <w:rPr>
                <w:color w:val="000000"/>
              </w:rPr>
              <w:t>Respond to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2E288C0"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7A4E75F" w14:textId="77777777">
            <w:pPr>
              <w:jc w:val="right"/>
            </w:pPr>
            <w:r w:rsidRPr="004979B7">
              <w:t>251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C4CF524"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F652073" w14:textId="77777777">
            <w:pPr>
              <w:jc w:val="right"/>
            </w:pPr>
            <w:r w:rsidRPr="004979B7">
              <w:t>1317.75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59AA25D"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853814F" w14:textId="77777777">
            <w:pPr>
              <w:jc w:val="right"/>
            </w:pPr>
            <w:r w:rsidRPr="004979B7">
              <w:t>$84,679.00</w:t>
            </w:r>
          </w:p>
        </w:tc>
      </w:tr>
      <w:tr w14:paraId="70C0680F"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9B3B394" w14:textId="006D3E2B">
            <w:pPr>
              <w:rPr>
                <w:color w:val="000000"/>
              </w:rPr>
            </w:pPr>
            <w:r w:rsidRPr="004979B7">
              <w:rPr>
                <w:color w:val="000000"/>
              </w:rPr>
              <w:t>Respond to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DFCF0DC"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BB0F554" w14:textId="77777777">
            <w:pPr>
              <w:jc w:val="right"/>
            </w:pPr>
            <w:r w:rsidRPr="004979B7">
              <w:t>74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EC03CFB"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FF03C21" w14:textId="77777777">
            <w:pPr>
              <w:jc w:val="right"/>
            </w:pPr>
            <w:r w:rsidRPr="004979B7">
              <w:t>388.50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E3F9AC0"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9208CA4" w14:textId="77777777">
            <w:pPr>
              <w:jc w:val="right"/>
            </w:pPr>
            <w:r w:rsidRPr="004979B7">
              <w:t>$24,965.00</w:t>
            </w:r>
          </w:p>
        </w:tc>
      </w:tr>
      <w:tr w14:paraId="779E1C55"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0650AA7" w14:textId="575B3A96">
            <w:pPr>
              <w:rPr>
                <w:color w:val="000000"/>
              </w:rPr>
            </w:pPr>
            <w:r w:rsidRPr="004979B7">
              <w:rPr>
                <w:color w:val="000000"/>
              </w:rPr>
              <w:t>Send a repatriation statement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F565E3D"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F6A457F" w14:textId="77777777">
            <w:pPr>
              <w:jc w:val="right"/>
            </w:pPr>
            <w:r w:rsidRPr="004979B7">
              <w:t>251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AF8CBDC" w14:textId="77777777">
            <w:pPr>
              <w:jc w:val="right"/>
            </w:pPr>
            <w:r w:rsidRPr="004979B7">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5B1B600" w14:textId="77777777">
            <w:pPr>
              <w:jc w:val="right"/>
            </w:pPr>
            <w:r w:rsidRPr="004979B7">
              <w:t>690.25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D9FFA3C"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D4FC0A3" w14:textId="77777777">
            <w:pPr>
              <w:jc w:val="right"/>
            </w:pPr>
            <w:r w:rsidRPr="004979B7">
              <w:t>$44,355.00</w:t>
            </w:r>
          </w:p>
        </w:tc>
      </w:tr>
      <w:tr w14:paraId="71726009"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7B1D11C" w14:textId="374DCC7C">
            <w:pPr>
              <w:rPr>
                <w:color w:val="000000"/>
              </w:rPr>
            </w:pPr>
            <w:r w:rsidRPr="004979B7">
              <w:rPr>
                <w:color w:val="000000"/>
              </w:rPr>
              <w:t>Send a repatriation statement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BAFC5C2"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1429239" w14:textId="77777777">
            <w:pPr>
              <w:jc w:val="right"/>
            </w:pPr>
            <w:r w:rsidRPr="004979B7">
              <w:t>74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1F05A04" w14:textId="77777777">
            <w:pPr>
              <w:jc w:val="right"/>
            </w:pPr>
            <w:r w:rsidRPr="004979B7">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CBA25F7" w14:textId="77777777">
            <w:pPr>
              <w:jc w:val="right"/>
            </w:pPr>
            <w:r w:rsidRPr="004979B7">
              <w:t>203.50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C4F5EC0"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BF2ECC7" w14:textId="77777777">
            <w:pPr>
              <w:jc w:val="right"/>
            </w:pPr>
            <w:r w:rsidRPr="004979B7">
              <w:t>$13,077.00</w:t>
            </w:r>
          </w:p>
        </w:tc>
      </w:tr>
      <w:tr w14:paraId="52F1D027"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BDB3FFD" w14:textId="102685FF">
            <w:pPr>
              <w:rPr>
                <w:color w:val="000000"/>
              </w:rPr>
            </w:pPr>
            <w:r w:rsidRPr="004979B7">
              <w:rPr>
                <w:color w:val="000000"/>
              </w:rPr>
              <w:t>Document physical transfer</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532BD87"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69DBE1B" w14:textId="77777777">
            <w:pPr>
              <w:jc w:val="right"/>
            </w:pPr>
            <w:r w:rsidRPr="004979B7">
              <w:t>251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C92F863"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D4FBB11" w14:textId="77777777">
            <w:pPr>
              <w:jc w:val="right"/>
            </w:pPr>
            <w:r w:rsidRPr="004979B7">
              <w:t>1317.75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6C8517F"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DEB3234" w14:textId="77777777">
            <w:pPr>
              <w:jc w:val="right"/>
            </w:pPr>
            <w:r w:rsidRPr="004979B7">
              <w:t>$84,679.00</w:t>
            </w:r>
          </w:p>
        </w:tc>
      </w:tr>
      <w:tr w14:paraId="71739E30"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1CB4B27" w14:textId="09CC415F">
            <w:pPr>
              <w:rPr>
                <w:color w:val="000000"/>
              </w:rPr>
            </w:pPr>
            <w:r w:rsidRPr="004979B7">
              <w:rPr>
                <w:color w:val="000000"/>
              </w:rPr>
              <w:t>Document physical transfer</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F0EC8A0"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533511B" w14:textId="77777777">
            <w:pPr>
              <w:jc w:val="right"/>
            </w:pPr>
            <w:r w:rsidRPr="004979B7">
              <w:t>74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CBB4E60"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8BAA35A" w14:textId="77777777">
            <w:pPr>
              <w:jc w:val="right"/>
            </w:pPr>
            <w:r w:rsidRPr="004979B7">
              <w:t>388.50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B196B71"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93BAD49" w14:textId="77777777">
            <w:pPr>
              <w:jc w:val="right"/>
            </w:pPr>
            <w:r w:rsidRPr="004979B7">
              <w:t>$24,965.00</w:t>
            </w:r>
          </w:p>
        </w:tc>
      </w:tr>
      <w:tr w14:paraId="7B07344B"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B887B04" w14:textId="7A818C21">
            <w:pPr>
              <w:rPr>
                <w:color w:val="000000"/>
              </w:rPr>
            </w:pPr>
            <w:r w:rsidRPr="004979B7">
              <w:rPr>
                <w:color w:val="000000"/>
              </w:rPr>
              <w:t>Evaluate competing requests and resolve stays of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DE431BA"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6548E59" w14:textId="77777777">
            <w:pPr>
              <w:jc w:val="right"/>
            </w:pPr>
            <w:r w:rsidRPr="004979B7">
              <w:t>12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4E5EE1C" w14:textId="77777777">
            <w:pPr>
              <w:jc w:val="right"/>
            </w:pPr>
            <w:r w:rsidRPr="004979B7">
              <w:t>25.25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23EC72BA" w14:textId="77777777">
            <w:pPr>
              <w:jc w:val="right"/>
            </w:pPr>
            <w:r w:rsidRPr="004979B7">
              <w:t>303.00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0FA1925"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5A37688" w14:textId="77777777">
            <w:pPr>
              <w:jc w:val="right"/>
            </w:pPr>
            <w:r w:rsidRPr="004979B7">
              <w:t>$19,471.00</w:t>
            </w:r>
          </w:p>
        </w:tc>
      </w:tr>
      <w:tr w14:paraId="08CA9A38"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E6E08DF" w14:textId="022664A0">
            <w:pPr>
              <w:rPr>
                <w:color w:val="000000"/>
              </w:rPr>
            </w:pPr>
            <w:r w:rsidRPr="004979B7">
              <w:rPr>
                <w:color w:val="000000"/>
              </w:rPr>
              <w:t>Evaluate competing requests and resolve stays of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E5734F2"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296EAE7" w14:textId="77777777">
            <w:pPr>
              <w:jc w:val="right"/>
            </w:pPr>
            <w:r w:rsidRPr="004979B7">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2BE623A" w14:textId="77777777">
            <w:pPr>
              <w:jc w:val="right"/>
            </w:pPr>
            <w:r w:rsidRPr="004979B7">
              <w:t>25.25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CCB41C2" w14:textId="77777777">
            <w:pPr>
              <w:jc w:val="right"/>
            </w:pPr>
            <w:r w:rsidRPr="004979B7">
              <w:t>50.50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CA67E86"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A50CCB8" w14:textId="77777777">
            <w:pPr>
              <w:jc w:val="right"/>
            </w:pPr>
            <w:r w:rsidRPr="004979B7">
              <w:t>$3,245.00</w:t>
            </w:r>
          </w:p>
        </w:tc>
      </w:tr>
      <w:tr w14:paraId="252FF378"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F8B150F" w14:textId="6B6102CC">
            <w:pPr>
              <w:rPr>
                <w:color w:val="000000"/>
              </w:rPr>
            </w:pPr>
            <w:r w:rsidRPr="004979B7">
              <w:rPr>
                <w:color w:val="000000"/>
              </w:rPr>
              <w:t>Request transfer of human remains or cultural items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5B3BB8F" w14:textId="77777777">
            <w:pPr>
              <w:rPr>
                <w:color w:val="000000"/>
              </w:rPr>
            </w:pPr>
            <w:r w:rsidRPr="004979B7">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B2F585C" w14:textId="77777777">
            <w:pPr>
              <w:jc w:val="right"/>
            </w:pPr>
            <w:r w:rsidRPr="004979B7">
              <w:t>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25D7B31" w14:textId="77777777">
            <w:pPr>
              <w:jc w:val="right"/>
            </w:pPr>
            <w:r w:rsidRPr="004979B7">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74BE25D" w14:textId="77777777">
            <w:pPr>
              <w:jc w:val="right"/>
            </w:pPr>
            <w:r w:rsidRPr="004979B7">
              <w:t>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537E247"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BF08521" w14:textId="77777777">
            <w:pPr>
              <w:jc w:val="right"/>
            </w:pPr>
            <w:r w:rsidRPr="004979B7">
              <w:t>$482.00</w:t>
            </w:r>
          </w:p>
        </w:tc>
      </w:tr>
      <w:tr w14:paraId="6F93F900"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B9C0A13" w14:textId="22B2C4BC">
            <w:pPr>
              <w:rPr>
                <w:color w:val="000000"/>
              </w:rPr>
            </w:pPr>
            <w:r w:rsidRPr="004979B7">
              <w:rPr>
                <w:color w:val="000000"/>
              </w:rPr>
              <w:t>Transfer or reinter human remains and associated funerary objects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C3B5FAE"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CD27BD0" w14:textId="77777777">
            <w:pPr>
              <w:jc w:val="right"/>
            </w:pPr>
            <w:r w:rsidRPr="004979B7">
              <w:t>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1E4C016"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FAA10EA" w14:textId="77777777">
            <w:pPr>
              <w:jc w:val="right"/>
            </w:pPr>
            <w:r w:rsidRPr="004979B7">
              <w:t>31.50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A57C3D6"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400D90F" w14:textId="77777777">
            <w:pPr>
              <w:jc w:val="right"/>
            </w:pPr>
            <w:r w:rsidRPr="004979B7">
              <w:t>$2,024.00</w:t>
            </w:r>
          </w:p>
        </w:tc>
      </w:tr>
      <w:tr w14:paraId="4FD539AC"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1AC46C10" w14:textId="7D6E563E">
            <w:pPr>
              <w:rPr>
                <w:color w:val="000000"/>
              </w:rPr>
            </w:pPr>
            <w:r w:rsidRPr="004979B7">
              <w:rPr>
                <w:color w:val="000000"/>
              </w:rPr>
              <w:t>Transfer or reinter human remains and associated funerary objects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7C726D69" w14:textId="77777777">
            <w:pPr>
              <w:rPr>
                <w:color w:val="000000"/>
              </w:rPr>
            </w:pPr>
            <w:r w:rsidRPr="004979B7">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CDC5FE9" w14:textId="77777777">
            <w:pPr>
              <w:jc w:val="right"/>
            </w:pPr>
            <w:r w:rsidRPr="004979B7">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D5856C5" w14:textId="77777777">
            <w:pPr>
              <w:jc w:val="right"/>
            </w:pPr>
            <w:r w:rsidRPr="004979B7">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1059757" w14:textId="77777777">
            <w:pPr>
              <w:jc w:val="right"/>
            </w:pPr>
            <w:r w:rsidRPr="004979B7">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E8B9AEE"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CC36A63" w14:textId="77777777">
            <w:pPr>
              <w:jc w:val="right"/>
            </w:pPr>
            <w:r w:rsidRPr="004979B7">
              <w:t>$0.00</w:t>
            </w:r>
          </w:p>
        </w:tc>
      </w:tr>
      <w:tr w14:paraId="45DD27C0"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42124FEE" w14:textId="64AC687B">
            <w:pPr>
              <w:rPr>
                <w:color w:val="000000"/>
              </w:rPr>
            </w:pPr>
            <w:r w:rsidRPr="004979B7">
              <w:rPr>
                <w:color w:val="000000"/>
              </w:rPr>
              <w:t>File an allegation of failure to comply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3912C23" w14:textId="77777777">
            <w:pPr>
              <w:rPr>
                <w:color w:val="000000"/>
              </w:rPr>
            </w:pPr>
            <w:r w:rsidRPr="004979B7">
              <w:rPr>
                <w:color w:val="000000"/>
              </w:rPr>
              <w:t>Any person</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35709EB" w14:textId="77777777">
            <w:pPr>
              <w:jc w:val="right"/>
            </w:pPr>
            <w:r w:rsidRPr="004979B7">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D242F9F" w14:textId="77777777">
            <w:pPr>
              <w:jc w:val="right"/>
            </w:pPr>
            <w:r w:rsidRPr="004979B7">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043C9E5" w14:textId="77777777">
            <w:pPr>
              <w:jc w:val="right"/>
            </w:pPr>
            <w:r w:rsidRPr="004979B7">
              <w:t>2.50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33A51595" w14:textId="77777777">
            <w:pPr>
              <w:jc w:val="right"/>
            </w:pPr>
            <w:r w:rsidRPr="004979B7">
              <w:t>$40.90</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F39C23B" w14:textId="77777777">
            <w:pPr>
              <w:jc w:val="right"/>
            </w:pPr>
            <w:r w:rsidRPr="004979B7">
              <w:t>$102.00</w:t>
            </w:r>
          </w:p>
        </w:tc>
      </w:tr>
      <w:tr w14:paraId="06EDDAF4"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04AD42E" w14:textId="65E3B2DF">
            <w:pPr>
              <w:rPr>
                <w:color w:val="000000"/>
              </w:rPr>
            </w:pPr>
            <w:r w:rsidRPr="004979B7">
              <w:rPr>
                <w:color w:val="000000"/>
              </w:rPr>
              <w:t>Respond to a civil penalty action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1BAC3F9" w14:textId="77777777">
            <w:pPr>
              <w:rPr>
                <w:color w:val="000000"/>
              </w:rPr>
            </w:pPr>
            <w:r w:rsidRPr="004979B7">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4FD0A70" w14:textId="77777777">
            <w:pPr>
              <w:jc w:val="right"/>
            </w:pPr>
            <w:r w:rsidRPr="004979B7">
              <w:t>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0A864282" w14:textId="77777777">
            <w:pPr>
              <w:jc w:val="right"/>
            </w:pPr>
            <w:r w:rsidRPr="004979B7">
              <w:t>17.50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BB22435" w14:textId="77777777">
            <w:pPr>
              <w:jc w:val="right"/>
            </w:pPr>
            <w:r w:rsidRPr="004979B7">
              <w:t>70.00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5C23DAD2" w14:textId="77777777">
            <w:pPr>
              <w:jc w:val="right"/>
            </w:pPr>
            <w:r w:rsidRPr="004979B7">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4979B7" w:rsidP="004979B7" w14:paraId="668E94C3" w14:textId="77777777">
            <w:pPr>
              <w:jc w:val="right"/>
            </w:pPr>
            <w:r w:rsidRPr="004979B7">
              <w:t>$4,498.00</w:t>
            </w:r>
          </w:p>
        </w:tc>
      </w:tr>
      <w:tr w14:paraId="0BE8F34C" w14:textId="77777777" w:rsidTr="00AD0BFE">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C067C5" w:rsidP="004979B7" w14:paraId="6DF57B82" w14:textId="3437575F">
            <w:pPr>
              <w:jc w:val="right"/>
              <w:rPr>
                <w:b/>
                <w:bCs/>
                <w:color w:val="000000"/>
              </w:rPr>
            </w:pPr>
            <w:r>
              <w:rPr>
                <w:b/>
                <w:bCs/>
                <w:color w:val="000000"/>
              </w:rPr>
              <w:t>Total</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C067C5" w:rsidP="00C067C5" w14:paraId="7D902541" w14:textId="77777777">
            <w:pPr>
              <w:jc w:val="center"/>
              <w:rPr>
                <w:b/>
                <w:bCs/>
                <w:color w:val="000000"/>
              </w:rPr>
            </w:pP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C067C5" w:rsidP="004979B7" w14:paraId="1DF238B5" w14:textId="559863C9">
            <w:pPr>
              <w:jc w:val="right"/>
              <w:rPr>
                <w:b/>
                <w:bCs/>
              </w:rPr>
            </w:pPr>
            <w:r w:rsidRPr="00C067C5">
              <w:rPr>
                <w:b/>
                <w:bCs/>
              </w:rPr>
              <w:t>2,962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C067C5" w:rsidP="004979B7" w14:paraId="70764899" w14:textId="77777777">
            <w:pPr>
              <w:jc w:val="right"/>
              <w:rPr>
                <w:b/>
                <w:bCs/>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C067C5" w:rsidP="004979B7" w14:paraId="04CC156A" w14:textId="77777777">
            <w:pPr>
              <w:jc w:val="right"/>
              <w:rPr>
                <w:b/>
                <w:bCs/>
              </w:rPr>
            </w:pPr>
            <w:r w:rsidRPr="00C067C5">
              <w:rPr>
                <w:b/>
                <w:bCs/>
              </w:rPr>
              <w:t>46,262.25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C067C5" w:rsidP="004979B7" w14:paraId="245E327D" w14:textId="77777777">
            <w:pPr>
              <w:jc w:val="right"/>
              <w:rPr>
                <w:b/>
                <w:bCs/>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7C5" w:rsidRPr="00C067C5" w:rsidP="004979B7" w14:paraId="4CC3BAFA" w14:textId="5238F8A0">
            <w:pPr>
              <w:jc w:val="right"/>
              <w:rPr>
                <w:b/>
                <w:bCs/>
              </w:rPr>
            </w:pPr>
            <w:r>
              <w:rPr>
                <w:b/>
                <w:bCs/>
              </w:rPr>
              <w:t>$</w:t>
            </w:r>
            <w:r w:rsidRPr="00C067C5">
              <w:rPr>
                <w:b/>
                <w:bCs/>
              </w:rPr>
              <w:t>2,971,955.00</w:t>
            </w:r>
          </w:p>
        </w:tc>
      </w:tr>
    </w:tbl>
    <w:p w:rsidR="00AA3403" w:rsidP="00AA3403" w14:paraId="592AC6CC" w14:textId="77777777">
      <w:pPr>
        <w:rPr>
          <w:b/>
          <w:bCs/>
        </w:rPr>
      </w:pPr>
    </w:p>
    <w:p w:rsidR="00FA149C" w:rsidP="00AA3403" w14:paraId="3B4FC7ED" w14:textId="77777777">
      <w:pPr>
        <w:rPr>
          <w:b/>
          <w:bCs/>
        </w:rPr>
      </w:pPr>
    </w:p>
    <w:p w:rsidR="00AA3403" w:rsidRPr="00157826" w:rsidP="00AA3403" w14:paraId="591975BF" w14:textId="77777777">
      <w:pPr>
        <w:rPr>
          <w:b/>
          <w:bCs/>
        </w:rPr>
      </w:pPr>
      <w:r w:rsidRPr="00157826">
        <w:rPr>
          <w:b/>
          <w:bCs/>
        </w:rPr>
        <w:t>No change from baseline conditions for:</w:t>
      </w:r>
    </w:p>
    <w:p w:rsidR="00AA3403" w:rsidRPr="00A10B4A" w:rsidP="00AA3403" w14:paraId="40C700F8" w14:textId="77777777">
      <w:pPr>
        <w:rPr>
          <w:i/>
        </w:rPr>
      </w:pPr>
      <w:r w:rsidRPr="00A10B4A">
        <w:rPr>
          <w:i/>
        </w:rPr>
        <w:t>Submit a new summary</w:t>
      </w:r>
      <w:r>
        <w:rPr>
          <w:i/>
        </w:rPr>
        <w:t>.</w:t>
      </w:r>
    </w:p>
    <w:p w:rsidR="00AA3403" w:rsidRPr="00A10B4A" w:rsidP="00AA3403" w14:paraId="2D7D091B" w14:textId="77777777">
      <w:pPr>
        <w:rPr>
          <w:i/>
        </w:rPr>
      </w:pPr>
      <w:r w:rsidRPr="00A10B4A">
        <w:rPr>
          <w:i/>
        </w:rPr>
        <w:t>Submit a new inventory</w:t>
      </w:r>
      <w:r>
        <w:rPr>
          <w:i/>
        </w:rPr>
        <w:t>.</w:t>
      </w:r>
    </w:p>
    <w:p w:rsidR="00AA3403" w:rsidRPr="00A10B4A" w:rsidP="00AA3403" w14:paraId="30D31093" w14:textId="77777777">
      <w:pPr>
        <w:rPr>
          <w:i/>
        </w:rPr>
      </w:pPr>
      <w:r w:rsidRPr="00A10B4A">
        <w:rPr>
          <w:i/>
        </w:rPr>
        <w:t>Update summary data</w:t>
      </w:r>
      <w:r>
        <w:rPr>
          <w:i/>
        </w:rPr>
        <w:t>.</w:t>
      </w:r>
    </w:p>
    <w:p w:rsidR="00AA3403" w:rsidRPr="00A10B4A" w:rsidP="00AA3403" w14:paraId="2C2FA0FC" w14:textId="77777777">
      <w:pPr>
        <w:rPr>
          <w:i/>
        </w:rPr>
      </w:pPr>
      <w:r w:rsidRPr="00A10B4A">
        <w:rPr>
          <w:i/>
        </w:rPr>
        <w:t>Submit notices of intent to repatriate</w:t>
      </w:r>
      <w:r>
        <w:rPr>
          <w:i/>
        </w:rPr>
        <w:t>.</w:t>
      </w:r>
    </w:p>
    <w:p w:rsidR="00AA3403" w:rsidRPr="00A10B4A" w:rsidP="00AA3403" w14:paraId="3A3FA542" w14:textId="77777777">
      <w:pPr>
        <w:rPr>
          <w:i/>
        </w:rPr>
      </w:pPr>
      <w:r w:rsidRPr="00A10B4A">
        <w:rPr>
          <w:i/>
        </w:rPr>
        <w:t>Evaluate competing requests and resolve stays of repatriation</w:t>
      </w:r>
      <w:r>
        <w:rPr>
          <w:i/>
        </w:rPr>
        <w:t>.</w:t>
      </w:r>
    </w:p>
    <w:p w:rsidR="00AA3403" w:rsidRPr="00A10B4A" w:rsidP="00AA3403" w14:paraId="36B3BA48" w14:textId="77777777">
      <w:pPr>
        <w:rPr>
          <w:i/>
        </w:rPr>
      </w:pPr>
      <w:r w:rsidRPr="00A10B4A">
        <w:rPr>
          <w:i/>
        </w:rPr>
        <w:t>File an allegation of failure to comply</w:t>
      </w:r>
      <w:r>
        <w:rPr>
          <w:i/>
        </w:rPr>
        <w:t>.</w:t>
      </w:r>
    </w:p>
    <w:p w:rsidR="00AA3403" w:rsidP="00AA3403" w14:paraId="27FE25D0" w14:textId="77777777">
      <w:pPr>
        <w:rPr>
          <w:i/>
        </w:rPr>
      </w:pPr>
      <w:r w:rsidRPr="00A10B4A">
        <w:rPr>
          <w:i/>
        </w:rPr>
        <w:t>Respond to a civil penalty action</w:t>
      </w:r>
      <w:r>
        <w:rPr>
          <w:i/>
        </w:rPr>
        <w:t>.</w:t>
      </w:r>
    </w:p>
    <w:p w:rsidR="00AA3403" w:rsidP="00AA3403" w14:paraId="5BFD653E" w14:textId="77777777">
      <w:pPr>
        <w:rPr>
          <w:i/>
        </w:rPr>
      </w:pPr>
    </w:p>
    <w:p w:rsidR="00FA149C" w:rsidP="00AA3403" w14:paraId="19C894BE" w14:textId="77777777">
      <w:pPr>
        <w:rPr>
          <w:i/>
        </w:rPr>
      </w:pPr>
    </w:p>
    <w:p w:rsidR="00AA3403" w:rsidRPr="00157826" w:rsidP="00132CC5" w14:paraId="2321DCB5" w14:textId="77777777">
      <w:pPr>
        <w:rPr>
          <w:b/>
          <w:bCs/>
        </w:rPr>
      </w:pPr>
      <w:r w:rsidRPr="00157826">
        <w:rPr>
          <w:b/>
          <w:bCs/>
        </w:rPr>
        <w:t xml:space="preserve">Revision to baseline conditions under proposed </w:t>
      </w:r>
      <w:r>
        <w:rPr>
          <w:b/>
          <w:bCs/>
        </w:rPr>
        <w:t>action</w:t>
      </w:r>
      <w:r w:rsidRPr="00157826">
        <w:rPr>
          <w:b/>
          <w:bCs/>
        </w:rPr>
        <w:t>:</w:t>
      </w:r>
    </w:p>
    <w:p w:rsidR="00AA3403" w:rsidP="00132CC5" w14:paraId="651CD5C8" w14:textId="7C70213A">
      <w:pPr>
        <w:rPr>
          <w:iCs/>
        </w:rPr>
      </w:pPr>
      <w:r>
        <w:rPr>
          <w:i/>
          <w:iCs/>
        </w:rPr>
        <w:t>Respond to statements describing collections (replaces Identify Federal collections in museums</w:t>
      </w:r>
      <w:r w:rsidRPr="00896B36">
        <w:rPr>
          <w:i/>
          <w:iCs/>
        </w:rPr>
        <w:t>.</w:t>
      </w:r>
      <w:r>
        <w:rPr>
          <w:i/>
          <w:iCs/>
        </w:rPr>
        <w:t>).</w:t>
      </w:r>
      <w:r w:rsidRPr="00896B36">
        <w:rPr>
          <w:i/>
          <w:iCs/>
        </w:rPr>
        <w:t xml:space="preserve"> </w:t>
      </w:r>
      <w:r>
        <w:t>We estimate t</w:t>
      </w:r>
      <w:r w:rsidRPr="00896B36">
        <w:t xml:space="preserve">he number of </w:t>
      </w:r>
      <w:r>
        <w:t>Federal agencies</w:t>
      </w:r>
      <w:r w:rsidRPr="00896B36">
        <w:t xml:space="preserve"> (n=</w:t>
      </w:r>
      <w:r>
        <w:t>70</w:t>
      </w:r>
      <w:r w:rsidRPr="00896B36">
        <w:t>)</w:t>
      </w:r>
      <w:r>
        <w:t xml:space="preserve"> </w:t>
      </w:r>
      <w:r>
        <w:rPr>
          <w:iCs/>
        </w:rPr>
        <w:t xml:space="preserve">is </w:t>
      </w:r>
      <w:r w:rsidRPr="00625EEA">
        <w:rPr>
          <w:iCs/>
        </w:rPr>
        <w:t>5% of all museums (n=1,388) that</w:t>
      </w:r>
      <w:r>
        <w:rPr>
          <w:iCs/>
        </w:rPr>
        <w:t xml:space="preserve"> previously</w:t>
      </w:r>
      <w:r w:rsidRPr="00625EEA">
        <w:rPr>
          <w:iCs/>
        </w:rPr>
        <w:t xml:space="preserve"> submitted information under the</w:t>
      </w:r>
      <w:r>
        <w:rPr>
          <w:iCs/>
        </w:rPr>
        <w:t xml:space="preserve"> existing </w:t>
      </w:r>
      <w:r w:rsidRPr="00625EEA">
        <w:rPr>
          <w:iCs/>
        </w:rPr>
        <w:t>regulations</w:t>
      </w:r>
      <w:r>
        <w:rPr>
          <w:iCs/>
        </w:rPr>
        <w:t>.</w:t>
      </w:r>
      <w:r w:rsidRPr="0025148B">
        <w:t xml:space="preserve"> </w:t>
      </w:r>
      <w:r>
        <w:t>We</w:t>
      </w:r>
      <w:r>
        <w:rPr>
          <w:iCs/>
        </w:rPr>
        <w:t xml:space="preserve"> estimate </w:t>
      </w:r>
      <w:r w:rsidRPr="008E5170">
        <w:rPr>
          <w:iCs/>
        </w:rPr>
        <w:t xml:space="preserve">the time per response will range from </w:t>
      </w:r>
      <w:r w:rsidR="002470FA">
        <w:rPr>
          <w:iCs/>
        </w:rPr>
        <w:t xml:space="preserve">less than one hour, or 0.50 hours, </w:t>
      </w:r>
      <w:r w:rsidRPr="008E5170">
        <w:rPr>
          <w:iCs/>
        </w:rPr>
        <w:t>to 10 hours, depending on the size and complexity of a collection, for a median of 5.25 hours</w:t>
      </w:r>
      <w:r>
        <w:rPr>
          <w:iCs/>
        </w:rPr>
        <w:t xml:space="preserve">. </w:t>
      </w:r>
      <w:r w:rsidRPr="003443A6">
        <w:rPr>
          <w:iCs/>
        </w:rPr>
        <w:t>There is currently no requirement for a museum to report on a holding or a collection under NAGPRA. Other authorities allow Federal agencies to request information, but the process of requesting information from museums has proven difficult, time consuming, and inefficient for many Federal agencies.</w:t>
      </w:r>
    </w:p>
    <w:p w:rsidR="00CF3D1F" w:rsidRPr="00C555C9" w:rsidP="00132CC5" w14:paraId="08660571" w14:textId="77777777">
      <w:pPr>
        <w:rPr>
          <w:iCs/>
        </w:rPr>
      </w:pPr>
    </w:p>
    <w:p w:rsidR="00CF3D1F" w:rsidP="00CF3D1F" w14:paraId="51F2A091" w14:textId="168F8283">
      <w:r>
        <w:rPr>
          <w:i/>
        </w:rPr>
        <w:t>Initiate consultation and r</w:t>
      </w:r>
      <w:r w:rsidRPr="00814BCD">
        <w:rPr>
          <w:i/>
        </w:rPr>
        <w:t xml:space="preserve">equest </w:t>
      </w:r>
      <w:r>
        <w:rPr>
          <w:i/>
        </w:rPr>
        <w:t>i</w:t>
      </w:r>
      <w:r w:rsidRPr="00814BCD">
        <w:rPr>
          <w:i/>
        </w:rPr>
        <w:t>nformation</w:t>
      </w:r>
      <w:r>
        <w:t xml:space="preserve">. </w:t>
      </w:r>
      <w:r w:rsidRPr="00853EAB">
        <w:t xml:space="preserve">The number of museums </w:t>
      </w:r>
      <w:r>
        <w:t>and Federal agencies initiating consultation</w:t>
      </w:r>
      <w:r w:rsidRPr="00853EAB">
        <w:t xml:space="preserve"> and requesting information is </w:t>
      </w:r>
      <w:r>
        <w:t>expected to increase compared to baseline conditions. We estimate t</w:t>
      </w:r>
      <w:r w:rsidRPr="00853EAB">
        <w:t>he number of museums</w:t>
      </w:r>
      <w:r>
        <w:t xml:space="preserve"> (n=137) and Federal agencies (n=43)</w:t>
      </w:r>
      <w:r w:rsidRPr="00853EAB">
        <w:t xml:space="preserve"> </w:t>
      </w:r>
      <w:r>
        <w:t>initiating consultation</w:t>
      </w:r>
      <w:r w:rsidRPr="00853EAB">
        <w:t xml:space="preserve"> and requesting information based on </w:t>
      </w:r>
      <w:r w:rsidRPr="0084429C">
        <w:t>the</w:t>
      </w:r>
      <w:r>
        <w:t xml:space="preserve"> proposed regulatory action</w:t>
      </w:r>
      <w:r w:rsidRPr="0084429C">
        <w:t xml:space="preserve">. </w:t>
      </w:r>
      <w:r>
        <w:t xml:space="preserve">The proposed regulatory action will require 414 museums to update inventory data within three years after promulgating of a final rule. Prior to updating inventory data, museums will be required to initiate consultation and request information from Indian Tribes and NHOs when consulting with requesting parties. </w:t>
      </w:r>
      <w:r w:rsidRPr="00853EAB">
        <w:t xml:space="preserve">We assume museums </w:t>
      </w:r>
      <w:r>
        <w:t xml:space="preserve">and Federal agencies </w:t>
      </w:r>
      <w:r w:rsidRPr="00853EAB">
        <w:t xml:space="preserve">previously prepared and submitted inventories in accordance with the </w:t>
      </w:r>
      <w:r>
        <w:t xml:space="preserve">existing </w:t>
      </w:r>
      <w:r w:rsidRPr="00853EAB">
        <w:t xml:space="preserve">regulations and will only be required to share previously prepared and updated information to meet this requirement. We estimate the time per response </w:t>
      </w:r>
      <w:r>
        <w:t>will range</w:t>
      </w:r>
      <w:r w:rsidRPr="00853EAB">
        <w:t xml:space="preserve"> from </w:t>
      </w:r>
      <w:r>
        <w:t xml:space="preserve">less than one hour, or 0.50 hours, </w:t>
      </w:r>
      <w:r w:rsidRPr="00853EAB">
        <w:t>to 5 hours, depending on the size and complexity of the holding or collection, for a median of 2.75 hours.</w:t>
      </w:r>
    </w:p>
    <w:p w:rsidR="00CF3D1F" w:rsidRPr="004B5D46" w:rsidP="00CF3D1F" w14:paraId="6406C632" w14:textId="77777777">
      <w:pPr>
        <w:pStyle w:val="ListParagraph"/>
        <w:ind w:left="0"/>
      </w:pPr>
    </w:p>
    <w:p w:rsidR="00CF3D1F" w:rsidP="00CF3D1F" w14:paraId="3DC35AB6" w14:textId="29526292">
      <w:r>
        <w:rPr>
          <w:bCs/>
          <w:i/>
        </w:rPr>
        <w:t>Submit a request to consult</w:t>
      </w:r>
      <w:r>
        <w:rPr>
          <w:rStyle w:val="CommentReference"/>
        </w:rPr>
        <w:t xml:space="preserve">. </w:t>
      </w:r>
      <w:r>
        <w:t>We estimate the number of lineal descendants (n=4) and Indian Tribes or NHOs (n=219) requesting to consult based on the total number of new or updated</w:t>
      </w:r>
      <w:r w:rsidRPr="00FC0642">
        <w:t xml:space="preserve"> inventor</w:t>
      </w:r>
      <w:r>
        <w:t>ies</w:t>
      </w:r>
      <w:r w:rsidRPr="00FC0642">
        <w:t xml:space="preserve"> (which</w:t>
      </w:r>
      <w:r>
        <w:t xml:space="preserve"> require consultation</w:t>
      </w:r>
      <w:r w:rsidRPr="00FC0642">
        <w:t xml:space="preserve">) and </w:t>
      </w:r>
      <w:r>
        <w:t>the total number of</w:t>
      </w:r>
      <w:r w:rsidRPr="00FC0642">
        <w:t xml:space="preserve"> notices of intent to repatriate (which </w:t>
      </w:r>
      <w:r>
        <w:t>require consultation</w:t>
      </w:r>
      <w:r w:rsidRPr="00FC0642">
        <w:t>)</w:t>
      </w:r>
      <w:r>
        <w:t xml:space="preserve">. </w:t>
      </w:r>
      <w:r w:rsidRPr="00CE6CC6">
        <w:t xml:space="preserve">We estimate the time per response </w:t>
      </w:r>
      <w:r>
        <w:t>will range</w:t>
      </w:r>
      <w:r w:rsidRPr="00CE6CC6">
        <w:t xml:space="preserve"> from </w:t>
      </w:r>
      <w:r>
        <w:t xml:space="preserve">less than one hour, or 0.50 hours, </w:t>
      </w:r>
      <w:r w:rsidRPr="00CE6CC6">
        <w:t xml:space="preserve">to </w:t>
      </w:r>
      <w:r>
        <w:t>2</w:t>
      </w:r>
      <w:r w:rsidRPr="00CE6CC6">
        <w:t xml:space="preserve"> hours, depending on the size and complexity of the </w:t>
      </w:r>
      <w:r>
        <w:t>request</w:t>
      </w:r>
      <w:r w:rsidRPr="00CE6CC6">
        <w:t xml:space="preserve">, for a median of </w:t>
      </w:r>
      <w:r>
        <w:t>1</w:t>
      </w:r>
      <w:r w:rsidRPr="00CE6CC6">
        <w:t>.25 hours.</w:t>
      </w:r>
    </w:p>
    <w:p w:rsidR="00AA3403" w:rsidP="00132CC5" w14:paraId="1E42452E" w14:textId="77777777">
      <w:pPr>
        <w:rPr>
          <w:i/>
          <w:iCs/>
        </w:rPr>
      </w:pPr>
    </w:p>
    <w:p w:rsidR="00AA3403" w:rsidP="00132CC5" w14:paraId="6F64C249" w14:textId="6D319915">
      <w:r>
        <w:rPr>
          <w:i/>
          <w:iCs/>
        </w:rPr>
        <w:t>C</w:t>
      </w:r>
      <w:r>
        <w:rPr>
          <w:i/>
          <w:iCs/>
        </w:rPr>
        <w:t>onduct consultation.</w:t>
      </w:r>
      <w:r>
        <w:t xml:space="preserve"> We estimate that the number of museums (n=174) and Federal agencies (n=49) initiating and conducting consultation based on</w:t>
      </w:r>
      <w:r w:rsidRPr="005E3D44">
        <w:t xml:space="preserve"> </w:t>
      </w:r>
      <w:r>
        <w:t>the number of new or updated</w:t>
      </w:r>
      <w:r w:rsidRPr="00FC0642">
        <w:t xml:space="preserve"> inventor</w:t>
      </w:r>
      <w:r>
        <w:t>ies</w:t>
      </w:r>
      <w:r w:rsidRPr="00FC0642">
        <w:t xml:space="preserve"> (which</w:t>
      </w:r>
      <w:r>
        <w:t xml:space="preserve"> require consultation</w:t>
      </w:r>
      <w:r w:rsidRPr="00FC0642">
        <w:t xml:space="preserve">) and </w:t>
      </w:r>
      <w:r>
        <w:t>the number of</w:t>
      </w:r>
      <w:r w:rsidRPr="00FC0642">
        <w:t xml:space="preserve"> notices of intent to repatriate (which </w:t>
      </w:r>
      <w:r>
        <w:t>require consultation</w:t>
      </w:r>
      <w:r w:rsidRPr="00FC0642">
        <w:t>)</w:t>
      </w:r>
      <w:r>
        <w:t xml:space="preserve">. </w:t>
      </w:r>
      <w:r w:rsidRPr="00CE6CC6">
        <w:t xml:space="preserve">We estimate the time per response </w:t>
      </w:r>
      <w:r>
        <w:t>will range</w:t>
      </w:r>
      <w:r w:rsidRPr="00CE6CC6">
        <w:t xml:space="preserve"> from</w:t>
      </w:r>
      <w:r>
        <w:t xml:space="preserve"> </w:t>
      </w:r>
      <w:r w:rsidR="002470FA">
        <w:t xml:space="preserve">less than one hour, or 0.50 hours, </w:t>
      </w:r>
      <w:r w:rsidRPr="00CE6CC6">
        <w:t xml:space="preserve">to </w:t>
      </w:r>
      <w:r>
        <w:t>20</w:t>
      </w:r>
      <w:r w:rsidRPr="00CE6CC6">
        <w:t>0 hours, depending on the size and complexity of the</w:t>
      </w:r>
      <w:r>
        <w:t xml:space="preserve"> consultation</w:t>
      </w:r>
      <w:r w:rsidRPr="00CE6CC6">
        <w:t xml:space="preserve">, for a median of </w:t>
      </w:r>
      <w:r>
        <w:t>100</w:t>
      </w:r>
      <w:r w:rsidRPr="00CE6CC6">
        <w:t>.</w:t>
      </w:r>
      <w:r>
        <w:t>25</w:t>
      </w:r>
      <w:r w:rsidRPr="00CE6CC6">
        <w:t xml:space="preserve"> hours.</w:t>
      </w:r>
    </w:p>
    <w:p w:rsidR="00AA3403" w:rsidP="00132CC5" w14:paraId="077E5CCA" w14:textId="77777777">
      <w:pPr>
        <w:rPr>
          <w:i/>
        </w:rPr>
      </w:pPr>
    </w:p>
    <w:p w:rsidR="00AA3403" w:rsidP="00132CC5" w14:paraId="15BA6503" w14:textId="166878A2">
      <w:r w:rsidRPr="003E6269">
        <w:rPr>
          <w:i/>
          <w:iCs/>
        </w:rPr>
        <w:t>Update inventory data</w:t>
      </w:r>
      <w:r>
        <w:t xml:space="preserve">. We estimate the number of museums (n=137) and Federal agencies (n=43) updating inventory data based on </w:t>
      </w:r>
      <w:r w:rsidRPr="00604C7F">
        <w:t>the</w:t>
      </w:r>
      <w:r w:rsidR="00E12946">
        <w:t xml:space="preserve"> requirements in the</w:t>
      </w:r>
      <w:r w:rsidRPr="00604C7F">
        <w:t xml:space="preserve"> proposed </w:t>
      </w:r>
      <w:r>
        <w:t>regulatory action. We estimate</w:t>
      </w:r>
      <w:r w:rsidRPr="00604C7F">
        <w:t xml:space="preserve"> </w:t>
      </w:r>
      <w:r>
        <w:t xml:space="preserve">414 </w:t>
      </w:r>
      <w:r w:rsidRPr="00604C7F">
        <w:t xml:space="preserve">museums </w:t>
      </w:r>
      <w:r>
        <w:t xml:space="preserve">and 19 Federal agencies </w:t>
      </w:r>
      <w:r w:rsidRPr="00604C7F">
        <w:t>will be required to update inventories</w:t>
      </w:r>
      <w:r>
        <w:t xml:space="preserve"> within three years after promulgation of a final rule. We estimate that 33% of those museums and Federal agencies will submit inventory updates each year for three years.</w:t>
      </w:r>
      <w:r w:rsidRPr="00604C7F">
        <w:t xml:space="preserve"> </w:t>
      </w:r>
    </w:p>
    <w:p w:rsidR="00AA3403" w:rsidP="00132CC5" w14:paraId="2AC1DD56" w14:textId="77777777"/>
    <w:p w:rsidR="00AA3403" w:rsidP="00132CC5" w14:paraId="6A54FD63" w14:textId="0CB8D1C1">
      <w:r>
        <w:t xml:space="preserve">As the size of museum collections vary greatly, we analyzed previously reported inventory data to estimate the time required per response. For each museum, currently available inventory data is organized into separate records, according to a museum’s original inventory submission and previous updates. We assume fewer inventory records will require less time to update. We assume museums previously prepared and submitted inventories in accordance with the existing regulations and an update to that inventory requires less time than submission of a new inventory. We estimate the time per response will range from </w:t>
      </w:r>
      <w:r w:rsidR="002470FA">
        <w:t xml:space="preserve">less than one hour, or 0.50 hours, </w:t>
      </w:r>
      <w:r>
        <w:t>to 100 hours, depending on the size and complexity of the update, for a median of 50.25 hours.</w:t>
      </w:r>
    </w:p>
    <w:p w:rsidR="00AA3403" w:rsidP="00132CC5" w14:paraId="5989B44D" w14:textId="77777777">
      <w:pPr>
        <w:tabs>
          <w:tab w:val="left" w:pos="-1080"/>
          <w:tab w:val="left" w:pos="-720"/>
          <w:tab w:val="left" w:pos="360"/>
          <w:tab w:val="left" w:pos="720"/>
        </w:tabs>
        <w:ind w:left="720"/>
        <w:contextualSpacing/>
        <w:rPr>
          <w:rFonts w:ascii="Arial" w:hAnsi="Arial" w:cs="Arial"/>
          <w:bCs/>
          <w:sz w:val="22"/>
          <w:szCs w:val="22"/>
        </w:rPr>
      </w:pPr>
    </w:p>
    <w:p w:rsidR="00132CC5" w:rsidP="00132CC5" w14:paraId="59B53FB6" w14:textId="77777777">
      <w:pPr>
        <w:tabs>
          <w:tab w:val="left" w:pos="-1080"/>
          <w:tab w:val="left" w:pos="-720"/>
          <w:tab w:val="left" w:pos="360"/>
          <w:tab w:val="left" w:pos="720"/>
        </w:tabs>
        <w:ind w:left="720"/>
        <w:contextualSpacing/>
        <w:rPr>
          <w:rFonts w:ascii="Arial" w:hAnsi="Arial" w:cs="Arial"/>
          <w:bCs/>
          <w:sz w:val="22"/>
          <w:szCs w:val="22"/>
        </w:rPr>
      </w:pPr>
    </w:p>
    <w:p w:rsidR="00AA3403" w:rsidRPr="003D4703" w:rsidP="00132CC5" w14:paraId="12D6D90C" w14:textId="44434201">
      <w:pPr>
        <w:pStyle w:val="Heading3"/>
      </w:pPr>
      <w:bookmarkStart w:id="43" w:name="_Toc113867046"/>
      <w:r w:rsidRPr="003D4703">
        <w:t xml:space="preserve">Table </w:t>
      </w:r>
      <w:r w:rsidR="00E12946">
        <w:t>20</w:t>
      </w:r>
      <w:r w:rsidRPr="003D4703">
        <w:t>.</w:t>
      </w:r>
      <w:r w:rsidR="00D435F4">
        <w:t xml:space="preserve"> </w:t>
      </w:r>
      <w:r w:rsidRPr="003D4703">
        <w:t xml:space="preserve"> Collection size in Inventories.</w:t>
      </w:r>
      <w:bookmarkEnd w:id="43"/>
    </w:p>
    <w:tbl>
      <w:tblPr>
        <w:tblStyle w:val="TableGrid"/>
        <w:tblW w:w="0" w:type="auto"/>
        <w:tblInd w:w="-5" w:type="dxa"/>
        <w:tblLook w:val="04A0"/>
      </w:tblPr>
      <w:tblGrid>
        <w:gridCol w:w="1795"/>
        <w:gridCol w:w="1710"/>
        <w:gridCol w:w="2700"/>
        <w:gridCol w:w="2425"/>
      </w:tblGrid>
      <w:tr w14:paraId="342FCD0D" w14:textId="77777777" w:rsidTr="009D0B2E">
        <w:tblPrEx>
          <w:tblW w:w="0" w:type="auto"/>
          <w:tblInd w:w="-5" w:type="dxa"/>
          <w:tblLook w:val="04A0"/>
        </w:tblPrEx>
        <w:tc>
          <w:tcPr>
            <w:tcW w:w="1795" w:type="dxa"/>
          </w:tcPr>
          <w:p w:rsidR="00AA3403" w:rsidRPr="00D72032" w:rsidP="00132CC5" w14:paraId="57516A7D" w14:textId="77777777">
            <w:pPr>
              <w:tabs>
                <w:tab w:val="left" w:pos="-1080"/>
                <w:tab w:val="left" w:pos="-720"/>
                <w:tab w:val="left" w:pos="360"/>
                <w:tab w:val="left" w:pos="720"/>
              </w:tabs>
              <w:contextualSpacing/>
              <w:jc w:val="right"/>
              <w:rPr>
                <w:b/>
              </w:rPr>
            </w:pPr>
            <w:r w:rsidRPr="00D72032">
              <w:rPr>
                <w:b/>
              </w:rPr>
              <w:t>Collection size</w:t>
            </w:r>
          </w:p>
        </w:tc>
        <w:tc>
          <w:tcPr>
            <w:tcW w:w="1710" w:type="dxa"/>
          </w:tcPr>
          <w:p w:rsidR="00AA3403" w:rsidRPr="00D72032" w:rsidP="00132CC5" w14:paraId="696F2209" w14:textId="77777777">
            <w:pPr>
              <w:tabs>
                <w:tab w:val="left" w:pos="-1080"/>
                <w:tab w:val="left" w:pos="-720"/>
                <w:tab w:val="left" w:pos="360"/>
                <w:tab w:val="left" w:pos="720"/>
              </w:tabs>
              <w:contextualSpacing/>
              <w:jc w:val="right"/>
              <w:rPr>
                <w:b/>
              </w:rPr>
            </w:pPr>
            <w:r w:rsidRPr="00D72032">
              <w:rPr>
                <w:b/>
              </w:rPr>
              <w:t># of Museums</w:t>
            </w:r>
          </w:p>
        </w:tc>
        <w:tc>
          <w:tcPr>
            <w:tcW w:w="2700" w:type="dxa"/>
          </w:tcPr>
          <w:p w:rsidR="00AA3403" w:rsidRPr="00D72032" w:rsidP="00132CC5" w14:paraId="6779B14C" w14:textId="77777777">
            <w:pPr>
              <w:tabs>
                <w:tab w:val="left" w:pos="-1080"/>
                <w:tab w:val="left" w:pos="-720"/>
                <w:tab w:val="left" w:pos="360"/>
                <w:tab w:val="left" w:pos="720"/>
              </w:tabs>
              <w:contextualSpacing/>
              <w:jc w:val="right"/>
              <w:rPr>
                <w:b/>
              </w:rPr>
            </w:pPr>
            <w:r w:rsidRPr="00D72032">
              <w:rPr>
                <w:b/>
              </w:rPr>
              <w:t xml:space="preserve"># of Inventory Records </w:t>
            </w:r>
          </w:p>
        </w:tc>
        <w:tc>
          <w:tcPr>
            <w:tcW w:w="2425" w:type="dxa"/>
          </w:tcPr>
          <w:p w:rsidR="00AA3403" w:rsidRPr="00D72032" w:rsidP="00132CC5" w14:paraId="42939E61" w14:textId="77777777">
            <w:pPr>
              <w:tabs>
                <w:tab w:val="left" w:pos="-1080"/>
                <w:tab w:val="left" w:pos="-720"/>
                <w:tab w:val="left" w:pos="360"/>
                <w:tab w:val="left" w:pos="720"/>
              </w:tabs>
              <w:contextualSpacing/>
              <w:jc w:val="right"/>
              <w:rPr>
                <w:b/>
              </w:rPr>
            </w:pPr>
            <w:r w:rsidRPr="00D72032">
              <w:rPr>
                <w:b/>
              </w:rPr>
              <w:t># of human remains</w:t>
            </w:r>
          </w:p>
        </w:tc>
      </w:tr>
      <w:tr w14:paraId="0207A691" w14:textId="77777777" w:rsidTr="009D0B2E">
        <w:tblPrEx>
          <w:tblW w:w="0" w:type="auto"/>
          <w:tblInd w:w="-5" w:type="dxa"/>
          <w:tblLook w:val="04A0"/>
        </w:tblPrEx>
        <w:tc>
          <w:tcPr>
            <w:tcW w:w="1795" w:type="dxa"/>
          </w:tcPr>
          <w:p w:rsidR="00AA3403" w:rsidRPr="00D72032" w:rsidP="00132CC5" w14:paraId="28DA2F16" w14:textId="77777777">
            <w:pPr>
              <w:tabs>
                <w:tab w:val="left" w:pos="-1080"/>
                <w:tab w:val="left" w:pos="-720"/>
                <w:tab w:val="left" w:pos="360"/>
                <w:tab w:val="left" w:pos="720"/>
              </w:tabs>
              <w:contextualSpacing/>
              <w:jc w:val="right"/>
              <w:rPr>
                <w:bCs/>
              </w:rPr>
            </w:pPr>
            <w:r w:rsidRPr="00D72032">
              <w:rPr>
                <w:bCs/>
              </w:rPr>
              <w:t xml:space="preserve">Small </w:t>
            </w:r>
          </w:p>
        </w:tc>
        <w:tc>
          <w:tcPr>
            <w:tcW w:w="1710" w:type="dxa"/>
          </w:tcPr>
          <w:p w:rsidR="00AA3403" w:rsidRPr="00D72032" w:rsidP="00132CC5" w14:paraId="554D1DC8" w14:textId="77777777">
            <w:pPr>
              <w:tabs>
                <w:tab w:val="left" w:pos="-1080"/>
                <w:tab w:val="left" w:pos="-720"/>
                <w:tab w:val="left" w:pos="360"/>
                <w:tab w:val="left" w:pos="720"/>
              </w:tabs>
              <w:contextualSpacing/>
              <w:jc w:val="right"/>
              <w:rPr>
                <w:bCs/>
              </w:rPr>
            </w:pPr>
            <w:r w:rsidRPr="00D72032">
              <w:rPr>
                <w:bCs/>
              </w:rPr>
              <w:t>241</w:t>
            </w:r>
          </w:p>
        </w:tc>
        <w:tc>
          <w:tcPr>
            <w:tcW w:w="2700" w:type="dxa"/>
          </w:tcPr>
          <w:p w:rsidR="00AA3403" w:rsidRPr="00D72032" w:rsidP="00132CC5" w14:paraId="0A7C63BE" w14:textId="77777777">
            <w:pPr>
              <w:tabs>
                <w:tab w:val="left" w:pos="-1080"/>
                <w:tab w:val="left" w:pos="-720"/>
                <w:tab w:val="left" w:pos="360"/>
                <w:tab w:val="left" w:pos="720"/>
              </w:tabs>
              <w:contextualSpacing/>
              <w:jc w:val="right"/>
              <w:rPr>
                <w:bCs/>
              </w:rPr>
            </w:pPr>
            <w:r w:rsidRPr="00D72032">
              <w:rPr>
                <w:bCs/>
              </w:rPr>
              <w:t>Between 1 and 9</w:t>
            </w:r>
          </w:p>
        </w:tc>
        <w:tc>
          <w:tcPr>
            <w:tcW w:w="2425" w:type="dxa"/>
          </w:tcPr>
          <w:p w:rsidR="00AA3403" w:rsidRPr="00D72032" w:rsidP="00132CC5" w14:paraId="610B1A95" w14:textId="77777777">
            <w:pPr>
              <w:tabs>
                <w:tab w:val="left" w:pos="-1080"/>
                <w:tab w:val="left" w:pos="-720"/>
                <w:tab w:val="left" w:pos="360"/>
                <w:tab w:val="left" w:pos="720"/>
              </w:tabs>
              <w:contextualSpacing/>
              <w:jc w:val="right"/>
              <w:rPr>
                <w:bCs/>
              </w:rPr>
            </w:pPr>
            <w:r w:rsidRPr="00D72032">
              <w:rPr>
                <w:bCs/>
              </w:rPr>
              <w:t>4,835</w:t>
            </w:r>
          </w:p>
        </w:tc>
      </w:tr>
      <w:tr w14:paraId="2C0D29F3" w14:textId="77777777" w:rsidTr="009D0B2E">
        <w:tblPrEx>
          <w:tblW w:w="0" w:type="auto"/>
          <w:tblInd w:w="-5" w:type="dxa"/>
          <w:tblLook w:val="04A0"/>
        </w:tblPrEx>
        <w:tc>
          <w:tcPr>
            <w:tcW w:w="1795" w:type="dxa"/>
          </w:tcPr>
          <w:p w:rsidR="00AA3403" w:rsidRPr="00D72032" w:rsidP="00132CC5" w14:paraId="7A8DB362" w14:textId="77777777">
            <w:pPr>
              <w:tabs>
                <w:tab w:val="left" w:pos="-1080"/>
                <w:tab w:val="left" w:pos="-720"/>
                <w:tab w:val="left" w:pos="360"/>
                <w:tab w:val="left" w:pos="720"/>
              </w:tabs>
              <w:contextualSpacing/>
              <w:jc w:val="right"/>
              <w:rPr>
                <w:bCs/>
              </w:rPr>
            </w:pPr>
            <w:r w:rsidRPr="00D72032">
              <w:rPr>
                <w:bCs/>
              </w:rPr>
              <w:t xml:space="preserve">Medium </w:t>
            </w:r>
          </w:p>
        </w:tc>
        <w:tc>
          <w:tcPr>
            <w:tcW w:w="1710" w:type="dxa"/>
          </w:tcPr>
          <w:p w:rsidR="00AA3403" w:rsidRPr="00D72032" w:rsidP="00132CC5" w14:paraId="2927A4FA" w14:textId="77777777">
            <w:pPr>
              <w:tabs>
                <w:tab w:val="left" w:pos="-1080"/>
                <w:tab w:val="left" w:pos="-720"/>
                <w:tab w:val="left" w:pos="360"/>
                <w:tab w:val="left" w:pos="720"/>
              </w:tabs>
              <w:contextualSpacing/>
              <w:jc w:val="right"/>
              <w:rPr>
                <w:bCs/>
              </w:rPr>
            </w:pPr>
            <w:r w:rsidRPr="00D72032">
              <w:rPr>
                <w:bCs/>
              </w:rPr>
              <w:t>111</w:t>
            </w:r>
          </w:p>
        </w:tc>
        <w:tc>
          <w:tcPr>
            <w:tcW w:w="2700" w:type="dxa"/>
          </w:tcPr>
          <w:p w:rsidR="00AA3403" w:rsidRPr="00D72032" w:rsidP="00132CC5" w14:paraId="70F0C44A" w14:textId="77777777">
            <w:pPr>
              <w:tabs>
                <w:tab w:val="left" w:pos="-1080"/>
                <w:tab w:val="left" w:pos="-720"/>
                <w:tab w:val="left" w:pos="360"/>
                <w:tab w:val="left" w:pos="720"/>
              </w:tabs>
              <w:contextualSpacing/>
              <w:jc w:val="right"/>
              <w:rPr>
                <w:bCs/>
              </w:rPr>
            </w:pPr>
            <w:r w:rsidRPr="00D72032">
              <w:rPr>
                <w:bCs/>
              </w:rPr>
              <w:t>Between 10 and 49</w:t>
            </w:r>
          </w:p>
        </w:tc>
        <w:tc>
          <w:tcPr>
            <w:tcW w:w="2425" w:type="dxa"/>
          </w:tcPr>
          <w:p w:rsidR="00AA3403" w:rsidRPr="00D72032" w:rsidP="00132CC5" w14:paraId="5FA730EF" w14:textId="77777777">
            <w:pPr>
              <w:tabs>
                <w:tab w:val="left" w:pos="-1080"/>
                <w:tab w:val="left" w:pos="-720"/>
                <w:tab w:val="left" w:pos="360"/>
                <w:tab w:val="left" w:pos="720"/>
              </w:tabs>
              <w:contextualSpacing/>
              <w:jc w:val="right"/>
              <w:rPr>
                <w:bCs/>
              </w:rPr>
            </w:pPr>
            <w:r w:rsidRPr="00D72032">
              <w:rPr>
                <w:bCs/>
              </w:rPr>
              <w:t>11,235</w:t>
            </w:r>
          </w:p>
        </w:tc>
      </w:tr>
      <w:tr w14:paraId="401BCD4E" w14:textId="77777777" w:rsidTr="009D0B2E">
        <w:tblPrEx>
          <w:tblW w:w="0" w:type="auto"/>
          <w:tblInd w:w="-5" w:type="dxa"/>
          <w:tblLook w:val="04A0"/>
        </w:tblPrEx>
        <w:tc>
          <w:tcPr>
            <w:tcW w:w="1795" w:type="dxa"/>
          </w:tcPr>
          <w:p w:rsidR="00AA3403" w:rsidRPr="00D72032" w:rsidP="00132CC5" w14:paraId="100F230D" w14:textId="77777777">
            <w:pPr>
              <w:tabs>
                <w:tab w:val="left" w:pos="-1080"/>
                <w:tab w:val="left" w:pos="-720"/>
                <w:tab w:val="left" w:pos="360"/>
                <w:tab w:val="left" w:pos="720"/>
              </w:tabs>
              <w:contextualSpacing/>
              <w:jc w:val="right"/>
              <w:rPr>
                <w:bCs/>
              </w:rPr>
            </w:pPr>
            <w:r w:rsidRPr="00D72032">
              <w:rPr>
                <w:bCs/>
              </w:rPr>
              <w:t xml:space="preserve">Large </w:t>
            </w:r>
          </w:p>
        </w:tc>
        <w:tc>
          <w:tcPr>
            <w:tcW w:w="1710" w:type="dxa"/>
          </w:tcPr>
          <w:p w:rsidR="00AA3403" w:rsidRPr="00D72032" w:rsidP="00132CC5" w14:paraId="2FC0600C" w14:textId="77777777">
            <w:pPr>
              <w:tabs>
                <w:tab w:val="left" w:pos="-1080"/>
                <w:tab w:val="left" w:pos="-720"/>
                <w:tab w:val="left" w:pos="360"/>
                <w:tab w:val="left" w:pos="720"/>
              </w:tabs>
              <w:contextualSpacing/>
              <w:jc w:val="right"/>
              <w:rPr>
                <w:bCs/>
              </w:rPr>
            </w:pPr>
            <w:r w:rsidRPr="00D72032">
              <w:rPr>
                <w:bCs/>
              </w:rPr>
              <w:t>27</w:t>
            </w:r>
          </w:p>
        </w:tc>
        <w:tc>
          <w:tcPr>
            <w:tcW w:w="2700" w:type="dxa"/>
          </w:tcPr>
          <w:p w:rsidR="00AA3403" w:rsidRPr="00D72032" w:rsidP="00132CC5" w14:paraId="02317A4A" w14:textId="77777777">
            <w:pPr>
              <w:tabs>
                <w:tab w:val="left" w:pos="-1080"/>
                <w:tab w:val="left" w:pos="-720"/>
                <w:tab w:val="left" w:pos="360"/>
                <w:tab w:val="left" w:pos="720"/>
              </w:tabs>
              <w:contextualSpacing/>
              <w:jc w:val="right"/>
              <w:rPr>
                <w:bCs/>
              </w:rPr>
            </w:pPr>
            <w:r w:rsidRPr="00D72032">
              <w:rPr>
                <w:bCs/>
              </w:rPr>
              <w:t>Between 50 and 99</w:t>
            </w:r>
          </w:p>
        </w:tc>
        <w:tc>
          <w:tcPr>
            <w:tcW w:w="2425" w:type="dxa"/>
          </w:tcPr>
          <w:p w:rsidR="00AA3403" w:rsidRPr="00D72032" w:rsidP="00132CC5" w14:paraId="3F2D18C3" w14:textId="77777777">
            <w:pPr>
              <w:tabs>
                <w:tab w:val="left" w:pos="-1080"/>
                <w:tab w:val="left" w:pos="-720"/>
                <w:tab w:val="left" w:pos="360"/>
                <w:tab w:val="left" w:pos="720"/>
              </w:tabs>
              <w:contextualSpacing/>
              <w:jc w:val="right"/>
              <w:rPr>
                <w:bCs/>
              </w:rPr>
            </w:pPr>
            <w:r w:rsidRPr="00D72032">
              <w:rPr>
                <w:bCs/>
              </w:rPr>
              <w:t>10,568</w:t>
            </w:r>
          </w:p>
        </w:tc>
      </w:tr>
      <w:tr w14:paraId="690FCC18" w14:textId="77777777" w:rsidTr="009D0B2E">
        <w:tblPrEx>
          <w:tblW w:w="0" w:type="auto"/>
          <w:tblInd w:w="-5" w:type="dxa"/>
          <w:tblLook w:val="04A0"/>
        </w:tblPrEx>
        <w:tc>
          <w:tcPr>
            <w:tcW w:w="1795" w:type="dxa"/>
          </w:tcPr>
          <w:p w:rsidR="00AA3403" w:rsidRPr="00D72032" w:rsidP="00132CC5" w14:paraId="059FF95D" w14:textId="77777777">
            <w:pPr>
              <w:tabs>
                <w:tab w:val="left" w:pos="-1080"/>
                <w:tab w:val="left" w:pos="-720"/>
                <w:tab w:val="left" w:pos="360"/>
                <w:tab w:val="left" w:pos="720"/>
              </w:tabs>
              <w:contextualSpacing/>
              <w:jc w:val="right"/>
              <w:rPr>
                <w:bCs/>
              </w:rPr>
            </w:pPr>
            <w:r w:rsidRPr="00D72032">
              <w:rPr>
                <w:bCs/>
              </w:rPr>
              <w:t xml:space="preserve">Largest </w:t>
            </w:r>
          </w:p>
        </w:tc>
        <w:tc>
          <w:tcPr>
            <w:tcW w:w="1710" w:type="dxa"/>
          </w:tcPr>
          <w:p w:rsidR="00AA3403" w:rsidRPr="00D72032" w:rsidP="00132CC5" w14:paraId="652E17F6" w14:textId="77777777">
            <w:pPr>
              <w:tabs>
                <w:tab w:val="left" w:pos="-1080"/>
                <w:tab w:val="left" w:pos="-720"/>
                <w:tab w:val="left" w:pos="360"/>
                <w:tab w:val="left" w:pos="720"/>
              </w:tabs>
              <w:contextualSpacing/>
              <w:jc w:val="right"/>
              <w:rPr>
                <w:bCs/>
              </w:rPr>
            </w:pPr>
            <w:r w:rsidRPr="00D72032">
              <w:rPr>
                <w:bCs/>
              </w:rPr>
              <w:t>35</w:t>
            </w:r>
          </w:p>
        </w:tc>
        <w:tc>
          <w:tcPr>
            <w:tcW w:w="2700" w:type="dxa"/>
          </w:tcPr>
          <w:p w:rsidR="00AA3403" w:rsidRPr="00D72032" w:rsidP="00132CC5" w14:paraId="345A1488" w14:textId="77777777">
            <w:pPr>
              <w:tabs>
                <w:tab w:val="left" w:pos="-1080"/>
                <w:tab w:val="left" w:pos="-720"/>
                <w:tab w:val="left" w:pos="360"/>
                <w:tab w:val="left" w:pos="720"/>
              </w:tabs>
              <w:contextualSpacing/>
              <w:jc w:val="right"/>
              <w:rPr>
                <w:bCs/>
              </w:rPr>
            </w:pPr>
            <w:r w:rsidRPr="00D72032">
              <w:rPr>
                <w:bCs/>
              </w:rPr>
              <w:t>Between 100 and 937</w:t>
            </w:r>
          </w:p>
        </w:tc>
        <w:tc>
          <w:tcPr>
            <w:tcW w:w="2425" w:type="dxa"/>
          </w:tcPr>
          <w:p w:rsidR="00AA3403" w:rsidRPr="00D72032" w:rsidP="00132CC5" w14:paraId="7ED268EA" w14:textId="77777777">
            <w:pPr>
              <w:tabs>
                <w:tab w:val="left" w:pos="-1080"/>
                <w:tab w:val="left" w:pos="-720"/>
                <w:tab w:val="left" w:pos="360"/>
                <w:tab w:val="left" w:pos="720"/>
              </w:tabs>
              <w:contextualSpacing/>
              <w:jc w:val="right"/>
              <w:rPr>
                <w:bCs/>
              </w:rPr>
            </w:pPr>
            <w:r w:rsidRPr="00D72032">
              <w:rPr>
                <w:bCs/>
              </w:rPr>
              <w:t>79,284</w:t>
            </w:r>
          </w:p>
        </w:tc>
      </w:tr>
      <w:tr w14:paraId="1F57F75F" w14:textId="77777777" w:rsidTr="009D0B2E">
        <w:tblPrEx>
          <w:tblW w:w="0" w:type="auto"/>
          <w:tblInd w:w="-5" w:type="dxa"/>
          <w:tblLook w:val="04A0"/>
        </w:tblPrEx>
        <w:tc>
          <w:tcPr>
            <w:tcW w:w="1795" w:type="dxa"/>
          </w:tcPr>
          <w:p w:rsidR="00AA3403" w:rsidRPr="00D72032" w:rsidP="00132CC5" w14:paraId="1E15B4EC" w14:textId="77777777">
            <w:pPr>
              <w:tabs>
                <w:tab w:val="left" w:pos="-1080"/>
                <w:tab w:val="left" w:pos="-720"/>
                <w:tab w:val="left" w:pos="360"/>
                <w:tab w:val="left" w:pos="720"/>
              </w:tabs>
              <w:contextualSpacing/>
              <w:jc w:val="right"/>
              <w:rPr>
                <w:b/>
              </w:rPr>
            </w:pPr>
            <w:r w:rsidRPr="00D72032">
              <w:rPr>
                <w:b/>
              </w:rPr>
              <w:t>Total</w:t>
            </w:r>
          </w:p>
        </w:tc>
        <w:tc>
          <w:tcPr>
            <w:tcW w:w="1710" w:type="dxa"/>
          </w:tcPr>
          <w:p w:rsidR="00AA3403" w:rsidRPr="00D72032" w:rsidP="00132CC5" w14:paraId="41CA9368" w14:textId="77777777">
            <w:pPr>
              <w:tabs>
                <w:tab w:val="left" w:pos="-1080"/>
                <w:tab w:val="left" w:pos="-720"/>
                <w:tab w:val="left" w:pos="360"/>
                <w:tab w:val="left" w:pos="720"/>
              </w:tabs>
              <w:contextualSpacing/>
              <w:jc w:val="right"/>
              <w:rPr>
                <w:b/>
              </w:rPr>
            </w:pPr>
            <w:r w:rsidRPr="00D72032">
              <w:rPr>
                <w:b/>
              </w:rPr>
              <w:t>414</w:t>
            </w:r>
          </w:p>
        </w:tc>
        <w:tc>
          <w:tcPr>
            <w:tcW w:w="2700" w:type="dxa"/>
          </w:tcPr>
          <w:p w:rsidR="00AA3403" w:rsidRPr="00D72032" w:rsidP="00132CC5" w14:paraId="1385D62C" w14:textId="77777777">
            <w:pPr>
              <w:tabs>
                <w:tab w:val="left" w:pos="-1080"/>
                <w:tab w:val="left" w:pos="-720"/>
                <w:tab w:val="left" w:pos="360"/>
                <w:tab w:val="left" w:pos="720"/>
              </w:tabs>
              <w:contextualSpacing/>
              <w:jc w:val="right"/>
              <w:rPr>
                <w:b/>
              </w:rPr>
            </w:pPr>
            <w:r w:rsidRPr="00D72032">
              <w:rPr>
                <w:b/>
              </w:rPr>
              <w:t>13,534</w:t>
            </w:r>
          </w:p>
        </w:tc>
        <w:tc>
          <w:tcPr>
            <w:tcW w:w="2425" w:type="dxa"/>
          </w:tcPr>
          <w:p w:rsidR="00AA3403" w:rsidRPr="00D72032" w:rsidP="00132CC5" w14:paraId="10762436" w14:textId="77777777">
            <w:pPr>
              <w:tabs>
                <w:tab w:val="left" w:pos="-1080"/>
                <w:tab w:val="left" w:pos="-720"/>
                <w:tab w:val="left" w:pos="360"/>
                <w:tab w:val="left" w:pos="720"/>
              </w:tabs>
              <w:contextualSpacing/>
              <w:jc w:val="right"/>
              <w:rPr>
                <w:b/>
              </w:rPr>
            </w:pPr>
            <w:r w:rsidRPr="00D72032">
              <w:rPr>
                <w:b/>
              </w:rPr>
              <w:t>105,922</w:t>
            </w:r>
          </w:p>
        </w:tc>
      </w:tr>
    </w:tbl>
    <w:p w:rsidR="00AA3403" w:rsidP="00132CC5" w14:paraId="0CB9C37E" w14:textId="77777777">
      <w:pPr>
        <w:rPr>
          <w:i/>
        </w:rPr>
      </w:pPr>
    </w:p>
    <w:p w:rsidR="00A62FFB" w:rsidP="00132CC5" w14:paraId="14BF1076" w14:textId="77777777">
      <w:pPr>
        <w:rPr>
          <w:i/>
        </w:rPr>
      </w:pPr>
    </w:p>
    <w:p w:rsidR="00EF7258" w:rsidP="00132CC5" w14:paraId="23F17FDF" w14:textId="089DE7FE">
      <w:r>
        <w:rPr>
          <w:i/>
        </w:rPr>
        <w:t>Submit n</w:t>
      </w:r>
      <w:r w:rsidRPr="00814BCD">
        <w:rPr>
          <w:i/>
        </w:rPr>
        <w:t>otices</w:t>
      </w:r>
      <w:r>
        <w:rPr>
          <w:i/>
        </w:rPr>
        <w:t xml:space="preserve"> of inventory completion</w:t>
      </w:r>
      <w:r>
        <w:t>. The number of museums submitting notices of inventory completion is expected to more than double compared to baseline conditions. We estimate the</w:t>
      </w:r>
      <w:r w:rsidRPr="00CE6CC6">
        <w:t xml:space="preserve"> number of notices of inventory completion </w:t>
      </w:r>
      <w:r>
        <w:t>by museums (</w:t>
      </w:r>
      <w:r w:rsidRPr="00CE6CC6">
        <w:t>n=</w:t>
      </w:r>
      <w:r>
        <w:t>274</w:t>
      </w:r>
      <w:r w:rsidRPr="00CE6CC6">
        <w:t xml:space="preserve">) </w:t>
      </w:r>
      <w:r>
        <w:t xml:space="preserve">and Federal agencies (n=86) based on the proposed regulatory action. The proposed regulatory action will require publication of notices of inventory completion within six months and NPS estimates that each museum or Federal agency required to update inventory data will submit, on average, two notices each year. The proposed regulatory action will allow for collections to be combined by geographic location or other defining features for the purpose of public notice in the Federal Register. </w:t>
      </w:r>
      <w:r w:rsidRPr="00CE6CC6">
        <w:t xml:space="preserve">The information needed for notices of inventory completion are drawn directly from the inventory. NPS provides a simple template to fill in the necessary information. We estimate the time per response </w:t>
      </w:r>
      <w:r>
        <w:t>will range</w:t>
      </w:r>
      <w:r w:rsidRPr="00CE6CC6">
        <w:t xml:space="preserve"> from </w:t>
      </w:r>
      <w:r w:rsidR="002470FA">
        <w:t xml:space="preserve">less than one hour, or 0.50 hours, </w:t>
      </w:r>
      <w:r w:rsidRPr="00CE6CC6">
        <w:t xml:space="preserve">to 20 hours, depending on the size and complexity of the notice, for a median of 10.25 hours. </w:t>
      </w:r>
    </w:p>
    <w:p w:rsidR="00EF7258" w:rsidP="00132CC5" w14:paraId="185AE295" w14:textId="77777777"/>
    <w:p w:rsidR="00AA3403" w:rsidP="00132CC5" w14:paraId="15752904" w14:textId="00E74754">
      <w:r>
        <w:rPr>
          <w:i/>
          <w:iCs/>
        </w:rPr>
        <w:t>Submit a request for repatriation.</w:t>
      </w:r>
      <w:r w:rsidR="00A62FFB">
        <w:rPr>
          <w:i/>
          <w:iCs/>
        </w:rPr>
        <w:t xml:space="preserve"> </w:t>
      </w:r>
      <w:r>
        <w:t>W</w:t>
      </w:r>
      <w:r w:rsidRPr="00FC0642">
        <w:t xml:space="preserve">e estimate </w:t>
      </w:r>
      <w:r>
        <w:t xml:space="preserve">the number of lineal descendants (n=5) and Indian Tribes or NHOs (n=320) submitting a request for repatriation is </w:t>
      </w:r>
      <w:r w:rsidRPr="00FC0642">
        <w:t xml:space="preserve">80% of </w:t>
      </w:r>
      <w:r>
        <w:t xml:space="preserve">the total number of </w:t>
      </w:r>
      <w:r w:rsidRPr="00FC0642">
        <w:t>notices of inventory completion (which precede a request) and 100% of</w:t>
      </w:r>
      <w:r>
        <w:t xml:space="preserve"> the total number of</w:t>
      </w:r>
      <w:r w:rsidRPr="00FC0642">
        <w:t xml:space="preserve"> notices of intent to repatriate (which follow a request). A request for repatriation ranges from a simple statement in response to a notice to a detailed request with supporting documentation to satisfy the criteria for a request.</w:t>
      </w:r>
      <w:r>
        <w:t xml:space="preserve"> </w:t>
      </w:r>
      <w:r w:rsidRPr="00CE6CC6">
        <w:t xml:space="preserve">We estimate the time per response </w:t>
      </w:r>
      <w:r>
        <w:t>will range</w:t>
      </w:r>
      <w:r w:rsidRPr="00CE6CC6">
        <w:t xml:space="preserve"> from </w:t>
      </w:r>
      <w:r w:rsidR="002470FA">
        <w:t xml:space="preserve">less than one hour, or 0.50 hours, </w:t>
      </w:r>
      <w:r w:rsidRPr="00CE6CC6">
        <w:t xml:space="preserve">to </w:t>
      </w:r>
      <w:r>
        <w:t>1</w:t>
      </w:r>
      <w:r w:rsidRPr="00CE6CC6">
        <w:t>0 hours, depending on the size and complexity of the</w:t>
      </w:r>
      <w:r>
        <w:t xml:space="preserve"> request</w:t>
      </w:r>
      <w:r w:rsidRPr="00CE6CC6">
        <w:t xml:space="preserve">, for a median of </w:t>
      </w:r>
      <w:r>
        <w:t>5</w:t>
      </w:r>
      <w:r w:rsidRPr="00CE6CC6">
        <w:t>.25 hours.</w:t>
      </w:r>
    </w:p>
    <w:p w:rsidR="00AA3403" w:rsidP="00132CC5" w14:paraId="4AB34D81" w14:textId="77777777">
      <w:pPr>
        <w:pStyle w:val="ListParagraph"/>
        <w:tabs>
          <w:tab w:val="left" w:pos="-1080"/>
          <w:tab w:val="left" w:pos="-720"/>
          <w:tab w:val="left" w:pos="360"/>
        </w:tabs>
        <w:ind w:left="0"/>
      </w:pPr>
    </w:p>
    <w:p w:rsidR="00AA3403" w:rsidP="00132CC5" w14:paraId="5BB1198A" w14:textId="0F70ED56">
      <w:pPr>
        <w:pStyle w:val="ListParagraph"/>
        <w:tabs>
          <w:tab w:val="left" w:pos="-1080"/>
          <w:tab w:val="left" w:pos="-720"/>
          <w:tab w:val="left" w:pos="360"/>
        </w:tabs>
        <w:ind w:left="0"/>
      </w:pPr>
      <w:r>
        <w:rPr>
          <w:i/>
          <w:iCs/>
        </w:rPr>
        <w:t>Document physical transfer</w:t>
      </w:r>
      <w:r>
        <w:t xml:space="preserve">. We estimate the number of museums (n=251) and Federal agencies (n=74) documenting physical transfer of a repatriation is </w:t>
      </w:r>
      <w:r w:rsidRPr="00FC0642">
        <w:t xml:space="preserve">80% of </w:t>
      </w:r>
      <w:r>
        <w:t xml:space="preserve">the total number of </w:t>
      </w:r>
      <w:r w:rsidRPr="00FC0642">
        <w:t>notices of inventory completion (which precede a request) and 100% of</w:t>
      </w:r>
      <w:r>
        <w:t xml:space="preserve"> the total number of</w:t>
      </w:r>
      <w:r w:rsidRPr="00FC0642">
        <w:t xml:space="preserve"> notices of intent to repatriate (which follow a request)</w:t>
      </w:r>
      <w:r>
        <w:t xml:space="preserve">. We estimate the time per response will range from </w:t>
      </w:r>
      <w:r w:rsidR="002470FA">
        <w:t xml:space="preserve">less than one hour, or 0.50 hours, </w:t>
      </w:r>
      <w:r>
        <w:t>to 10 hours, depending on the size and complexity of the transfer, for a median of 5.25 hours.</w:t>
      </w:r>
    </w:p>
    <w:p w:rsidR="00AA3403" w:rsidP="00132CC5" w14:paraId="342DAE82" w14:textId="77777777">
      <w:pPr>
        <w:rPr>
          <w:i/>
        </w:rPr>
      </w:pPr>
    </w:p>
    <w:p w:rsidR="00AA3403" w:rsidP="00132CC5" w14:paraId="578C6FDE" w14:textId="3405BB8F">
      <w:r>
        <w:rPr>
          <w:i/>
          <w:iCs/>
        </w:rPr>
        <w:t>Request t</w:t>
      </w:r>
      <w:r w:rsidRPr="00A968DE">
        <w:rPr>
          <w:i/>
          <w:iCs/>
        </w:rPr>
        <w:t xml:space="preserve">ransfer </w:t>
      </w:r>
      <w:r>
        <w:rPr>
          <w:i/>
          <w:iCs/>
        </w:rPr>
        <w:t>of</w:t>
      </w:r>
      <w:r w:rsidRPr="00A968DE">
        <w:rPr>
          <w:i/>
          <w:iCs/>
        </w:rPr>
        <w:t xml:space="preserve"> human remains and associated funerary objects</w:t>
      </w:r>
      <w:r>
        <w:rPr>
          <w:i/>
          <w:iCs/>
        </w:rPr>
        <w:t xml:space="preserve"> </w:t>
      </w:r>
      <w:r w:rsidRPr="00A62FFB">
        <w:t>(replaces requirement previously under Subpart D</w:t>
      </w:r>
      <w:r>
        <w:rPr>
          <w:i/>
          <w:iCs/>
        </w:rPr>
        <w:t>)</w:t>
      </w:r>
      <w:r w:rsidRPr="00A968DE">
        <w:rPr>
          <w:i/>
          <w:iCs/>
        </w:rPr>
        <w:t>.</w:t>
      </w:r>
      <w:r w:rsidRPr="005E0BA9">
        <w:t xml:space="preserve"> </w:t>
      </w:r>
      <w:r>
        <w:t xml:space="preserve">We estimate the number of Indian Tribes or NHOs (n=6) requesting transfer of human remains and associated funerary objects based on changes in </w:t>
      </w:r>
      <w:r>
        <w:t xml:space="preserve">the proposed regulatory action and the average number of requests in recent years. Under the proposed regulatory action, the process is simplified and therefore </w:t>
      </w:r>
      <w:r w:rsidRPr="00CE6CC6">
        <w:t xml:space="preserve">the time per response </w:t>
      </w:r>
      <w:r>
        <w:t>will range</w:t>
      </w:r>
      <w:r w:rsidRPr="00CE6CC6">
        <w:t xml:space="preserve"> from </w:t>
      </w:r>
      <w:r w:rsidR="002470FA">
        <w:t xml:space="preserve">less than one hour, or 0.50 hours, </w:t>
      </w:r>
      <w:r w:rsidRPr="00CE6CC6">
        <w:t xml:space="preserve">to </w:t>
      </w:r>
      <w:r>
        <w:t>2</w:t>
      </w:r>
      <w:r w:rsidRPr="00CE6CC6">
        <w:t xml:space="preserve"> hours, depending on the size and complexity of the </w:t>
      </w:r>
      <w:r>
        <w:t>request</w:t>
      </w:r>
      <w:r w:rsidRPr="00CE6CC6">
        <w:t xml:space="preserve">, for a median of </w:t>
      </w:r>
      <w:r>
        <w:t>1</w:t>
      </w:r>
      <w:r w:rsidRPr="00CE6CC6">
        <w:t>.25 hours</w:t>
      </w:r>
      <w:r w:rsidRPr="005E0BA9">
        <w:t>.</w:t>
      </w:r>
    </w:p>
    <w:p w:rsidR="00AA3403" w:rsidP="00132CC5" w14:paraId="41AC6BCB" w14:textId="77777777">
      <w:pPr>
        <w:rPr>
          <w:i/>
          <w:iCs/>
        </w:rPr>
      </w:pPr>
    </w:p>
    <w:p w:rsidR="00AA3403" w:rsidP="00132CC5" w14:paraId="0EB023EA" w14:textId="46E6197E">
      <w:r w:rsidRPr="00A968DE">
        <w:rPr>
          <w:i/>
          <w:iCs/>
        </w:rPr>
        <w:t>Transfer or reinter human remains and associated funerary objects</w:t>
      </w:r>
      <w:r>
        <w:rPr>
          <w:i/>
          <w:iCs/>
        </w:rPr>
        <w:t xml:space="preserve"> (</w:t>
      </w:r>
      <w:r w:rsidRPr="00A247E6">
        <w:t>replaces requirement previously under Subpart D</w:t>
      </w:r>
      <w:r>
        <w:rPr>
          <w:i/>
          <w:iCs/>
        </w:rPr>
        <w:t>)</w:t>
      </w:r>
      <w:r w:rsidRPr="00A968DE">
        <w:rPr>
          <w:i/>
          <w:iCs/>
        </w:rPr>
        <w:t>.</w:t>
      </w:r>
      <w:r w:rsidRPr="005E0BA9">
        <w:t xml:space="preserve"> </w:t>
      </w:r>
      <w:r>
        <w:t xml:space="preserve">We estimate the number of museums (n=6) and Federal agencies (n=0) requesting to transfer or reinter human remains or associated funerary objects based on changes in the proposed regulatory action and the average number of requests in recent years. Under the proposed regulatory action, the process is simplified and therefore </w:t>
      </w:r>
      <w:r w:rsidRPr="00CE6CC6">
        <w:t xml:space="preserve">the time per response </w:t>
      </w:r>
      <w:r>
        <w:t>will range</w:t>
      </w:r>
      <w:r w:rsidRPr="00CE6CC6">
        <w:t xml:space="preserve"> from</w:t>
      </w:r>
      <w:r w:rsidRPr="00462574">
        <w:t xml:space="preserve"> </w:t>
      </w:r>
      <w:r w:rsidR="002470FA">
        <w:t xml:space="preserve">less than one hour, or 0.50 hours, </w:t>
      </w:r>
      <w:r w:rsidRPr="00CE6CC6">
        <w:t xml:space="preserve">to </w:t>
      </w:r>
      <w:r>
        <w:t>1</w:t>
      </w:r>
      <w:r w:rsidRPr="00CE6CC6">
        <w:t>0 hours, depending on the size and complexity of the</w:t>
      </w:r>
      <w:r>
        <w:t xml:space="preserve"> request</w:t>
      </w:r>
      <w:r w:rsidRPr="00CE6CC6">
        <w:t xml:space="preserve">, for a median of </w:t>
      </w:r>
      <w:r>
        <w:t>5</w:t>
      </w:r>
      <w:r w:rsidRPr="00CE6CC6">
        <w:t>.25 hours</w:t>
      </w:r>
      <w:r w:rsidRPr="005E0BA9">
        <w:t>.</w:t>
      </w:r>
    </w:p>
    <w:p w:rsidR="00AA3403" w:rsidP="00132CC5" w14:paraId="165E8155" w14:textId="77777777">
      <w:pPr>
        <w:rPr>
          <w:i/>
        </w:rPr>
      </w:pPr>
    </w:p>
    <w:p w:rsidR="00132CC5" w:rsidP="00132CC5" w14:paraId="076FDAA5" w14:textId="77777777">
      <w:pPr>
        <w:rPr>
          <w:i/>
        </w:rPr>
      </w:pPr>
    </w:p>
    <w:p w:rsidR="00AA3403" w:rsidRPr="00157826" w:rsidP="00132CC5" w14:paraId="42944BA2" w14:textId="77777777">
      <w:pPr>
        <w:rPr>
          <w:b/>
          <w:bCs/>
        </w:rPr>
      </w:pPr>
      <w:r w:rsidRPr="00157826">
        <w:rPr>
          <w:b/>
          <w:bCs/>
        </w:rPr>
        <w:t xml:space="preserve">New requirements in proposed </w:t>
      </w:r>
      <w:r>
        <w:rPr>
          <w:b/>
          <w:bCs/>
        </w:rPr>
        <w:t>action</w:t>
      </w:r>
      <w:r w:rsidRPr="00157826">
        <w:rPr>
          <w:b/>
          <w:bCs/>
        </w:rPr>
        <w:t>:</w:t>
      </w:r>
    </w:p>
    <w:p w:rsidR="00AA3403" w:rsidP="00132CC5" w14:paraId="4E2650B4" w14:textId="43616D4F">
      <w:pPr>
        <w:rPr>
          <w:iCs/>
        </w:rPr>
      </w:pPr>
      <w:r>
        <w:rPr>
          <w:i/>
        </w:rPr>
        <w:t>Museum</w:t>
      </w:r>
      <w:r w:rsidRPr="00353567">
        <w:rPr>
          <w:i/>
        </w:rPr>
        <w:t xml:space="preserve"> </w:t>
      </w:r>
      <w:r w:rsidRPr="00353567">
        <w:rPr>
          <w:bCs/>
          <w:i/>
        </w:rPr>
        <w:t>statements describing</w:t>
      </w:r>
      <w:r w:rsidRPr="00353567" w:rsidR="00132CC5">
        <w:rPr>
          <w:bCs/>
          <w:i/>
        </w:rPr>
        <w:t xml:space="preserve"> holdings or</w:t>
      </w:r>
      <w:r w:rsidRPr="00353567">
        <w:rPr>
          <w:bCs/>
          <w:i/>
        </w:rPr>
        <w:t xml:space="preserve"> collections</w:t>
      </w:r>
      <w:r w:rsidRPr="00353567" w:rsidR="00132CC5">
        <w:rPr>
          <w:bCs/>
          <w:i/>
        </w:rPr>
        <w:t xml:space="preserve"> in its custody.</w:t>
      </w:r>
      <w:r w:rsidR="00132CC5">
        <w:rPr>
          <w:bCs/>
          <w:iCs/>
        </w:rPr>
        <w:t xml:space="preserve"> </w:t>
      </w:r>
      <w:r>
        <w:rPr>
          <w:iCs/>
        </w:rPr>
        <w:t>We estimate the number of museums (n=70) submitting statements is</w:t>
      </w:r>
      <w:r w:rsidRPr="00625EEA">
        <w:t xml:space="preserve"> </w:t>
      </w:r>
      <w:r w:rsidRPr="00625EEA">
        <w:rPr>
          <w:iCs/>
        </w:rPr>
        <w:t>5% of all museums (n=1,388) that</w:t>
      </w:r>
      <w:r>
        <w:rPr>
          <w:iCs/>
        </w:rPr>
        <w:t xml:space="preserve"> previously</w:t>
      </w:r>
      <w:r w:rsidRPr="00625EEA">
        <w:rPr>
          <w:iCs/>
        </w:rPr>
        <w:t xml:space="preserve"> submitted information under these</w:t>
      </w:r>
      <w:r>
        <w:rPr>
          <w:iCs/>
        </w:rPr>
        <w:t xml:space="preserve"> existing</w:t>
      </w:r>
      <w:r w:rsidRPr="00625EEA">
        <w:rPr>
          <w:iCs/>
        </w:rPr>
        <w:t xml:space="preserve"> regulations</w:t>
      </w:r>
      <w:r>
        <w:rPr>
          <w:iCs/>
        </w:rPr>
        <w:t>.</w:t>
      </w:r>
      <w:r w:rsidRPr="0025148B">
        <w:t xml:space="preserve"> </w:t>
      </w:r>
      <w:r w:rsidRPr="0025148B">
        <w:rPr>
          <w:iCs/>
        </w:rPr>
        <w:t xml:space="preserve">A statement is a simple written document describing a holding or collection. </w:t>
      </w:r>
      <w:r>
        <w:rPr>
          <w:iCs/>
        </w:rPr>
        <w:t xml:space="preserve">We estimate </w:t>
      </w:r>
      <w:r w:rsidRPr="008E5170">
        <w:rPr>
          <w:iCs/>
        </w:rPr>
        <w:t xml:space="preserve">the time per response will range from </w:t>
      </w:r>
      <w:r w:rsidR="002470FA">
        <w:rPr>
          <w:iCs/>
        </w:rPr>
        <w:t xml:space="preserve">less than one hour, or 0.50 hours, </w:t>
      </w:r>
      <w:r w:rsidRPr="008E5170">
        <w:rPr>
          <w:iCs/>
        </w:rPr>
        <w:t>to 10 hours, depending on the size and complexity of a collection, for a median of 5.25 hours</w:t>
      </w:r>
      <w:r>
        <w:rPr>
          <w:iCs/>
        </w:rPr>
        <w:t>.</w:t>
      </w:r>
    </w:p>
    <w:p w:rsidR="00AA3403" w:rsidRPr="00C555C9" w:rsidP="00132CC5" w14:paraId="2EF2F4D7" w14:textId="77777777">
      <w:pPr>
        <w:rPr>
          <w:iCs/>
        </w:rPr>
      </w:pPr>
    </w:p>
    <w:p w:rsidR="00AA3403" w:rsidRPr="008E5170" w:rsidP="00132CC5" w14:paraId="39A7A1B7" w14:textId="2E175BF5">
      <w:pPr>
        <w:rPr>
          <w:iCs/>
        </w:rPr>
      </w:pPr>
      <w:r>
        <w:rPr>
          <w:i/>
        </w:rPr>
        <w:t xml:space="preserve">Make a record of consultation. </w:t>
      </w:r>
      <w:r>
        <w:rPr>
          <w:iCs/>
        </w:rPr>
        <w:t xml:space="preserve">We estimate the number of museums (n=174) and Federal agencies (n=49) required to make a record of consultation based on the estimated numbers of new and updated inventories (which require consultation) and notices of intent to repatriate (which require consultation). We estimate the </w:t>
      </w:r>
      <w:r w:rsidRPr="003457CF">
        <w:rPr>
          <w:iCs/>
        </w:rPr>
        <w:t xml:space="preserve">time per response will range from </w:t>
      </w:r>
      <w:r w:rsidR="002470FA">
        <w:rPr>
          <w:iCs/>
        </w:rPr>
        <w:t xml:space="preserve">less than one hour, or 0.50 hours, </w:t>
      </w:r>
      <w:r w:rsidRPr="003457CF">
        <w:rPr>
          <w:iCs/>
        </w:rPr>
        <w:t>to 10 hours, depending on the size and complexity of the consultation, for a median of 5.25 hours.</w:t>
      </w:r>
    </w:p>
    <w:p w:rsidR="00AA3403" w:rsidP="00132CC5" w14:paraId="6EF3B980" w14:textId="77777777">
      <w:pPr>
        <w:rPr>
          <w:i/>
        </w:rPr>
      </w:pPr>
    </w:p>
    <w:p w:rsidR="00AA3403" w:rsidRPr="005E0BA9" w:rsidP="00132CC5" w14:paraId="17206368" w14:textId="4F2F1F17">
      <w:pPr>
        <w:rPr>
          <w:iCs/>
        </w:rPr>
      </w:pPr>
      <w:r>
        <w:rPr>
          <w:i/>
        </w:rPr>
        <w:t xml:space="preserve">Respond to </w:t>
      </w:r>
      <w:r w:rsidR="00C47864">
        <w:rPr>
          <w:i/>
        </w:rPr>
        <w:t xml:space="preserve">a </w:t>
      </w:r>
      <w:r>
        <w:rPr>
          <w:i/>
        </w:rPr>
        <w:t xml:space="preserve">request for repatriation. </w:t>
      </w:r>
      <w:r>
        <w:rPr>
          <w:iCs/>
        </w:rPr>
        <w:t xml:space="preserve">We estimate the number of museums (n=251) and Federal agencies (n=74) responding to requests for repatriation based on the estimated number of requests for repatriation (see above). </w:t>
      </w:r>
      <w:r w:rsidRPr="008A2E7F">
        <w:rPr>
          <w:iCs/>
        </w:rPr>
        <w:t xml:space="preserve">In the proposed </w:t>
      </w:r>
      <w:r>
        <w:rPr>
          <w:iCs/>
        </w:rPr>
        <w:t>regulatory action</w:t>
      </w:r>
      <w:r w:rsidRPr="008A2E7F">
        <w:rPr>
          <w:iCs/>
        </w:rPr>
        <w:t>, museums</w:t>
      </w:r>
      <w:r>
        <w:rPr>
          <w:iCs/>
        </w:rPr>
        <w:t xml:space="preserve"> and Federal agencies</w:t>
      </w:r>
      <w:r w:rsidRPr="008A2E7F">
        <w:rPr>
          <w:iCs/>
        </w:rPr>
        <w:t xml:space="preserve"> have specific options for responding to a request and responses should be based on information available in previously prepared summaries, inventories, and notices. </w:t>
      </w:r>
      <w:r>
        <w:rPr>
          <w:iCs/>
        </w:rPr>
        <w:t>We estimate</w:t>
      </w:r>
      <w:r w:rsidRPr="008A2E7F">
        <w:rPr>
          <w:iCs/>
        </w:rPr>
        <w:t xml:space="preserve"> the time per response will range from </w:t>
      </w:r>
      <w:r w:rsidR="002470FA">
        <w:rPr>
          <w:iCs/>
        </w:rPr>
        <w:t xml:space="preserve">less than one hour, or 0.50 hours, </w:t>
      </w:r>
      <w:r w:rsidRPr="008A2E7F">
        <w:rPr>
          <w:iCs/>
        </w:rPr>
        <w:t>to 10 hours, depending on the complexity of the request, for a median of 5.25 hours.</w:t>
      </w:r>
    </w:p>
    <w:p w:rsidR="00AA3403" w:rsidP="00132CC5" w14:paraId="509242A7" w14:textId="77777777">
      <w:pPr>
        <w:rPr>
          <w:i/>
        </w:rPr>
      </w:pPr>
    </w:p>
    <w:p w:rsidR="00AA3403" w:rsidP="00132CC5" w14:paraId="1613F183" w14:textId="276F16E6">
      <w:r>
        <w:rPr>
          <w:i/>
        </w:rPr>
        <w:t>Send</w:t>
      </w:r>
      <w:r w:rsidR="008772F0">
        <w:rPr>
          <w:i/>
        </w:rPr>
        <w:t xml:space="preserve"> a r</w:t>
      </w:r>
      <w:r w:rsidRPr="00814BCD">
        <w:rPr>
          <w:i/>
        </w:rPr>
        <w:t xml:space="preserve">epatriation </w:t>
      </w:r>
      <w:r w:rsidR="008772F0">
        <w:rPr>
          <w:i/>
        </w:rPr>
        <w:t>s</w:t>
      </w:r>
      <w:r>
        <w:rPr>
          <w:i/>
        </w:rPr>
        <w:t>tatement</w:t>
      </w:r>
      <w:r w:rsidR="00132CC5">
        <w:t>.</w:t>
      </w:r>
      <w:r w:rsidR="00A247E6">
        <w:t xml:space="preserve"> </w:t>
      </w:r>
      <w:r>
        <w:rPr>
          <w:iCs/>
        </w:rPr>
        <w:t>We estimate the number of museums (n=251) and Federal agencies (n=74) sending repatriation statements based on the estimated number of requests for repatriation (see above).</w:t>
      </w:r>
      <w:r>
        <w:t xml:space="preserve"> </w:t>
      </w:r>
      <w:r w:rsidRPr="001D7951">
        <w:t xml:space="preserve">In the proposed </w:t>
      </w:r>
      <w:r>
        <w:t>regulatory action</w:t>
      </w:r>
      <w:r w:rsidRPr="001D7951">
        <w:t xml:space="preserve">, a repatriation statement is a simple document that should be based on information available in previously prepared summaries, inventories, notices, and responses to requests. </w:t>
      </w:r>
      <w:r>
        <w:t>We estimate</w:t>
      </w:r>
      <w:r w:rsidRPr="001D7951">
        <w:t xml:space="preserve"> the time per response will range from </w:t>
      </w:r>
      <w:r w:rsidR="002470FA">
        <w:t xml:space="preserve">less than one hour, or 0.50 hours, </w:t>
      </w:r>
      <w:r w:rsidRPr="001D7951">
        <w:t>to 5 hours, depending on the complexity of the statement, for a median of 2.75 hours.</w:t>
      </w:r>
    </w:p>
    <w:p w:rsidR="00AA3403" w:rsidP="00132CC5" w14:paraId="1624F733" w14:textId="77777777">
      <w:pPr>
        <w:pStyle w:val="ListParagraph"/>
        <w:ind w:left="1080"/>
      </w:pPr>
    </w:p>
    <w:p w:rsidR="00571010" w:rsidP="00132CC5" w14:paraId="38A88E19" w14:textId="77777777">
      <w:pPr>
        <w:pStyle w:val="ListParagraph"/>
        <w:ind w:left="1080"/>
      </w:pPr>
    </w:p>
    <w:p w:rsidR="000D52F9" w:rsidP="00D435F4" w14:paraId="5B22BA69" w14:textId="63480344">
      <w:pPr>
        <w:pStyle w:val="Heading3"/>
      </w:pPr>
      <w:bookmarkStart w:id="44" w:name="_Toc113867047"/>
      <w:r>
        <w:t>Table 21.</w:t>
      </w:r>
      <w:r w:rsidR="00D435F4">
        <w:t xml:space="preserve"> </w:t>
      </w:r>
      <w:r>
        <w:t xml:space="preserve"> Estimate for Proposed regulatory action (years 4 +) Subpart C</w:t>
      </w:r>
      <w:bookmarkEnd w:id="44"/>
      <w:r>
        <w:t xml:space="preserve"> </w:t>
      </w:r>
    </w:p>
    <w:tbl>
      <w:tblPr>
        <w:tblW w:w="12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7"/>
        <w:gridCol w:w="2415"/>
        <w:gridCol w:w="1343"/>
        <w:gridCol w:w="1253"/>
        <w:gridCol w:w="1487"/>
        <w:gridCol w:w="1164"/>
        <w:gridCol w:w="1587"/>
      </w:tblGrid>
      <w:tr w14:paraId="75053E9F" w14:textId="77777777" w:rsidTr="00D75B9C">
        <w:tblPrEx>
          <w:tblW w:w="12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577" w:type="dxa"/>
            <w:shd w:val="clear" w:color="auto" w:fill="auto"/>
            <w:noWrap/>
            <w:vAlign w:val="center"/>
          </w:tcPr>
          <w:p w:rsidR="000D52F9" w:rsidRPr="006172FD" w:rsidP="0074675D" w14:paraId="5E563ED6" w14:textId="77777777">
            <w:pPr>
              <w:jc w:val="center"/>
              <w:rPr>
                <w:b/>
                <w:bCs/>
                <w:color w:val="000000"/>
              </w:rPr>
            </w:pPr>
            <w:r w:rsidRPr="006172FD">
              <w:rPr>
                <w:b/>
                <w:bCs/>
                <w:color w:val="000000"/>
              </w:rPr>
              <w:t>Regulatory Requirement</w:t>
            </w:r>
          </w:p>
        </w:tc>
        <w:tc>
          <w:tcPr>
            <w:tcW w:w="2415" w:type="dxa"/>
            <w:shd w:val="clear" w:color="auto" w:fill="auto"/>
            <w:noWrap/>
            <w:vAlign w:val="center"/>
          </w:tcPr>
          <w:p w:rsidR="000D52F9" w:rsidRPr="006172FD" w:rsidP="0074675D" w14:paraId="2DB578C7" w14:textId="77777777">
            <w:pPr>
              <w:jc w:val="center"/>
              <w:rPr>
                <w:b/>
                <w:bCs/>
                <w:color w:val="000000"/>
              </w:rPr>
            </w:pPr>
            <w:r w:rsidRPr="006172FD">
              <w:rPr>
                <w:b/>
                <w:bCs/>
                <w:color w:val="000000"/>
              </w:rPr>
              <w:t>Responsible party</w:t>
            </w:r>
          </w:p>
        </w:tc>
        <w:tc>
          <w:tcPr>
            <w:tcW w:w="1343" w:type="dxa"/>
            <w:shd w:val="clear" w:color="auto" w:fill="auto"/>
            <w:noWrap/>
            <w:vAlign w:val="center"/>
          </w:tcPr>
          <w:p w:rsidR="000D52F9" w:rsidRPr="006172FD" w:rsidP="0074675D" w14:paraId="25E72663" w14:textId="77777777">
            <w:pPr>
              <w:jc w:val="center"/>
              <w:rPr>
                <w:b/>
                <w:bCs/>
                <w:color w:val="000000"/>
              </w:rPr>
            </w:pPr>
            <w:r w:rsidRPr="006172FD">
              <w:rPr>
                <w:b/>
                <w:bCs/>
              </w:rPr>
              <w:t>Number of responses</w:t>
            </w:r>
          </w:p>
        </w:tc>
        <w:tc>
          <w:tcPr>
            <w:tcW w:w="1253" w:type="dxa"/>
            <w:shd w:val="clear" w:color="auto" w:fill="auto"/>
            <w:noWrap/>
            <w:vAlign w:val="center"/>
          </w:tcPr>
          <w:p w:rsidR="000D52F9" w:rsidRPr="006172FD" w:rsidP="0074675D" w14:paraId="2FB8715E" w14:textId="77777777">
            <w:pPr>
              <w:jc w:val="center"/>
              <w:rPr>
                <w:b/>
                <w:bCs/>
                <w:color w:val="000000"/>
              </w:rPr>
            </w:pPr>
            <w:r w:rsidRPr="006172FD">
              <w:rPr>
                <w:b/>
                <w:bCs/>
              </w:rPr>
              <w:t>Time per response</w:t>
            </w:r>
          </w:p>
        </w:tc>
        <w:tc>
          <w:tcPr>
            <w:tcW w:w="1487" w:type="dxa"/>
            <w:shd w:val="clear" w:color="auto" w:fill="auto"/>
            <w:noWrap/>
            <w:vAlign w:val="center"/>
          </w:tcPr>
          <w:p w:rsidR="000D52F9" w:rsidRPr="006172FD" w:rsidP="0074675D" w14:paraId="51E1EEFA" w14:textId="77777777">
            <w:pPr>
              <w:jc w:val="center"/>
              <w:rPr>
                <w:b/>
                <w:bCs/>
                <w:color w:val="000000"/>
              </w:rPr>
            </w:pPr>
            <w:r w:rsidRPr="006172FD">
              <w:rPr>
                <w:b/>
                <w:bCs/>
              </w:rPr>
              <w:t>Annual Hours</w:t>
            </w:r>
          </w:p>
        </w:tc>
        <w:tc>
          <w:tcPr>
            <w:tcW w:w="1164" w:type="dxa"/>
            <w:shd w:val="clear" w:color="auto" w:fill="auto"/>
            <w:noWrap/>
            <w:vAlign w:val="center"/>
          </w:tcPr>
          <w:p w:rsidR="000D52F9" w:rsidRPr="006172FD" w:rsidP="0074675D" w14:paraId="6399BFC4" w14:textId="77777777">
            <w:pPr>
              <w:jc w:val="center"/>
              <w:rPr>
                <w:b/>
                <w:bCs/>
                <w:color w:val="000000"/>
              </w:rPr>
            </w:pPr>
            <w:r w:rsidRPr="006172FD">
              <w:rPr>
                <w:b/>
                <w:bCs/>
              </w:rPr>
              <w:t>Hourly Rate</w:t>
            </w:r>
          </w:p>
        </w:tc>
        <w:tc>
          <w:tcPr>
            <w:tcW w:w="1587" w:type="dxa"/>
            <w:shd w:val="clear" w:color="auto" w:fill="auto"/>
            <w:noWrap/>
            <w:vAlign w:val="center"/>
          </w:tcPr>
          <w:p w:rsidR="000D52F9" w:rsidRPr="006172FD" w:rsidP="0074675D" w14:paraId="1C5E9EF8" w14:textId="77777777">
            <w:pPr>
              <w:jc w:val="center"/>
              <w:rPr>
                <w:b/>
                <w:bCs/>
                <w:color w:val="000000"/>
              </w:rPr>
            </w:pPr>
            <w:r w:rsidRPr="006172FD">
              <w:rPr>
                <w:b/>
                <w:bCs/>
              </w:rPr>
              <w:t>Annual Costs</w:t>
            </w:r>
          </w:p>
        </w:tc>
      </w:tr>
      <w:tr w14:paraId="4D85C7F3"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5C000FC" w14:textId="77777777">
            <w:pPr>
              <w:rPr>
                <w:color w:val="000000"/>
              </w:rPr>
            </w:pPr>
            <w:r w:rsidRPr="000D52F9">
              <w:rPr>
                <w:color w:val="000000"/>
              </w:rPr>
              <w:t>Submit statements describing holdings or collections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1F2B523"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71BE7A5" w14:textId="77777777">
            <w:pPr>
              <w:jc w:val="right"/>
            </w:pPr>
            <w:r w:rsidRPr="000D52F9">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49255F2"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CF7F6D0" w14:textId="77777777">
            <w:pPr>
              <w:jc w:val="right"/>
            </w:pPr>
            <w:r w:rsidRPr="000D52F9">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FC4517E"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97736FF" w14:textId="77777777">
            <w:pPr>
              <w:jc w:val="right"/>
            </w:pPr>
            <w:r w:rsidRPr="000D52F9">
              <w:t>$0.00</w:t>
            </w:r>
          </w:p>
        </w:tc>
      </w:tr>
      <w:tr w14:paraId="20AC7632"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054A406" w14:textId="77777777">
            <w:pPr>
              <w:rPr>
                <w:color w:val="000000"/>
              </w:rPr>
            </w:pPr>
            <w:r w:rsidRPr="000D52F9">
              <w:rPr>
                <w:color w:val="000000"/>
              </w:rPr>
              <w:t>Respond to statement describing holdings or collections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A253F7C"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20178ED" w14:textId="77777777">
            <w:pPr>
              <w:jc w:val="right"/>
            </w:pPr>
            <w:r w:rsidRPr="000D52F9">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D88DFC1"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6FCF025" w14:textId="77777777">
            <w:pPr>
              <w:jc w:val="right"/>
            </w:pPr>
            <w:r w:rsidRPr="000D52F9">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09566D3"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E968D02" w14:textId="77777777">
            <w:pPr>
              <w:jc w:val="right"/>
            </w:pPr>
            <w:r w:rsidRPr="000D52F9">
              <w:t>$0.00</w:t>
            </w:r>
          </w:p>
        </w:tc>
      </w:tr>
      <w:tr w14:paraId="42C5D1DA"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33F285F" w14:textId="77777777">
            <w:pPr>
              <w:rPr>
                <w:color w:val="000000"/>
              </w:rPr>
            </w:pPr>
            <w:r w:rsidRPr="000D52F9">
              <w:rPr>
                <w:color w:val="000000"/>
              </w:rPr>
              <w:t>Submit a new summary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8FC6D92"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7046890" w14:textId="77777777">
            <w:pPr>
              <w:jc w:val="right"/>
            </w:pPr>
            <w:r w:rsidRPr="000D52F9">
              <w:t>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F2C0CCA" w14:textId="77777777">
            <w:pPr>
              <w:jc w:val="right"/>
            </w:pPr>
            <w:r w:rsidRPr="000D52F9">
              <w:t>52.50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7F38F3A" w14:textId="77777777">
            <w:pPr>
              <w:jc w:val="right"/>
            </w:pPr>
            <w:r w:rsidRPr="000D52F9">
              <w:t>367.50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5CA88DA"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5F0D26F" w14:textId="77777777">
            <w:pPr>
              <w:jc w:val="right"/>
            </w:pPr>
            <w:r w:rsidRPr="000D52F9">
              <w:t>$23,616.00</w:t>
            </w:r>
          </w:p>
        </w:tc>
      </w:tr>
      <w:tr w14:paraId="22222D81"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A1076C1" w14:textId="77777777">
            <w:pPr>
              <w:rPr>
                <w:color w:val="000000"/>
              </w:rPr>
            </w:pPr>
            <w:r w:rsidRPr="000D52F9">
              <w:rPr>
                <w:color w:val="000000"/>
              </w:rPr>
              <w:t>Submit a new summary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4A8ACCC"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5F9CA0D" w14:textId="77777777">
            <w:pPr>
              <w:jc w:val="right"/>
            </w:pPr>
            <w:r w:rsidRPr="000D52F9">
              <w:t>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AC93A8E" w14:textId="77777777">
            <w:pPr>
              <w:jc w:val="right"/>
            </w:pPr>
            <w:r w:rsidRPr="000D52F9">
              <w:t>52.50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4D8075D" w14:textId="77777777">
            <w:pPr>
              <w:jc w:val="right"/>
            </w:pPr>
            <w:r w:rsidRPr="000D52F9">
              <w:t>52.50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E9F7A50"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7242EBF" w14:textId="77777777">
            <w:pPr>
              <w:jc w:val="right"/>
            </w:pPr>
            <w:r w:rsidRPr="000D52F9">
              <w:t>$3,374.00</w:t>
            </w:r>
          </w:p>
        </w:tc>
      </w:tr>
      <w:tr w14:paraId="56ECE312" w14:textId="77777777" w:rsidTr="000A4F66">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1F56F691" w14:textId="77777777">
            <w:pPr>
              <w:rPr>
                <w:color w:val="000000"/>
              </w:rPr>
            </w:pPr>
            <w:r>
              <w:rPr>
                <w:color w:val="000000"/>
              </w:rPr>
              <w:t xml:space="preserve">Initiate consultation </w:t>
            </w:r>
            <w:r w:rsidRPr="000D52F9">
              <w:rPr>
                <w:color w:val="000000"/>
              </w:rPr>
              <w:t>and request information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663DDC2F"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6E34EA29" w14:textId="77777777">
            <w:pPr>
              <w:jc w:val="right"/>
            </w:pPr>
            <w:r w:rsidRPr="000D52F9">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7F082718" w14:textId="77777777">
            <w:pPr>
              <w:jc w:val="right"/>
            </w:pPr>
            <w:r w:rsidRPr="000D52F9">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76D0BBD3" w14:textId="77777777">
            <w:pPr>
              <w:jc w:val="right"/>
            </w:pPr>
            <w:r w:rsidRPr="000D52F9">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40C29473"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03C5D0EE" w14:textId="77777777">
            <w:pPr>
              <w:jc w:val="right"/>
            </w:pPr>
            <w:r w:rsidRPr="000D52F9">
              <w:t>$0.00</w:t>
            </w:r>
          </w:p>
        </w:tc>
      </w:tr>
      <w:tr w14:paraId="7DA0BFAC" w14:textId="77777777" w:rsidTr="000A4F66">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58D0149C" w14:textId="77777777">
            <w:pPr>
              <w:rPr>
                <w:color w:val="000000"/>
              </w:rPr>
            </w:pPr>
            <w:r>
              <w:rPr>
                <w:color w:val="000000"/>
              </w:rPr>
              <w:t xml:space="preserve">Initiate consultation </w:t>
            </w:r>
            <w:r w:rsidRPr="000D52F9">
              <w:rPr>
                <w:color w:val="000000"/>
              </w:rPr>
              <w:t>and request information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41B3942A"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147F3E4" w14:textId="77777777">
            <w:pPr>
              <w:jc w:val="right"/>
            </w:pPr>
            <w:r w:rsidRPr="000D52F9">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60642321" w14:textId="77777777">
            <w:pPr>
              <w:jc w:val="right"/>
            </w:pPr>
            <w:r w:rsidRPr="000D52F9">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7CA496C1" w14:textId="77777777">
            <w:pPr>
              <w:jc w:val="right"/>
            </w:pPr>
            <w:r w:rsidRPr="000D52F9">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51386E49"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7CEBD03D" w14:textId="77777777">
            <w:pPr>
              <w:jc w:val="right"/>
            </w:pPr>
            <w:r w:rsidRPr="000D52F9">
              <w:t>$0.00</w:t>
            </w:r>
          </w:p>
        </w:tc>
      </w:tr>
      <w:tr w14:paraId="6F9F5062" w14:textId="77777777" w:rsidTr="000A4F66">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1AE63215" w14:textId="77777777">
            <w:pPr>
              <w:rPr>
                <w:color w:val="000000"/>
              </w:rPr>
            </w:pPr>
            <w:r>
              <w:rPr>
                <w:color w:val="000000"/>
              </w:rPr>
              <w:t>Submit a r</w:t>
            </w:r>
            <w:r w:rsidRPr="00973FE5">
              <w:rPr>
                <w:color w:val="000000"/>
              </w:rPr>
              <w:t>equest</w:t>
            </w:r>
            <w:r>
              <w:rPr>
                <w:color w:val="000000"/>
              </w:rPr>
              <w:t xml:space="preserve"> to consult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0C1C0834" w14:textId="77777777">
            <w:pPr>
              <w:rPr>
                <w:color w:val="000000"/>
              </w:rPr>
            </w:pPr>
            <w:r w:rsidRPr="000D52F9">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A736BB0" w14:textId="77777777">
            <w:pPr>
              <w:jc w:val="right"/>
            </w:pPr>
            <w:r w:rsidRPr="000D52F9">
              <w:t>39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8F70CA4" w14:textId="77777777">
            <w:pPr>
              <w:jc w:val="right"/>
            </w:pPr>
            <w:r w:rsidRPr="000D52F9">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8ACB0EB" w14:textId="77777777">
            <w:pPr>
              <w:jc w:val="right"/>
            </w:pPr>
            <w:r w:rsidRPr="000D52F9">
              <w:t>48.75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040BE9D6"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58166EA3" w14:textId="77777777">
            <w:pPr>
              <w:jc w:val="right"/>
            </w:pPr>
            <w:r w:rsidRPr="000D52F9">
              <w:t>$3,133.00</w:t>
            </w:r>
          </w:p>
        </w:tc>
      </w:tr>
      <w:tr w14:paraId="6F6DB8FF" w14:textId="77777777" w:rsidTr="000A4F66">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4DDBB264" w14:textId="77777777">
            <w:pPr>
              <w:rPr>
                <w:color w:val="000000"/>
              </w:rPr>
            </w:pPr>
            <w:r>
              <w:rPr>
                <w:color w:val="000000"/>
              </w:rPr>
              <w:t>Submit a r</w:t>
            </w:r>
            <w:r w:rsidRPr="00973FE5">
              <w:rPr>
                <w:color w:val="000000"/>
              </w:rPr>
              <w:t>equest</w:t>
            </w:r>
            <w:r>
              <w:rPr>
                <w:color w:val="000000"/>
              </w:rPr>
              <w:t xml:space="preserve"> to consult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00578AA9" w14:textId="77777777">
            <w:pPr>
              <w:rPr>
                <w:color w:val="000000"/>
              </w:rPr>
            </w:pPr>
            <w:r w:rsidRPr="000D52F9">
              <w:rPr>
                <w:color w:val="000000"/>
              </w:rPr>
              <w:t>Lineal descendants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396F3130" w14:textId="77777777">
            <w:pPr>
              <w:jc w:val="right"/>
            </w:pPr>
            <w:r w:rsidRPr="000D52F9">
              <w:t>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79BED654" w14:textId="77777777">
            <w:pPr>
              <w:jc w:val="right"/>
            </w:pPr>
            <w:r w:rsidRPr="000D52F9">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9313F37" w14:textId="77777777">
            <w:pPr>
              <w:jc w:val="right"/>
            </w:pPr>
            <w:r w:rsidRPr="000D52F9">
              <w:t>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6152EDA1" w14:textId="77777777">
            <w:pPr>
              <w:jc w:val="right"/>
            </w:pPr>
            <w:r w:rsidRPr="000D52F9">
              <w:t>$38.61</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457332B9" w14:textId="77777777">
            <w:pPr>
              <w:jc w:val="right"/>
            </w:pPr>
            <w:r w:rsidRPr="000D52F9">
              <w:t>$193.00</w:t>
            </w:r>
          </w:p>
        </w:tc>
      </w:tr>
      <w:tr w14:paraId="7E34C29F"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43878B8" w14:textId="2E987A6B">
            <w:pPr>
              <w:rPr>
                <w:color w:val="000000"/>
              </w:rPr>
            </w:pPr>
            <w:r>
              <w:rPr>
                <w:color w:val="000000"/>
              </w:rPr>
              <w:t>C</w:t>
            </w:r>
            <w:r w:rsidRPr="000D52F9">
              <w:rPr>
                <w:color w:val="000000"/>
              </w:rPr>
              <w:t>onduct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57BEFED"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EB04313" w14:textId="77777777">
            <w:pPr>
              <w:jc w:val="right"/>
            </w:pPr>
            <w:r w:rsidRPr="000D52F9">
              <w:t>37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B09D991" w14:textId="77777777">
            <w:pPr>
              <w:jc w:val="right"/>
            </w:pPr>
            <w:r w:rsidRPr="000D52F9">
              <w:t>100.25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3EC42DA" w14:textId="77777777">
            <w:pPr>
              <w:jc w:val="right"/>
            </w:pPr>
            <w:r w:rsidRPr="000D52F9">
              <w:t>3709.25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9CD815B"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BE869EE" w14:textId="77777777">
            <w:pPr>
              <w:jc w:val="right"/>
            </w:pPr>
            <w:r w:rsidRPr="000D52F9">
              <w:t>$238,356.00</w:t>
            </w:r>
          </w:p>
        </w:tc>
      </w:tr>
      <w:tr w14:paraId="18BAEDB9"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91B54EF" w14:textId="72A03EA3">
            <w:pPr>
              <w:rPr>
                <w:color w:val="000000"/>
              </w:rPr>
            </w:pPr>
            <w:r>
              <w:rPr>
                <w:color w:val="000000"/>
              </w:rPr>
              <w:t>C</w:t>
            </w:r>
            <w:r w:rsidRPr="000D52F9">
              <w:rPr>
                <w:color w:val="000000"/>
              </w:rPr>
              <w:t>onduct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8962260"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2B196A3" w14:textId="77777777">
            <w:pPr>
              <w:jc w:val="right"/>
            </w:pPr>
            <w:r w:rsidRPr="000D52F9">
              <w:t>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1ECDC49" w14:textId="77777777">
            <w:pPr>
              <w:jc w:val="right"/>
            </w:pPr>
            <w:r w:rsidRPr="000D52F9">
              <w:t>100.25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6CB93BF" w14:textId="77777777">
            <w:pPr>
              <w:jc w:val="right"/>
            </w:pPr>
            <w:r w:rsidRPr="000D52F9">
              <w:t>601.50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AEFB4D8"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8F98D9E" w14:textId="77777777">
            <w:pPr>
              <w:jc w:val="right"/>
            </w:pPr>
            <w:r w:rsidRPr="000D52F9">
              <w:t>$38,652.00</w:t>
            </w:r>
          </w:p>
        </w:tc>
      </w:tr>
      <w:tr w14:paraId="62FE6D98" w14:textId="77777777" w:rsidTr="000A4F66">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30082786" w14:textId="77777777">
            <w:pPr>
              <w:rPr>
                <w:color w:val="000000"/>
              </w:rPr>
            </w:pPr>
            <w:r w:rsidRPr="000D52F9">
              <w:rPr>
                <w:color w:val="000000"/>
              </w:rPr>
              <w:t>Make a record of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43E11D60"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E30C754" w14:textId="77777777">
            <w:pPr>
              <w:jc w:val="right"/>
            </w:pPr>
            <w:r w:rsidRPr="000D52F9">
              <w:t>37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05B9C69"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758C3924" w14:textId="77777777">
            <w:pPr>
              <w:jc w:val="right"/>
            </w:pPr>
            <w:r w:rsidRPr="000D52F9">
              <w:t>194.25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1F79017B"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003A98A4" w14:textId="77777777">
            <w:pPr>
              <w:jc w:val="right"/>
            </w:pPr>
            <w:r w:rsidRPr="000D52F9">
              <w:t>$12,483.00</w:t>
            </w:r>
          </w:p>
        </w:tc>
      </w:tr>
      <w:tr w14:paraId="72C61365" w14:textId="77777777" w:rsidTr="000A4F66">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55BF4BE4" w14:textId="77777777">
            <w:pPr>
              <w:rPr>
                <w:color w:val="000000"/>
              </w:rPr>
            </w:pPr>
            <w:r w:rsidRPr="000D52F9">
              <w:rPr>
                <w:color w:val="000000"/>
              </w:rPr>
              <w:t>Make a record of consultation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26CF52BB"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7AA58ECC" w14:textId="77777777">
            <w:pPr>
              <w:jc w:val="right"/>
            </w:pPr>
            <w:r w:rsidRPr="000D52F9">
              <w:t>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3C641129"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65F31ED8" w14:textId="77777777">
            <w:pPr>
              <w:jc w:val="right"/>
            </w:pPr>
            <w:r w:rsidRPr="000D52F9">
              <w:t>31.50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3AF33337"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F66" w:rsidRPr="000D52F9" w:rsidP="004208E6" w14:paraId="1F008A4B" w14:textId="77777777">
            <w:pPr>
              <w:jc w:val="right"/>
            </w:pPr>
            <w:r w:rsidRPr="000D52F9">
              <w:t>$2,024.00</w:t>
            </w:r>
          </w:p>
        </w:tc>
      </w:tr>
      <w:tr w14:paraId="204A5BEB"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63E877B" w14:textId="77777777">
            <w:pPr>
              <w:rPr>
                <w:color w:val="000000"/>
              </w:rPr>
            </w:pPr>
            <w:r w:rsidRPr="000D52F9">
              <w:rPr>
                <w:color w:val="000000"/>
              </w:rPr>
              <w:t>Submit a new inventory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7E05925"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4C8A3A7" w14:textId="77777777">
            <w:pPr>
              <w:jc w:val="right"/>
            </w:pPr>
            <w:r w:rsidRPr="000D52F9">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03B14E3" w14:textId="77777777">
            <w:pPr>
              <w:jc w:val="right"/>
            </w:pPr>
            <w:r w:rsidRPr="000D52F9">
              <w:t>155.00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59D0C6D" w14:textId="77777777">
            <w:pPr>
              <w:jc w:val="right"/>
            </w:pPr>
            <w:r w:rsidRPr="000D52F9">
              <w:t>775.00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4F281C6"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6694A0B" w14:textId="77777777">
            <w:pPr>
              <w:jc w:val="right"/>
            </w:pPr>
            <w:r w:rsidRPr="000D52F9">
              <w:t>$49,802.00</w:t>
            </w:r>
          </w:p>
        </w:tc>
      </w:tr>
      <w:tr w14:paraId="6819F1FB"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FB50AA1" w14:textId="77777777">
            <w:pPr>
              <w:rPr>
                <w:color w:val="000000"/>
              </w:rPr>
            </w:pPr>
            <w:r w:rsidRPr="000D52F9">
              <w:rPr>
                <w:color w:val="000000"/>
              </w:rPr>
              <w:t>Submit a new inventory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F65AE89"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AE594C3" w14:textId="77777777">
            <w:pPr>
              <w:jc w:val="right"/>
            </w:pPr>
            <w:r w:rsidRPr="000D52F9">
              <w:t>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488D243" w14:textId="77777777">
            <w:pPr>
              <w:jc w:val="right"/>
            </w:pPr>
            <w:r w:rsidRPr="000D52F9">
              <w:t>155.00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FF70A83" w14:textId="77777777">
            <w:pPr>
              <w:jc w:val="right"/>
            </w:pPr>
            <w:r w:rsidRPr="000D52F9">
              <w:t>155.00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35B29F2"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B64E108" w14:textId="77777777">
            <w:pPr>
              <w:jc w:val="right"/>
            </w:pPr>
            <w:r w:rsidRPr="000D52F9">
              <w:t>$9,960.00</w:t>
            </w:r>
          </w:p>
        </w:tc>
      </w:tr>
      <w:tr w14:paraId="07C0D70F"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665109C" w14:textId="77777777">
            <w:pPr>
              <w:rPr>
                <w:color w:val="000000"/>
              </w:rPr>
            </w:pPr>
            <w:r w:rsidRPr="000D52F9">
              <w:rPr>
                <w:color w:val="000000"/>
              </w:rPr>
              <w:t>Update summary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E3B1620"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BCCA138" w14:textId="77777777">
            <w:pPr>
              <w:jc w:val="right"/>
            </w:pPr>
            <w:r w:rsidRPr="000D52F9">
              <w:t>49</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451A1C8" w14:textId="77777777">
            <w:pPr>
              <w:jc w:val="right"/>
            </w:pPr>
            <w:r w:rsidRPr="000D52F9">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AB85797" w14:textId="77777777">
            <w:pPr>
              <w:jc w:val="right"/>
            </w:pPr>
            <w:r w:rsidRPr="000D52F9">
              <w:t>502.25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D04FED7"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3B166C8" w14:textId="77777777">
            <w:pPr>
              <w:jc w:val="right"/>
            </w:pPr>
            <w:r w:rsidRPr="000D52F9">
              <w:t>$32,275.00</w:t>
            </w:r>
          </w:p>
        </w:tc>
      </w:tr>
      <w:tr w14:paraId="7EA37A10"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C070A1B" w14:textId="77777777">
            <w:pPr>
              <w:rPr>
                <w:color w:val="000000"/>
              </w:rPr>
            </w:pPr>
            <w:r w:rsidRPr="000D52F9">
              <w:rPr>
                <w:color w:val="000000"/>
              </w:rPr>
              <w:t>Update summary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51B755E"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9725C89" w14:textId="77777777">
            <w:pPr>
              <w:jc w:val="right"/>
            </w:pPr>
            <w:r w:rsidRPr="000D52F9">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354AEE4" w14:textId="77777777">
            <w:pPr>
              <w:jc w:val="right"/>
            </w:pPr>
            <w:r w:rsidRPr="000D52F9">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2C6205E" w14:textId="77777777">
            <w:pPr>
              <w:jc w:val="right"/>
            </w:pPr>
            <w:r w:rsidRPr="000D52F9">
              <w:t>20.50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5D49130"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6D2C385" w14:textId="77777777">
            <w:pPr>
              <w:jc w:val="right"/>
            </w:pPr>
            <w:r w:rsidRPr="000D52F9">
              <w:t>$1,317.00</w:t>
            </w:r>
          </w:p>
        </w:tc>
      </w:tr>
      <w:tr w14:paraId="2D9806D0"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08EB338" w14:textId="77777777">
            <w:pPr>
              <w:rPr>
                <w:color w:val="000000"/>
              </w:rPr>
            </w:pPr>
            <w:r w:rsidRPr="000D52F9">
              <w:rPr>
                <w:color w:val="000000"/>
              </w:rPr>
              <w:t>Update inventory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D7E4B7A"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12262E2" w14:textId="77777777">
            <w:pPr>
              <w:jc w:val="right"/>
            </w:pPr>
            <w:r w:rsidRPr="000D52F9">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F385098" w14:textId="77777777">
            <w:pPr>
              <w:jc w:val="right"/>
            </w:pPr>
            <w:r w:rsidRPr="000D52F9">
              <w:t>50.25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E789E8E" w14:textId="77777777">
            <w:pPr>
              <w:jc w:val="right"/>
            </w:pPr>
            <w:r w:rsidRPr="000D52F9">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4675E11"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C9079A8" w14:textId="77777777">
            <w:pPr>
              <w:jc w:val="right"/>
            </w:pPr>
            <w:r w:rsidRPr="000D52F9">
              <w:t>$0.00</w:t>
            </w:r>
          </w:p>
        </w:tc>
      </w:tr>
      <w:tr w14:paraId="4642512D"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C4A18CD" w14:textId="77777777">
            <w:pPr>
              <w:rPr>
                <w:color w:val="000000"/>
              </w:rPr>
            </w:pPr>
            <w:r w:rsidRPr="000D52F9">
              <w:rPr>
                <w:color w:val="000000"/>
              </w:rPr>
              <w:t>Update inventory data</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1A65601"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53E1C8F" w14:textId="77777777">
            <w:pPr>
              <w:jc w:val="right"/>
            </w:pPr>
            <w:r w:rsidRPr="000D52F9">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ADA7CA2" w14:textId="77777777">
            <w:pPr>
              <w:jc w:val="right"/>
            </w:pPr>
            <w:r w:rsidRPr="000D52F9">
              <w:t>50.25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AEC1A42" w14:textId="77777777">
            <w:pPr>
              <w:jc w:val="right"/>
            </w:pPr>
            <w:r w:rsidRPr="000D52F9">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EB833C9"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BA78FBE" w14:textId="77777777">
            <w:pPr>
              <w:jc w:val="right"/>
            </w:pPr>
            <w:r w:rsidRPr="000D52F9">
              <w:t>$0.00</w:t>
            </w:r>
          </w:p>
        </w:tc>
      </w:tr>
      <w:tr w14:paraId="629221C6"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9310D6D" w14:textId="77777777">
            <w:pPr>
              <w:rPr>
                <w:color w:val="000000"/>
              </w:rPr>
            </w:pPr>
            <w:r w:rsidRPr="000D52F9">
              <w:rPr>
                <w:color w:val="000000"/>
              </w:rPr>
              <w:t>Submit notices of intent to repatriate</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9DD05E2"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F378F88" w14:textId="77777777">
            <w:pPr>
              <w:jc w:val="right"/>
            </w:pPr>
            <w:r w:rsidRPr="000D52F9">
              <w:t>32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18A4BD7"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18C6579" w14:textId="77777777">
            <w:pPr>
              <w:jc w:val="right"/>
            </w:pPr>
            <w:r w:rsidRPr="000D52F9">
              <w:t>168.00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21DC239"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AB0FACC" w14:textId="77777777">
            <w:pPr>
              <w:jc w:val="right"/>
            </w:pPr>
            <w:r w:rsidRPr="000D52F9">
              <w:t>$10,796.00</w:t>
            </w:r>
          </w:p>
        </w:tc>
      </w:tr>
      <w:tr w14:paraId="7E551E22"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B269594" w14:textId="77777777">
            <w:pPr>
              <w:rPr>
                <w:color w:val="000000"/>
              </w:rPr>
            </w:pPr>
            <w:r w:rsidRPr="000D52F9">
              <w:rPr>
                <w:color w:val="000000"/>
              </w:rPr>
              <w:t>Submit notices of inventory completion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24510C7"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EA17D1C" w14:textId="77777777">
            <w:pPr>
              <w:jc w:val="right"/>
            </w:pPr>
            <w:r w:rsidRPr="000D52F9">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4495458" w14:textId="77777777">
            <w:pPr>
              <w:jc w:val="right"/>
            </w:pPr>
            <w:r w:rsidRPr="000D52F9">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C357E25" w14:textId="77777777">
            <w:pPr>
              <w:jc w:val="right"/>
            </w:pPr>
            <w:r w:rsidRPr="000D52F9">
              <w:t>20.50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B354AE7"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6874454" w14:textId="77777777">
            <w:pPr>
              <w:jc w:val="right"/>
            </w:pPr>
            <w:r w:rsidRPr="000D52F9">
              <w:t>$1,317.00</w:t>
            </w:r>
          </w:p>
        </w:tc>
      </w:tr>
      <w:tr w14:paraId="7928F8CA"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271F377" w14:textId="77777777">
            <w:pPr>
              <w:rPr>
                <w:color w:val="000000"/>
              </w:rPr>
            </w:pPr>
            <w:r w:rsidRPr="000D52F9">
              <w:rPr>
                <w:color w:val="000000"/>
              </w:rPr>
              <w:t>Submit notices of inventory completion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895F27A"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B83E86A" w14:textId="77777777">
            <w:pPr>
              <w:jc w:val="right"/>
            </w:pPr>
            <w:r w:rsidRPr="000D52F9">
              <w:t>10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E783042" w14:textId="77777777">
            <w:pPr>
              <w:jc w:val="right"/>
            </w:pPr>
            <w:r w:rsidRPr="000D52F9">
              <w:t>10.25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3E0104B" w14:textId="77777777">
            <w:pPr>
              <w:jc w:val="right"/>
            </w:pPr>
            <w:r w:rsidRPr="000D52F9">
              <w:t>102.50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5DDEF8E"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E3BDA0D" w14:textId="77777777">
            <w:pPr>
              <w:jc w:val="right"/>
            </w:pPr>
            <w:r w:rsidRPr="000D52F9">
              <w:t>$6,587.00</w:t>
            </w:r>
          </w:p>
        </w:tc>
      </w:tr>
      <w:tr w14:paraId="4ED2DE94"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3DD55F2" w14:textId="77777777">
            <w:pPr>
              <w:rPr>
                <w:color w:val="000000"/>
              </w:rPr>
            </w:pPr>
            <w:r w:rsidRPr="000D52F9">
              <w:rPr>
                <w:color w:val="000000"/>
              </w:rPr>
              <w:t>Submit notices of intent to repatriate</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D36E26E"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D9974AB" w14:textId="77777777">
            <w:pPr>
              <w:jc w:val="right"/>
            </w:pPr>
            <w:r w:rsidRPr="000D52F9">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31DB4BE"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5AB90B9" w14:textId="77777777">
            <w:pPr>
              <w:jc w:val="right"/>
            </w:pPr>
            <w:r w:rsidRPr="000D52F9">
              <w:t>26.25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1DBEFC8"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D8ABF1E" w14:textId="77777777">
            <w:pPr>
              <w:jc w:val="right"/>
            </w:pPr>
            <w:r w:rsidRPr="000D52F9">
              <w:t>$1,687.00</w:t>
            </w:r>
          </w:p>
        </w:tc>
      </w:tr>
      <w:tr w14:paraId="0B6D495E"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5021CD8" w14:textId="77777777">
            <w:pPr>
              <w:rPr>
                <w:color w:val="000000"/>
              </w:rPr>
            </w:pPr>
            <w:r w:rsidRPr="000D52F9">
              <w:rPr>
                <w:color w:val="000000"/>
              </w:rPr>
              <w:t>Submit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D19861A" w14:textId="77777777">
            <w:pPr>
              <w:rPr>
                <w:color w:val="000000"/>
              </w:rPr>
            </w:pPr>
            <w:r w:rsidRPr="000D52F9">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73A620B" w14:textId="77777777">
            <w:pPr>
              <w:jc w:val="right"/>
            </w:pPr>
            <w:r w:rsidRPr="000D52F9">
              <w:t>42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5D02E98"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E983497" w14:textId="77777777">
            <w:pPr>
              <w:jc w:val="right"/>
            </w:pPr>
            <w:r w:rsidRPr="000D52F9">
              <w:t>220.50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026679C"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C61B519" w14:textId="77777777">
            <w:pPr>
              <w:jc w:val="right"/>
            </w:pPr>
            <w:r w:rsidRPr="000D52F9">
              <w:t>$14,169.00</w:t>
            </w:r>
          </w:p>
        </w:tc>
      </w:tr>
      <w:tr w14:paraId="30891087"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AA440FC" w14:textId="77777777">
            <w:pPr>
              <w:rPr>
                <w:color w:val="000000"/>
              </w:rPr>
            </w:pPr>
            <w:r w:rsidRPr="000D52F9">
              <w:rPr>
                <w:color w:val="000000"/>
              </w:rPr>
              <w:t>Submit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A5DF956" w14:textId="77777777">
            <w:pPr>
              <w:rPr>
                <w:color w:val="000000"/>
              </w:rPr>
            </w:pPr>
            <w:r w:rsidRPr="000D52F9">
              <w:rPr>
                <w:color w:val="000000"/>
              </w:rPr>
              <w:t>Lineal descendants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2332066" w14:textId="77777777">
            <w:pPr>
              <w:jc w:val="right"/>
            </w:pPr>
            <w:r w:rsidRPr="000D52F9">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E6EBFD3"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9C1C22A" w14:textId="77777777">
            <w:pPr>
              <w:jc w:val="right"/>
            </w:pPr>
            <w:r w:rsidRPr="000D52F9">
              <w:t>26.25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942AE29" w14:textId="77777777">
            <w:pPr>
              <w:jc w:val="right"/>
            </w:pPr>
            <w:r w:rsidRPr="000D52F9">
              <w:t>$38.61</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E2019C2" w14:textId="77777777">
            <w:pPr>
              <w:jc w:val="right"/>
            </w:pPr>
            <w:r w:rsidRPr="000D52F9">
              <w:t>$1,014.00</w:t>
            </w:r>
          </w:p>
        </w:tc>
      </w:tr>
      <w:tr w14:paraId="3943832C"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54BD7FF" w14:textId="77777777">
            <w:pPr>
              <w:rPr>
                <w:color w:val="000000"/>
              </w:rPr>
            </w:pPr>
            <w:r w:rsidRPr="000D52F9">
              <w:rPr>
                <w:color w:val="000000"/>
              </w:rPr>
              <w:t>Respond to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9AA1A05"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DB4F720" w14:textId="77777777">
            <w:pPr>
              <w:jc w:val="right"/>
            </w:pPr>
            <w:r w:rsidRPr="000D52F9">
              <w:t>40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2796124"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59065BD" w14:textId="77777777">
            <w:pPr>
              <w:jc w:val="right"/>
            </w:pPr>
            <w:r w:rsidRPr="000D52F9">
              <w:t>210.00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F9BDE53"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9ACE7C0" w14:textId="77777777">
            <w:pPr>
              <w:jc w:val="right"/>
            </w:pPr>
            <w:r w:rsidRPr="000D52F9">
              <w:t>$13,495.00</w:t>
            </w:r>
          </w:p>
        </w:tc>
      </w:tr>
      <w:tr w14:paraId="0AD2FD38"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E0C0154" w14:textId="77777777">
            <w:pPr>
              <w:rPr>
                <w:color w:val="000000"/>
              </w:rPr>
            </w:pPr>
            <w:r w:rsidRPr="000D52F9">
              <w:rPr>
                <w:color w:val="000000"/>
              </w:rPr>
              <w:t>Respond to a request for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D9BE541"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0B6E4A0" w14:textId="77777777">
            <w:pPr>
              <w:jc w:val="right"/>
            </w:pPr>
            <w:r w:rsidRPr="000D52F9">
              <w:t>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36DAB30"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14D1AD7" w14:textId="77777777">
            <w:pPr>
              <w:jc w:val="right"/>
            </w:pPr>
            <w:r w:rsidRPr="000D52F9">
              <w:t>36.75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60B921B"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4F0F424" w14:textId="77777777">
            <w:pPr>
              <w:jc w:val="right"/>
            </w:pPr>
            <w:r w:rsidRPr="000D52F9">
              <w:t>$2,362.00</w:t>
            </w:r>
          </w:p>
        </w:tc>
      </w:tr>
      <w:tr w14:paraId="6C33D554"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B4915A6" w14:textId="2D0C13AA">
            <w:pPr>
              <w:rPr>
                <w:color w:val="000000"/>
              </w:rPr>
            </w:pPr>
            <w:r w:rsidRPr="000D52F9">
              <w:rPr>
                <w:color w:val="000000"/>
              </w:rPr>
              <w:t>Send a repatriation statement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DD06603"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EE6395C" w14:textId="77777777">
            <w:pPr>
              <w:jc w:val="right"/>
            </w:pPr>
            <w:r w:rsidRPr="000D52F9">
              <w:t>40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1336812" w14:textId="77777777">
            <w:pPr>
              <w:jc w:val="right"/>
            </w:pPr>
            <w:r w:rsidRPr="000D52F9">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C2C58B9" w14:textId="77777777">
            <w:pPr>
              <w:jc w:val="right"/>
            </w:pPr>
            <w:r w:rsidRPr="000D52F9">
              <w:t>110.00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C549768"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44167B1" w14:textId="77777777">
            <w:pPr>
              <w:jc w:val="right"/>
            </w:pPr>
            <w:r w:rsidRPr="000D52F9">
              <w:t>$7,069.00</w:t>
            </w:r>
          </w:p>
        </w:tc>
      </w:tr>
      <w:tr w14:paraId="110B7B08"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B8BE42A" w14:textId="435B3607">
            <w:pPr>
              <w:rPr>
                <w:color w:val="000000"/>
              </w:rPr>
            </w:pPr>
            <w:r w:rsidRPr="000D52F9">
              <w:rPr>
                <w:color w:val="000000"/>
              </w:rPr>
              <w:t>Send a repatriation statement</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0BCE16B"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920AE9F" w14:textId="77777777">
            <w:pPr>
              <w:jc w:val="right"/>
            </w:pPr>
            <w:r w:rsidRPr="000D52F9">
              <w:t>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5D7E10F" w14:textId="77777777">
            <w:pPr>
              <w:jc w:val="right"/>
            </w:pPr>
            <w:r w:rsidRPr="000D52F9">
              <w:t>2.75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5E1A104" w14:textId="77777777">
            <w:pPr>
              <w:jc w:val="right"/>
            </w:pPr>
            <w:r w:rsidRPr="000D52F9">
              <w:t>19.25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BEAE281"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D0056B6" w14:textId="77777777">
            <w:pPr>
              <w:jc w:val="right"/>
            </w:pPr>
            <w:r w:rsidRPr="000D52F9">
              <w:t>$1,237.00</w:t>
            </w:r>
          </w:p>
        </w:tc>
      </w:tr>
      <w:tr w14:paraId="024B8508"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07B9F94" w14:textId="77777777">
            <w:pPr>
              <w:rPr>
                <w:color w:val="000000"/>
              </w:rPr>
            </w:pPr>
            <w:r w:rsidRPr="000D52F9">
              <w:rPr>
                <w:color w:val="000000"/>
              </w:rPr>
              <w:t>Document physical transfer</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1A590B0"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7AC71F3" w14:textId="77777777">
            <w:pPr>
              <w:jc w:val="right"/>
            </w:pPr>
            <w:r w:rsidRPr="000D52F9">
              <w:t>40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D9C5D97"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2BF5800" w14:textId="77777777">
            <w:pPr>
              <w:jc w:val="right"/>
            </w:pPr>
            <w:r w:rsidRPr="000D52F9">
              <w:t>210.00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19FD24B"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B533601" w14:textId="77777777">
            <w:pPr>
              <w:jc w:val="right"/>
            </w:pPr>
            <w:r w:rsidRPr="000D52F9">
              <w:t>$13,495.00</w:t>
            </w:r>
          </w:p>
        </w:tc>
      </w:tr>
      <w:tr w14:paraId="46BFAD80"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63B2E05" w14:textId="77777777">
            <w:pPr>
              <w:rPr>
                <w:color w:val="000000"/>
              </w:rPr>
            </w:pPr>
            <w:r w:rsidRPr="000D52F9">
              <w:rPr>
                <w:color w:val="000000"/>
              </w:rPr>
              <w:t>Document physical transfer</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7612C71"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5F2C57C" w14:textId="77777777">
            <w:pPr>
              <w:jc w:val="right"/>
            </w:pPr>
            <w:r w:rsidRPr="000D52F9">
              <w:t>7</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D8F2F76"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91CC729" w14:textId="77777777">
            <w:pPr>
              <w:jc w:val="right"/>
            </w:pPr>
            <w:r w:rsidRPr="000D52F9">
              <w:t>36.75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011757D"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8D53785" w14:textId="77777777">
            <w:pPr>
              <w:jc w:val="right"/>
            </w:pPr>
            <w:r w:rsidRPr="000D52F9">
              <w:t>$2,362.00</w:t>
            </w:r>
          </w:p>
        </w:tc>
      </w:tr>
      <w:tr w14:paraId="6956D501"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26FEC94" w14:textId="77777777">
            <w:pPr>
              <w:rPr>
                <w:color w:val="000000"/>
              </w:rPr>
            </w:pPr>
            <w:r w:rsidRPr="000D52F9">
              <w:rPr>
                <w:color w:val="000000"/>
              </w:rPr>
              <w:t>Evaluate competing requests and resolve stays of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AD3C4E1"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934C0C9" w14:textId="77777777">
            <w:pPr>
              <w:jc w:val="right"/>
            </w:pPr>
            <w:r w:rsidRPr="000D52F9">
              <w:t>12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7D498B7" w14:textId="77777777">
            <w:pPr>
              <w:jc w:val="right"/>
            </w:pPr>
            <w:r w:rsidRPr="000D52F9">
              <w:t>25.25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1F37913" w14:textId="77777777">
            <w:pPr>
              <w:jc w:val="right"/>
            </w:pPr>
            <w:r w:rsidRPr="000D52F9">
              <w:t>303.00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478AA84"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43250EA" w14:textId="77777777">
            <w:pPr>
              <w:jc w:val="right"/>
            </w:pPr>
            <w:r w:rsidRPr="000D52F9">
              <w:t>$19,471.00</w:t>
            </w:r>
          </w:p>
        </w:tc>
      </w:tr>
      <w:tr w14:paraId="7E954EFD"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33689D0" w14:textId="77777777">
            <w:pPr>
              <w:rPr>
                <w:color w:val="000000"/>
              </w:rPr>
            </w:pPr>
            <w:r w:rsidRPr="000D52F9">
              <w:rPr>
                <w:color w:val="000000"/>
              </w:rPr>
              <w:t>Evaluate competing requests and resolve stays of repatriation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E51D378"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42A7371" w14:textId="77777777">
            <w:pPr>
              <w:jc w:val="right"/>
            </w:pPr>
            <w:r w:rsidRPr="000D52F9">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B9B8F84" w14:textId="77777777">
            <w:pPr>
              <w:jc w:val="right"/>
            </w:pPr>
            <w:r w:rsidRPr="000D52F9">
              <w:t>25.25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9DD9026" w14:textId="77777777">
            <w:pPr>
              <w:jc w:val="right"/>
            </w:pPr>
            <w:r w:rsidRPr="000D52F9">
              <w:t>50.50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3EFC970"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10F9A09" w14:textId="77777777">
            <w:pPr>
              <w:jc w:val="right"/>
            </w:pPr>
            <w:r w:rsidRPr="000D52F9">
              <w:t>$3,245.00</w:t>
            </w:r>
          </w:p>
        </w:tc>
      </w:tr>
      <w:tr w14:paraId="6FF09E05"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1044CB3" w14:textId="77777777">
            <w:pPr>
              <w:rPr>
                <w:color w:val="000000"/>
              </w:rPr>
            </w:pPr>
            <w:r w:rsidRPr="000D52F9">
              <w:rPr>
                <w:color w:val="000000"/>
              </w:rPr>
              <w:t>Request transfer of human remains or cultural items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CFF548E" w14:textId="77777777">
            <w:pPr>
              <w:rPr>
                <w:color w:val="000000"/>
              </w:rPr>
            </w:pPr>
            <w:r w:rsidRPr="000D52F9">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A5BAA25" w14:textId="77777777">
            <w:pPr>
              <w:jc w:val="right"/>
            </w:pPr>
            <w:r w:rsidRPr="000D52F9">
              <w:t>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99B301F" w14:textId="77777777">
            <w:pPr>
              <w:jc w:val="right"/>
            </w:pPr>
            <w:r w:rsidRPr="000D52F9">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191F792" w14:textId="77777777">
            <w:pPr>
              <w:jc w:val="right"/>
            </w:pPr>
            <w:r w:rsidRPr="000D52F9">
              <w:t>7.50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7D35B81"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26A37EE" w14:textId="77777777">
            <w:pPr>
              <w:jc w:val="right"/>
            </w:pPr>
            <w:r w:rsidRPr="000D52F9">
              <w:t>$482.00</w:t>
            </w:r>
          </w:p>
        </w:tc>
      </w:tr>
      <w:tr w14:paraId="67CB8504"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CEB09B1" w14:textId="77777777">
            <w:pPr>
              <w:rPr>
                <w:color w:val="000000"/>
              </w:rPr>
            </w:pPr>
            <w:r w:rsidRPr="000D52F9">
              <w:rPr>
                <w:color w:val="000000"/>
              </w:rPr>
              <w:t>Transfer or reinter human remains and associated funerary objects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FDFD072"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84C9D14" w14:textId="77777777">
            <w:pPr>
              <w:jc w:val="right"/>
            </w:pPr>
            <w:r w:rsidRPr="000D52F9">
              <w:t>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E32BED1"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BCF1465" w14:textId="77777777">
            <w:pPr>
              <w:jc w:val="right"/>
            </w:pPr>
            <w:r w:rsidRPr="000D52F9">
              <w:t>31.50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24E3091"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CAA2EA0" w14:textId="77777777">
            <w:pPr>
              <w:jc w:val="right"/>
            </w:pPr>
            <w:r w:rsidRPr="000D52F9">
              <w:t>$2,024.00</w:t>
            </w:r>
          </w:p>
        </w:tc>
      </w:tr>
      <w:tr w14:paraId="732F34A0"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5BAE2F1" w14:textId="77777777">
            <w:pPr>
              <w:rPr>
                <w:color w:val="000000"/>
              </w:rPr>
            </w:pPr>
            <w:r w:rsidRPr="000D52F9">
              <w:rPr>
                <w:color w:val="000000"/>
              </w:rPr>
              <w:t>Transfer or reinter human remains and associated funerary objects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DA0EE05" w14:textId="77777777">
            <w:pPr>
              <w:rPr>
                <w:color w:val="000000"/>
              </w:rPr>
            </w:pPr>
            <w:r w:rsidRPr="000D52F9">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1D8380B" w14:textId="77777777">
            <w:pPr>
              <w:jc w:val="right"/>
            </w:pPr>
            <w:r w:rsidRPr="000D52F9">
              <w:t>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EEACC25" w14:textId="77777777">
            <w:pPr>
              <w:jc w:val="right"/>
            </w:pPr>
            <w:r w:rsidRPr="000D52F9">
              <w:t>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40A69297" w14:textId="77777777">
            <w:pPr>
              <w:jc w:val="right"/>
            </w:pPr>
            <w:r w:rsidRPr="000D52F9">
              <w:t>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1527B1A"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44982E3" w14:textId="77777777">
            <w:pPr>
              <w:jc w:val="right"/>
            </w:pPr>
            <w:r w:rsidRPr="000D52F9">
              <w:t>$0.00</w:t>
            </w:r>
          </w:p>
        </w:tc>
      </w:tr>
      <w:tr w14:paraId="4873105F"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502C91F" w14:textId="77777777">
            <w:pPr>
              <w:rPr>
                <w:color w:val="000000"/>
              </w:rPr>
            </w:pPr>
            <w:r w:rsidRPr="000D52F9">
              <w:rPr>
                <w:color w:val="000000"/>
              </w:rPr>
              <w:t>File an allegation of failure to comply</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6EA92CA" w14:textId="77777777">
            <w:pPr>
              <w:rPr>
                <w:color w:val="000000"/>
              </w:rPr>
            </w:pPr>
            <w:r w:rsidRPr="000D52F9">
              <w:rPr>
                <w:color w:val="000000"/>
              </w:rPr>
              <w:t>Any person</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00E11D7" w14:textId="77777777">
            <w:pPr>
              <w:jc w:val="right"/>
            </w:pPr>
            <w:r w:rsidRPr="000D52F9">
              <w:t>2</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6CF69BA" w14:textId="77777777">
            <w:pPr>
              <w:jc w:val="right"/>
            </w:pPr>
            <w:r w:rsidRPr="000D52F9">
              <w:t>1.25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E17F1E4" w14:textId="77777777">
            <w:pPr>
              <w:jc w:val="right"/>
            </w:pPr>
            <w:r w:rsidRPr="000D52F9">
              <w:t>2.50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7A79231" w14:textId="77777777">
            <w:pPr>
              <w:jc w:val="right"/>
            </w:pPr>
            <w:r w:rsidRPr="000D52F9">
              <w:t>$40.90</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2A03DE4" w14:textId="77777777">
            <w:pPr>
              <w:jc w:val="right"/>
            </w:pPr>
            <w:r w:rsidRPr="000D52F9">
              <w:t>$102.00</w:t>
            </w:r>
          </w:p>
        </w:tc>
      </w:tr>
      <w:tr w14:paraId="02B3817A"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0147DD5D" w14:textId="77777777">
            <w:pPr>
              <w:rPr>
                <w:color w:val="000000"/>
              </w:rPr>
            </w:pPr>
            <w:r w:rsidRPr="000D52F9">
              <w:rPr>
                <w:color w:val="000000"/>
              </w:rPr>
              <w:t>Respond to a civil penalty action</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D03EBE3" w14:textId="77777777">
            <w:pPr>
              <w:rPr>
                <w:color w:val="000000"/>
              </w:rPr>
            </w:pPr>
            <w:r w:rsidRPr="000D52F9">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5A7D38A8" w14:textId="77777777">
            <w:pPr>
              <w:jc w:val="right"/>
            </w:pPr>
            <w:r w:rsidRPr="000D52F9">
              <w:t>4</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0F37E7E" w14:textId="77777777">
            <w:pPr>
              <w:jc w:val="right"/>
            </w:pPr>
            <w:r w:rsidRPr="000D52F9">
              <w:t>17.50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8486C1B" w14:textId="77777777">
            <w:pPr>
              <w:jc w:val="right"/>
            </w:pPr>
            <w:r w:rsidRPr="000D52F9">
              <w:t>70.00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D683AD3" w14:textId="77777777">
            <w:pPr>
              <w:jc w:val="right"/>
            </w:pPr>
            <w:r w:rsidRPr="000D52F9">
              <w:t>$64.26</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62A58385" w14:textId="77777777">
            <w:pPr>
              <w:jc w:val="right"/>
            </w:pPr>
            <w:r w:rsidRPr="000D52F9">
              <w:t>$4,498.00</w:t>
            </w:r>
          </w:p>
        </w:tc>
      </w:tr>
      <w:tr w14:paraId="55818FA2" w14:textId="77777777" w:rsidTr="00D75B9C">
        <w:tblPrEx>
          <w:tblW w:w="12826"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B7AD7F9" w14:textId="2C8A1BD3">
            <w:pPr>
              <w:jc w:val="right"/>
              <w:rPr>
                <w:b/>
                <w:bCs/>
                <w:color w:val="000000"/>
              </w:rPr>
            </w:pPr>
            <w:r>
              <w:rPr>
                <w:b/>
                <w:bCs/>
                <w:color w:val="000000"/>
              </w:rPr>
              <w:t>Total</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72BC3D34" w14:textId="77777777">
            <w:pPr>
              <w:jc w:val="center"/>
              <w:rPr>
                <w:b/>
                <w:bCs/>
                <w:color w:val="000000"/>
              </w:rPr>
            </w:pP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A84EB41" w14:textId="77777777">
            <w:pPr>
              <w:jc w:val="center"/>
              <w:rPr>
                <w:b/>
                <w:bCs/>
              </w:rPr>
            </w:pPr>
            <w:r w:rsidRPr="000D52F9">
              <w:rPr>
                <w:b/>
                <w:bCs/>
              </w:rPr>
              <w:t>463</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841DDBB" w14:textId="77777777">
            <w:pPr>
              <w:jc w:val="center"/>
              <w:rPr>
                <w:b/>
                <w:bCs/>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31E3FC7E" w14:textId="77777777">
            <w:pPr>
              <w:jc w:val="center"/>
              <w:rPr>
                <w:b/>
                <w:bCs/>
              </w:rPr>
            </w:pPr>
            <w:r w:rsidRPr="000D52F9">
              <w:rPr>
                <w:b/>
                <w:bCs/>
              </w:rPr>
              <w:t>8,114.75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125A3209" w14:textId="77777777">
            <w:pPr>
              <w:jc w:val="center"/>
              <w:rPr>
                <w:b/>
                <w:bCs/>
              </w:rPr>
            </w:pP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2F9" w:rsidRPr="000D52F9" w:rsidP="000D52F9" w14:paraId="293E48F4" w14:textId="7AD7E2A8">
            <w:pPr>
              <w:jc w:val="center"/>
              <w:rPr>
                <w:b/>
                <w:bCs/>
              </w:rPr>
            </w:pPr>
            <w:r>
              <w:rPr>
                <w:b/>
                <w:bCs/>
              </w:rPr>
              <w:t>$</w:t>
            </w:r>
            <w:r w:rsidRPr="000D52F9">
              <w:rPr>
                <w:b/>
                <w:bCs/>
              </w:rPr>
              <w:t>520,597.00</w:t>
            </w:r>
          </w:p>
        </w:tc>
      </w:tr>
    </w:tbl>
    <w:p w:rsidR="00571010" w:rsidP="00132CC5" w14:paraId="444B788C" w14:textId="77777777">
      <w:pPr>
        <w:pStyle w:val="ListParagraph"/>
        <w:ind w:left="1080"/>
      </w:pPr>
    </w:p>
    <w:p w:rsidR="001D1E84" w:rsidP="00132CC5" w14:paraId="0D55B186" w14:textId="77777777">
      <w:pPr>
        <w:pStyle w:val="ListParagraph"/>
        <w:ind w:left="1080"/>
      </w:pPr>
    </w:p>
    <w:p w:rsidR="00E66517" w:rsidRPr="00157826" w:rsidP="00E66517" w14:paraId="30E93F1C" w14:textId="77777777">
      <w:pPr>
        <w:rPr>
          <w:b/>
          <w:bCs/>
        </w:rPr>
      </w:pPr>
      <w:r w:rsidRPr="00157826">
        <w:rPr>
          <w:b/>
          <w:bCs/>
        </w:rPr>
        <w:t>No change from baseline conditions for:</w:t>
      </w:r>
    </w:p>
    <w:p w:rsidR="00E66517" w:rsidRPr="00A10B4A" w:rsidP="00E66517" w14:paraId="7F26EBA3" w14:textId="77777777">
      <w:pPr>
        <w:rPr>
          <w:i/>
        </w:rPr>
      </w:pPr>
      <w:r w:rsidRPr="00A10B4A">
        <w:rPr>
          <w:i/>
        </w:rPr>
        <w:t>Submit a new summary</w:t>
      </w:r>
      <w:r>
        <w:rPr>
          <w:i/>
        </w:rPr>
        <w:t>.</w:t>
      </w:r>
    </w:p>
    <w:p w:rsidR="00E66517" w:rsidRPr="00A10B4A" w:rsidP="00E66517" w14:paraId="132ABD96" w14:textId="77777777">
      <w:pPr>
        <w:rPr>
          <w:i/>
        </w:rPr>
      </w:pPr>
      <w:r w:rsidRPr="00A10B4A">
        <w:rPr>
          <w:i/>
        </w:rPr>
        <w:t>Submit a new inventory</w:t>
      </w:r>
      <w:r>
        <w:rPr>
          <w:i/>
        </w:rPr>
        <w:t>.</w:t>
      </w:r>
    </w:p>
    <w:p w:rsidR="00E66517" w:rsidRPr="00A10B4A" w:rsidP="00E66517" w14:paraId="69B7D039" w14:textId="77777777">
      <w:pPr>
        <w:rPr>
          <w:i/>
        </w:rPr>
      </w:pPr>
      <w:r w:rsidRPr="00A10B4A">
        <w:rPr>
          <w:i/>
        </w:rPr>
        <w:t>Update summary data</w:t>
      </w:r>
      <w:r>
        <w:rPr>
          <w:i/>
        </w:rPr>
        <w:t>.</w:t>
      </w:r>
    </w:p>
    <w:p w:rsidR="00E66517" w:rsidRPr="00A10B4A" w:rsidP="00E66517" w14:paraId="4BBC0568" w14:textId="77777777">
      <w:pPr>
        <w:rPr>
          <w:i/>
        </w:rPr>
      </w:pPr>
      <w:r w:rsidRPr="00A10B4A">
        <w:rPr>
          <w:i/>
        </w:rPr>
        <w:t>Submit notices of intent to repatriate</w:t>
      </w:r>
      <w:r>
        <w:rPr>
          <w:i/>
        </w:rPr>
        <w:t>.</w:t>
      </w:r>
    </w:p>
    <w:p w:rsidR="00E66517" w:rsidRPr="00A10B4A" w:rsidP="00E66517" w14:paraId="07283370" w14:textId="77777777">
      <w:pPr>
        <w:rPr>
          <w:i/>
        </w:rPr>
      </w:pPr>
      <w:r w:rsidRPr="00A10B4A">
        <w:rPr>
          <w:i/>
        </w:rPr>
        <w:t>Evaluate competing requests and resolve stays of repatriation</w:t>
      </w:r>
      <w:r>
        <w:rPr>
          <w:i/>
        </w:rPr>
        <w:t>.</w:t>
      </w:r>
    </w:p>
    <w:p w:rsidR="00E66517" w:rsidRPr="00A10B4A" w:rsidP="00E66517" w14:paraId="2C49FC32" w14:textId="77777777">
      <w:pPr>
        <w:rPr>
          <w:i/>
        </w:rPr>
      </w:pPr>
      <w:r w:rsidRPr="00A10B4A">
        <w:rPr>
          <w:i/>
        </w:rPr>
        <w:t>File an allegation of failure to comply</w:t>
      </w:r>
      <w:r>
        <w:rPr>
          <w:i/>
        </w:rPr>
        <w:t>.</w:t>
      </w:r>
    </w:p>
    <w:p w:rsidR="00E66517" w:rsidP="00E66517" w14:paraId="2D5CDFF5" w14:textId="77777777">
      <w:pPr>
        <w:rPr>
          <w:i/>
        </w:rPr>
      </w:pPr>
      <w:r w:rsidRPr="00A10B4A">
        <w:rPr>
          <w:i/>
        </w:rPr>
        <w:t>Respond to a civil penalty action</w:t>
      </w:r>
      <w:r>
        <w:rPr>
          <w:i/>
        </w:rPr>
        <w:t>.</w:t>
      </w:r>
    </w:p>
    <w:p w:rsidR="00E66517" w:rsidP="001D1E84" w14:paraId="2E417FC2" w14:textId="77777777">
      <w:pPr>
        <w:rPr>
          <w:b/>
          <w:bCs/>
        </w:rPr>
      </w:pPr>
    </w:p>
    <w:p w:rsidR="00C82C42" w:rsidP="001D1E84" w14:paraId="44DD054C" w14:textId="77777777">
      <w:pPr>
        <w:rPr>
          <w:b/>
          <w:bCs/>
        </w:rPr>
      </w:pPr>
    </w:p>
    <w:p w:rsidR="001D1E84" w:rsidRPr="00157826" w:rsidP="001D1E84" w14:paraId="46A7C87B" w14:textId="0EF58133">
      <w:pPr>
        <w:rPr>
          <w:b/>
          <w:bCs/>
        </w:rPr>
      </w:pPr>
      <w:r w:rsidRPr="00157826">
        <w:rPr>
          <w:b/>
          <w:bCs/>
        </w:rPr>
        <w:t>Revision</w:t>
      </w:r>
      <w:r w:rsidR="002047F1">
        <w:rPr>
          <w:b/>
          <w:bCs/>
        </w:rPr>
        <w:t>s from baseline conditions for proposed regulatory action</w:t>
      </w:r>
      <w:r>
        <w:rPr>
          <w:b/>
          <w:bCs/>
        </w:rPr>
        <w:t xml:space="preserve"> (years 4 +):</w:t>
      </w:r>
    </w:p>
    <w:p w:rsidR="00A71AB0" w:rsidP="00A71AB0" w14:paraId="1EF2B2CE" w14:textId="41C3D880">
      <w:r>
        <w:rPr>
          <w:i/>
        </w:rPr>
        <w:t>Initiate consultation and r</w:t>
      </w:r>
      <w:r w:rsidRPr="00814BCD">
        <w:rPr>
          <w:i/>
        </w:rPr>
        <w:t xml:space="preserve">equest </w:t>
      </w:r>
      <w:r>
        <w:rPr>
          <w:i/>
        </w:rPr>
        <w:t>i</w:t>
      </w:r>
      <w:r w:rsidRPr="00814BCD">
        <w:rPr>
          <w:i/>
        </w:rPr>
        <w:t>nformation</w:t>
      </w:r>
      <w:r>
        <w:t xml:space="preserve">. </w:t>
      </w:r>
      <w:r w:rsidRPr="00853EAB">
        <w:t xml:space="preserve">The number of museums </w:t>
      </w:r>
      <w:r>
        <w:t>initiating consultation</w:t>
      </w:r>
      <w:r w:rsidRPr="00853EAB">
        <w:t xml:space="preserve"> and requesting information is </w:t>
      </w:r>
      <w:r>
        <w:t>expected to decrease compared to baseline conditions. We estimate t</w:t>
      </w:r>
      <w:r w:rsidRPr="00853EAB">
        <w:t>he number of museums</w:t>
      </w:r>
      <w:r>
        <w:t xml:space="preserve"> (n=0) and Federal agencies (n=0) initiating consultation</w:t>
      </w:r>
      <w:r w:rsidRPr="00853EAB">
        <w:t xml:space="preserve"> and requesting information based on </w:t>
      </w:r>
      <w:r w:rsidRPr="0084429C">
        <w:t>the</w:t>
      </w:r>
      <w:r>
        <w:t xml:space="preserve"> proposed regulatory action</w:t>
      </w:r>
      <w:r w:rsidRPr="0084429C">
        <w:t xml:space="preserve">. </w:t>
      </w:r>
      <w:r>
        <w:t>The proposed regulatory action will require museums to update inventory data within three years after promulgating of a final rule. After three years, museums and Federal agencies will not be required to initiate consultation and request information to update inventories. Consultation will still be required on for new inventories and notices of intent to repatriate. These costs are estimated under “Conduct consultation.”</w:t>
      </w:r>
    </w:p>
    <w:p w:rsidR="00A71AB0" w:rsidP="00A71AB0" w14:paraId="5FC23F4F" w14:textId="77777777"/>
    <w:p w:rsidR="00A71AB0" w:rsidRPr="007F7E75" w:rsidP="00A71AB0" w14:paraId="368D8350" w14:textId="5E9CD20C">
      <w:r>
        <w:rPr>
          <w:i/>
          <w:iCs/>
        </w:rPr>
        <w:t>Submit a request to consult</w:t>
      </w:r>
      <w:r w:rsidRPr="000C1F33">
        <w:rPr>
          <w:i/>
          <w:iCs/>
        </w:rPr>
        <w:t xml:space="preserve">. </w:t>
      </w:r>
      <w:r w:rsidRPr="007F7E75">
        <w:t>We estimate the number of lineal descendants (n=</w:t>
      </w:r>
      <w:r>
        <w:t>4</w:t>
      </w:r>
      <w:r w:rsidRPr="007F7E75">
        <w:t>) and Indian Tribes or NHOs (n=</w:t>
      </w:r>
      <w:r>
        <w:t>39</w:t>
      </w:r>
      <w:r w:rsidRPr="007F7E75">
        <w:t xml:space="preserve">) requesting to consult based on the total number of new inventories (which require consultation) and the total number of notices of intent to repatriate (which require consultation). We estimate the time per response ranges from </w:t>
      </w:r>
      <w:r>
        <w:t xml:space="preserve">less than one hour, or 0.50 hours, </w:t>
      </w:r>
      <w:r w:rsidRPr="007F7E75">
        <w:t>to 2 hours, depending on the size and complexity of the request, for a median of 1.25 hours.</w:t>
      </w:r>
    </w:p>
    <w:p w:rsidR="00A71AB0" w:rsidP="00A71AB0" w14:paraId="6DF37145" w14:textId="77777777"/>
    <w:p w:rsidR="001D1E84" w:rsidP="001D1E84" w14:paraId="5CFFE6B1" w14:textId="76016442">
      <w:r>
        <w:rPr>
          <w:i/>
          <w:iCs/>
        </w:rPr>
        <w:t>C</w:t>
      </w:r>
      <w:r>
        <w:rPr>
          <w:i/>
          <w:iCs/>
        </w:rPr>
        <w:t>onduct consultation.</w:t>
      </w:r>
      <w:r>
        <w:t xml:space="preserve"> We estimate that the number of museums (n=</w:t>
      </w:r>
      <w:r w:rsidR="00F70536">
        <w:t>37</w:t>
      </w:r>
      <w:r>
        <w:t>) and Federal agencies (n=</w:t>
      </w:r>
      <w:r w:rsidR="00F70536">
        <w:t>6</w:t>
      </w:r>
      <w:r>
        <w:t>) initiating and conducting consultation based on</w:t>
      </w:r>
      <w:r w:rsidRPr="005E3D44">
        <w:t xml:space="preserve"> </w:t>
      </w:r>
      <w:r>
        <w:t xml:space="preserve">the number of new </w:t>
      </w:r>
      <w:r w:rsidRPr="00FC0642">
        <w:t>inventor</w:t>
      </w:r>
      <w:r>
        <w:t>ies</w:t>
      </w:r>
      <w:r w:rsidRPr="00FC0642">
        <w:t xml:space="preserve"> (which</w:t>
      </w:r>
      <w:r>
        <w:t xml:space="preserve"> require consultation</w:t>
      </w:r>
      <w:r w:rsidRPr="00FC0642">
        <w:t xml:space="preserve">) and </w:t>
      </w:r>
      <w:r>
        <w:t>the number of</w:t>
      </w:r>
      <w:r w:rsidRPr="00FC0642">
        <w:t xml:space="preserve"> notices of intent to repatriate (which </w:t>
      </w:r>
      <w:r>
        <w:t>require consultation</w:t>
      </w:r>
      <w:r w:rsidRPr="00FC0642">
        <w:t>)</w:t>
      </w:r>
      <w:r>
        <w:t xml:space="preserve">. </w:t>
      </w:r>
      <w:r w:rsidRPr="00CE6CC6">
        <w:t xml:space="preserve">We estimate the time per response </w:t>
      </w:r>
      <w:r>
        <w:t>will range</w:t>
      </w:r>
      <w:r w:rsidRPr="00CE6CC6">
        <w:t xml:space="preserve"> from</w:t>
      </w:r>
      <w:r>
        <w:t xml:space="preserve"> </w:t>
      </w:r>
      <w:r w:rsidR="002470FA">
        <w:t xml:space="preserve">less than one hour, or 0.50 hours, </w:t>
      </w:r>
      <w:r w:rsidRPr="00CE6CC6">
        <w:t xml:space="preserve">to </w:t>
      </w:r>
      <w:r>
        <w:t>20</w:t>
      </w:r>
      <w:r w:rsidRPr="00CE6CC6">
        <w:t>0 hours, depending on the size and complexity of the</w:t>
      </w:r>
      <w:r>
        <w:t xml:space="preserve"> consultation</w:t>
      </w:r>
      <w:r w:rsidRPr="00CE6CC6">
        <w:t xml:space="preserve">, for a median of </w:t>
      </w:r>
      <w:r>
        <w:t>100</w:t>
      </w:r>
      <w:r w:rsidRPr="00CE6CC6">
        <w:t>.</w:t>
      </w:r>
      <w:r>
        <w:t>25</w:t>
      </w:r>
      <w:r w:rsidRPr="00CE6CC6">
        <w:t xml:space="preserve"> hours.</w:t>
      </w:r>
    </w:p>
    <w:p w:rsidR="001D1E84" w:rsidP="001D1E84" w14:paraId="6041FDCC" w14:textId="77777777">
      <w:pPr>
        <w:rPr>
          <w:i/>
        </w:rPr>
      </w:pPr>
    </w:p>
    <w:p w:rsidR="001D1E84" w:rsidP="001D1E84" w14:paraId="7EC18E49" w14:textId="17C83B72">
      <w:r w:rsidRPr="003E6269">
        <w:rPr>
          <w:i/>
          <w:iCs/>
        </w:rPr>
        <w:t>Update inventory data</w:t>
      </w:r>
      <w:r>
        <w:t>. We estimate the number of museums (n=</w:t>
      </w:r>
      <w:r w:rsidR="00F70536">
        <w:t>0</w:t>
      </w:r>
      <w:r>
        <w:t>) and Federal agencies (n=</w:t>
      </w:r>
      <w:r w:rsidR="00F70536">
        <w:t>0</w:t>
      </w:r>
      <w:r>
        <w:t xml:space="preserve">) updating inventory data based on </w:t>
      </w:r>
      <w:r w:rsidRPr="00604C7F">
        <w:t>the</w:t>
      </w:r>
      <w:r>
        <w:t xml:space="preserve"> requirements in the</w:t>
      </w:r>
      <w:r w:rsidRPr="00604C7F">
        <w:t xml:space="preserve"> proposed </w:t>
      </w:r>
      <w:r>
        <w:t>regulatory action. We estimate</w:t>
      </w:r>
      <w:r w:rsidRPr="00604C7F">
        <w:t xml:space="preserve"> </w:t>
      </w:r>
      <w:r>
        <w:t xml:space="preserve">414 </w:t>
      </w:r>
      <w:r w:rsidRPr="00604C7F">
        <w:t xml:space="preserve">museums </w:t>
      </w:r>
      <w:r>
        <w:t xml:space="preserve">and 19 Federal agencies </w:t>
      </w:r>
      <w:r w:rsidRPr="00604C7F">
        <w:t>will be required to update inventories</w:t>
      </w:r>
      <w:r>
        <w:t xml:space="preserve"> within three years after promulgation of a final rule. </w:t>
      </w:r>
    </w:p>
    <w:p w:rsidR="00F70536" w:rsidP="001D1E84" w14:paraId="40380D09" w14:textId="77777777"/>
    <w:p w:rsidR="00F70536" w:rsidP="00F70536" w14:paraId="4DA44948" w14:textId="6187B6EE">
      <w:r>
        <w:rPr>
          <w:i/>
        </w:rPr>
        <w:t>Submit n</w:t>
      </w:r>
      <w:r w:rsidRPr="00814BCD">
        <w:rPr>
          <w:i/>
        </w:rPr>
        <w:t>otices</w:t>
      </w:r>
      <w:r>
        <w:rPr>
          <w:i/>
        </w:rPr>
        <w:t xml:space="preserve"> of inventory completion</w:t>
      </w:r>
      <w:r>
        <w:t>. The number of museums submitting notices of inventory completion is expected to more than double compared to baseline conditions. We estimate the</w:t>
      </w:r>
      <w:r w:rsidRPr="00CE6CC6">
        <w:t xml:space="preserve"> number of notices of inventory completion </w:t>
      </w:r>
      <w:r>
        <w:t>by museums (</w:t>
      </w:r>
      <w:r w:rsidRPr="00CE6CC6">
        <w:t>n=</w:t>
      </w:r>
      <w:r w:rsidR="0048290B">
        <w:t>10</w:t>
      </w:r>
      <w:r w:rsidRPr="00CE6CC6">
        <w:t xml:space="preserve">) </w:t>
      </w:r>
      <w:r>
        <w:t>and Federal agencies (n=</w:t>
      </w:r>
      <w:r w:rsidR="0048290B">
        <w:t>2</w:t>
      </w:r>
      <w:r>
        <w:t xml:space="preserve">) based on the proposed regulatory action. The proposed regulatory action will require publication of notices of inventory completion within six months and NPS estimates that each museum or Federal agency required to update inventory data will submit, on average, two notices each year. The proposed regulatory action will allow for collections to be combined by geographic location or other defining features for the purpose of public notice in the Federal Register. </w:t>
      </w:r>
      <w:r w:rsidRPr="00CE6CC6">
        <w:t xml:space="preserve">The information needed for notices of inventory completion are drawn directly from the inventory. NPS provides a simple template to fill in the necessary information. We estimate the time per response </w:t>
      </w:r>
      <w:r>
        <w:t>will range</w:t>
      </w:r>
      <w:r w:rsidRPr="00CE6CC6">
        <w:t xml:space="preserve"> from </w:t>
      </w:r>
      <w:r w:rsidR="002470FA">
        <w:t xml:space="preserve">less than one hour, or 0.50 hours, </w:t>
      </w:r>
      <w:r w:rsidRPr="00CE6CC6">
        <w:t xml:space="preserve">to 20 hours, depending on the size and complexity of the notice, for a median of 10.25 hours. </w:t>
      </w:r>
    </w:p>
    <w:p w:rsidR="00F70536" w:rsidP="00F70536" w14:paraId="329C34E9" w14:textId="77777777"/>
    <w:p w:rsidR="00BB78E8" w:rsidP="00BB78E8" w14:paraId="5A65C76C" w14:textId="2E81A200">
      <w:r>
        <w:rPr>
          <w:i/>
          <w:iCs/>
        </w:rPr>
        <w:t>Submit a request for repatriation.</w:t>
      </w:r>
      <w:r w:rsidR="00A247E6">
        <w:rPr>
          <w:i/>
          <w:iCs/>
        </w:rPr>
        <w:t xml:space="preserve"> </w:t>
      </w:r>
      <w:r>
        <w:t>W</w:t>
      </w:r>
      <w:r w:rsidRPr="00FC0642">
        <w:t xml:space="preserve">e estimate </w:t>
      </w:r>
      <w:r>
        <w:t>the number of lineal descendants (n=5) and Indian Tribes or NHOs (n=</w:t>
      </w:r>
      <w:r w:rsidR="00537A5B">
        <w:t>42</w:t>
      </w:r>
      <w:r>
        <w:t xml:space="preserve">) submitting a request for repatriation is </w:t>
      </w:r>
      <w:r w:rsidRPr="00FC0642">
        <w:t xml:space="preserve">80% of </w:t>
      </w:r>
      <w:r>
        <w:t xml:space="preserve">the total number of </w:t>
      </w:r>
      <w:r w:rsidRPr="00FC0642">
        <w:t>notices of inventory completion (which precede a request) and 100% of</w:t>
      </w:r>
      <w:r>
        <w:t xml:space="preserve"> the total number of</w:t>
      </w:r>
      <w:r w:rsidRPr="00FC0642">
        <w:t xml:space="preserve"> notices of intent to repatriate (which follow a request). A request for repatriation ranges from a simple statement in response to a notice to a detailed request with supporting documentation to satisfy the criteria for a request.</w:t>
      </w:r>
      <w:r>
        <w:t xml:space="preserve"> </w:t>
      </w:r>
      <w:r w:rsidRPr="00CE6CC6">
        <w:t xml:space="preserve">We estimate the time per response </w:t>
      </w:r>
      <w:r>
        <w:t>will range</w:t>
      </w:r>
      <w:r w:rsidRPr="00CE6CC6">
        <w:t xml:space="preserve"> from </w:t>
      </w:r>
      <w:r w:rsidR="002470FA">
        <w:t xml:space="preserve">less than one hour, or 0.50 hours, </w:t>
      </w:r>
      <w:r w:rsidRPr="00CE6CC6">
        <w:t xml:space="preserve">to </w:t>
      </w:r>
      <w:r>
        <w:t>1</w:t>
      </w:r>
      <w:r w:rsidRPr="00CE6CC6">
        <w:t>0 hours, depending on the size and complexity of the</w:t>
      </w:r>
      <w:r>
        <w:t xml:space="preserve"> request</w:t>
      </w:r>
      <w:r w:rsidRPr="00CE6CC6">
        <w:t xml:space="preserve">, for a median of </w:t>
      </w:r>
      <w:r>
        <w:t>5</w:t>
      </w:r>
      <w:r w:rsidRPr="00CE6CC6">
        <w:t>.25 hours.</w:t>
      </w:r>
    </w:p>
    <w:p w:rsidR="00BB78E8" w:rsidP="001D1E84" w14:paraId="74090CA7" w14:textId="77777777"/>
    <w:p w:rsidR="00302CBC" w:rsidP="00302CBC" w14:paraId="26140A57" w14:textId="59C74E4B">
      <w:pPr>
        <w:pStyle w:val="ListParagraph"/>
        <w:tabs>
          <w:tab w:val="left" w:pos="-1080"/>
          <w:tab w:val="left" w:pos="-720"/>
          <w:tab w:val="left" w:pos="360"/>
        </w:tabs>
        <w:ind w:left="0"/>
      </w:pPr>
      <w:r>
        <w:rPr>
          <w:i/>
          <w:iCs/>
        </w:rPr>
        <w:t>Document physical transfer</w:t>
      </w:r>
      <w:r>
        <w:t>. We estimate the number of museums (n=</w:t>
      </w:r>
      <w:r w:rsidR="003651D9">
        <w:t>40</w:t>
      </w:r>
      <w:r>
        <w:t xml:space="preserve">) and Federal agencies (n=7) documenting physical transfer of a repatriation is </w:t>
      </w:r>
      <w:r w:rsidRPr="00FC0642">
        <w:t xml:space="preserve">80% of </w:t>
      </w:r>
      <w:r>
        <w:t xml:space="preserve">the total number of </w:t>
      </w:r>
      <w:r w:rsidRPr="00FC0642">
        <w:t>notices of inventory completion (which precede a request) and 100% of</w:t>
      </w:r>
      <w:r>
        <w:t xml:space="preserve"> the total number of</w:t>
      </w:r>
      <w:r w:rsidRPr="00FC0642">
        <w:t xml:space="preserve"> notices of intent to repatriate (which follow a request)</w:t>
      </w:r>
      <w:r>
        <w:t xml:space="preserve">. We estimate the time per response will range from </w:t>
      </w:r>
      <w:r w:rsidR="002470FA">
        <w:t xml:space="preserve">less than one hour, or 0.50 hours, </w:t>
      </w:r>
      <w:r>
        <w:t>to 10 hours, depending on the size and complexity of the transfer, for a median of 5.25 hours.</w:t>
      </w:r>
    </w:p>
    <w:p w:rsidR="00302CBC" w:rsidP="00302CBC" w14:paraId="69DD67C5" w14:textId="77777777">
      <w:pPr>
        <w:rPr>
          <w:i/>
        </w:rPr>
      </w:pPr>
    </w:p>
    <w:p w:rsidR="00302CBC" w:rsidP="00302CBC" w14:paraId="3569B0AE" w14:textId="4C087126">
      <w:r>
        <w:rPr>
          <w:i/>
          <w:iCs/>
        </w:rPr>
        <w:t>Request t</w:t>
      </w:r>
      <w:r w:rsidRPr="00A968DE">
        <w:rPr>
          <w:i/>
          <w:iCs/>
        </w:rPr>
        <w:t xml:space="preserve">ransfer </w:t>
      </w:r>
      <w:r>
        <w:rPr>
          <w:i/>
          <w:iCs/>
        </w:rPr>
        <w:t>of</w:t>
      </w:r>
      <w:r w:rsidRPr="00A968DE">
        <w:rPr>
          <w:i/>
          <w:iCs/>
        </w:rPr>
        <w:t xml:space="preserve"> human remains and associated funerary objects</w:t>
      </w:r>
      <w:r>
        <w:rPr>
          <w:i/>
          <w:iCs/>
        </w:rPr>
        <w:t xml:space="preserve"> (</w:t>
      </w:r>
      <w:r w:rsidRPr="00A247E6">
        <w:t>replaces requirement previously under Subpart D</w:t>
      </w:r>
      <w:r>
        <w:rPr>
          <w:i/>
          <w:iCs/>
        </w:rPr>
        <w:t>)</w:t>
      </w:r>
      <w:r w:rsidRPr="00A968DE">
        <w:rPr>
          <w:i/>
          <w:iCs/>
        </w:rPr>
        <w:t>.</w:t>
      </w:r>
      <w:r w:rsidRPr="005E0BA9">
        <w:t xml:space="preserve"> </w:t>
      </w:r>
      <w:r>
        <w:t xml:space="preserve">We estimate the number of Indian Tribes or NHOs (n=6) requesting transfer of human remains and associated funerary objects based on changes in the proposed regulatory action and the average number of requests in recent years. Under the proposed regulatory action, the process is simplified and therefore </w:t>
      </w:r>
      <w:r w:rsidRPr="00CE6CC6">
        <w:t xml:space="preserve">the time per response </w:t>
      </w:r>
      <w:r>
        <w:t>will range</w:t>
      </w:r>
      <w:r w:rsidRPr="00CE6CC6">
        <w:t xml:space="preserve"> from </w:t>
      </w:r>
      <w:r w:rsidR="002470FA">
        <w:t xml:space="preserve">less than one hour, or 0.50 hours, </w:t>
      </w:r>
      <w:r w:rsidRPr="00CE6CC6">
        <w:t xml:space="preserve">to </w:t>
      </w:r>
      <w:r>
        <w:t>2</w:t>
      </w:r>
      <w:r w:rsidRPr="00CE6CC6">
        <w:t xml:space="preserve"> hours, depending on the size and complexity of the </w:t>
      </w:r>
      <w:r>
        <w:t>request</w:t>
      </w:r>
      <w:r w:rsidRPr="00CE6CC6">
        <w:t xml:space="preserve">, for a median of </w:t>
      </w:r>
      <w:r>
        <w:t>1</w:t>
      </w:r>
      <w:r w:rsidRPr="00CE6CC6">
        <w:t>.25 hours</w:t>
      </w:r>
      <w:r w:rsidRPr="005E0BA9">
        <w:t>.</w:t>
      </w:r>
    </w:p>
    <w:p w:rsidR="00302CBC" w:rsidP="00302CBC" w14:paraId="32ABD69B" w14:textId="77777777">
      <w:pPr>
        <w:rPr>
          <w:i/>
          <w:iCs/>
        </w:rPr>
      </w:pPr>
    </w:p>
    <w:p w:rsidR="00302CBC" w:rsidP="00302CBC" w14:paraId="2303227C" w14:textId="24681A73">
      <w:r w:rsidRPr="00A968DE">
        <w:rPr>
          <w:i/>
          <w:iCs/>
        </w:rPr>
        <w:t>Transfer or reinter human remains and associated funerary objects</w:t>
      </w:r>
      <w:r>
        <w:rPr>
          <w:i/>
          <w:iCs/>
        </w:rPr>
        <w:t xml:space="preserve"> (</w:t>
      </w:r>
      <w:r w:rsidRPr="00A247E6">
        <w:t>replaces requirement previously under Subpart D</w:t>
      </w:r>
      <w:r>
        <w:rPr>
          <w:i/>
          <w:iCs/>
        </w:rPr>
        <w:t>)</w:t>
      </w:r>
      <w:r w:rsidRPr="00A968DE">
        <w:rPr>
          <w:i/>
          <w:iCs/>
        </w:rPr>
        <w:t>.</w:t>
      </w:r>
      <w:r w:rsidRPr="005E0BA9">
        <w:t xml:space="preserve"> </w:t>
      </w:r>
      <w:r>
        <w:t xml:space="preserve">We estimate the number of museums (n=6) and Federal agencies (n=0) requesting to transfer or reinter human remains or associated funerary objects based on changes in the proposed regulatory action and the average number of requests in recent years. Under the proposed regulatory action, the process is simplified and therefore </w:t>
      </w:r>
      <w:r w:rsidRPr="00CE6CC6">
        <w:t xml:space="preserve">the time per response </w:t>
      </w:r>
      <w:r>
        <w:t>will range</w:t>
      </w:r>
      <w:r w:rsidRPr="00CE6CC6">
        <w:t xml:space="preserve"> from</w:t>
      </w:r>
      <w:r w:rsidRPr="00462574">
        <w:t xml:space="preserve"> </w:t>
      </w:r>
      <w:r w:rsidR="002470FA">
        <w:t xml:space="preserve">less than one hour, or 0.50 hours, </w:t>
      </w:r>
      <w:r w:rsidRPr="00CE6CC6">
        <w:t xml:space="preserve">to </w:t>
      </w:r>
      <w:r>
        <w:t>1</w:t>
      </w:r>
      <w:r w:rsidRPr="00CE6CC6">
        <w:t>0 hours, depending on the size and complexity of the</w:t>
      </w:r>
      <w:r>
        <w:t xml:space="preserve"> request</w:t>
      </w:r>
      <w:r w:rsidRPr="00CE6CC6">
        <w:t xml:space="preserve">, for a median of </w:t>
      </w:r>
      <w:r>
        <w:t>5</w:t>
      </w:r>
      <w:r w:rsidRPr="00CE6CC6">
        <w:t>.25 hours</w:t>
      </w:r>
      <w:r w:rsidRPr="005E0BA9">
        <w:t>.</w:t>
      </w:r>
    </w:p>
    <w:p w:rsidR="00302CBC" w:rsidP="001D1E84" w14:paraId="3F09D4F0" w14:textId="77777777"/>
    <w:p w:rsidR="00D23868" w:rsidP="001D1E84" w14:paraId="38BB6D9C" w14:textId="77777777"/>
    <w:p w:rsidR="00D23868" w:rsidRPr="00157826" w:rsidP="00D23868" w14:paraId="53C66162" w14:textId="39129432">
      <w:pPr>
        <w:rPr>
          <w:b/>
          <w:bCs/>
        </w:rPr>
      </w:pPr>
      <w:r w:rsidRPr="00157826">
        <w:rPr>
          <w:b/>
          <w:bCs/>
        </w:rPr>
        <w:t xml:space="preserve">New requirements in proposed </w:t>
      </w:r>
      <w:r>
        <w:rPr>
          <w:b/>
          <w:bCs/>
        </w:rPr>
        <w:t>action (years 4 +)</w:t>
      </w:r>
      <w:r w:rsidRPr="00157826">
        <w:rPr>
          <w:b/>
          <w:bCs/>
        </w:rPr>
        <w:t>:</w:t>
      </w:r>
    </w:p>
    <w:p w:rsidR="00D23868" w:rsidP="00D23868" w14:paraId="25E7CDD2" w14:textId="7485A95A">
      <w:pPr>
        <w:rPr>
          <w:iCs/>
        </w:rPr>
      </w:pPr>
      <w:r>
        <w:rPr>
          <w:i/>
        </w:rPr>
        <w:t xml:space="preserve">Museum </w:t>
      </w:r>
      <w:r w:rsidRPr="00E55BE6">
        <w:rPr>
          <w:bCs/>
          <w:i/>
        </w:rPr>
        <w:t xml:space="preserve">statements describing holdings or collections in its custody. </w:t>
      </w:r>
      <w:r>
        <w:rPr>
          <w:iCs/>
        </w:rPr>
        <w:t>We estimate the number of museums (n=</w:t>
      </w:r>
      <w:r w:rsidR="002F2D63">
        <w:rPr>
          <w:iCs/>
        </w:rPr>
        <w:t>0</w:t>
      </w:r>
      <w:r>
        <w:rPr>
          <w:iCs/>
        </w:rPr>
        <w:t xml:space="preserve">) submitting statements </w:t>
      </w:r>
      <w:r w:rsidR="00E55BE6">
        <w:rPr>
          <w:iCs/>
        </w:rPr>
        <w:t>based on the requirements in the proposed regulatory action</w:t>
      </w:r>
      <w:r>
        <w:rPr>
          <w:iCs/>
        </w:rPr>
        <w:t>.</w:t>
      </w:r>
    </w:p>
    <w:p w:rsidR="00D23868" w:rsidRPr="00C555C9" w:rsidP="00D23868" w14:paraId="48CFADE8" w14:textId="77777777">
      <w:pPr>
        <w:rPr>
          <w:iCs/>
        </w:rPr>
      </w:pPr>
    </w:p>
    <w:p w:rsidR="00D23868" w:rsidRPr="008E5170" w:rsidP="00D23868" w14:paraId="1D4C156E" w14:textId="6357DC97">
      <w:pPr>
        <w:rPr>
          <w:iCs/>
        </w:rPr>
      </w:pPr>
      <w:r>
        <w:rPr>
          <w:i/>
        </w:rPr>
        <w:t xml:space="preserve">Make a record of consultation. </w:t>
      </w:r>
      <w:r>
        <w:rPr>
          <w:iCs/>
        </w:rPr>
        <w:t>We estimate the number of museums (n=</w:t>
      </w:r>
      <w:r w:rsidR="00E55BE6">
        <w:rPr>
          <w:iCs/>
        </w:rPr>
        <w:t>37</w:t>
      </w:r>
      <w:r>
        <w:rPr>
          <w:iCs/>
        </w:rPr>
        <w:t>) and Federal agencies (n=</w:t>
      </w:r>
      <w:r w:rsidR="00E55BE6">
        <w:rPr>
          <w:iCs/>
        </w:rPr>
        <w:t>6</w:t>
      </w:r>
      <w:r>
        <w:rPr>
          <w:iCs/>
        </w:rPr>
        <w:t xml:space="preserve">) required to make a record of consultation based on the estimated numbers of new inventories (which require consultation) and notices of intent to repatriate (which require consultation). We estimate the </w:t>
      </w:r>
      <w:r w:rsidRPr="003457CF">
        <w:rPr>
          <w:iCs/>
        </w:rPr>
        <w:t xml:space="preserve">time per response will range from </w:t>
      </w:r>
      <w:r w:rsidR="002470FA">
        <w:rPr>
          <w:iCs/>
        </w:rPr>
        <w:t xml:space="preserve">less than one hour, or 0.50 hours, </w:t>
      </w:r>
      <w:r w:rsidRPr="003457CF">
        <w:rPr>
          <w:iCs/>
        </w:rPr>
        <w:t>to 10 hours, depending on the size and complexity of the consultation, for a median of 5.25 hours.</w:t>
      </w:r>
    </w:p>
    <w:p w:rsidR="00D23868" w:rsidP="00D23868" w14:paraId="0ADECC2B" w14:textId="77777777">
      <w:pPr>
        <w:rPr>
          <w:i/>
        </w:rPr>
      </w:pPr>
    </w:p>
    <w:p w:rsidR="00D23868" w:rsidRPr="005E0BA9" w:rsidP="00D23868" w14:paraId="048B510C" w14:textId="62D3884B">
      <w:pPr>
        <w:rPr>
          <w:iCs/>
        </w:rPr>
      </w:pPr>
      <w:r>
        <w:rPr>
          <w:i/>
        </w:rPr>
        <w:t xml:space="preserve">Respond to </w:t>
      </w:r>
      <w:r w:rsidR="00C47864">
        <w:rPr>
          <w:i/>
        </w:rPr>
        <w:t xml:space="preserve">a </w:t>
      </w:r>
      <w:r>
        <w:rPr>
          <w:i/>
        </w:rPr>
        <w:t xml:space="preserve">request for repatriation. </w:t>
      </w:r>
      <w:r>
        <w:rPr>
          <w:iCs/>
        </w:rPr>
        <w:t>We estimate the number of museums (n=</w:t>
      </w:r>
      <w:r w:rsidR="00752A5A">
        <w:rPr>
          <w:iCs/>
        </w:rPr>
        <w:t>40</w:t>
      </w:r>
      <w:r>
        <w:rPr>
          <w:iCs/>
        </w:rPr>
        <w:t xml:space="preserve">) and Federal agencies (n=7) responding to requests for repatriation based on the estimated number of requests for repatriation (see above). </w:t>
      </w:r>
      <w:r w:rsidRPr="008A2E7F">
        <w:rPr>
          <w:iCs/>
        </w:rPr>
        <w:t xml:space="preserve">In the proposed </w:t>
      </w:r>
      <w:r>
        <w:rPr>
          <w:iCs/>
        </w:rPr>
        <w:t>regulatory action</w:t>
      </w:r>
      <w:r w:rsidRPr="008A2E7F">
        <w:rPr>
          <w:iCs/>
        </w:rPr>
        <w:t>, museums</w:t>
      </w:r>
      <w:r>
        <w:rPr>
          <w:iCs/>
        </w:rPr>
        <w:t xml:space="preserve"> and Federal agencies</w:t>
      </w:r>
      <w:r w:rsidRPr="008A2E7F">
        <w:rPr>
          <w:iCs/>
        </w:rPr>
        <w:t xml:space="preserve"> have specific options for responding to a request and responses should be based on information available in previously prepared summaries, inventories, and notices. </w:t>
      </w:r>
      <w:r>
        <w:rPr>
          <w:iCs/>
        </w:rPr>
        <w:t>We estimate</w:t>
      </w:r>
      <w:r w:rsidRPr="008A2E7F">
        <w:rPr>
          <w:iCs/>
        </w:rPr>
        <w:t xml:space="preserve"> the time per response will range from </w:t>
      </w:r>
      <w:r w:rsidR="002470FA">
        <w:rPr>
          <w:iCs/>
        </w:rPr>
        <w:t xml:space="preserve">less than one hour, or 0.50 hours, </w:t>
      </w:r>
      <w:r w:rsidRPr="008A2E7F">
        <w:rPr>
          <w:iCs/>
        </w:rPr>
        <w:t>to 10 hours, depending on the complexity of the request, for a median of 5.25 hours.</w:t>
      </w:r>
    </w:p>
    <w:p w:rsidR="00D23868" w:rsidP="00D23868" w14:paraId="6FB0F23A" w14:textId="77777777">
      <w:pPr>
        <w:rPr>
          <w:i/>
        </w:rPr>
      </w:pPr>
    </w:p>
    <w:p w:rsidR="00D23868" w:rsidP="00D23868" w14:paraId="0C10472E" w14:textId="6CA14C5B">
      <w:r>
        <w:rPr>
          <w:i/>
        </w:rPr>
        <w:t xml:space="preserve">Send </w:t>
      </w:r>
      <w:r w:rsidR="008772F0">
        <w:rPr>
          <w:i/>
        </w:rPr>
        <w:t>a r</w:t>
      </w:r>
      <w:r w:rsidRPr="00814BCD">
        <w:rPr>
          <w:i/>
        </w:rPr>
        <w:t xml:space="preserve">epatriation </w:t>
      </w:r>
      <w:r w:rsidR="008772F0">
        <w:rPr>
          <w:i/>
        </w:rPr>
        <w:t>s</w:t>
      </w:r>
      <w:r>
        <w:rPr>
          <w:i/>
        </w:rPr>
        <w:t>tatement</w:t>
      </w:r>
      <w:r>
        <w:t>.</w:t>
      </w:r>
      <w:r w:rsidR="00A247E6">
        <w:t xml:space="preserve"> </w:t>
      </w:r>
      <w:r>
        <w:rPr>
          <w:iCs/>
        </w:rPr>
        <w:t>We estimate the number of museums (n=</w:t>
      </w:r>
      <w:r w:rsidR="00537A5B">
        <w:rPr>
          <w:iCs/>
        </w:rPr>
        <w:t>40</w:t>
      </w:r>
      <w:r>
        <w:rPr>
          <w:iCs/>
        </w:rPr>
        <w:t>) and Federal agencies (n=7) sending repatriation statements based on the estimated number of requests for repatriation (see above).</w:t>
      </w:r>
      <w:r>
        <w:t xml:space="preserve"> </w:t>
      </w:r>
      <w:r w:rsidRPr="001D7951">
        <w:t xml:space="preserve">In the proposed </w:t>
      </w:r>
      <w:r>
        <w:t>regulatory action</w:t>
      </w:r>
      <w:r w:rsidRPr="001D7951">
        <w:t xml:space="preserve">, a repatriation statement is a simple document that should be based on information available in previously prepared summaries, inventories, notices, and responses to requests. </w:t>
      </w:r>
      <w:r>
        <w:t>We estimate</w:t>
      </w:r>
      <w:r w:rsidRPr="001D7951">
        <w:t xml:space="preserve"> the time per response will range from </w:t>
      </w:r>
      <w:r w:rsidR="002470FA">
        <w:t xml:space="preserve">less than one hour, or 0.50 hours, </w:t>
      </w:r>
      <w:r w:rsidRPr="001D7951">
        <w:t>to 5 hours, depending on the complexity of the statement, for a median of 2.75 hours.</w:t>
      </w:r>
    </w:p>
    <w:p w:rsidR="00D23868" w:rsidP="001D1E84" w14:paraId="14BDE351" w14:textId="77777777"/>
    <w:p w:rsidR="00132CC5" w:rsidRPr="00AE5692" w:rsidP="00132CC5" w14:paraId="00777A56" w14:textId="77777777">
      <w:pPr>
        <w:pStyle w:val="ListParagraph"/>
        <w:ind w:left="1080"/>
      </w:pPr>
    </w:p>
    <w:p w:rsidR="00AA3403" w:rsidRPr="00D84109" w:rsidP="00796624" w14:paraId="232C1361" w14:textId="77777777">
      <w:pPr>
        <w:pStyle w:val="Heading2"/>
      </w:pPr>
      <w:bookmarkStart w:id="45" w:name="_Toc113867006"/>
      <w:r w:rsidRPr="00D84109">
        <w:t xml:space="preserve">Subpart </w:t>
      </w:r>
      <w:r>
        <w:t>D</w:t>
      </w:r>
      <w:r w:rsidRPr="00D84109">
        <w:t xml:space="preserve"> </w:t>
      </w:r>
      <w:r>
        <w:t>–</w:t>
      </w:r>
      <w:r w:rsidRPr="00D84109">
        <w:t xml:space="preserve"> </w:t>
      </w:r>
      <w:r>
        <w:t>Review Committee</w:t>
      </w:r>
      <w:r w:rsidRPr="00D84109">
        <w:t>.</w:t>
      </w:r>
      <w:bookmarkEnd w:id="45"/>
    </w:p>
    <w:p w:rsidR="00F350D3" w:rsidP="00132CC5" w14:paraId="4BAD7C02" w14:textId="77777777">
      <w:pPr>
        <w:contextualSpacing/>
      </w:pPr>
      <w:r>
        <w:t>This</w:t>
      </w:r>
      <w:r w:rsidRPr="00D84109">
        <w:t xml:space="preserve"> estimate rel</w:t>
      </w:r>
      <w:r>
        <w:t>ies</w:t>
      </w:r>
      <w:r w:rsidRPr="00D84109">
        <w:t xml:space="preserve"> on </w:t>
      </w:r>
      <w:r>
        <w:t>the average number of requests or submissions in the last three years.</w:t>
      </w:r>
      <w:r w:rsidRPr="002327EF">
        <w:rPr>
          <w:rStyle w:val="PageNumber"/>
        </w:rPr>
        <w:t xml:space="preserve"> </w:t>
      </w:r>
      <w:r>
        <w:rPr>
          <w:rStyle w:val="FootnoteReference"/>
        </w:rPr>
        <w:footnoteReference w:id="17"/>
      </w:r>
    </w:p>
    <w:p w:rsidR="00F350D3" w:rsidP="00132CC5" w14:paraId="597B466C" w14:textId="3019CEAE">
      <w:pPr>
        <w:pStyle w:val="ListParagraph"/>
        <w:ind w:left="0"/>
      </w:pPr>
    </w:p>
    <w:p w:rsidR="007D58D5" w:rsidP="007D58D5" w14:paraId="6E1FC430" w14:textId="5CB23EEA">
      <w:pPr>
        <w:pStyle w:val="Heading3"/>
      </w:pPr>
      <w:bookmarkStart w:id="46" w:name="_Toc113867048"/>
      <w:r>
        <w:t xml:space="preserve">Table 22. </w:t>
      </w:r>
      <w:r w:rsidR="00D435F4">
        <w:t xml:space="preserve"> </w:t>
      </w:r>
      <w:r>
        <w:t xml:space="preserve">Estimate for </w:t>
      </w:r>
      <w:r w:rsidRPr="009A35C6">
        <w:t>Baseline Conditions</w:t>
      </w:r>
      <w:r>
        <w:t xml:space="preserve"> Subpart D</w:t>
      </w:r>
      <w:bookmarkEnd w:id="46"/>
      <w:r>
        <w:t xml:space="preserve"> </w:t>
      </w:r>
    </w:p>
    <w:tbl>
      <w:tblPr>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7"/>
        <w:gridCol w:w="2415"/>
        <w:gridCol w:w="1343"/>
        <w:gridCol w:w="1253"/>
        <w:gridCol w:w="1487"/>
        <w:gridCol w:w="1164"/>
        <w:gridCol w:w="1596"/>
      </w:tblGrid>
      <w:tr w14:paraId="670FE7DB" w14:textId="77777777" w:rsidTr="00977310">
        <w:tblPrEx>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577" w:type="dxa"/>
            <w:shd w:val="clear" w:color="auto" w:fill="auto"/>
            <w:noWrap/>
            <w:vAlign w:val="center"/>
          </w:tcPr>
          <w:p w:rsidR="007D58D5" w:rsidRPr="006172FD" w:rsidP="0074675D" w14:paraId="53B6669D" w14:textId="77777777">
            <w:pPr>
              <w:jc w:val="center"/>
              <w:rPr>
                <w:b/>
                <w:bCs/>
                <w:color w:val="000000"/>
              </w:rPr>
            </w:pPr>
            <w:r w:rsidRPr="006172FD">
              <w:rPr>
                <w:b/>
                <w:bCs/>
                <w:color w:val="000000"/>
              </w:rPr>
              <w:t>Regulatory Requirement</w:t>
            </w:r>
          </w:p>
        </w:tc>
        <w:tc>
          <w:tcPr>
            <w:tcW w:w="2415" w:type="dxa"/>
            <w:shd w:val="clear" w:color="auto" w:fill="auto"/>
            <w:noWrap/>
            <w:vAlign w:val="center"/>
          </w:tcPr>
          <w:p w:rsidR="007D58D5" w:rsidRPr="006172FD" w:rsidP="0074675D" w14:paraId="178B7492" w14:textId="77777777">
            <w:pPr>
              <w:jc w:val="center"/>
              <w:rPr>
                <w:b/>
                <w:bCs/>
                <w:color w:val="000000"/>
              </w:rPr>
            </w:pPr>
            <w:r w:rsidRPr="006172FD">
              <w:rPr>
                <w:b/>
                <w:bCs/>
                <w:color w:val="000000"/>
              </w:rPr>
              <w:t>Responsible party</w:t>
            </w:r>
          </w:p>
        </w:tc>
        <w:tc>
          <w:tcPr>
            <w:tcW w:w="1343" w:type="dxa"/>
            <w:shd w:val="clear" w:color="auto" w:fill="auto"/>
            <w:noWrap/>
            <w:vAlign w:val="center"/>
          </w:tcPr>
          <w:p w:rsidR="007D58D5" w:rsidRPr="006172FD" w:rsidP="0074675D" w14:paraId="5C03CF37" w14:textId="77777777">
            <w:pPr>
              <w:jc w:val="center"/>
              <w:rPr>
                <w:b/>
                <w:bCs/>
                <w:color w:val="000000"/>
              </w:rPr>
            </w:pPr>
            <w:r w:rsidRPr="006172FD">
              <w:rPr>
                <w:b/>
                <w:bCs/>
              </w:rPr>
              <w:t>Number of responses</w:t>
            </w:r>
          </w:p>
        </w:tc>
        <w:tc>
          <w:tcPr>
            <w:tcW w:w="1253" w:type="dxa"/>
            <w:shd w:val="clear" w:color="auto" w:fill="auto"/>
            <w:noWrap/>
            <w:vAlign w:val="center"/>
          </w:tcPr>
          <w:p w:rsidR="007D58D5" w:rsidRPr="006172FD" w:rsidP="0074675D" w14:paraId="19316A71" w14:textId="77777777">
            <w:pPr>
              <w:jc w:val="center"/>
              <w:rPr>
                <w:b/>
                <w:bCs/>
                <w:color w:val="000000"/>
              </w:rPr>
            </w:pPr>
            <w:r w:rsidRPr="006172FD">
              <w:rPr>
                <w:b/>
                <w:bCs/>
              </w:rPr>
              <w:t>Time per response</w:t>
            </w:r>
          </w:p>
        </w:tc>
        <w:tc>
          <w:tcPr>
            <w:tcW w:w="1487" w:type="dxa"/>
            <w:shd w:val="clear" w:color="auto" w:fill="auto"/>
            <w:noWrap/>
            <w:vAlign w:val="center"/>
          </w:tcPr>
          <w:p w:rsidR="007D58D5" w:rsidRPr="006172FD" w:rsidP="0074675D" w14:paraId="17CD3563" w14:textId="77777777">
            <w:pPr>
              <w:jc w:val="center"/>
              <w:rPr>
                <w:b/>
                <w:bCs/>
                <w:color w:val="000000"/>
              </w:rPr>
            </w:pPr>
            <w:r w:rsidRPr="006172FD">
              <w:rPr>
                <w:b/>
                <w:bCs/>
              </w:rPr>
              <w:t>Annual Hours</w:t>
            </w:r>
          </w:p>
        </w:tc>
        <w:tc>
          <w:tcPr>
            <w:tcW w:w="1164" w:type="dxa"/>
            <w:shd w:val="clear" w:color="auto" w:fill="auto"/>
            <w:noWrap/>
            <w:vAlign w:val="center"/>
          </w:tcPr>
          <w:p w:rsidR="007D58D5" w:rsidRPr="006172FD" w:rsidP="0074675D" w14:paraId="3685E39E" w14:textId="77777777">
            <w:pPr>
              <w:jc w:val="center"/>
              <w:rPr>
                <w:b/>
                <w:bCs/>
                <w:color w:val="000000"/>
              </w:rPr>
            </w:pPr>
            <w:r w:rsidRPr="006172FD">
              <w:rPr>
                <w:b/>
                <w:bCs/>
              </w:rPr>
              <w:t>Hourly Rate</w:t>
            </w:r>
          </w:p>
        </w:tc>
        <w:tc>
          <w:tcPr>
            <w:tcW w:w="1596" w:type="dxa"/>
            <w:shd w:val="clear" w:color="auto" w:fill="auto"/>
            <w:noWrap/>
            <w:vAlign w:val="center"/>
          </w:tcPr>
          <w:p w:rsidR="007D58D5" w:rsidRPr="006172FD" w:rsidP="0074675D" w14:paraId="4979F745" w14:textId="77777777">
            <w:pPr>
              <w:jc w:val="center"/>
              <w:rPr>
                <w:b/>
                <w:bCs/>
                <w:color w:val="000000"/>
              </w:rPr>
            </w:pPr>
            <w:r w:rsidRPr="006172FD">
              <w:rPr>
                <w:b/>
                <w:bCs/>
              </w:rPr>
              <w:t>Annual Costs</w:t>
            </w:r>
          </w:p>
        </w:tc>
      </w:tr>
      <w:tr w14:paraId="36AFF214" w14:textId="77777777" w:rsidTr="00977310">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73AE97B1" w14:textId="423A43D3">
            <w:pPr>
              <w:rPr>
                <w:color w:val="000000"/>
              </w:rPr>
            </w:pPr>
            <w:r w:rsidRPr="00B909CD">
              <w:rPr>
                <w:color w:val="000000"/>
              </w:rPr>
              <w:t>Request assistance of the Review Committee</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0BFE4974" w14:textId="77777777">
            <w:pPr>
              <w:rPr>
                <w:color w:val="000000"/>
              </w:rPr>
            </w:pPr>
            <w:r w:rsidRPr="00B909CD">
              <w:rPr>
                <w:color w:val="000000"/>
              </w:rPr>
              <w:t>Any affected party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3554AD33" w14:textId="77777777">
            <w:pPr>
              <w:jc w:val="right"/>
            </w:pPr>
            <w:r w:rsidRPr="00B909CD">
              <w:t>3</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0C855100" w14:textId="77777777">
            <w:pPr>
              <w:jc w:val="right"/>
            </w:pPr>
            <w:r w:rsidRPr="00B909CD">
              <w:t>25.25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71812DCF" w14:textId="77777777">
            <w:pPr>
              <w:jc w:val="right"/>
            </w:pPr>
            <w:r w:rsidRPr="00B909CD">
              <w:t>75.75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03C762FA" w14:textId="77777777">
            <w:pPr>
              <w:jc w:val="right"/>
            </w:pPr>
            <w:r w:rsidRPr="00B909CD">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132CBF34" w14:textId="77777777">
            <w:pPr>
              <w:jc w:val="right"/>
            </w:pPr>
            <w:r w:rsidRPr="00B909CD">
              <w:t>$4,868.00</w:t>
            </w:r>
          </w:p>
        </w:tc>
      </w:tr>
      <w:tr w14:paraId="1BAF675A" w14:textId="77777777" w:rsidTr="00977310">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16E6A7FC" w14:textId="18583DF7">
            <w:pPr>
              <w:rPr>
                <w:color w:val="000000"/>
              </w:rPr>
            </w:pPr>
            <w:r w:rsidRPr="00B909CD">
              <w:rPr>
                <w:color w:val="000000"/>
              </w:rPr>
              <w:t>Request transfer of human remains or cultural items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29C7234C" w14:textId="77777777">
            <w:pPr>
              <w:rPr>
                <w:color w:val="000000"/>
              </w:rPr>
            </w:pPr>
            <w:r w:rsidRPr="00B909CD">
              <w:rPr>
                <w:color w:val="000000"/>
              </w:rPr>
              <w:t>Indian Tribes/NHOs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57A1EFA7" w14:textId="77777777">
            <w:pPr>
              <w:jc w:val="right"/>
            </w:pPr>
            <w:r w:rsidRPr="00B909CD">
              <w:t>6</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7A73B9B9" w14:textId="77777777">
            <w:pPr>
              <w:jc w:val="right"/>
            </w:pPr>
            <w:r w:rsidRPr="00B909CD">
              <w:t>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44A8E92A" w14:textId="77777777">
            <w:pPr>
              <w:jc w:val="right"/>
            </w:pPr>
            <w:r w:rsidRPr="00B909CD">
              <w:t>330.00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1F05CCF2" w14:textId="77777777">
            <w:pPr>
              <w:jc w:val="right"/>
            </w:pPr>
            <w:r w:rsidRPr="00B909CD">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3C942DD7" w14:textId="77777777">
            <w:pPr>
              <w:jc w:val="right"/>
            </w:pPr>
            <w:r w:rsidRPr="00B909CD">
              <w:t>$21,206.00</w:t>
            </w:r>
          </w:p>
        </w:tc>
      </w:tr>
      <w:tr w14:paraId="44502053" w14:textId="77777777" w:rsidTr="00977310">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331C9DCB" w14:textId="092B6039">
            <w:pPr>
              <w:rPr>
                <w:color w:val="000000"/>
              </w:rPr>
            </w:pPr>
            <w:r w:rsidRPr="00B909CD">
              <w:rPr>
                <w:color w:val="000000"/>
              </w:rPr>
              <w:t>Transfer or reinter human remains and associated funerary objects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6BDE5421" w14:textId="77777777">
            <w:pPr>
              <w:rPr>
                <w:color w:val="000000"/>
              </w:rPr>
            </w:pPr>
            <w:r w:rsidRPr="00B909CD">
              <w:rPr>
                <w:color w:val="000000"/>
              </w:rPr>
              <w:t>Museums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4B4E5898" w14:textId="77777777">
            <w:pPr>
              <w:jc w:val="right"/>
            </w:pPr>
            <w:r w:rsidRPr="00B909CD">
              <w:t>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17A99A8F" w14:textId="77777777">
            <w:pPr>
              <w:jc w:val="right"/>
            </w:pPr>
            <w:r w:rsidRPr="00B909CD">
              <w:t>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609B2388" w14:textId="77777777">
            <w:pPr>
              <w:jc w:val="right"/>
            </w:pPr>
            <w:r w:rsidRPr="00B909CD">
              <w:t>275.00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3AAF1277" w14:textId="77777777">
            <w:pPr>
              <w:jc w:val="right"/>
            </w:pPr>
            <w:r w:rsidRPr="00B909CD">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696434F2" w14:textId="77777777">
            <w:pPr>
              <w:jc w:val="right"/>
            </w:pPr>
            <w:r w:rsidRPr="00B909CD">
              <w:t>$17,672.00</w:t>
            </w:r>
          </w:p>
        </w:tc>
      </w:tr>
      <w:tr w14:paraId="38500443" w14:textId="77777777" w:rsidTr="00977310">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50F4E605" w14:textId="3924E969">
            <w:pPr>
              <w:rPr>
                <w:color w:val="000000"/>
              </w:rPr>
            </w:pPr>
            <w:r w:rsidRPr="00B909CD">
              <w:rPr>
                <w:color w:val="000000"/>
              </w:rPr>
              <w:t>Transfer or reinter human remains and associated funerary objects</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5E292DCC" w14:textId="77777777">
            <w:pPr>
              <w:rPr>
                <w:color w:val="000000"/>
              </w:rPr>
            </w:pPr>
            <w:r w:rsidRPr="00B909CD">
              <w:rPr>
                <w:color w:val="000000"/>
              </w:rPr>
              <w:t>Federal Agency</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6CCEDF19" w14:textId="77777777">
            <w:pPr>
              <w:jc w:val="right"/>
            </w:pPr>
            <w:r w:rsidRPr="00B909CD">
              <w:t>1</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5751A2D0" w14:textId="77777777">
            <w:pPr>
              <w:jc w:val="right"/>
            </w:pPr>
            <w:r w:rsidRPr="00B909CD">
              <w:t>55.00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71DFF295" w14:textId="77777777">
            <w:pPr>
              <w:jc w:val="right"/>
            </w:pPr>
            <w:r w:rsidRPr="00B909CD">
              <w:t>55.00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376A22FC" w14:textId="77777777">
            <w:pPr>
              <w:jc w:val="right"/>
            </w:pPr>
            <w:r w:rsidRPr="00B909CD">
              <w:t>$64.26</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7DCCE3E7" w14:textId="77777777">
            <w:pPr>
              <w:jc w:val="right"/>
            </w:pPr>
            <w:r w:rsidRPr="00B909CD">
              <w:t>$3,534.00</w:t>
            </w:r>
          </w:p>
        </w:tc>
      </w:tr>
      <w:tr w14:paraId="40471C11" w14:textId="77777777" w:rsidTr="00977310">
        <w:tblPrEx>
          <w:tblW w:w="12835" w:type="dxa"/>
          <w:tblLook w:val="04A0"/>
        </w:tblPrEx>
        <w:trPr>
          <w:trHeight w:val="300"/>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70C0552E" w14:textId="3B051A7D">
            <w:pPr>
              <w:jc w:val="right"/>
              <w:rPr>
                <w:b/>
                <w:bCs/>
                <w:color w:val="000000"/>
              </w:rPr>
            </w:pPr>
            <w:r>
              <w:rPr>
                <w:b/>
                <w:bCs/>
                <w:color w:val="000000"/>
              </w:rPr>
              <w:t>Total</w:t>
            </w:r>
          </w:p>
        </w:tc>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1D90B38F" w14:textId="77777777">
            <w:pPr>
              <w:jc w:val="center"/>
              <w:rPr>
                <w:b/>
                <w:bCs/>
                <w:color w:val="000000"/>
              </w:rPr>
            </w:pP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53453383" w14:textId="0E1E34DA">
            <w:pPr>
              <w:jc w:val="right"/>
              <w:rPr>
                <w:b/>
                <w:bCs/>
              </w:rPr>
            </w:pPr>
            <w:r w:rsidRPr="00B909CD">
              <w:rPr>
                <w:b/>
                <w:bCs/>
              </w:rPr>
              <w:t>15</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20D61C22" w14:textId="77777777">
            <w:pPr>
              <w:jc w:val="right"/>
              <w:rPr>
                <w:b/>
                <w:bCs/>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5101FB46" w14:textId="77777777">
            <w:pPr>
              <w:jc w:val="right"/>
              <w:rPr>
                <w:b/>
                <w:bCs/>
              </w:rPr>
            </w:pPr>
            <w:r w:rsidRPr="00B909CD">
              <w:rPr>
                <w:b/>
                <w:bCs/>
              </w:rPr>
              <w:t>735.75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54118BBD" w14:textId="77777777">
            <w:pPr>
              <w:jc w:val="right"/>
              <w:rPr>
                <w:b/>
                <w:bCs/>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9CD" w:rsidRPr="00B909CD" w:rsidP="00B909CD" w14:paraId="402AAD4C" w14:textId="37DE5A80">
            <w:pPr>
              <w:jc w:val="right"/>
              <w:rPr>
                <w:b/>
                <w:bCs/>
              </w:rPr>
            </w:pPr>
            <w:r>
              <w:rPr>
                <w:b/>
                <w:bCs/>
              </w:rPr>
              <w:t>$</w:t>
            </w:r>
            <w:r w:rsidRPr="00B909CD">
              <w:rPr>
                <w:b/>
                <w:bCs/>
              </w:rPr>
              <w:t>47,280.00</w:t>
            </w:r>
          </w:p>
        </w:tc>
      </w:tr>
    </w:tbl>
    <w:p w:rsidR="007D58D5" w:rsidP="00132CC5" w14:paraId="3E80CC05" w14:textId="77777777">
      <w:pPr>
        <w:pStyle w:val="ListParagraph"/>
        <w:ind w:left="0"/>
      </w:pPr>
    </w:p>
    <w:p w:rsidR="00796624" w:rsidRPr="008951CD" w:rsidP="00132CC5" w14:paraId="039BB5A6" w14:textId="3F0679C3">
      <w:r w:rsidRPr="00B909CD">
        <w:rPr>
          <w:i/>
          <w:iCs/>
        </w:rPr>
        <w:t xml:space="preserve">Request assistance of the Review Committee. </w:t>
      </w:r>
      <w:r w:rsidRPr="008951CD">
        <w:t xml:space="preserve">We estimate the number requests for assistance (n=3) from an affected party based on requests in recent years. The time per response will range from </w:t>
      </w:r>
      <w:r w:rsidR="002470FA">
        <w:t xml:space="preserve">less than one hour, or 0.50 hours, </w:t>
      </w:r>
      <w:r w:rsidRPr="008951CD">
        <w:t>to 50 hours, depending on the complexity of the request, for a median of 25.25 hours.</w:t>
      </w:r>
    </w:p>
    <w:p w:rsidR="00B909CD" w:rsidP="00132CC5" w14:paraId="2166F07E" w14:textId="77777777"/>
    <w:p w:rsidR="00796624" w:rsidP="00132CC5" w14:paraId="38302386" w14:textId="0EAB9884">
      <w:r w:rsidRPr="00B909CD">
        <w:rPr>
          <w:i/>
          <w:iCs/>
        </w:rPr>
        <w:t xml:space="preserve">Request transfer of human remains and associated funerary objects. </w:t>
      </w:r>
      <w:r w:rsidRPr="008951CD">
        <w:t>We estimate the number of Indian Tribes or NHOs (n=6) requesting transfer of human remains and associated funerary objects based on the average number of requests in recent years. The time per response will range from ten hours to 100 hours, depending on the complexity of the request, for a median of 55.00 hours.</w:t>
      </w:r>
    </w:p>
    <w:p w:rsidR="00796624" w:rsidRPr="008951CD" w:rsidP="00132CC5" w14:paraId="0DAAAB64" w14:textId="77777777"/>
    <w:p w:rsidR="00796624" w:rsidRPr="008951CD" w:rsidP="00132CC5" w14:paraId="243068DC" w14:textId="412AA55C">
      <w:r w:rsidRPr="00B909CD">
        <w:rPr>
          <w:i/>
          <w:iCs/>
        </w:rPr>
        <w:t xml:space="preserve">Transfer or reinter human remains and associated funerary objects. </w:t>
      </w:r>
      <w:r w:rsidRPr="008951CD">
        <w:t>We estimate the number of museums (n=5) and Federal agencies (n=1) requesting to transfer or reinter human remains or associated funerary objects based on the average number of requests in recent years. The time per response will range from ten hours to 100 hours, depending on the complexity of the request, for a median of 55.00 hours.</w:t>
      </w:r>
    </w:p>
    <w:p w:rsidR="00F350D3" w:rsidP="00132CC5" w14:paraId="483A9C3E" w14:textId="77777777">
      <w:pPr>
        <w:rPr>
          <w:b/>
          <w:bCs/>
        </w:rPr>
      </w:pPr>
    </w:p>
    <w:p w:rsidR="00977310" w:rsidP="00D435F4" w14:paraId="598D5365" w14:textId="3D247079">
      <w:pPr>
        <w:pStyle w:val="Heading3"/>
      </w:pPr>
      <w:bookmarkStart w:id="47" w:name="_Toc113867049"/>
      <w:r>
        <w:t xml:space="preserve">Table 23. </w:t>
      </w:r>
      <w:r w:rsidR="00D435F4">
        <w:t xml:space="preserve"> </w:t>
      </w:r>
      <w:r>
        <w:t>Estimate for Proposed regulatory action Subpart D</w:t>
      </w:r>
      <w:bookmarkEnd w:id="47"/>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2430"/>
        <w:gridCol w:w="1350"/>
        <w:gridCol w:w="1260"/>
        <w:gridCol w:w="1620"/>
        <w:gridCol w:w="1170"/>
        <w:gridCol w:w="1440"/>
      </w:tblGrid>
      <w:tr w14:paraId="26BA8A1F" w14:textId="77777777" w:rsidTr="006843D7">
        <w:tblPrEx>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600" w:type="dxa"/>
            <w:shd w:val="clear" w:color="auto" w:fill="auto"/>
            <w:noWrap/>
            <w:vAlign w:val="center"/>
          </w:tcPr>
          <w:p w:rsidR="00977310" w:rsidRPr="006172FD" w:rsidP="0074675D" w14:paraId="1DC5373D" w14:textId="77777777">
            <w:pPr>
              <w:jc w:val="center"/>
              <w:rPr>
                <w:b/>
                <w:bCs/>
                <w:color w:val="000000"/>
              </w:rPr>
            </w:pPr>
            <w:r w:rsidRPr="006172FD">
              <w:rPr>
                <w:b/>
                <w:bCs/>
                <w:color w:val="000000"/>
              </w:rPr>
              <w:t>Regulatory Requirement</w:t>
            </w:r>
          </w:p>
        </w:tc>
        <w:tc>
          <w:tcPr>
            <w:tcW w:w="2430" w:type="dxa"/>
            <w:shd w:val="clear" w:color="auto" w:fill="auto"/>
            <w:noWrap/>
            <w:vAlign w:val="center"/>
          </w:tcPr>
          <w:p w:rsidR="00977310" w:rsidRPr="006172FD" w:rsidP="0074675D" w14:paraId="31E4E811" w14:textId="77777777">
            <w:pPr>
              <w:jc w:val="center"/>
              <w:rPr>
                <w:b/>
                <w:bCs/>
                <w:color w:val="000000"/>
              </w:rPr>
            </w:pPr>
            <w:r w:rsidRPr="006172FD">
              <w:rPr>
                <w:b/>
                <w:bCs/>
                <w:color w:val="000000"/>
              </w:rPr>
              <w:t>Responsible party</w:t>
            </w:r>
          </w:p>
        </w:tc>
        <w:tc>
          <w:tcPr>
            <w:tcW w:w="1350" w:type="dxa"/>
            <w:shd w:val="clear" w:color="auto" w:fill="auto"/>
            <w:noWrap/>
            <w:vAlign w:val="center"/>
          </w:tcPr>
          <w:p w:rsidR="00977310" w:rsidRPr="006172FD" w:rsidP="0074675D" w14:paraId="35A7A3E7" w14:textId="77777777">
            <w:pPr>
              <w:jc w:val="center"/>
              <w:rPr>
                <w:b/>
                <w:bCs/>
                <w:color w:val="000000"/>
              </w:rPr>
            </w:pPr>
            <w:r w:rsidRPr="006172FD">
              <w:rPr>
                <w:b/>
                <w:bCs/>
              </w:rPr>
              <w:t>Number of responses</w:t>
            </w:r>
          </w:p>
        </w:tc>
        <w:tc>
          <w:tcPr>
            <w:tcW w:w="1260" w:type="dxa"/>
            <w:shd w:val="clear" w:color="auto" w:fill="auto"/>
            <w:noWrap/>
            <w:vAlign w:val="center"/>
          </w:tcPr>
          <w:p w:rsidR="00977310" w:rsidRPr="006172FD" w:rsidP="0074675D" w14:paraId="7B479295" w14:textId="77777777">
            <w:pPr>
              <w:jc w:val="center"/>
              <w:rPr>
                <w:b/>
                <w:bCs/>
                <w:color w:val="000000"/>
              </w:rPr>
            </w:pPr>
            <w:r w:rsidRPr="006172FD">
              <w:rPr>
                <w:b/>
                <w:bCs/>
              </w:rPr>
              <w:t>Time per response</w:t>
            </w:r>
          </w:p>
        </w:tc>
        <w:tc>
          <w:tcPr>
            <w:tcW w:w="1620" w:type="dxa"/>
            <w:shd w:val="clear" w:color="auto" w:fill="auto"/>
            <w:noWrap/>
            <w:vAlign w:val="center"/>
          </w:tcPr>
          <w:p w:rsidR="00977310" w:rsidRPr="006172FD" w:rsidP="0074675D" w14:paraId="03CF4AC7" w14:textId="77777777">
            <w:pPr>
              <w:jc w:val="center"/>
              <w:rPr>
                <w:b/>
                <w:bCs/>
                <w:color w:val="000000"/>
              </w:rPr>
            </w:pPr>
            <w:r w:rsidRPr="006172FD">
              <w:rPr>
                <w:b/>
                <w:bCs/>
              </w:rPr>
              <w:t>Annual Hours</w:t>
            </w:r>
          </w:p>
        </w:tc>
        <w:tc>
          <w:tcPr>
            <w:tcW w:w="1170" w:type="dxa"/>
            <w:shd w:val="clear" w:color="auto" w:fill="auto"/>
            <w:noWrap/>
            <w:vAlign w:val="center"/>
          </w:tcPr>
          <w:p w:rsidR="00977310" w:rsidRPr="006172FD" w:rsidP="0074675D" w14:paraId="42747674" w14:textId="77777777">
            <w:pPr>
              <w:jc w:val="center"/>
              <w:rPr>
                <w:b/>
                <w:bCs/>
                <w:color w:val="000000"/>
              </w:rPr>
            </w:pPr>
            <w:r w:rsidRPr="006172FD">
              <w:rPr>
                <w:b/>
                <w:bCs/>
              </w:rPr>
              <w:t>Hourly Rate</w:t>
            </w:r>
          </w:p>
        </w:tc>
        <w:tc>
          <w:tcPr>
            <w:tcW w:w="1440" w:type="dxa"/>
            <w:shd w:val="clear" w:color="auto" w:fill="auto"/>
            <w:noWrap/>
            <w:vAlign w:val="center"/>
          </w:tcPr>
          <w:p w:rsidR="00977310" w:rsidRPr="006172FD" w:rsidP="0074675D" w14:paraId="08F128E5" w14:textId="77777777">
            <w:pPr>
              <w:jc w:val="center"/>
              <w:rPr>
                <w:b/>
                <w:bCs/>
                <w:color w:val="000000"/>
              </w:rPr>
            </w:pPr>
            <w:r w:rsidRPr="006172FD">
              <w:rPr>
                <w:b/>
                <w:bCs/>
              </w:rPr>
              <w:t>Annual Costs</w:t>
            </w:r>
          </w:p>
        </w:tc>
      </w:tr>
      <w:tr w14:paraId="0E7AC118" w14:textId="77777777" w:rsidTr="006843D7">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165A9867" w14:textId="77777777">
            <w:pPr>
              <w:rPr>
                <w:color w:val="000000"/>
              </w:rPr>
            </w:pPr>
            <w:r w:rsidRPr="006843D7">
              <w:rPr>
                <w:color w:val="000000"/>
              </w:rPr>
              <w:t>Request assistance of the Review Committee</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2C955726" w14:textId="77777777">
            <w:pPr>
              <w:rPr>
                <w:color w:val="000000"/>
              </w:rPr>
            </w:pPr>
            <w:r w:rsidRPr="006843D7">
              <w:rPr>
                <w:color w:val="000000"/>
              </w:rPr>
              <w:t>Any affected party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783D1B54" w14:textId="77777777">
            <w:pPr>
              <w:jc w:val="right"/>
            </w:pPr>
            <w:r w:rsidRPr="006843D7">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5B4E4D24" w14:textId="77777777">
            <w:pPr>
              <w:jc w:val="right"/>
            </w:pPr>
            <w:r w:rsidRPr="006843D7">
              <w:t>25.25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65F24002" w14:textId="77777777">
            <w:pPr>
              <w:jc w:val="right"/>
            </w:pPr>
            <w:r w:rsidRPr="006843D7">
              <w:t>75.75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198E7614" w14:textId="77777777">
            <w:pPr>
              <w:jc w:val="right"/>
            </w:pPr>
            <w:r w:rsidRPr="006843D7">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09549F95" w14:textId="77777777">
            <w:pPr>
              <w:jc w:val="right"/>
            </w:pPr>
            <w:r w:rsidRPr="006843D7">
              <w:t>$4,868.00</w:t>
            </w:r>
          </w:p>
        </w:tc>
      </w:tr>
      <w:tr w14:paraId="23372DF5" w14:textId="77777777" w:rsidTr="006843D7">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26F89612" w14:textId="27183717">
            <w:pPr>
              <w:rPr>
                <w:color w:val="000000"/>
              </w:rPr>
            </w:pPr>
            <w:r w:rsidRPr="006843D7">
              <w:rPr>
                <w:color w:val="000000"/>
              </w:rPr>
              <w:t>Submit nominations to the NAGPRA Review Committee</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29A209A1" w14:textId="77777777">
            <w:pPr>
              <w:rPr>
                <w:color w:val="000000"/>
              </w:rPr>
            </w:pPr>
            <w:r w:rsidRPr="006843D7">
              <w:rPr>
                <w:color w:val="000000"/>
              </w:rPr>
              <w:t>Any affected party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48583E34" w14:textId="77777777">
            <w:pPr>
              <w:jc w:val="right"/>
            </w:pPr>
            <w:r w:rsidRPr="006843D7">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7C572D20" w14:textId="77777777">
            <w:pPr>
              <w:jc w:val="right"/>
            </w:pPr>
            <w:r w:rsidRPr="006843D7">
              <w:t>5.25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376B1578" w14:textId="77777777">
            <w:pPr>
              <w:jc w:val="right"/>
            </w:pPr>
            <w:r w:rsidRPr="006843D7">
              <w:t>10.50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2223655A" w14:textId="77777777">
            <w:pPr>
              <w:jc w:val="right"/>
            </w:pPr>
            <w:r w:rsidRPr="006843D7">
              <w:t>$64.26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42F3EF7C" w14:textId="77777777">
            <w:pPr>
              <w:jc w:val="right"/>
            </w:pPr>
            <w:r w:rsidRPr="006843D7">
              <w:t>$675.00</w:t>
            </w:r>
          </w:p>
        </w:tc>
      </w:tr>
      <w:tr w14:paraId="5F51FF6D" w14:textId="77777777" w:rsidTr="006843D7">
        <w:tblPrEx>
          <w:tblW w:w="12870" w:type="dxa"/>
          <w:tblLook w:val="04A0"/>
        </w:tblPrEx>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36D6D20F" w14:textId="41F47BF0">
            <w:pPr>
              <w:jc w:val="right"/>
              <w:rPr>
                <w:b/>
                <w:bCs/>
                <w:color w:val="000000"/>
              </w:rPr>
            </w:pPr>
            <w:r>
              <w:rPr>
                <w:b/>
                <w:bCs/>
                <w:color w:val="000000"/>
              </w:rPr>
              <w:t>Total</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6A454E4E" w14:textId="77777777">
            <w:pPr>
              <w:jc w:val="center"/>
              <w:rPr>
                <w:b/>
                <w:bC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7FDA03C3" w14:textId="0A3DD9FC">
            <w:pPr>
              <w:jc w:val="right"/>
              <w:rPr>
                <w:b/>
                <w:bCs/>
              </w:rPr>
            </w:pPr>
            <w:r w:rsidRPr="006843D7">
              <w:rPr>
                <w:b/>
                <w:bCs/>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69CF5296" w14:textId="77777777">
            <w:pPr>
              <w:jc w:val="right"/>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51A04358" w14:textId="77777777">
            <w:pPr>
              <w:jc w:val="right"/>
              <w:rPr>
                <w:b/>
                <w:bCs/>
              </w:rPr>
            </w:pPr>
            <w:r w:rsidRPr="006843D7">
              <w:rPr>
                <w:b/>
                <w:bCs/>
              </w:rPr>
              <w:t>86.25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0C4474AB" w14:textId="77777777">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D7" w:rsidRPr="006843D7" w:rsidP="006843D7" w14:paraId="393C749A" w14:textId="01E05DA3">
            <w:pPr>
              <w:jc w:val="right"/>
              <w:rPr>
                <w:b/>
                <w:bCs/>
              </w:rPr>
            </w:pPr>
            <w:r>
              <w:rPr>
                <w:b/>
                <w:bCs/>
              </w:rPr>
              <w:t>$</w:t>
            </w:r>
            <w:r w:rsidRPr="006843D7">
              <w:rPr>
                <w:b/>
                <w:bCs/>
              </w:rPr>
              <w:t>5,543.00</w:t>
            </w:r>
          </w:p>
        </w:tc>
      </w:tr>
    </w:tbl>
    <w:p w:rsidR="00AA3403" w:rsidP="00132CC5" w14:paraId="6CF03E63" w14:textId="77777777">
      <w:pPr>
        <w:pStyle w:val="ListParagraph"/>
        <w:ind w:left="-90"/>
      </w:pPr>
    </w:p>
    <w:p w:rsidR="00C82C42" w:rsidP="00132CC5" w14:paraId="33301CB2" w14:textId="77777777">
      <w:pPr>
        <w:pStyle w:val="ListParagraph"/>
        <w:ind w:left="-90"/>
      </w:pPr>
    </w:p>
    <w:p w:rsidR="00AA3403" w:rsidRPr="00157826" w:rsidP="00132CC5" w14:paraId="3B32F3C9" w14:textId="77777777">
      <w:pPr>
        <w:rPr>
          <w:b/>
          <w:bCs/>
        </w:rPr>
      </w:pPr>
      <w:r w:rsidRPr="00157826">
        <w:rPr>
          <w:b/>
          <w:bCs/>
        </w:rPr>
        <w:t>No change from baseline conditions for:</w:t>
      </w:r>
    </w:p>
    <w:p w:rsidR="00AA3403" w:rsidP="00132CC5" w14:paraId="2CBF2E1A" w14:textId="77777777">
      <w:r>
        <w:rPr>
          <w:i/>
          <w:iCs/>
        </w:rPr>
        <w:t>Request assistance of the Review Committee</w:t>
      </w:r>
      <w:r w:rsidRPr="00A968DE">
        <w:rPr>
          <w:i/>
          <w:iCs/>
        </w:rPr>
        <w:t>.</w:t>
      </w:r>
      <w:r w:rsidRPr="005E0BA9">
        <w:t xml:space="preserve"> </w:t>
      </w:r>
    </w:p>
    <w:p w:rsidR="00AA3403" w:rsidP="00132CC5" w14:paraId="3D586B3F" w14:textId="77777777"/>
    <w:p w:rsidR="00C82C42" w:rsidP="00132CC5" w14:paraId="6E73204F" w14:textId="77777777"/>
    <w:p w:rsidR="00AA3403" w:rsidRPr="00157826" w:rsidP="00132CC5" w14:paraId="04171486" w14:textId="77777777">
      <w:pPr>
        <w:rPr>
          <w:b/>
          <w:bCs/>
        </w:rPr>
      </w:pPr>
      <w:r w:rsidRPr="00157826">
        <w:rPr>
          <w:b/>
          <w:bCs/>
        </w:rPr>
        <w:t xml:space="preserve">New requirements in proposed </w:t>
      </w:r>
      <w:r>
        <w:rPr>
          <w:b/>
          <w:bCs/>
        </w:rPr>
        <w:t>action</w:t>
      </w:r>
      <w:r w:rsidRPr="00157826">
        <w:rPr>
          <w:b/>
          <w:bCs/>
        </w:rPr>
        <w:t>:</w:t>
      </w:r>
    </w:p>
    <w:p w:rsidR="00AA3403" w:rsidP="00132CC5" w14:paraId="047B1AD8" w14:textId="7E64C4F8">
      <w:r>
        <w:rPr>
          <w:i/>
          <w:iCs/>
        </w:rPr>
        <w:t>Submit nominations to the NAGPRA Review Committee.</w:t>
      </w:r>
      <w:r>
        <w:t xml:space="preserve"> We estimate the number of nominations (n=</w:t>
      </w:r>
      <w:r w:rsidR="006843D7">
        <w:t>2</w:t>
      </w:r>
      <w:r>
        <w:t xml:space="preserve">) to the NAGPRA Review Committee based on the regular four-year term of the six members nominated by Indian Tribes, NHOs, museum organizations, and scientific organizations. </w:t>
      </w:r>
      <w:r w:rsidRPr="00CE6CC6">
        <w:t>We estimate the time per response range</w:t>
      </w:r>
      <w:r>
        <w:t>s</w:t>
      </w:r>
      <w:r w:rsidRPr="00CE6CC6">
        <w:t xml:space="preserve"> from </w:t>
      </w:r>
      <w:r w:rsidR="002470FA">
        <w:t xml:space="preserve">less than one hour, or 0.50 hours, </w:t>
      </w:r>
      <w:r w:rsidRPr="00CE6CC6">
        <w:t xml:space="preserve">to </w:t>
      </w:r>
      <w:r>
        <w:t>1</w:t>
      </w:r>
      <w:r w:rsidRPr="00CE6CC6">
        <w:t xml:space="preserve">0 hours, depending on the size and complexity of the </w:t>
      </w:r>
      <w:r>
        <w:t>nomination</w:t>
      </w:r>
      <w:r w:rsidRPr="00CE6CC6">
        <w:t xml:space="preserve">, for a median of </w:t>
      </w:r>
      <w:r>
        <w:t>5</w:t>
      </w:r>
      <w:r w:rsidRPr="00CE6CC6">
        <w:t>.25 hours.</w:t>
      </w:r>
    </w:p>
    <w:sectPr w:rsidSect="00321597">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49F9" w14:paraId="7F7EA7B0" w14:textId="3C83E7C5">
    <w:pPr>
      <w:pStyle w:val="Footer"/>
      <w:jc w:val="center"/>
    </w:pPr>
    <w:r>
      <w:fldChar w:fldCharType="begin"/>
    </w:r>
    <w:r>
      <w:instrText xml:space="preserve"> PAGE   \* MERGEFORMAT </w:instrText>
    </w:r>
    <w:r>
      <w:fldChar w:fldCharType="separate"/>
    </w:r>
    <w:r w:rsidR="00F46029">
      <w:rPr>
        <w:noProof/>
      </w:rPr>
      <w:t>2</w:t>
    </w:r>
    <w:r>
      <w:fldChar w:fldCharType="end"/>
    </w:r>
  </w:p>
  <w:p w:rsidR="00B849F9" w14:paraId="38F412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49F9" w14:paraId="11519819" w14:textId="7A7DC0A1">
    <w:pPr>
      <w:pStyle w:val="Footer"/>
      <w:jc w:val="center"/>
    </w:pPr>
    <w:r>
      <w:fldChar w:fldCharType="begin"/>
    </w:r>
    <w:r>
      <w:instrText xml:space="preserve"> PAGE   \* MERGEFORMAT </w:instrText>
    </w:r>
    <w:r>
      <w:fldChar w:fldCharType="separate"/>
    </w:r>
    <w:r w:rsidR="00F46029">
      <w:rPr>
        <w:noProof/>
      </w:rPr>
      <w:t>1</w:t>
    </w:r>
    <w:r>
      <w:fldChar w:fldCharType="end"/>
    </w:r>
  </w:p>
  <w:p w:rsidR="00B849F9" w14:paraId="0244AF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94247" w14:paraId="5A9DFD02" w14:textId="77777777">
      <w:r>
        <w:separator/>
      </w:r>
    </w:p>
  </w:footnote>
  <w:footnote w:type="continuationSeparator" w:id="1">
    <w:p w:rsidR="00794247" w14:paraId="73DCEBBE" w14:textId="77777777">
      <w:r>
        <w:continuationSeparator/>
      </w:r>
    </w:p>
  </w:footnote>
  <w:footnote w:type="continuationNotice" w:id="2">
    <w:p w:rsidR="00794247" w14:paraId="08CDB249" w14:textId="77777777"/>
  </w:footnote>
  <w:footnote w:id="3">
    <w:p w:rsidR="003A3BF4" w:rsidP="0097356C" w14:paraId="799C6DDC" w14:textId="63E9E042">
      <w:pPr>
        <w:pStyle w:val="FootnoteText"/>
      </w:pPr>
      <w:r>
        <w:rPr>
          <w:rStyle w:val="FootnoteReference"/>
        </w:rPr>
        <w:footnoteRef/>
      </w:r>
      <w:r>
        <w:t xml:space="preserve"> The implementing regulations (</w:t>
      </w:r>
      <w:r w:rsidR="005B7F45">
        <w:t xml:space="preserve">published as final at </w:t>
      </w:r>
      <w:r w:rsidR="00791924">
        <w:t>60 FR 62134-62169, December 4, 1995)</w:t>
      </w:r>
      <w:r w:rsidR="005B7F45">
        <w:t xml:space="preserve">, included </w:t>
      </w:r>
      <w:r w:rsidR="00D30820">
        <w:t xml:space="preserve">an estimate of the </w:t>
      </w:r>
      <w:r w:rsidR="001B3687">
        <w:t xml:space="preserve">annual </w:t>
      </w:r>
      <w:r w:rsidR="005B7F45">
        <w:t xml:space="preserve">reporting burden </w:t>
      </w:r>
      <w:r w:rsidR="00E57B1C">
        <w:t>to be</w:t>
      </w:r>
      <w:r w:rsidR="005B7F45">
        <w:t xml:space="preserve"> </w:t>
      </w:r>
      <w:r w:rsidR="001B3687">
        <w:t>“</w:t>
      </w:r>
      <w:r w:rsidR="005B7F45">
        <w:t>100 hours for the exchange of summary/inventory information between a museum or Federal agency and an Indian tribe or Native Hawaiian organization and six hours per response for the notification to the Secretary, including time for reviewing instructions, searching existing data sources, gathering and maintaining the data needed, and completing and reviewing the collected information.</w:t>
      </w:r>
      <w:r w:rsidR="001B3687">
        <w:t>”</w:t>
      </w:r>
    </w:p>
  </w:footnote>
  <w:footnote w:id="4">
    <w:p w:rsidR="00F06A46" w14:paraId="7282D7CD" w14:textId="346D43BD">
      <w:pPr>
        <w:pStyle w:val="FootnoteText"/>
      </w:pPr>
      <w:r>
        <w:rPr>
          <w:rStyle w:val="FootnoteReference"/>
        </w:rPr>
        <w:footnoteRef/>
      </w:r>
      <w:r>
        <w:t xml:space="preserve"> </w:t>
      </w:r>
      <w:r w:rsidRPr="00F06A46">
        <w:t>Office of Management and Budget (OMB). 2003. Circular A-4: guidance for developing regulatory analyses. September 17, 2003.</w:t>
      </w:r>
    </w:p>
  </w:footnote>
  <w:footnote w:id="5">
    <w:p w:rsidR="00FB0972" w:rsidP="00FB0972" w14:paraId="475AB169" w14:textId="0DC22306">
      <w:pPr>
        <w:pStyle w:val="FootnoteText"/>
      </w:pPr>
      <w:r>
        <w:rPr>
          <w:rStyle w:val="FootnoteReference"/>
        </w:rPr>
        <w:footnoteRef/>
      </w:r>
      <w:r>
        <w:t xml:space="preserve"> See </w:t>
      </w:r>
      <w:r w:rsidR="001457EE">
        <w:t xml:space="preserve">NPS, National NAGPRA Program Annual Reports, </w:t>
      </w:r>
      <w:hyperlink r:id="rId1" w:history="1">
        <w:r w:rsidRPr="000B5847" w:rsidR="008D532D">
          <w:rPr>
            <w:rStyle w:val="Hyperlink"/>
          </w:rPr>
          <w:t>https://www.nps.gov/subjects/nagpra/reports.htm</w:t>
        </w:r>
      </w:hyperlink>
      <w:r w:rsidR="008D532D">
        <w:t xml:space="preserve"> (accessed August 1, 2022).</w:t>
      </w:r>
      <w:r w:rsidR="007C7CC7">
        <w:t xml:space="preserve"> As the table shows, the number of human remains completing the existing regulatory process varies from year to year, depending on the decision making process of museums and Federal agencies on repatriation. </w:t>
      </w:r>
    </w:p>
  </w:footnote>
  <w:footnote w:id="6">
    <w:p w:rsidR="00101384" w14:paraId="600ACC87" w14:textId="02F65511">
      <w:pPr>
        <w:pStyle w:val="FootnoteText"/>
      </w:pPr>
      <w:r>
        <w:rPr>
          <w:rStyle w:val="FootnoteReference"/>
        </w:rPr>
        <w:footnoteRef/>
      </w:r>
      <w:r>
        <w:t xml:space="preserve"> </w:t>
      </w:r>
      <w:r w:rsidRPr="00F06A46">
        <w:t>Office of Management and Budget (OMB). 2003. Circular A-4: guidance for developing regulatory analyses. September 17, 2003.</w:t>
      </w:r>
    </w:p>
  </w:footnote>
  <w:footnote w:id="7">
    <w:p w:rsidR="0048642B" w:rsidP="0048642B" w14:paraId="0A07234C" w14:textId="0C55FC59">
      <w:pPr>
        <w:pStyle w:val="CommentText"/>
      </w:pPr>
      <w:r>
        <w:rPr>
          <w:rStyle w:val="FootnoteReference"/>
        </w:rPr>
        <w:footnoteRef/>
      </w:r>
      <w:r>
        <w:t xml:space="preserve"> </w:t>
      </w:r>
      <w:r w:rsidR="00066791">
        <w:t>In the existing regulations,</w:t>
      </w:r>
      <w:r w:rsidR="002E2260">
        <w:t xml:space="preserve"> consultation is required throughout the regulatory process in both Subpart B and C for any decision-making action by a Federal agency or museum. However, </w:t>
      </w:r>
      <w:r w:rsidR="00756218">
        <w:t xml:space="preserve">the regulations do not require any Indian Tribe or NHO to participate in such consultation. </w:t>
      </w:r>
      <w:r w:rsidR="004758A4">
        <w:t xml:space="preserve">Choosing to participate in consultation is an act of sovereignty and </w:t>
      </w:r>
      <w:r w:rsidR="00D071A3">
        <w:t xml:space="preserve">these regulations, either existing or proposed, do not require any Indian Tribe or NHO to </w:t>
      </w:r>
      <w:r w:rsidR="00F52903">
        <w:t xml:space="preserve">consult. These regulations, both existing and proposed, do require museums and Federal agencies to initiate consultation and conduct consultation upon request. </w:t>
      </w:r>
      <w:r w:rsidR="007044C3">
        <w:t xml:space="preserve">In </w:t>
      </w:r>
      <w:r w:rsidR="002B3A73">
        <w:t xml:space="preserve">only </w:t>
      </w:r>
      <w:r w:rsidR="007044C3">
        <w:t>one instance in the existing regulations (43 CFR 10.11(b)), an Indian Tribe or NHO</w:t>
      </w:r>
      <w:r w:rsidR="006B6354">
        <w:t xml:space="preserve"> may request to consult prior to receiving an invitation to consult on culturally unidentifiable human remains. </w:t>
      </w:r>
      <w:r w:rsidR="002A6273">
        <w:t xml:space="preserve">In preparing this estimate, we have included the estimated costs for Indian Tribes and NHOs to request to consult, but we have not included any estimate on the costs to </w:t>
      </w:r>
      <w:r w:rsidR="000B4867">
        <w:t xml:space="preserve">Indian Tribes or NHOs to </w:t>
      </w:r>
      <w:r w:rsidR="002A6273">
        <w:t>engage in consultation</w:t>
      </w:r>
      <w:r w:rsidR="000B4867">
        <w:t>. The variables in estimating this cost</w:t>
      </w:r>
      <w:r w:rsidR="00381ADB">
        <w:t xml:space="preserve"> are too great. For example, one tribal official recently stated publicly that under the existing regulations, consultation can require one email exchange or, in the most extreme case, eight years of regular consultation meetings. In addition to the varying </w:t>
      </w:r>
      <w:r w:rsidR="000818ED">
        <w:t>time required to consult with museums and Federal agencies, the costs for Indian Tribes and NHOs to consult internally with religious leaders or to develop their own process and protocol for conducting consultation cannot and should not be estimated by the Federal government.</w:t>
      </w:r>
      <w:r w:rsidR="00782D6F">
        <w:t xml:space="preserve"> In preparing this estimate, we reviewed other regulations</w:t>
      </w:r>
      <w:r w:rsidR="001052DE">
        <w:t xml:space="preserve"> for any estimate on the costs to Indian Tribes or NHOs to engage in consultation</w:t>
      </w:r>
      <w:r w:rsidR="006D5CFE">
        <w:t xml:space="preserve"> but were unable to find a relevant example</w:t>
      </w:r>
      <w:r w:rsidR="001052DE">
        <w:t xml:space="preserve">. </w:t>
      </w:r>
      <w:r w:rsidR="00860526">
        <w:t>At this time, we do not have sufficient information to quantify the costs to Indian Tribes or NHOs to engage in consultation.</w:t>
      </w:r>
    </w:p>
    <w:p w:rsidR="0059190A" w14:paraId="73259415" w14:textId="4EE1E191">
      <w:pPr>
        <w:pStyle w:val="FootnoteText"/>
      </w:pPr>
    </w:p>
  </w:footnote>
  <w:footnote w:id="8">
    <w:p w:rsidR="00C45C1C" w:rsidP="00C45C1C" w14:paraId="68684F6D" w14:textId="77777777">
      <w:pPr>
        <w:pStyle w:val="FootnoteText"/>
      </w:pPr>
      <w:r>
        <w:rPr>
          <w:rStyle w:val="FootnoteReference"/>
        </w:rPr>
        <w:footnoteRef/>
      </w:r>
      <w:r>
        <w:t xml:space="preserve"> See </w:t>
      </w:r>
      <w:r w:rsidRPr="009E0EE6">
        <w:t>https://documents.saa.org/container/docs/default-source/doc-governmentaffairs/final_scia_testimony_02162022.pdf?sfvrsn=63d7c331_2</w:t>
      </w:r>
    </w:p>
  </w:footnote>
  <w:footnote w:id="9">
    <w:p w:rsidR="00C45C1C" w:rsidP="00C45C1C" w14:paraId="04BBFAF1" w14:textId="77777777">
      <w:pPr>
        <w:pStyle w:val="FootnoteText"/>
      </w:pPr>
      <w:r>
        <w:rPr>
          <w:rStyle w:val="FootnoteReference"/>
        </w:rPr>
        <w:footnoteRef/>
      </w:r>
      <w:r>
        <w:t xml:space="preserve"> See Field Museum of Natural History (FMNH) Background062722 available at </w:t>
      </w:r>
      <w:r w:rsidRPr="00D655DA">
        <w:t>https://www.reginfo.gov/public/do/viewEO12866Meeting?viewRule=true&amp;rin=1024-AE19&amp;meetingId=139323&amp;acronym=1024-DOI/NPS</w:t>
      </w:r>
    </w:p>
  </w:footnote>
  <w:footnote w:id="10">
    <w:p w:rsidR="00C45C1C" w:rsidP="00C45C1C" w14:paraId="3A96AA12" w14:textId="77777777">
      <w:pPr>
        <w:pStyle w:val="FootnoteText"/>
      </w:pPr>
      <w:r>
        <w:rPr>
          <w:rStyle w:val="FootnoteReference"/>
        </w:rPr>
        <w:footnoteRef/>
      </w:r>
      <w:r>
        <w:t xml:space="preserve"> Email to NPS and OMB, 6/27/2022.</w:t>
      </w:r>
    </w:p>
  </w:footnote>
  <w:footnote w:id="11">
    <w:p w:rsidR="008B605B" w14:paraId="14898121" w14:textId="52729554">
      <w:pPr>
        <w:pStyle w:val="FootnoteText"/>
      </w:pPr>
      <w:r>
        <w:rPr>
          <w:rStyle w:val="FootnoteReference"/>
        </w:rPr>
        <w:footnoteRef/>
      </w:r>
      <w:r>
        <w:t xml:space="preserve"> The proposed regulatory action requires </w:t>
      </w:r>
      <w:r w:rsidR="003D2046">
        <w:t xml:space="preserve">updated inventories within two years of the final rule and </w:t>
      </w:r>
      <w:r w:rsidR="006A59F4">
        <w:t>submission of notices six months after the updated inventories. This totals</w:t>
      </w:r>
      <w:r w:rsidR="007C607B">
        <w:t xml:space="preserve"> less than three years or</w:t>
      </w:r>
      <w:r w:rsidR="006A59F4">
        <w:t xml:space="preserve"> 30 months</w:t>
      </w:r>
      <w:r w:rsidR="007C607B">
        <w:t>.</w:t>
      </w:r>
      <w:r w:rsidR="00852185">
        <w:t xml:space="preserve"> </w:t>
      </w:r>
      <w:r w:rsidR="007C607B">
        <w:t>T</w:t>
      </w:r>
      <w:r w:rsidR="00852185">
        <w:t xml:space="preserve">o simplify this analysis, </w:t>
      </w:r>
      <w:r w:rsidR="007C607B">
        <w:t>the NPS</w:t>
      </w:r>
      <w:r w:rsidR="00852185">
        <w:t xml:space="preserve"> ha</w:t>
      </w:r>
      <w:r w:rsidR="007C607B">
        <w:t>s</w:t>
      </w:r>
      <w:r w:rsidR="00852185">
        <w:t xml:space="preserve"> estimated </w:t>
      </w:r>
      <w:r w:rsidR="00E57197">
        <w:t xml:space="preserve">the hours and costs of the proposed regulatory action </w:t>
      </w:r>
      <w:r w:rsidR="0053259C">
        <w:t xml:space="preserve">in </w:t>
      </w:r>
      <w:r w:rsidR="00E57197">
        <w:t>years one through three</w:t>
      </w:r>
      <w:r w:rsidR="0053259C">
        <w:t xml:space="preserve"> rather than 30 months</w:t>
      </w:r>
      <w:r w:rsidR="00E57197">
        <w:t>.</w:t>
      </w:r>
      <w:r w:rsidR="0053259C">
        <w:t xml:space="preserve"> </w:t>
      </w:r>
    </w:p>
  </w:footnote>
  <w:footnote w:id="12">
    <w:p w:rsidR="004612B0" w14:paraId="666824B4" w14:textId="1638092D">
      <w:pPr>
        <w:pStyle w:val="FootnoteText"/>
      </w:pPr>
      <w:r>
        <w:rPr>
          <w:rStyle w:val="FootnoteReference"/>
        </w:rPr>
        <w:footnoteRef/>
      </w:r>
      <w:r>
        <w:t xml:space="preserve"> </w:t>
      </w:r>
      <w:r w:rsidR="00C94870">
        <w:t>In the proposed regulatory action, Federal agencies are required to initiate consultation and conduct consultation upon request. However, Indian Tribes or NHOs are not required to participate in such consultation. Choosing to participate in consultation is an act of sovereignty and these regulations, either existing or proposed, do not require any Indian Tribe or NHO to consult. The proposed regulatory action requires Indian Tribes and NHOs to request to consult in writing so we have included this as an estimated cost. However, we have not estimated the costs to Indian Tribes or NHOs to engage in consultation.</w:t>
      </w:r>
      <w:r w:rsidR="007B1BDC">
        <w:t xml:space="preserve"> See footnote 11 for more.</w:t>
      </w:r>
    </w:p>
  </w:footnote>
  <w:footnote w:id="13">
    <w:p w:rsidR="008117E1" w14:paraId="507B336F" w14:textId="5B0593AF">
      <w:pPr>
        <w:pStyle w:val="FootnoteText"/>
      </w:pPr>
      <w:r>
        <w:rPr>
          <w:rStyle w:val="FootnoteReference"/>
        </w:rPr>
        <w:footnoteRef/>
      </w:r>
      <w:r>
        <w:t xml:space="preserve"> </w:t>
      </w:r>
      <w:r w:rsidR="002D308B">
        <w:t xml:space="preserve">In the proposed regulatory action, museums and Federal agencies are required to initiate consultation and conduct consultation upon request. However, Indian Tribes or NHOs are not required to participate in such consultation. Choosing to participate in consultation is an act of sovereignty and these regulations, either existing or proposed, do not require any Indian Tribe or NHO to consult. </w:t>
      </w:r>
      <w:r w:rsidR="00957E0D">
        <w:t>The proposed regulatory action requires Indian Tribes and NHOs to request to consult in writing so we have in</w:t>
      </w:r>
      <w:r w:rsidR="002D308B">
        <w:t xml:space="preserve">cluded </w:t>
      </w:r>
      <w:r w:rsidR="00F6767C">
        <w:t>this as an</w:t>
      </w:r>
      <w:r w:rsidR="002D308B">
        <w:t xml:space="preserve"> estimated cost. </w:t>
      </w:r>
      <w:r w:rsidR="000F710D">
        <w:t xml:space="preserve">However, we have not estimated the costs to Indian Tribes or NHOs to engage in consultation. </w:t>
      </w:r>
      <w:r w:rsidR="002D308B">
        <w:t>The variables in estimating this cost are too great</w:t>
      </w:r>
      <w:r w:rsidR="00057130">
        <w:t xml:space="preserve"> depending on the size of the collection and the museum or Federal agency conducting consultation</w:t>
      </w:r>
      <w:r w:rsidR="002D308B">
        <w:t>. In addition to the varying time required to consult with museums and Federal agencies, the costs for Indian Tribes and NHOs to consult internally with religious leaders or to develop their own process and protocol for conducting consultation cannot and should not be estimated by the Federal government. In preparing this estimate, we reviewed other regulations for any estimate on the costs to Indian Tribes or NHOs to engage in consultation</w:t>
      </w:r>
      <w:r w:rsidRPr="006D5CFE" w:rsidR="006D5CFE">
        <w:t xml:space="preserve"> </w:t>
      </w:r>
      <w:r w:rsidR="006D5CFE">
        <w:t>but were unable to find a relevant example</w:t>
      </w:r>
      <w:r w:rsidR="002D308B">
        <w:t>. At this time, we do not have sufficient information to quantify the costs to Indian Tribes or NHOs to engage in consultation.</w:t>
      </w:r>
    </w:p>
  </w:footnote>
  <w:footnote w:id="14">
    <w:p w:rsidR="0062620E" w14:paraId="4B871469" w14:textId="5B2F5CF6">
      <w:pPr>
        <w:pStyle w:val="FootnoteText"/>
      </w:pPr>
      <w:r>
        <w:rPr>
          <w:rStyle w:val="FootnoteReference"/>
        </w:rPr>
        <w:footnoteRef/>
      </w:r>
      <w:r>
        <w:t xml:space="preserve"> </w:t>
      </w:r>
      <w:r w:rsidRPr="0062620E">
        <w:t>Department of the Interior (DOI). 2010. Department of the Interior Museum Property Management Summary Report Fiscal Year 2010. https://www.doi.gov/sites/doi.gov/files/migrated/museum/upload/FY2010-DOI_Museum_Property_Report_Final.pdf.</w:t>
      </w:r>
      <w:r>
        <w:t xml:space="preserve"> </w:t>
      </w:r>
    </w:p>
  </w:footnote>
  <w:footnote w:id="15">
    <w:p w:rsidR="00F06A46" w14:paraId="0873A489" w14:textId="5AA3C3F6">
      <w:pPr>
        <w:pStyle w:val="FootnoteText"/>
      </w:pPr>
      <w:r>
        <w:rPr>
          <w:rStyle w:val="FootnoteReference"/>
        </w:rPr>
        <w:footnoteRef/>
      </w:r>
      <w:r>
        <w:t xml:space="preserve"> </w:t>
      </w:r>
      <w:r w:rsidRPr="00F06A46">
        <w:t>Small Business Administration. 2017. “A Guide for Government Agencies: How to Comply with the Regulatory Flexibility Act.” August 2017.</w:t>
      </w:r>
    </w:p>
  </w:footnote>
  <w:footnote w:id="16">
    <w:p w:rsidR="00C66E72" w:rsidP="00C66E72" w14:paraId="128B540C" w14:textId="77777777">
      <w:pPr>
        <w:pStyle w:val="FootnoteText"/>
      </w:pPr>
      <w:r>
        <w:rPr>
          <w:rStyle w:val="FootnoteReference"/>
        </w:rPr>
        <w:footnoteRef/>
      </w:r>
      <w:r>
        <w:t xml:space="preserve"> See NPS, National NAGPRA Program Annual Reports, </w:t>
      </w:r>
      <w:hyperlink r:id="rId1" w:history="1">
        <w:r w:rsidRPr="000B5847">
          <w:rPr>
            <w:rStyle w:val="Hyperlink"/>
          </w:rPr>
          <w:t>https://www.nps.gov/subjects/nagpra/reports.htm</w:t>
        </w:r>
      </w:hyperlink>
      <w:r>
        <w:t xml:space="preserve"> (accessed August 1, 2022).</w:t>
      </w:r>
    </w:p>
  </w:footnote>
  <w:footnote w:id="17">
    <w:p w:rsidR="00F350D3" w:rsidP="00F350D3" w14:paraId="0B88CE31" w14:textId="77777777">
      <w:pPr>
        <w:pStyle w:val="FootnoteText"/>
      </w:pPr>
      <w:r>
        <w:rPr>
          <w:rStyle w:val="FootnoteReference"/>
        </w:rPr>
        <w:footnoteRef/>
      </w:r>
      <w:r>
        <w:t xml:space="preserve"> See NPS, NAGPRA Review Committee Requests and Recommendations, </w:t>
      </w:r>
      <w:r w:rsidRPr="002327EF">
        <w:t>https://www.nps.gov/subjects/nagpra/requests-and-recommendations.htm</w:t>
      </w:r>
      <w:r>
        <w:t xml:space="preserve"> (accessed August 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404" w:rsidRPr="00BD7796" w:rsidP="00D2527F" w14:paraId="675AD645" w14:textId="140FE89F">
    <w:pPr>
      <w:pStyle w:val="Header"/>
      <w:rPr>
        <w:sz w:val="22"/>
        <w:szCs w:val="22"/>
      </w:rPr>
    </w:pPr>
    <w:r w:rsidRPr="00BD7796">
      <w:rPr>
        <w:sz w:val="22"/>
        <w:szCs w:val="22"/>
      </w:rPr>
      <w:tab/>
    </w:r>
  </w:p>
  <w:p w:rsidR="00A71604" w14:paraId="22DB0F8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7B4" w:rsidP="004037B4" w14:paraId="5ED7CDF3" w14:textId="5F9901A2">
    <w:pPr>
      <w:pStyle w:val="Header"/>
    </w:pPr>
  </w:p>
  <w:p w:rsidR="00B849F9" w:rsidP="002F2328" w14:paraId="1804CFDA" w14:textId="415BE3C5">
    <w:pPr>
      <w:pStyle w:val="Header"/>
    </w:pPr>
    <w:r w:rsidRPr="002E2D62">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D7BC2"/>
    <w:multiLevelType w:val="hybridMultilevel"/>
    <w:tmpl w:val="1DA0E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A4FCF"/>
    <w:multiLevelType w:val="hybridMultilevel"/>
    <w:tmpl w:val="B3A8B3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8957108"/>
    <w:multiLevelType w:val="hybridMultilevel"/>
    <w:tmpl w:val="746CD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DE340B"/>
    <w:multiLevelType w:val="hybridMultilevel"/>
    <w:tmpl w:val="81B0CA4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F3463F"/>
    <w:multiLevelType w:val="hybridMultilevel"/>
    <w:tmpl w:val="23EA4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52D211D"/>
    <w:multiLevelType w:val="hybridMultilevel"/>
    <w:tmpl w:val="B4C80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8338C4"/>
    <w:multiLevelType w:val="hybridMultilevel"/>
    <w:tmpl w:val="FF424D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8801EF"/>
    <w:multiLevelType w:val="hybridMultilevel"/>
    <w:tmpl w:val="B860E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3B3220"/>
    <w:multiLevelType w:val="hybridMultilevel"/>
    <w:tmpl w:val="95F2D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651813"/>
    <w:multiLevelType w:val="hybridMultilevel"/>
    <w:tmpl w:val="7B06F4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4102039"/>
    <w:multiLevelType w:val="hybridMultilevel"/>
    <w:tmpl w:val="E1E810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4476A23"/>
    <w:multiLevelType w:val="hybridMultilevel"/>
    <w:tmpl w:val="3A9A9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52138C"/>
    <w:multiLevelType w:val="hybridMultilevel"/>
    <w:tmpl w:val="0A3CF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4209EB"/>
    <w:multiLevelType w:val="hybridMultilevel"/>
    <w:tmpl w:val="E4AE6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9AD11E2"/>
    <w:multiLevelType w:val="hybridMultilevel"/>
    <w:tmpl w:val="8EC23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9675A1"/>
    <w:multiLevelType w:val="hybridMultilevel"/>
    <w:tmpl w:val="93A6D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487ED6"/>
    <w:multiLevelType w:val="hybridMultilevel"/>
    <w:tmpl w:val="731C7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D36A41"/>
    <w:multiLevelType w:val="hybridMultilevel"/>
    <w:tmpl w:val="FB9C31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C0D0036"/>
    <w:multiLevelType w:val="hybridMultilevel"/>
    <w:tmpl w:val="76D42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125E62"/>
    <w:multiLevelType w:val="hybridMultilevel"/>
    <w:tmpl w:val="59EE6C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B6F36AD"/>
    <w:multiLevelType w:val="hybridMultilevel"/>
    <w:tmpl w:val="DB724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C3372DD"/>
    <w:multiLevelType w:val="hybridMultilevel"/>
    <w:tmpl w:val="C72ED7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CA87D90"/>
    <w:multiLevelType w:val="hybridMultilevel"/>
    <w:tmpl w:val="71E6F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D513DE"/>
    <w:multiLevelType w:val="hybridMultilevel"/>
    <w:tmpl w:val="A28EBC4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E672AB"/>
    <w:multiLevelType w:val="hybridMultilevel"/>
    <w:tmpl w:val="20CA38C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13173E"/>
    <w:multiLevelType w:val="hybridMultilevel"/>
    <w:tmpl w:val="AD7038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9567F4D"/>
    <w:multiLevelType w:val="hybridMultilevel"/>
    <w:tmpl w:val="9F702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DD5E3D"/>
    <w:multiLevelType w:val="hybridMultilevel"/>
    <w:tmpl w:val="4CACF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09488E"/>
    <w:multiLevelType w:val="hybridMultilevel"/>
    <w:tmpl w:val="30F22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F5F7BD5"/>
    <w:multiLevelType w:val="hybridMultilevel"/>
    <w:tmpl w:val="EFBCC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216982"/>
    <w:multiLevelType w:val="hybridMultilevel"/>
    <w:tmpl w:val="9E30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5035A1"/>
    <w:multiLevelType w:val="hybridMultilevel"/>
    <w:tmpl w:val="2E420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57E6CF9"/>
    <w:multiLevelType w:val="hybridMultilevel"/>
    <w:tmpl w:val="712E5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5CC7CAA"/>
    <w:multiLevelType w:val="hybridMultilevel"/>
    <w:tmpl w:val="C5AABB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3D4BC7"/>
    <w:multiLevelType w:val="multilevel"/>
    <w:tmpl w:val="8D522F9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77C5480"/>
    <w:multiLevelType w:val="hybridMultilevel"/>
    <w:tmpl w:val="CF1853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8D04F4E"/>
    <w:multiLevelType w:val="hybridMultilevel"/>
    <w:tmpl w:val="3946A5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C571495"/>
    <w:multiLevelType w:val="hybridMultilevel"/>
    <w:tmpl w:val="9ED6FF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E5E4B6C"/>
    <w:multiLevelType w:val="hybridMultilevel"/>
    <w:tmpl w:val="6CF8CF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2BC61DF"/>
    <w:multiLevelType w:val="hybridMultilevel"/>
    <w:tmpl w:val="CB6C7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707069"/>
    <w:multiLevelType w:val="hybridMultilevel"/>
    <w:tmpl w:val="9A8EC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6BF4A9E"/>
    <w:multiLevelType w:val="hybridMultilevel"/>
    <w:tmpl w:val="A940985C"/>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84D6523"/>
    <w:multiLevelType w:val="hybridMultilevel"/>
    <w:tmpl w:val="8D522F9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8DF5BDD"/>
    <w:multiLevelType w:val="multilevel"/>
    <w:tmpl w:val="81B0CA4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E57294B"/>
    <w:multiLevelType w:val="hybridMultilevel"/>
    <w:tmpl w:val="DF3EE500"/>
    <w:lvl w:ilvl="0">
      <w:start w:val="1"/>
      <w:numFmt w:val="lowerLetter"/>
      <w:lvlText w:val="%1."/>
      <w:lvlJc w:val="left"/>
      <w:pPr>
        <w:ind w:left="720" w:hanging="360"/>
      </w:pPr>
      <w:rPr>
        <w:rFonts w:hint="default"/>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1"/>
  </w:num>
  <w:num w:numId="4">
    <w:abstractNumId w:val="22"/>
  </w:num>
  <w:num w:numId="5">
    <w:abstractNumId w:val="25"/>
  </w:num>
  <w:num w:numId="6">
    <w:abstractNumId w:val="9"/>
  </w:num>
  <w:num w:numId="7">
    <w:abstractNumId w:val="3"/>
  </w:num>
  <w:num w:numId="8">
    <w:abstractNumId w:val="43"/>
  </w:num>
  <w:num w:numId="9">
    <w:abstractNumId w:val="42"/>
  </w:num>
  <w:num w:numId="10">
    <w:abstractNumId w:val="34"/>
  </w:num>
  <w:num w:numId="11">
    <w:abstractNumId w:val="23"/>
  </w:num>
  <w:num w:numId="12">
    <w:abstractNumId w:val="38"/>
  </w:num>
  <w:num w:numId="13">
    <w:abstractNumId w:val="37"/>
  </w:num>
  <w:num w:numId="14">
    <w:abstractNumId w:val="36"/>
  </w:num>
  <w:num w:numId="15">
    <w:abstractNumId w:val="10"/>
  </w:num>
  <w:num w:numId="16">
    <w:abstractNumId w:val="14"/>
  </w:num>
  <w:num w:numId="17">
    <w:abstractNumId w:val="4"/>
  </w:num>
  <w:num w:numId="18">
    <w:abstractNumId w:val="1"/>
  </w:num>
  <w:num w:numId="19">
    <w:abstractNumId w:val="8"/>
  </w:num>
  <w:num w:numId="20">
    <w:abstractNumId w:val="5"/>
  </w:num>
  <w:num w:numId="21">
    <w:abstractNumId w:val="32"/>
  </w:num>
  <w:num w:numId="22">
    <w:abstractNumId w:val="28"/>
  </w:num>
  <w:num w:numId="23">
    <w:abstractNumId w:val="26"/>
  </w:num>
  <w:num w:numId="24">
    <w:abstractNumId w:val="30"/>
  </w:num>
  <w:num w:numId="25">
    <w:abstractNumId w:val="20"/>
  </w:num>
  <w:num w:numId="26">
    <w:abstractNumId w:val="31"/>
  </w:num>
  <w:num w:numId="27">
    <w:abstractNumId w:val="13"/>
  </w:num>
  <w:num w:numId="28">
    <w:abstractNumId w:val="40"/>
  </w:num>
  <w:num w:numId="29">
    <w:abstractNumId w:val="0"/>
  </w:num>
  <w:num w:numId="30">
    <w:abstractNumId w:val="24"/>
  </w:num>
  <w:num w:numId="31">
    <w:abstractNumId w:val="41"/>
  </w:num>
  <w:num w:numId="32">
    <w:abstractNumId w:val="19"/>
  </w:num>
  <w:num w:numId="33">
    <w:abstractNumId w:val="16"/>
  </w:num>
  <w:num w:numId="34">
    <w:abstractNumId w:val="27"/>
  </w:num>
  <w:num w:numId="35">
    <w:abstractNumId w:val="44"/>
  </w:num>
  <w:num w:numId="36">
    <w:abstractNumId w:val="29"/>
  </w:num>
  <w:num w:numId="37">
    <w:abstractNumId w:val="24"/>
  </w:num>
  <w:num w:numId="38">
    <w:abstractNumId w:val="39"/>
  </w:num>
  <w:num w:numId="39">
    <w:abstractNumId w:val="15"/>
  </w:num>
  <w:num w:numId="40">
    <w:abstractNumId w:val="6"/>
  </w:num>
  <w:num w:numId="41">
    <w:abstractNumId w:val="33"/>
  </w:num>
  <w:num w:numId="42">
    <w:abstractNumId w:val="18"/>
  </w:num>
  <w:num w:numId="43">
    <w:abstractNumId w:val="12"/>
  </w:num>
  <w:num w:numId="44">
    <w:abstractNumId w:val="2"/>
  </w:num>
  <w:num w:numId="45">
    <w:abstractNumId w:val="11"/>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29"/>
    <w:rsid w:val="00000694"/>
    <w:rsid w:val="00000BB6"/>
    <w:rsid w:val="00001067"/>
    <w:rsid w:val="0000136D"/>
    <w:rsid w:val="000016AF"/>
    <w:rsid w:val="00001BE2"/>
    <w:rsid w:val="0000345A"/>
    <w:rsid w:val="00003B4A"/>
    <w:rsid w:val="00003C13"/>
    <w:rsid w:val="00004226"/>
    <w:rsid w:val="00004592"/>
    <w:rsid w:val="00005EFF"/>
    <w:rsid w:val="0000643D"/>
    <w:rsid w:val="00006851"/>
    <w:rsid w:val="00006B4D"/>
    <w:rsid w:val="00006CA7"/>
    <w:rsid w:val="00006D07"/>
    <w:rsid w:val="00007731"/>
    <w:rsid w:val="00007EE9"/>
    <w:rsid w:val="00007F6A"/>
    <w:rsid w:val="000104E1"/>
    <w:rsid w:val="000107A1"/>
    <w:rsid w:val="00010C1A"/>
    <w:rsid w:val="000110D1"/>
    <w:rsid w:val="000115F6"/>
    <w:rsid w:val="000122B3"/>
    <w:rsid w:val="00014343"/>
    <w:rsid w:val="000154B4"/>
    <w:rsid w:val="0001579D"/>
    <w:rsid w:val="00015D49"/>
    <w:rsid w:val="000175C1"/>
    <w:rsid w:val="00017C8C"/>
    <w:rsid w:val="00017FE8"/>
    <w:rsid w:val="000200DE"/>
    <w:rsid w:val="00020601"/>
    <w:rsid w:val="00021451"/>
    <w:rsid w:val="00022755"/>
    <w:rsid w:val="000231EE"/>
    <w:rsid w:val="00023B1B"/>
    <w:rsid w:val="00023D4B"/>
    <w:rsid w:val="00023D9D"/>
    <w:rsid w:val="00023DFE"/>
    <w:rsid w:val="00023EE4"/>
    <w:rsid w:val="00023F01"/>
    <w:rsid w:val="00023FB2"/>
    <w:rsid w:val="0002447A"/>
    <w:rsid w:val="000249DF"/>
    <w:rsid w:val="00024DDE"/>
    <w:rsid w:val="00025622"/>
    <w:rsid w:val="00025BBD"/>
    <w:rsid w:val="00026F09"/>
    <w:rsid w:val="00027E09"/>
    <w:rsid w:val="00030A36"/>
    <w:rsid w:val="00030CD9"/>
    <w:rsid w:val="00031934"/>
    <w:rsid w:val="00031DBF"/>
    <w:rsid w:val="00032049"/>
    <w:rsid w:val="00032570"/>
    <w:rsid w:val="0003299B"/>
    <w:rsid w:val="00033A14"/>
    <w:rsid w:val="00033C41"/>
    <w:rsid w:val="00034B56"/>
    <w:rsid w:val="000350BD"/>
    <w:rsid w:val="000352D8"/>
    <w:rsid w:val="00035C93"/>
    <w:rsid w:val="00040368"/>
    <w:rsid w:val="00040409"/>
    <w:rsid w:val="00040746"/>
    <w:rsid w:val="000408E0"/>
    <w:rsid w:val="00040DA0"/>
    <w:rsid w:val="00041017"/>
    <w:rsid w:val="00041936"/>
    <w:rsid w:val="00041982"/>
    <w:rsid w:val="00042AE7"/>
    <w:rsid w:val="00042DC6"/>
    <w:rsid w:val="000438C7"/>
    <w:rsid w:val="00043E26"/>
    <w:rsid w:val="00044453"/>
    <w:rsid w:val="00044D98"/>
    <w:rsid w:val="00045938"/>
    <w:rsid w:val="00045C5B"/>
    <w:rsid w:val="00045EF1"/>
    <w:rsid w:val="0004629C"/>
    <w:rsid w:val="00046312"/>
    <w:rsid w:val="00046AAD"/>
    <w:rsid w:val="00046E4A"/>
    <w:rsid w:val="00047245"/>
    <w:rsid w:val="00047325"/>
    <w:rsid w:val="000476AE"/>
    <w:rsid w:val="000507A1"/>
    <w:rsid w:val="000509F1"/>
    <w:rsid w:val="00050F5B"/>
    <w:rsid w:val="00050F74"/>
    <w:rsid w:val="000516F9"/>
    <w:rsid w:val="00051829"/>
    <w:rsid w:val="0005217E"/>
    <w:rsid w:val="00053115"/>
    <w:rsid w:val="00053E01"/>
    <w:rsid w:val="00054BA3"/>
    <w:rsid w:val="00055BB9"/>
    <w:rsid w:val="00055F67"/>
    <w:rsid w:val="000563B9"/>
    <w:rsid w:val="0005652D"/>
    <w:rsid w:val="000569A4"/>
    <w:rsid w:val="00056BEB"/>
    <w:rsid w:val="00056E93"/>
    <w:rsid w:val="00056F5C"/>
    <w:rsid w:val="00057130"/>
    <w:rsid w:val="000572A7"/>
    <w:rsid w:val="000574DC"/>
    <w:rsid w:val="000577CF"/>
    <w:rsid w:val="00057942"/>
    <w:rsid w:val="00057F0A"/>
    <w:rsid w:val="00060114"/>
    <w:rsid w:val="00060C61"/>
    <w:rsid w:val="0006112F"/>
    <w:rsid w:val="000612A3"/>
    <w:rsid w:val="000616A3"/>
    <w:rsid w:val="00061860"/>
    <w:rsid w:val="00061988"/>
    <w:rsid w:val="00061F2F"/>
    <w:rsid w:val="00062414"/>
    <w:rsid w:val="00064364"/>
    <w:rsid w:val="00066791"/>
    <w:rsid w:val="0006693D"/>
    <w:rsid w:val="00066AF1"/>
    <w:rsid w:val="00066B55"/>
    <w:rsid w:val="00066D26"/>
    <w:rsid w:val="00067EFB"/>
    <w:rsid w:val="00071420"/>
    <w:rsid w:val="00071D63"/>
    <w:rsid w:val="0007277F"/>
    <w:rsid w:val="00072860"/>
    <w:rsid w:val="00072959"/>
    <w:rsid w:val="0007392E"/>
    <w:rsid w:val="000739FD"/>
    <w:rsid w:val="00073FB2"/>
    <w:rsid w:val="00074D5C"/>
    <w:rsid w:val="0007558D"/>
    <w:rsid w:val="0007571A"/>
    <w:rsid w:val="00075797"/>
    <w:rsid w:val="00075C32"/>
    <w:rsid w:val="0007600C"/>
    <w:rsid w:val="00076364"/>
    <w:rsid w:val="0007640F"/>
    <w:rsid w:val="00076AF3"/>
    <w:rsid w:val="000770CE"/>
    <w:rsid w:val="00080463"/>
    <w:rsid w:val="0008096E"/>
    <w:rsid w:val="00080D6F"/>
    <w:rsid w:val="00081270"/>
    <w:rsid w:val="0008162B"/>
    <w:rsid w:val="000818ED"/>
    <w:rsid w:val="00081B55"/>
    <w:rsid w:val="00081D3F"/>
    <w:rsid w:val="00082237"/>
    <w:rsid w:val="00082997"/>
    <w:rsid w:val="00083A03"/>
    <w:rsid w:val="00083DF4"/>
    <w:rsid w:val="000846BA"/>
    <w:rsid w:val="000849E0"/>
    <w:rsid w:val="00084CC0"/>
    <w:rsid w:val="00085211"/>
    <w:rsid w:val="00085399"/>
    <w:rsid w:val="00086891"/>
    <w:rsid w:val="000873B3"/>
    <w:rsid w:val="00087D01"/>
    <w:rsid w:val="00090B41"/>
    <w:rsid w:val="00090D14"/>
    <w:rsid w:val="00090D95"/>
    <w:rsid w:val="00090E63"/>
    <w:rsid w:val="00090F7B"/>
    <w:rsid w:val="000911E3"/>
    <w:rsid w:val="00091A53"/>
    <w:rsid w:val="00091D98"/>
    <w:rsid w:val="000920AA"/>
    <w:rsid w:val="000938BB"/>
    <w:rsid w:val="00093EFE"/>
    <w:rsid w:val="00093F97"/>
    <w:rsid w:val="000948BE"/>
    <w:rsid w:val="0009653B"/>
    <w:rsid w:val="00096576"/>
    <w:rsid w:val="000969A7"/>
    <w:rsid w:val="00096D55"/>
    <w:rsid w:val="00096EA8"/>
    <w:rsid w:val="00096FA6"/>
    <w:rsid w:val="00097117"/>
    <w:rsid w:val="0009743C"/>
    <w:rsid w:val="00097D17"/>
    <w:rsid w:val="000A0302"/>
    <w:rsid w:val="000A12AA"/>
    <w:rsid w:val="000A13FE"/>
    <w:rsid w:val="000A1DE0"/>
    <w:rsid w:val="000A27AB"/>
    <w:rsid w:val="000A315E"/>
    <w:rsid w:val="000A3429"/>
    <w:rsid w:val="000A3787"/>
    <w:rsid w:val="000A390A"/>
    <w:rsid w:val="000A3C10"/>
    <w:rsid w:val="000A4F66"/>
    <w:rsid w:val="000A5CDA"/>
    <w:rsid w:val="000A64A8"/>
    <w:rsid w:val="000A6CBB"/>
    <w:rsid w:val="000A6F13"/>
    <w:rsid w:val="000A76A0"/>
    <w:rsid w:val="000A7B22"/>
    <w:rsid w:val="000B01EA"/>
    <w:rsid w:val="000B068F"/>
    <w:rsid w:val="000B08C0"/>
    <w:rsid w:val="000B09D6"/>
    <w:rsid w:val="000B11DE"/>
    <w:rsid w:val="000B12CB"/>
    <w:rsid w:val="000B2761"/>
    <w:rsid w:val="000B2CD0"/>
    <w:rsid w:val="000B389C"/>
    <w:rsid w:val="000B3C8D"/>
    <w:rsid w:val="000B4340"/>
    <w:rsid w:val="000B4508"/>
    <w:rsid w:val="000B4740"/>
    <w:rsid w:val="000B47B9"/>
    <w:rsid w:val="000B4867"/>
    <w:rsid w:val="000B4E29"/>
    <w:rsid w:val="000B5311"/>
    <w:rsid w:val="000B552C"/>
    <w:rsid w:val="000B5847"/>
    <w:rsid w:val="000B5C89"/>
    <w:rsid w:val="000B6324"/>
    <w:rsid w:val="000B6587"/>
    <w:rsid w:val="000B6599"/>
    <w:rsid w:val="000B7173"/>
    <w:rsid w:val="000C04C9"/>
    <w:rsid w:val="000C160B"/>
    <w:rsid w:val="000C19D9"/>
    <w:rsid w:val="000C1AF1"/>
    <w:rsid w:val="000C1B61"/>
    <w:rsid w:val="000C1D02"/>
    <w:rsid w:val="000C1F33"/>
    <w:rsid w:val="000C238B"/>
    <w:rsid w:val="000C250F"/>
    <w:rsid w:val="000C30A5"/>
    <w:rsid w:val="000C392F"/>
    <w:rsid w:val="000C3C1B"/>
    <w:rsid w:val="000C3FFA"/>
    <w:rsid w:val="000C48A4"/>
    <w:rsid w:val="000C498D"/>
    <w:rsid w:val="000C4F0C"/>
    <w:rsid w:val="000C5C32"/>
    <w:rsid w:val="000C5E14"/>
    <w:rsid w:val="000C62B6"/>
    <w:rsid w:val="000C6E8D"/>
    <w:rsid w:val="000D00DA"/>
    <w:rsid w:val="000D07EA"/>
    <w:rsid w:val="000D15BB"/>
    <w:rsid w:val="000D1BEA"/>
    <w:rsid w:val="000D1DDD"/>
    <w:rsid w:val="000D30E6"/>
    <w:rsid w:val="000D335D"/>
    <w:rsid w:val="000D3745"/>
    <w:rsid w:val="000D3A0E"/>
    <w:rsid w:val="000D468D"/>
    <w:rsid w:val="000D4A3C"/>
    <w:rsid w:val="000D4ED6"/>
    <w:rsid w:val="000D52F9"/>
    <w:rsid w:val="000D6B82"/>
    <w:rsid w:val="000D6E60"/>
    <w:rsid w:val="000D7016"/>
    <w:rsid w:val="000D7577"/>
    <w:rsid w:val="000D7AFB"/>
    <w:rsid w:val="000D7E2B"/>
    <w:rsid w:val="000D7E39"/>
    <w:rsid w:val="000D7F73"/>
    <w:rsid w:val="000E0CCA"/>
    <w:rsid w:val="000E25DE"/>
    <w:rsid w:val="000E2ED8"/>
    <w:rsid w:val="000E3BB8"/>
    <w:rsid w:val="000E40C6"/>
    <w:rsid w:val="000E44A9"/>
    <w:rsid w:val="000E4732"/>
    <w:rsid w:val="000E5120"/>
    <w:rsid w:val="000E5324"/>
    <w:rsid w:val="000E5468"/>
    <w:rsid w:val="000E5836"/>
    <w:rsid w:val="000E5F62"/>
    <w:rsid w:val="000E64A2"/>
    <w:rsid w:val="000E66C2"/>
    <w:rsid w:val="000E7374"/>
    <w:rsid w:val="000E7558"/>
    <w:rsid w:val="000E79B1"/>
    <w:rsid w:val="000E7A7A"/>
    <w:rsid w:val="000E7BA3"/>
    <w:rsid w:val="000F03A1"/>
    <w:rsid w:val="000F0443"/>
    <w:rsid w:val="000F0850"/>
    <w:rsid w:val="000F088B"/>
    <w:rsid w:val="000F1903"/>
    <w:rsid w:val="000F431A"/>
    <w:rsid w:val="000F4A0B"/>
    <w:rsid w:val="000F4CDF"/>
    <w:rsid w:val="000F6151"/>
    <w:rsid w:val="000F64E4"/>
    <w:rsid w:val="000F6925"/>
    <w:rsid w:val="000F69F5"/>
    <w:rsid w:val="000F6E3E"/>
    <w:rsid w:val="000F710D"/>
    <w:rsid w:val="000F7194"/>
    <w:rsid w:val="000F7A8E"/>
    <w:rsid w:val="000F7BEF"/>
    <w:rsid w:val="0010071F"/>
    <w:rsid w:val="0010096B"/>
    <w:rsid w:val="001009BB"/>
    <w:rsid w:val="001009EF"/>
    <w:rsid w:val="00101384"/>
    <w:rsid w:val="0010155A"/>
    <w:rsid w:val="00103064"/>
    <w:rsid w:val="00103E4F"/>
    <w:rsid w:val="00104451"/>
    <w:rsid w:val="001052DE"/>
    <w:rsid w:val="001057B3"/>
    <w:rsid w:val="001062A6"/>
    <w:rsid w:val="00106D01"/>
    <w:rsid w:val="001072DA"/>
    <w:rsid w:val="00107B80"/>
    <w:rsid w:val="00107F6B"/>
    <w:rsid w:val="001120C1"/>
    <w:rsid w:val="001120D5"/>
    <w:rsid w:val="00112AEF"/>
    <w:rsid w:val="00112D27"/>
    <w:rsid w:val="00115D0A"/>
    <w:rsid w:val="00115E86"/>
    <w:rsid w:val="001160B9"/>
    <w:rsid w:val="00116239"/>
    <w:rsid w:val="0011633B"/>
    <w:rsid w:val="00117A0B"/>
    <w:rsid w:val="00117B6E"/>
    <w:rsid w:val="00117BD4"/>
    <w:rsid w:val="0012065F"/>
    <w:rsid w:val="00120870"/>
    <w:rsid w:val="00120B23"/>
    <w:rsid w:val="00120BD5"/>
    <w:rsid w:val="00121386"/>
    <w:rsid w:val="001214BE"/>
    <w:rsid w:val="001233B1"/>
    <w:rsid w:val="001236B3"/>
    <w:rsid w:val="0012373D"/>
    <w:rsid w:val="00123B2A"/>
    <w:rsid w:val="00123B97"/>
    <w:rsid w:val="00123FA4"/>
    <w:rsid w:val="00124BC0"/>
    <w:rsid w:val="001253E2"/>
    <w:rsid w:val="00126303"/>
    <w:rsid w:val="00126355"/>
    <w:rsid w:val="00126B4A"/>
    <w:rsid w:val="00127E07"/>
    <w:rsid w:val="00127EA1"/>
    <w:rsid w:val="00130729"/>
    <w:rsid w:val="00130756"/>
    <w:rsid w:val="001318B3"/>
    <w:rsid w:val="0013191F"/>
    <w:rsid w:val="00132174"/>
    <w:rsid w:val="00132608"/>
    <w:rsid w:val="00132CC5"/>
    <w:rsid w:val="00133132"/>
    <w:rsid w:val="0013343D"/>
    <w:rsid w:val="00133833"/>
    <w:rsid w:val="0013384D"/>
    <w:rsid w:val="001344A3"/>
    <w:rsid w:val="00134E00"/>
    <w:rsid w:val="00135380"/>
    <w:rsid w:val="00135DCC"/>
    <w:rsid w:val="00136425"/>
    <w:rsid w:val="001365D4"/>
    <w:rsid w:val="001365E7"/>
    <w:rsid w:val="0013726E"/>
    <w:rsid w:val="001373B5"/>
    <w:rsid w:val="0013758E"/>
    <w:rsid w:val="00137806"/>
    <w:rsid w:val="00137A86"/>
    <w:rsid w:val="00140643"/>
    <w:rsid w:val="00140914"/>
    <w:rsid w:val="00140A48"/>
    <w:rsid w:val="00140CD9"/>
    <w:rsid w:val="00140D03"/>
    <w:rsid w:val="00140EDF"/>
    <w:rsid w:val="001414F8"/>
    <w:rsid w:val="001415F5"/>
    <w:rsid w:val="0014193A"/>
    <w:rsid w:val="00141A9D"/>
    <w:rsid w:val="00141F7C"/>
    <w:rsid w:val="00142270"/>
    <w:rsid w:val="001426CF"/>
    <w:rsid w:val="00142BB3"/>
    <w:rsid w:val="00142D57"/>
    <w:rsid w:val="00143678"/>
    <w:rsid w:val="0014391F"/>
    <w:rsid w:val="00143F8E"/>
    <w:rsid w:val="00144315"/>
    <w:rsid w:val="00144808"/>
    <w:rsid w:val="00144B68"/>
    <w:rsid w:val="00145163"/>
    <w:rsid w:val="0014532C"/>
    <w:rsid w:val="001457EE"/>
    <w:rsid w:val="00145AED"/>
    <w:rsid w:val="0014643E"/>
    <w:rsid w:val="00146C81"/>
    <w:rsid w:val="00146E33"/>
    <w:rsid w:val="00146E64"/>
    <w:rsid w:val="00147031"/>
    <w:rsid w:val="0014717B"/>
    <w:rsid w:val="00147A3B"/>
    <w:rsid w:val="00150A86"/>
    <w:rsid w:val="00150BD2"/>
    <w:rsid w:val="00150D4D"/>
    <w:rsid w:val="00151103"/>
    <w:rsid w:val="0015130C"/>
    <w:rsid w:val="00151F72"/>
    <w:rsid w:val="00152035"/>
    <w:rsid w:val="00152898"/>
    <w:rsid w:val="00152CF4"/>
    <w:rsid w:val="00153382"/>
    <w:rsid w:val="0015358A"/>
    <w:rsid w:val="00153C94"/>
    <w:rsid w:val="00153DA1"/>
    <w:rsid w:val="001543C0"/>
    <w:rsid w:val="0015457A"/>
    <w:rsid w:val="001545F5"/>
    <w:rsid w:val="0015615D"/>
    <w:rsid w:val="00156262"/>
    <w:rsid w:val="00156AA3"/>
    <w:rsid w:val="00157393"/>
    <w:rsid w:val="00157826"/>
    <w:rsid w:val="00157DE2"/>
    <w:rsid w:val="001611A9"/>
    <w:rsid w:val="00161353"/>
    <w:rsid w:val="00161D8E"/>
    <w:rsid w:val="0016213D"/>
    <w:rsid w:val="001621F4"/>
    <w:rsid w:val="00163773"/>
    <w:rsid w:val="001638E5"/>
    <w:rsid w:val="0016394B"/>
    <w:rsid w:val="001640E3"/>
    <w:rsid w:val="00164524"/>
    <w:rsid w:val="001646C6"/>
    <w:rsid w:val="00164DD0"/>
    <w:rsid w:val="001650CE"/>
    <w:rsid w:val="0016512C"/>
    <w:rsid w:val="00165D53"/>
    <w:rsid w:val="00165E16"/>
    <w:rsid w:val="00165F22"/>
    <w:rsid w:val="00165FB8"/>
    <w:rsid w:val="00166260"/>
    <w:rsid w:val="00166301"/>
    <w:rsid w:val="0016728A"/>
    <w:rsid w:val="001672A2"/>
    <w:rsid w:val="0016771C"/>
    <w:rsid w:val="00170208"/>
    <w:rsid w:val="001702B4"/>
    <w:rsid w:val="001702C5"/>
    <w:rsid w:val="0017092B"/>
    <w:rsid w:val="0017191D"/>
    <w:rsid w:val="00171CB2"/>
    <w:rsid w:val="00171D37"/>
    <w:rsid w:val="001725BB"/>
    <w:rsid w:val="00173654"/>
    <w:rsid w:val="00173A64"/>
    <w:rsid w:val="00174579"/>
    <w:rsid w:val="001746B5"/>
    <w:rsid w:val="00174C4B"/>
    <w:rsid w:val="00175A4D"/>
    <w:rsid w:val="001763F9"/>
    <w:rsid w:val="00176A24"/>
    <w:rsid w:val="00177342"/>
    <w:rsid w:val="00180231"/>
    <w:rsid w:val="0018077A"/>
    <w:rsid w:val="00180B35"/>
    <w:rsid w:val="00181D3C"/>
    <w:rsid w:val="00182166"/>
    <w:rsid w:val="001837D4"/>
    <w:rsid w:val="00185A29"/>
    <w:rsid w:val="00185FE1"/>
    <w:rsid w:val="001862B9"/>
    <w:rsid w:val="00186556"/>
    <w:rsid w:val="0019030A"/>
    <w:rsid w:val="001907C3"/>
    <w:rsid w:val="00190D26"/>
    <w:rsid w:val="00190D72"/>
    <w:rsid w:val="001916C5"/>
    <w:rsid w:val="0019214A"/>
    <w:rsid w:val="001929CE"/>
    <w:rsid w:val="00192F67"/>
    <w:rsid w:val="00193AA1"/>
    <w:rsid w:val="00193F18"/>
    <w:rsid w:val="00193F36"/>
    <w:rsid w:val="001943F0"/>
    <w:rsid w:val="00194645"/>
    <w:rsid w:val="00194708"/>
    <w:rsid w:val="00194D8D"/>
    <w:rsid w:val="0019502F"/>
    <w:rsid w:val="00195140"/>
    <w:rsid w:val="0019571E"/>
    <w:rsid w:val="0019583F"/>
    <w:rsid w:val="0019694C"/>
    <w:rsid w:val="00196E0D"/>
    <w:rsid w:val="00197EDF"/>
    <w:rsid w:val="00197F08"/>
    <w:rsid w:val="001A02CD"/>
    <w:rsid w:val="001A080D"/>
    <w:rsid w:val="001A1A59"/>
    <w:rsid w:val="001A1EB9"/>
    <w:rsid w:val="001A1F91"/>
    <w:rsid w:val="001A24DE"/>
    <w:rsid w:val="001A3086"/>
    <w:rsid w:val="001A323D"/>
    <w:rsid w:val="001A3306"/>
    <w:rsid w:val="001A3D18"/>
    <w:rsid w:val="001A3E10"/>
    <w:rsid w:val="001A460A"/>
    <w:rsid w:val="001A4D33"/>
    <w:rsid w:val="001A5102"/>
    <w:rsid w:val="001A5E3A"/>
    <w:rsid w:val="001A64DE"/>
    <w:rsid w:val="001A6E37"/>
    <w:rsid w:val="001A6FD0"/>
    <w:rsid w:val="001A71DE"/>
    <w:rsid w:val="001A7204"/>
    <w:rsid w:val="001A742C"/>
    <w:rsid w:val="001A7692"/>
    <w:rsid w:val="001A7917"/>
    <w:rsid w:val="001A7B84"/>
    <w:rsid w:val="001B06B2"/>
    <w:rsid w:val="001B0732"/>
    <w:rsid w:val="001B0F84"/>
    <w:rsid w:val="001B1034"/>
    <w:rsid w:val="001B174D"/>
    <w:rsid w:val="001B181B"/>
    <w:rsid w:val="001B2177"/>
    <w:rsid w:val="001B26A9"/>
    <w:rsid w:val="001B28F4"/>
    <w:rsid w:val="001B3674"/>
    <w:rsid w:val="001B3687"/>
    <w:rsid w:val="001B3AFD"/>
    <w:rsid w:val="001B4175"/>
    <w:rsid w:val="001B4337"/>
    <w:rsid w:val="001B4ACF"/>
    <w:rsid w:val="001B4DC2"/>
    <w:rsid w:val="001B4F5B"/>
    <w:rsid w:val="001B5622"/>
    <w:rsid w:val="001B5AB9"/>
    <w:rsid w:val="001B6002"/>
    <w:rsid w:val="001B6B7F"/>
    <w:rsid w:val="001C03FA"/>
    <w:rsid w:val="001C0B5A"/>
    <w:rsid w:val="001C0C1E"/>
    <w:rsid w:val="001C1131"/>
    <w:rsid w:val="001C11D4"/>
    <w:rsid w:val="001C1BDD"/>
    <w:rsid w:val="001C1FAA"/>
    <w:rsid w:val="001C263B"/>
    <w:rsid w:val="001C2905"/>
    <w:rsid w:val="001C2CBF"/>
    <w:rsid w:val="001C2CCB"/>
    <w:rsid w:val="001C2D0F"/>
    <w:rsid w:val="001C2F05"/>
    <w:rsid w:val="001C3260"/>
    <w:rsid w:val="001C332A"/>
    <w:rsid w:val="001C474D"/>
    <w:rsid w:val="001C4942"/>
    <w:rsid w:val="001C4AD8"/>
    <w:rsid w:val="001C567B"/>
    <w:rsid w:val="001C5B32"/>
    <w:rsid w:val="001C71BC"/>
    <w:rsid w:val="001C7D62"/>
    <w:rsid w:val="001D04D0"/>
    <w:rsid w:val="001D057F"/>
    <w:rsid w:val="001D0DFB"/>
    <w:rsid w:val="001D1068"/>
    <w:rsid w:val="001D1082"/>
    <w:rsid w:val="001D111F"/>
    <w:rsid w:val="001D1128"/>
    <w:rsid w:val="001D1E84"/>
    <w:rsid w:val="001D33BD"/>
    <w:rsid w:val="001D3843"/>
    <w:rsid w:val="001D3F45"/>
    <w:rsid w:val="001D4322"/>
    <w:rsid w:val="001D4365"/>
    <w:rsid w:val="001D6F48"/>
    <w:rsid w:val="001D7951"/>
    <w:rsid w:val="001E0B20"/>
    <w:rsid w:val="001E1F67"/>
    <w:rsid w:val="001E20DC"/>
    <w:rsid w:val="001E2171"/>
    <w:rsid w:val="001E2205"/>
    <w:rsid w:val="001E25D4"/>
    <w:rsid w:val="001E29E8"/>
    <w:rsid w:val="001E2B27"/>
    <w:rsid w:val="001E3125"/>
    <w:rsid w:val="001E36D6"/>
    <w:rsid w:val="001E3AC8"/>
    <w:rsid w:val="001E3B9D"/>
    <w:rsid w:val="001E50CD"/>
    <w:rsid w:val="001E5185"/>
    <w:rsid w:val="001E5448"/>
    <w:rsid w:val="001E5D1C"/>
    <w:rsid w:val="001E6123"/>
    <w:rsid w:val="001E61FF"/>
    <w:rsid w:val="001E6B50"/>
    <w:rsid w:val="001E703E"/>
    <w:rsid w:val="001E78AE"/>
    <w:rsid w:val="001E7AC7"/>
    <w:rsid w:val="001F0078"/>
    <w:rsid w:val="001F0CF7"/>
    <w:rsid w:val="001F10A8"/>
    <w:rsid w:val="001F212A"/>
    <w:rsid w:val="001F22C7"/>
    <w:rsid w:val="001F267F"/>
    <w:rsid w:val="001F26CC"/>
    <w:rsid w:val="001F3301"/>
    <w:rsid w:val="001F33AD"/>
    <w:rsid w:val="001F3925"/>
    <w:rsid w:val="001F46F2"/>
    <w:rsid w:val="001F4A09"/>
    <w:rsid w:val="001F4DC7"/>
    <w:rsid w:val="001F5B02"/>
    <w:rsid w:val="001F6016"/>
    <w:rsid w:val="001F6119"/>
    <w:rsid w:val="001F6245"/>
    <w:rsid w:val="001F7480"/>
    <w:rsid w:val="001F7774"/>
    <w:rsid w:val="001F77A9"/>
    <w:rsid w:val="001F78E0"/>
    <w:rsid w:val="001F7B0B"/>
    <w:rsid w:val="00200865"/>
    <w:rsid w:val="00200890"/>
    <w:rsid w:val="00200BBA"/>
    <w:rsid w:val="00200E48"/>
    <w:rsid w:val="00201464"/>
    <w:rsid w:val="0020204C"/>
    <w:rsid w:val="00202542"/>
    <w:rsid w:val="0020275A"/>
    <w:rsid w:val="002027E9"/>
    <w:rsid w:val="00203672"/>
    <w:rsid w:val="00203967"/>
    <w:rsid w:val="00203A1B"/>
    <w:rsid w:val="00203D03"/>
    <w:rsid w:val="00203ED8"/>
    <w:rsid w:val="00204488"/>
    <w:rsid w:val="002047F1"/>
    <w:rsid w:val="00204D03"/>
    <w:rsid w:val="002050BC"/>
    <w:rsid w:val="002060BB"/>
    <w:rsid w:val="00206302"/>
    <w:rsid w:val="002063BA"/>
    <w:rsid w:val="00206808"/>
    <w:rsid w:val="00207005"/>
    <w:rsid w:val="0020778C"/>
    <w:rsid w:val="0021096A"/>
    <w:rsid w:val="00211507"/>
    <w:rsid w:val="0021169A"/>
    <w:rsid w:val="00211D84"/>
    <w:rsid w:val="002139A8"/>
    <w:rsid w:val="00213A34"/>
    <w:rsid w:val="00213B20"/>
    <w:rsid w:val="00214616"/>
    <w:rsid w:val="00215452"/>
    <w:rsid w:val="00215A3C"/>
    <w:rsid w:val="00215A8C"/>
    <w:rsid w:val="002166B3"/>
    <w:rsid w:val="00216B73"/>
    <w:rsid w:val="002175D2"/>
    <w:rsid w:val="002178FD"/>
    <w:rsid w:val="00220F5B"/>
    <w:rsid w:val="00222213"/>
    <w:rsid w:val="0022244E"/>
    <w:rsid w:val="00222D0E"/>
    <w:rsid w:val="00222EBE"/>
    <w:rsid w:val="002234E2"/>
    <w:rsid w:val="00223D13"/>
    <w:rsid w:val="00223E13"/>
    <w:rsid w:val="0022409D"/>
    <w:rsid w:val="00224D43"/>
    <w:rsid w:val="0022533F"/>
    <w:rsid w:val="002253C9"/>
    <w:rsid w:val="002257A0"/>
    <w:rsid w:val="002267EC"/>
    <w:rsid w:val="00226F4B"/>
    <w:rsid w:val="00227D82"/>
    <w:rsid w:val="002302C7"/>
    <w:rsid w:val="002303A6"/>
    <w:rsid w:val="00230D5B"/>
    <w:rsid w:val="0023134F"/>
    <w:rsid w:val="002315B5"/>
    <w:rsid w:val="00231BAC"/>
    <w:rsid w:val="00231EB9"/>
    <w:rsid w:val="002322C7"/>
    <w:rsid w:val="002327EF"/>
    <w:rsid w:val="00232B25"/>
    <w:rsid w:val="002331D7"/>
    <w:rsid w:val="00233533"/>
    <w:rsid w:val="002338CE"/>
    <w:rsid w:val="002339CE"/>
    <w:rsid w:val="00233A92"/>
    <w:rsid w:val="00233CE1"/>
    <w:rsid w:val="00233F25"/>
    <w:rsid w:val="00234190"/>
    <w:rsid w:val="00234267"/>
    <w:rsid w:val="002342C5"/>
    <w:rsid w:val="00234D4D"/>
    <w:rsid w:val="002352C5"/>
    <w:rsid w:val="002356AC"/>
    <w:rsid w:val="002356E0"/>
    <w:rsid w:val="00235722"/>
    <w:rsid w:val="00235D45"/>
    <w:rsid w:val="00235FB9"/>
    <w:rsid w:val="002368D9"/>
    <w:rsid w:val="00236AB4"/>
    <w:rsid w:val="00236B75"/>
    <w:rsid w:val="00236BB8"/>
    <w:rsid w:val="002372A7"/>
    <w:rsid w:val="002373EC"/>
    <w:rsid w:val="0023753A"/>
    <w:rsid w:val="00237925"/>
    <w:rsid w:val="0024172C"/>
    <w:rsid w:val="00241905"/>
    <w:rsid w:val="00241BCF"/>
    <w:rsid w:val="00241E89"/>
    <w:rsid w:val="0024208D"/>
    <w:rsid w:val="00242285"/>
    <w:rsid w:val="00243113"/>
    <w:rsid w:val="002432B4"/>
    <w:rsid w:val="00243422"/>
    <w:rsid w:val="00243DF3"/>
    <w:rsid w:val="0024446F"/>
    <w:rsid w:val="00245C63"/>
    <w:rsid w:val="00245EEF"/>
    <w:rsid w:val="00246108"/>
    <w:rsid w:val="002470E5"/>
    <w:rsid w:val="002470FA"/>
    <w:rsid w:val="00247662"/>
    <w:rsid w:val="002503F8"/>
    <w:rsid w:val="00250705"/>
    <w:rsid w:val="0025148B"/>
    <w:rsid w:val="00251747"/>
    <w:rsid w:val="00251A91"/>
    <w:rsid w:val="00251D4F"/>
    <w:rsid w:val="00251EBD"/>
    <w:rsid w:val="00252056"/>
    <w:rsid w:val="0025246F"/>
    <w:rsid w:val="00252595"/>
    <w:rsid w:val="00253778"/>
    <w:rsid w:val="00253B13"/>
    <w:rsid w:val="002544C5"/>
    <w:rsid w:val="00255063"/>
    <w:rsid w:val="00255088"/>
    <w:rsid w:val="002550ED"/>
    <w:rsid w:val="0025549C"/>
    <w:rsid w:val="002559A2"/>
    <w:rsid w:val="00255A77"/>
    <w:rsid w:val="00255E0A"/>
    <w:rsid w:val="00255F88"/>
    <w:rsid w:val="00257035"/>
    <w:rsid w:val="0025712D"/>
    <w:rsid w:val="0025723D"/>
    <w:rsid w:val="00257500"/>
    <w:rsid w:val="00257643"/>
    <w:rsid w:val="00257B8C"/>
    <w:rsid w:val="00260949"/>
    <w:rsid w:val="00260BDA"/>
    <w:rsid w:val="00260D85"/>
    <w:rsid w:val="00261230"/>
    <w:rsid w:val="002619CF"/>
    <w:rsid w:val="00261AD7"/>
    <w:rsid w:val="00261E02"/>
    <w:rsid w:val="0026218D"/>
    <w:rsid w:val="00263006"/>
    <w:rsid w:val="0026397E"/>
    <w:rsid w:val="00264773"/>
    <w:rsid w:val="0026498C"/>
    <w:rsid w:val="00264E8B"/>
    <w:rsid w:val="00265CDC"/>
    <w:rsid w:val="00265FCA"/>
    <w:rsid w:val="0026648A"/>
    <w:rsid w:val="00266EA7"/>
    <w:rsid w:val="00267697"/>
    <w:rsid w:val="002678DF"/>
    <w:rsid w:val="00267D5E"/>
    <w:rsid w:val="0027011E"/>
    <w:rsid w:val="00270326"/>
    <w:rsid w:val="00270B38"/>
    <w:rsid w:val="00270D61"/>
    <w:rsid w:val="00272223"/>
    <w:rsid w:val="00272495"/>
    <w:rsid w:val="00272CDF"/>
    <w:rsid w:val="00272ED3"/>
    <w:rsid w:val="00273637"/>
    <w:rsid w:val="002737C7"/>
    <w:rsid w:val="00273A13"/>
    <w:rsid w:val="00274D54"/>
    <w:rsid w:val="0027546D"/>
    <w:rsid w:val="0027575D"/>
    <w:rsid w:val="00276365"/>
    <w:rsid w:val="002765D8"/>
    <w:rsid w:val="002767F4"/>
    <w:rsid w:val="00276D15"/>
    <w:rsid w:val="00276E06"/>
    <w:rsid w:val="002770E1"/>
    <w:rsid w:val="00280DAE"/>
    <w:rsid w:val="002813E7"/>
    <w:rsid w:val="00281F4E"/>
    <w:rsid w:val="00282804"/>
    <w:rsid w:val="00282972"/>
    <w:rsid w:val="00282DA5"/>
    <w:rsid w:val="002834FE"/>
    <w:rsid w:val="0028350B"/>
    <w:rsid w:val="00283FB3"/>
    <w:rsid w:val="00284C18"/>
    <w:rsid w:val="002853CB"/>
    <w:rsid w:val="00285A23"/>
    <w:rsid w:val="00285DF1"/>
    <w:rsid w:val="00286438"/>
    <w:rsid w:val="0028766D"/>
    <w:rsid w:val="00290B00"/>
    <w:rsid w:val="0029137E"/>
    <w:rsid w:val="00291530"/>
    <w:rsid w:val="00291C96"/>
    <w:rsid w:val="00292399"/>
    <w:rsid w:val="0029244F"/>
    <w:rsid w:val="002924A9"/>
    <w:rsid w:val="00292714"/>
    <w:rsid w:val="00292B7E"/>
    <w:rsid w:val="00292B97"/>
    <w:rsid w:val="00293071"/>
    <w:rsid w:val="0029328F"/>
    <w:rsid w:val="00293654"/>
    <w:rsid w:val="002937EA"/>
    <w:rsid w:val="00293A67"/>
    <w:rsid w:val="00293D76"/>
    <w:rsid w:val="00293F5B"/>
    <w:rsid w:val="00294867"/>
    <w:rsid w:val="00294B40"/>
    <w:rsid w:val="002950EC"/>
    <w:rsid w:val="00295AC5"/>
    <w:rsid w:val="00295B20"/>
    <w:rsid w:val="00295C67"/>
    <w:rsid w:val="002968E1"/>
    <w:rsid w:val="00296B0B"/>
    <w:rsid w:val="00296C62"/>
    <w:rsid w:val="00296F3E"/>
    <w:rsid w:val="00297085"/>
    <w:rsid w:val="0029753E"/>
    <w:rsid w:val="002975D7"/>
    <w:rsid w:val="002978E1"/>
    <w:rsid w:val="00297E1D"/>
    <w:rsid w:val="002A0E57"/>
    <w:rsid w:val="002A10A3"/>
    <w:rsid w:val="002A12F5"/>
    <w:rsid w:val="002A1768"/>
    <w:rsid w:val="002A1A89"/>
    <w:rsid w:val="002A1CEA"/>
    <w:rsid w:val="002A25B8"/>
    <w:rsid w:val="002A2D23"/>
    <w:rsid w:val="002A30D6"/>
    <w:rsid w:val="002A324C"/>
    <w:rsid w:val="002A331E"/>
    <w:rsid w:val="002A33BF"/>
    <w:rsid w:val="002A4A60"/>
    <w:rsid w:val="002A4CCA"/>
    <w:rsid w:val="002A4FF0"/>
    <w:rsid w:val="002A50FD"/>
    <w:rsid w:val="002A5130"/>
    <w:rsid w:val="002A5290"/>
    <w:rsid w:val="002A557C"/>
    <w:rsid w:val="002A59C1"/>
    <w:rsid w:val="002A5F66"/>
    <w:rsid w:val="002A611F"/>
    <w:rsid w:val="002A6273"/>
    <w:rsid w:val="002A6539"/>
    <w:rsid w:val="002A68E2"/>
    <w:rsid w:val="002A6BC2"/>
    <w:rsid w:val="002A7D75"/>
    <w:rsid w:val="002B00CD"/>
    <w:rsid w:val="002B06D5"/>
    <w:rsid w:val="002B09C4"/>
    <w:rsid w:val="002B118A"/>
    <w:rsid w:val="002B1D22"/>
    <w:rsid w:val="002B1F26"/>
    <w:rsid w:val="002B2C75"/>
    <w:rsid w:val="002B2F23"/>
    <w:rsid w:val="002B3A73"/>
    <w:rsid w:val="002B3A85"/>
    <w:rsid w:val="002B5A12"/>
    <w:rsid w:val="002B5AC6"/>
    <w:rsid w:val="002B6579"/>
    <w:rsid w:val="002B6782"/>
    <w:rsid w:val="002B67B0"/>
    <w:rsid w:val="002B67D1"/>
    <w:rsid w:val="002B681B"/>
    <w:rsid w:val="002B6986"/>
    <w:rsid w:val="002B73ED"/>
    <w:rsid w:val="002C0C76"/>
    <w:rsid w:val="002C0D9E"/>
    <w:rsid w:val="002C19F7"/>
    <w:rsid w:val="002C208D"/>
    <w:rsid w:val="002C23DA"/>
    <w:rsid w:val="002C314D"/>
    <w:rsid w:val="002C3246"/>
    <w:rsid w:val="002C36F7"/>
    <w:rsid w:val="002C3BF1"/>
    <w:rsid w:val="002C477E"/>
    <w:rsid w:val="002C47AE"/>
    <w:rsid w:val="002C4A80"/>
    <w:rsid w:val="002C534A"/>
    <w:rsid w:val="002C5351"/>
    <w:rsid w:val="002C5686"/>
    <w:rsid w:val="002C643E"/>
    <w:rsid w:val="002C65D7"/>
    <w:rsid w:val="002C6E2E"/>
    <w:rsid w:val="002C6F9E"/>
    <w:rsid w:val="002C789A"/>
    <w:rsid w:val="002C7CB8"/>
    <w:rsid w:val="002C7D1F"/>
    <w:rsid w:val="002D0530"/>
    <w:rsid w:val="002D08A6"/>
    <w:rsid w:val="002D0E44"/>
    <w:rsid w:val="002D17C2"/>
    <w:rsid w:val="002D1B6A"/>
    <w:rsid w:val="002D22CC"/>
    <w:rsid w:val="002D2893"/>
    <w:rsid w:val="002D308B"/>
    <w:rsid w:val="002D327D"/>
    <w:rsid w:val="002D3316"/>
    <w:rsid w:val="002D338F"/>
    <w:rsid w:val="002D360B"/>
    <w:rsid w:val="002D4132"/>
    <w:rsid w:val="002D483C"/>
    <w:rsid w:val="002D48FE"/>
    <w:rsid w:val="002D4B0C"/>
    <w:rsid w:val="002D575F"/>
    <w:rsid w:val="002D5DAB"/>
    <w:rsid w:val="002D6841"/>
    <w:rsid w:val="002D6971"/>
    <w:rsid w:val="002D6A5D"/>
    <w:rsid w:val="002D6D43"/>
    <w:rsid w:val="002D7B60"/>
    <w:rsid w:val="002D7E29"/>
    <w:rsid w:val="002D7E82"/>
    <w:rsid w:val="002E01EE"/>
    <w:rsid w:val="002E07B1"/>
    <w:rsid w:val="002E0D97"/>
    <w:rsid w:val="002E12A3"/>
    <w:rsid w:val="002E2260"/>
    <w:rsid w:val="002E2662"/>
    <w:rsid w:val="002E287B"/>
    <w:rsid w:val="002E2D62"/>
    <w:rsid w:val="002E2F4E"/>
    <w:rsid w:val="002E3ADB"/>
    <w:rsid w:val="002E3B22"/>
    <w:rsid w:val="002E422A"/>
    <w:rsid w:val="002E51FD"/>
    <w:rsid w:val="002E63A7"/>
    <w:rsid w:val="002E69E7"/>
    <w:rsid w:val="002E6CF3"/>
    <w:rsid w:val="002E6DF1"/>
    <w:rsid w:val="002E7E29"/>
    <w:rsid w:val="002F0033"/>
    <w:rsid w:val="002F0E38"/>
    <w:rsid w:val="002F1752"/>
    <w:rsid w:val="002F2328"/>
    <w:rsid w:val="002F243E"/>
    <w:rsid w:val="002F2D63"/>
    <w:rsid w:val="002F2E76"/>
    <w:rsid w:val="002F36F2"/>
    <w:rsid w:val="002F48AB"/>
    <w:rsid w:val="002F4FCC"/>
    <w:rsid w:val="002F62FE"/>
    <w:rsid w:val="002F6424"/>
    <w:rsid w:val="002F661E"/>
    <w:rsid w:val="002F6706"/>
    <w:rsid w:val="002F6AA8"/>
    <w:rsid w:val="002F74AD"/>
    <w:rsid w:val="002F7936"/>
    <w:rsid w:val="002F7A98"/>
    <w:rsid w:val="002F7D24"/>
    <w:rsid w:val="00300F19"/>
    <w:rsid w:val="003014D5"/>
    <w:rsid w:val="003018D0"/>
    <w:rsid w:val="003018F8"/>
    <w:rsid w:val="003019B9"/>
    <w:rsid w:val="00301D40"/>
    <w:rsid w:val="00302CBC"/>
    <w:rsid w:val="0030327A"/>
    <w:rsid w:val="003032BF"/>
    <w:rsid w:val="003037D7"/>
    <w:rsid w:val="003055E4"/>
    <w:rsid w:val="00305DE6"/>
    <w:rsid w:val="0030611B"/>
    <w:rsid w:val="00306A33"/>
    <w:rsid w:val="00307588"/>
    <w:rsid w:val="00307806"/>
    <w:rsid w:val="003079C1"/>
    <w:rsid w:val="0031034F"/>
    <w:rsid w:val="0031062B"/>
    <w:rsid w:val="00310DB0"/>
    <w:rsid w:val="00311535"/>
    <w:rsid w:val="003120B8"/>
    <w:rsid w:val="00312DDC"/>
    <w:rsid w:val="00313A22"/>
    <w:rsid w:val="00315081"/>
    <w:rsid w:val="00315AE1"/>
    <w:rsid w:val="00315EA0"/>
    <w:rsid w:val="00316C22"/>
    <w:rsid w:val="0031740B"/>
    <w:rsid w:val="0031779E"/>
    <w:rsid w:val="003179E6"/>
    <w:rsid w:val="00320086"/>
    <w:rsid w:val="00320A7A"/>
    <w:rsid w:val="00321597"/>
    <w:rsid w:val="00321E20"/>
    <w:rsid w:val="00322A59"/>
    <w:rsid w:val="00322DA1"/>
    <w:rsid w:val="00323757"/>
    <w:rsid w:val="00323D11"/>
    <w:rsid w:val="003240BD"/>
    <w:rsid w:val="0032411E"/>
    <w:rsid w:val="003242FE"/>
    <w:rsid w:val="00324C20"/>
    <w:rsid w:val="00324FA3"/>
    <w:rsid w:val="003257BC"/>
    <w:rsid w:val="00325E57"/>
    <w:rsid w:val="00326335"/>
    <w:rsid w:val="003267FD"/>
    <w:rsid w:val="00326B18"/>
    <w:rsid w:val="00326BF9"/>
    <w:rsid w:val="00327162"/>
    <w:rsid w:val="00327D15"/>
    <w:rsid w:val="00327E07"/>
    <w:rsid w:val="00330471"/>
    <w:rsid w:val="003307F0"/>
    <w:rsid w:val="003309E1"/>
    <w:rsid w:val="00330F31"/>
    <w:rsid w:val="00330F60"/>
    <w:rsid w:val="00331524"/>
    <w:rsid w:val="003316CE"/>
    <w:rsid w:val="00331B39"/>
    <w:rsid w:val="00331D30"/>
    <w:rsid w:val="0033278A"/>
    <w:rsid w:val="00333089"/>
    <w:rsid w:val="0033358E"/>
    <w:rsid w:val="00333AF9"/>
    <w:rsid w:val="00334B30"/>
    <w:rsid w:val="00334EC2"/>
    <w:rsid w:val="00335C9D"/>
    <w:rsid w:val="00336D01"/>
    <w:rsid w:val="0033717D"/>
    <w:rsid w:val="00337A8A"/>
    <w:rsid w:val="003400B4"/>
    <w:rsid w:val="003400E9"/>
    <w:rsid w:val="00340488"/>
    <w:rsid w:val="00341055"/>
    <w:rsid w:val="00341567"/>
    <w:rsid w:val="00341633"/>
    <w:rsid w:val="0034226E"/>
    <w:rsid w:val="00342AF1"/>
    <w:rsid w:val="0034336B"/>
    <w:rsid w:val="003438F7"/>
    <w:rsid w:val="00343CE5"/>
    <w:rsid w:val="003443A6"/>
    <w:rsid w:val="003443E6"/>
    <w:rsid w:val="003444FE"/>
    <w:rsid w:val="003445A4"/>
    <w:rsid w:val="00344B4B"/>
    <w:rsid w:val="00345768"/>
    <w:rsid w:val="003457CF"/>
    <w:rsid w:val="003458C2"/>
    <w:rsid w:val="00345A83"/>
    <w:rsid w:val="00345C6A"/>
    <w:rsid w:val="0034706C"/>
    <w:rsid w:val="00347136"/>
    <w:rsid w:val="0034739A"/>
    <w:rsid w:val="00347658"/>
    <w:rsid w:val="00347EDE"/>
    <w:rsid w:val="00350BDC"/>
    <w:rsid w:val="00350D2B"/>
    <w:rsid w:val="003510FA"/>
    <w:rsid w:val="003512E7"/>
    <w:rsid w:val="00351916"/>
    <w:rsid w:val="00351ADE"/>
    <w:rsid w:val="00353140"/>
    <w:rsid w:val="00353263"/>
    <w:rsid w:val="00353567"/>
    <w:rsid w:val="00354024"/>
    <w:rsid w:val="003544A0"/>
    <w:rsid w:val="00354B03"/>
    <w:rsid w:val="0035523F"/>
    <w:rsid w:val="00355338"/>
    <w:rsid w:val="00356930"/>
    <w:rsid w:val="00356D19"/>
    <w:rsid w:val="00357124"/>
    <w:rsid w:val="00357441"/>
    <w:rsid w:val="003579C3"/>
    <w:rsid w:val="00360252"/>
    <w:rsid w:val="0036072E"/>
    <w:rsid w:val="0036096A"/>
    <w:rsid w:val="00361486"/>
    <w:rsid w:val="0036182B"/>
    <w:rsid w:val="00361FDD"/>
    <w:rsid w:val="00362045"/>
    <w:rsid w:val="00362E17"/>
    <w:rsid w:val="00362E96"/>
    <w:rsid w:val="00362FB5"/>
    <w:rsid w:val="00363256"/>
    <w:rsid w:val="00363311"/>
    <w:rsid w:val="0036392C"/>
    <w:rsid w:val="0036503E"/>
    <w:rsid w:val="003651D9"/>
    <w:rsid w:val="00366328"/>
    <w:rsid w:val="00366A1A"/>
    <w:rsid w:val="00366C35"/>
    <w:rsid w:val="00366CDD"/>
    <w:rsid w:val="00366F75"/>
    <w:rsid w:val="00367021"/>
    <w:rsid w:val="00367188"/>
    <w:rsid w:val="00367BAD"/>
    <w:rsid w:val="00367C6E"/>
    <w:rsid w:val="003702AD"/>
    <w:rsid w:val="00370648"/>
    <w:rsid w:val="0037076E"/>
    <w:rsid w:val="00370F68"/>
    <w:rsid w:val="00371BFC"/>
    <w:rsid w:val="00371CEF"/>
    <w:rsid w:val="00371D2D"/>
    <w:rsid w:val="00371FB8"/>
    <w:rsid w:val="00372173"/>
    <w:rsid w:val="00372384"/>
    <w:rsid w:val="00373134"/>
    <w:rsid w:val="003731F3"/>
    <w:rsid w:val="00373D4C"/>
    <w:rsid w:val="003744DE"/>
    <w:rsid w:val="003745F6"/>
    <w:rsid w:val="00374B69"/>
    <w:rsid w:val="00374C8D"/>
    <w:rsid w:val="00375A7A"/>
    <w:rsid w:val="003768C3"/>
    <w:rsid w:val="003769FE"/>
    <w:rsid w:val="00377646"/>
    <w:rsid w:val="00377A16"/>
    <w:rsid w:val="00377B18"/>
    <w:rsid w:val="00377EA7"/>
    <w:rsid w:val="00380471"/>
    <w:rsid w:val="003806C2"/>
    <w:rsid w:val="00381ADB"/>
    <w:rsid w:val="00382159"/>
    <w:rsid w:val="00382FC9"/>
    <w:rsid w:val="0038307F"/>
    <w:rsid w:val="003847A8"/>
    <w:rsid w:val="00384FB1"/>
    <w:rsid w:val="00385009"/>
    <w:rsid w:val="003856DA"/>
    <w:rsid w:val="003856EF"/>
    <w:rsid w:val="00385E5C"/>
    <w:rsid w:val="00385F86"/>
    <w:rsid w:val="003860EA"/>
    <w:rsid w:val="003866DC"/>
    <w:rsid w:val="00387AF8"/>
    <w:rsid w:val="00390BED"/>
    <w:rsid w:val="00391321"/>
    <w:rsid w:val="00391CBD"/>
    <w:rsid w:val="00391FEE"/>
    <w:rsid w:val="00392343"/>
    <w:rsid w:val="0039239D"/>
    <w:rsid w:val="00392870"/>
    <w:rsid w:val="003928FC"/>
    <w:rsid w:val="003929FF"/>
    <w:rsid w:val="00393FC5"/>
    <w:rsid w:val="0039400D"/>
    <w:rsid w:val="0039456F"/>
    <w:rsid w:val="00394912"/>
    <w:rsid w:val="003957A1"/>
    <w:rsid w:val="0039594D"/>
    <w:rsid w:val="00396068"/>
    <w:rsid w:val="0039610F"/>
    <w:rsid w:val="003968C1"/>
    <w:rsid w:val="003969C6"/>
    <w:rsid w:val="00396EA4"/>
    <w:rsid w:val="003A23DF"/>
    <w:rsid w:val="003A27C0"/>
    <w:rsid w:val="003A2D08"/>
    <w:rsid w:val="003A3283"/>
    <w:rsid w:val="003A355E"/>
    <w:rsid w:val="003A3BF4"/>
    <w:rsid w:val="003A3FAD"/>
    <w:rsid w:val="003A440C"/>
    <w:rsid w:val="003A49E7"/>
    <w:rsid w:val="003A4D6A"/>
    <w:rsid w:val="003A5112"/>
    <w:rsid w:val="003A57C3"/>
    <w:rsid w:val="003A5A7F"/>
    <w:rsid w:val="003A5FF0"/>
    <w:rsid w:val="003A62AF"/>
    <w:rsid w:val="003A6FA4"/>
    <w:rsid w:val="003A726B"/>
    <w:rsid w:val="003A7DEB"/>
    <w:rsid w:val="003B029C"/>
    <w:rsid w:val="003B02A3"/>
    <w:rsid w:val="003B18A3"/>
    <w:rsid w:val="003B1959"/>
    <w:rsid w:val="003B1BC9"/>
    <w:rsid w:val="003B1C9D"/>
    <w:rsid w:val="003B1DF6"/>
    <w:rsid w:val="003B1E20"/>
    <w:rsid w:val="003B2140"/>
    <w:rsid w:val="003B221C"/>
    <w:rsid w:val="003B2AD0"/>
    <w:rsid w:val="003B2CF5"/>
    <w:rsid w:val="003B2F82"/>
    <w:rsid w:val="003B341B"/>
    <w:rsid w:val="003B384C"/>
    <w:rsid w:val="003B39FF"/>
    <w:rsid w:val="003B3D15"/>
    <w:rsid w:val="003B49D8"/>
    <w:rsid w:val="003B4ACC"/>
    <w:rsid w:val="003B539B"/>
    <w:rsid w:val="003B5D1C"/>
    <w:rsid w:val="003B6007"/>
    <w:rsid w:val="003B68C4"/>
    <w:rsid w:val="003B6B4B"/>
    <w:rsid w:val="003B7066"/>
    <w:rsid w:val="003B7630"/>
    <w:rsid w:val="003B7E99"/>
    <w:rsid w:val="003C0411"/>
    <w:rsid w:val="003C10B9"/>
    <w:rsid w:val="003C13F4"/>
    <w:rsid w:val="003C1829"/>
    <w:rsid w:val="003C184F"/>
    <w:rsid w:val="003C2304"/>
    <w:rsid w:val="003C2457"/>
    <w:rsid w:val="003C25AA"/>
    <w:rsid w:val="003C2F73"/>
    <w:rsid w:val="003C308D"/>
    <w:rsid w:val="003C32B4"/>
    <w:rsid w:val="003C3376"/>
    <w:rsid w:val="003C3570"/>
    <w:rsid w:val="003C45B3"/>
    <w:rsid w:val="003C503C"/>
    <w:rsid w:val="003C50D0"/>
    <w:rsid w:val="003C580F"/>
    <w:rsid w:val="003C5872"/>
    <w:rsid w:val="003C5F1B"/>
    <w:rsid w:val="003C60A5"/>
    <w:rsid w:val="003C62DF"/>
    <w:rsid w:val="003C6E75"/>
    <w:rsid w:val="003C7192"/>
    <w:rsid w:val="003C7379"/>
    <w:rsid w:val="003C75A2"/>
    <w:rsid w:val="003C784B"/>
    <w:rsid w:val="003C7E02"/>
    <w:rsid w:val="003D0201"/>
    <w:rsid w:val="003D06F3"/>
    <w:rsid w:val="003D0B6F"/>
    <w:rsid w:val="003D12DD"/>
    <w:rsid w:val="003D13A6"/>
    <w:rsid w:val="003D1CF4"/>
    <w:rsid w:val="003D2046"/>
    <w:rsid w:val="003D2122"/>
    <w:rsid w:val="003D22FC"/>
    <w:rsid w:val="003D239A"/>
    <w:rsid w:val="003D33E3"/>
    <w:rsid w:val="003D3A10"/>
    <w:rsid w:val="003D3EF5"/>
    <w:rsid w:val="003D4703"/>
    <w:rsid w:val="003D4A0D"/>
    <w:rsid w:val="003D65E0"/>
    <w:rsid w:val="003D705B"/>
    <w:rsid w:val="003D71F5"/>
    <w:rsid w:val="003D72B7"/>
    <w:rsid w:val="003D7CBE"/>
    <w:rsid w:val="003E03BA"/>
    <w:rsid w:val="003E0CD2"/>
    <w:rsid w:val="003E0F96"/>
    <w:rsid w:val="003E118E"/>
    <w:rsid w:val="003E1193"/>
    <w:rsid w:val="003E1251"/>
    <w:rsid w:val="003E2F0E"/>
    <w:rsid w:val="003E323C"/>
    <w:rsid w:val="003E3816"/>
    <w:rsid w:val="003E3E22"/>
    <w:rsid w:val="003E3FA1"/>
    <w:rsid w:val="003E4254"/>
    <w:rsid w:val="003E4776"/>
    <w:rsid w:val="003E4C19"/>
    <w:rsid w:val="003E5115"/>
    <w:rsid w:val="003E5EFA"/>
    <w:rsid w:val="003E6269"/>
    <w:rsid w:val="003E79BE"/>
    <w:rsid w:val="003E7D74"/>
    <w:rsid w:val="003E7EAF"/>
    <w:rsid w:val="003F043F"/>
    <w:rsid w:val="003F24C1"/>
    <w:rsid w:val="003F259A"/>
    <w:rsid w:val="003F25A3"/>
    <w:rsid w:val="003F3E98"/>
    <w:rsid w:val="003F4243"/>
    <w:rsid w:val="003F44E9"/>
    <w:rsid w:val="003F476A"/>
    <w:rsid w:val="003F47F8"/>
    <w:rsid w:val="003F4F34"/>
    <w:rsid w:val="003F523F"/>
    <w:rsid w:val="003F642B"/>
    <w:rsid w:val="003F666C"/>
    <w:rsid w:val="003F6A48"/>
    <w:rsid w:val="003F6CA9"/>
    <w:rsid w:val="003F6E49"/>
    <w:rsid w:val="003F6F8E"/>
    <w:rsid w:val="003F7E52"/>
    <w:rsid w:val="004003BD"/>
    <w:rsid w:val="0040050A"/>
    <w:rsid w:val="0040077E"/>
    <w:rsid w:val="00400A21"/>
    <w:rsid w:val="0040101A"/>
    <w:rsid w:val="0040136B"/>
    <w:rsid w:val="00403178"/>
    <w:rsid w:val="004037B4"/>
    <w:rsid w:val="0040422B"/>
    <w:rsid w:val="0040546F"/>
    <w:rsid w:val="0040608F"/>
    <w:rsid w:val="00406971"/>
    <w:rsid w:val="00406CD8"/>
    <w:rsid w:val="00406D3B"/>
    <w:rsid w:val="00407274"/>
    <w:rsid w:val="0041046A"/>
    <w:rsid w:val="00410951"/>
    <w:rsid w:val="00411A1D"/>
    <w:rsid w:val="00411C3E"/>
    <w:rsid w:val="00411E6B"/>
    <w:rsid w:val="00411F1C"/>
    <w:rsid w:val="004120C0"/>
    <w:rsid w:val="00412377"/>
    <w:rsid w:val="004126D5"/>
    <w:rsid w:val="00412AC3"/>
    <w:rsid w:val="00412B9F"/>
    <w:rsid w:val="00413AEE"/>
    <w:rsid w:val="004144CE"/>
    <w:rsid w:val="00414E9F"/>
    <w:rsid w:val="004154BF"/>
    <w:rsid w:val="004155FB"/>
    <w:rsid w:val="00415E0E"/>
    <w:rsid w:val="00416228"/>
    <w:rsid w:val="004178B7"/>
    <w:rsid w:val="004179B1"/>
    <w:rsid w:val="00420076"/>
    <w:rsid w:val="00420269"/>
    <w:rsid w:val="004208E6"/>
    <w:rsid w:val="0042176F"/>
    <w:rsid w:val="00421E86"/>
    <w:rsid w:val="004221CD"/>
    <w:rsid w:val="00422852"/>
    <w:rsid w:val="00423128"/>
    <w:rsid w:val="00423252"/>
    <w:rsid w:val="0042409B"/>
    <w:rsid w:val="00425066"/>
    <w:rsid w:val="00425525"/>
    <w:rsid w:val="00426020"/>
    <w:rsid w:val="0042641F"/>
    <w:rsid w:val="00426A86"/>
    <w:rsid w:val="00427393"/>
    <w:rsid w:val="004278D4"/>
    <w:rsid w:val="004309FA"/>
    <w:rsid w:val="00430B73"/>
    <w:rsid w:val="00430CA5"/>
    <w:rsid w:val="00432AD9"/>
    <w:rsid w:val="00432B06"/>
    <w:rsid w:val="00432CD3"/>
    <w:rsid w:val="0043300C"/>
    <w:rsid w:val="00433494"/>
    <w:rsid w:val="00433F29"/>
    <w:rsid w:val="00434441"/>
    <w:rsid w:val="00434564"/>
    <w:rsid w:val="00434BDB"/>
    <w:rsid w:val="00434ECC"/>
    <w:rsid w:val="004353AF"/>
    <w:rsid w:val="00435A40"/>
    <w:rsid w:val="00435B9E"/>
    <w:rsid w:val="00437233"/>
    <w:rsid w:val="00437601"/>
    <w:rsid w:val="00437D2F"/>
    <w:rsid w:val="0044045D"/>
    <w:rsid w:val="004405CC"/>
    <w:rsid w:val="00440869"/>
    <w:rsid w:val="00440C71"/>
    <w:rsid w:val="00440EDC"/>
    <w:rsid w:val="00441D07"/>
    <w:rsid w:val="00441EF5"/>
    <w:rsid w:val="00441F4B"/>
    <w:rsid w:val="00442013"/>
    <w:rsid w:val="00442395"/>
    <w:rsid w:val="00442C5A"/>
    <w:rsid w:val="00443358"/>
    <w:rsid w:val="0044383E"/>
    <w:rsid w:val="004444F1"/>
    <w:rsid w:val="00444720"/>
    <w:rsid w:val="00444C98"/>
    <w:rsid w:val="004459D6"/>
    <w:rsid w:val="0044650C"/>
    <w:rsid w:val="00446922"/>
    <w:rsid w:val="00446E34"/>
    <w:rsid w:val="00446EBB"/>
    <w:rsid w:val="0044755B"/>
    <w:rsid w:val="00450234"/>
    <w:rsid w:val="00450895"/>
    <w:rsid w:val="004520C3"/>
    <w:rsid w:val="0045224D"/>
    <w:rsid w:val="004539A4"/>
    <w:rsid w:val="00453CF6"/>
    <w:rsid w:val="004540A3"/>
    <w:rsid w:val="004548A3"/>
    <w:rsid w:val="00454ADF"/>
    <w:rsid w:val="00454CD7"/>
    <w:rsid w:val="0045588D"/>
    <w:rsid w:val="00455F9E"/>
    <w:rsid w:val="004567A7"/>
    <w:rsid w:val="0045681E"/>
    <w:rsid w:val="00457A10"/>
    <w:rsid w:val="00457BF2"/>
    <w:rsid w:val="004600E9"/>
    <w:rsid w:val="004603EA"/>
    <w:rsid w:val="004606FD"/>
    <w:rsid w:val="00460808"/>
    <w:rsid w:val="00460A24"/>
    <w:rsid w:val="00460F5A"/>
    <w:rsid w:val="004612B0"/>
    <w:rsid w:val="00461894"/>
    <w:rsid w:val="00461B50"/>
    <w:rsid w:val="00461F1A"/>
    <w:rsid w:val="00462574"/>
    <w:rsid w:val="004628A3"/>
    <w:rsid w:val="00462CC7"/>
    <w:rsid w:val="00463452"/>
    <w:rsid w:val="00463B29"/>
    <w:rsid w:val="00465081"/>
    <w:rsid w:val="004654F1"/>
    <w:rsid w:val="00465985"/>
    <w:rsid w:val="004659EB"/>
    <w:rsid w:val="00465A94"/>
    <w:rsid w:val="004662B2"/>
    <w:rsid w:val="004663C6"/>
    <w:rsid w:val="00466634"/>
    <w:rsid w:val="00466E8A"/>
    <w:rsid w:val="004677DA"/>
    <w:rsid w:val="00470200"/>
    <w:rsid w:val="00470231"/>
    <w:rsid w:val="0047076D"/>
    <w:rsid w:val="004710F6"/>
    <w:rsid w:val="004713A8"/>
    <w:rsid w:val="0047227B"/>
    <w:rsid w:val="004729A5"/>
    <w:rsid w:val="004739CC"/>
    <w:rsid w:val="004746C4"/>
    <w:rsid w:val="00474B5F"/>
    <w:rsid w:val="00474CA0"/>
    <w:rsid w:val="00474D2C"/>
    <w:rsid w:val="004758A4"/>
    <w:rsid w:val="004760E5"/>
    <w:rsid w:val="004760F9"/>
    <w:rsid w:val="00476440"/>
    <w:rsid w:val="00476630"/>
    <w:rsid w:val="00476883"/>
    <w:rsid w:val="00476B4F"/>
    <w:rsid w:val="00477428"/>
    <w:rsid w:val="0047791D"/>
    <w:rsid w:val="00477C5D"/>
    <w:rsid w:val="00477EC7"/>
    <w:rsid w:val="004806F0"/>
    <w:rsid w:val="00480B46"/>
    <w:rsid w:val="0048122B"/>
    <w:rsid w:val="00481B66"/>
    <w:rsid w:val="00481CD4"/>
    <w:rsid w:val="0048290B"/>
    <w:rsid w:val="004844CA"/>
    <w:rsid w:val="004850B0"/>
    <w:rsid w:val="004850E9"/>
    <w:rsid w:val="00485F60"/>
    <w:rsid w:val="0048613E"/>
    <w:rsid w:val="0048642B"/>
    <w:rsid w:val="00486DEA"/>
    <w:rsid w:val="00487573"/>
    <w:rsid w:val="00487A1F"/>
    <w:rsid w:val="00487C3E"/>
    <w:rsid w:val="004902AE"/>
    <w:rsid w:val="0049137C"/>
    <w:rsid w:val="00491478"/>
    <w:rsid w:val="00491EB5"/>
    <w:rsid w:val="00492A7D"/>
    <w:rsid w:val="00492E88"/>
    <w:rsid w:val="00493D6C"/>
    <w:rsid w:val="004941B6"/>
    <w:rsid w:val="004943DE"/>
    <w:rsid w:val="00494DE2"/>
    <w:rsid w:val="004962D0"/>
    <w:rsid w:val="0049640B"/>
    <w:rsid w:val="0049684A"/>
    <w:rsid w:val="00496959"/>
    <w:rsid w:val="00497353"/>
    <w:rsid w:val="00497488"/>
    <w:rsid w:val="00497982"/>
    <w:rsid w:val="004979B7"/>
    <w:rsid w:val="004A0A19"/>
    <w:rsid w:val="004A0E53"/>
    <w:rsid w:val="004A1AC0"/>
    <w:rsid w:val="004A1F2B"/>
    <w:rsid w:val="004A1FB4"/>
    <w:rsid w:val="004A24DC"/>
    <w:rsid w:val="004A29B5"/>
    <w:rsid w:val="004A2C0F"/>
    <w:rsid w:val="004A32CC"/>
    <w:rsid w:val="004A3588"/>
    <w:rsid w:val="004A3692"/>
    <w:rsid w:val="004A3849"/>
    <w:rsid w:val="004A421B"/>
    <w:rsid w:val="004A4D88"/>
    <w:rsid w:val="004A736F"/>
    <w:rsid w:val="004A7C37"/>
    <w:rsid w:val="004B0128"/>
    <w:rsid w:val="004B09EE"/>
    <w:rsid w:val="004B1366"/>
    <w:rsid w:val="004B1C96"/>
    <w:rsid w:val="004B2672"/>
    <w:rsid w:val="004B2CD8"/>
    <w:rsid w:val="004B2E45"/>
    <w:rsid w:val="004B2F06"/>
    <w:rsid w:val="004B3641"/>
    <w:rsid w:val="004B3B4D"/>
    <w:rsid w:val="004B53AE"/>
    <w:rsid w:val="004B53C9"/>
    <w:rsid w:val="004B58C1"/>
    <w:rsid w:val="004B5C27"/>
    <w:rsid w:val="004B5D46"/>
    <w:rsid w:val="004B6359"/>
    <w:rsid w:val="004B66A3"/>
    <w:rsid w:val="004B6F7A"/>
    <w:rsid w:val="004B7010"/>
    <w:rsid w:val="004B7609"/>
    <w:rsid w:val="004B7D80"/>
    <w:rsid w:val="004C1647"/>
    <w:rsid w:val="004C1721"/>
    <w:rsid w:val="004C1A8A"/>
    <w:rsid w:val="004C2DC0"/>
    <w:rsid w:val="004C2F28"/>
    <w:rsid w:val="004C3235"/>
    <w:rsid w:val="004C3295"/>
    <w:rsid w:val="004C3F5C"/>
    <w:rsid w:val="004C43FF"/>
    <w:rsid w:val="004C4921"/>
    <w:rsid w:val="004C4BDF"/>
    <w:rsid w:val="004C4C2B"/>
    <w:rsid w:val="004C4DEF"/>
    <w:rsid w:val="004C5EDA"/>
    <w:rsid w:val="004C60D8"/>
    <w:rsid w:val="004C6759"/>
    <w:rsid w:val="004C68EC"/>
    <w:rsid w:val="004C6CC3"/>
    <w:rsid w:val="004D0E3A"/>
    <w:rsid w:val="004D0EF2"/>
    <w:rsid w:val="004D10D2"/>
    <w:rsid w:val="004D2467"/>
    <w:rsid w:val="004D25A5"/>
    <w:rsid w:val="004D2A2E"/>
    <w:rsid w:val="004D2C47"/>
    <w:rsid w:val="004D2E15"/>
    <w:rsid w:val="004D3A9B"/>
    <w:rsid w:val="004D3D24"/>
    <w:rsid w:val="004D4ADE"/>
    <w:rsid w:val="004D4D9B"/>
    <w:rsid w:val="004D64CA"/>
    <w:rsid w:val="004D64DF"/>
    <w:rsid w:val="004D6C45"/>
    <w:rsid w:val="004D6E8A"/>
    <w:rsid w:val="004D6EEC"/>
    <w:rsid w:val="004D70B1"/>
    <w:rsid w:val="004D7C49"/>
    <w:rsid w:val="004D7DAF"/>
    <w:rsid w:val="004D7DE2"/>
    <w:rsid w:val="004E0166"/>
    <w:rsid w:val="004E0D88"/>
    <w:rsid w:val="004E1160"/>
    <w:rsid w:val="004E1379"/>
    <w:rsid w:val="004E1398"/>
    <w:rsid w:val="004E1A2D"/>
    <w:rsid w:val="004E20AA"/>
    <w:rsid w:val="004E2807"/>
    <w:rsid w:val="004E3397"/>
    <w:rsid w:val="004E3567"/>
    <w:rsid w:val="004E3753"/>
    <w:rsid w:val="004E3EC3"/>
    <w:rsid w:val="004E3FBC"/>
    <w:rsid w:val="004E4418"/>
    <w:rsid w:val="004E5071"/>
    <w:rsid w:val="004E5095"/>
    <w:rsid w:val="004E51AA"/>
    <w:rsid w:val="004E53FC"/>
    <w:rsid w:val="004E5956"/>
    <w:rsid w:val="004E5A9D"/>
    <w:rsid w:val="004E5C13"/>
    <w:rsid w:val="004E63F0"/>
    <w:rsid w:val="004E6B95"/>
    <w:rsid w:val="004E7C91"/>
    <w:rsid w:val="004F0E50"/>
    <w:rsid w:val="004F0ECC"/>
    <w:rsid w:val="004F1992"/>
    <w:rsid w:val="004F23C9"/>
    <w:rsid w:val="004F2541"/>
    <w:rsid w:val="004F26DA"/>
    <w:rsid w:val="004F2B06"/>
    <w:rsid w:val="004F3284"/>
    <w:rsid w:val="004F34B2"/>
    <w:rsid w:val="004F34F1"/>
    <w:rsid w:val="004F3E33"/>
    <w:rsid w:val="004F5198"/>
    <w:rsid w:val="004F53C0"/>
    <w:rsid w:val="004F5457"/>
    <w:rsid w:val="004F5716"/>
    <w:rsid w:val="004F57F2"/>
    <w:rsid w:val="004F6D49"/>
    <w:rsid w:val="004F6F45"/>
    <w:rsid w:val="004F7037"/>
    <w:rsid w:val="004F7187"/>
    <w:rsid w:val="004F79A9"/>
    <w:rsid w:val="004F7A69"/>
    <w:rsid w:val="0050046B"/>
    <w:rsid w:val="005007CC"/>
    <w:rsid w:val="00500930"/>
    <w:rsid w:val="00501052"/>
    <w:rsid w:val="005012DB"/>
    <w:rsid w:val="00501772"/>
    <w:rsid w:val="00501915"/>
    <w:rsid w:val="00501AC2"/>
    <w:rsid w:val="00501EEF"/>
    <w:rsid w:val="005020B2"/>
    <w:rsid w:val="0050293B"/>
    <w:rsid w:val="00502F90"/>
    <w:rsid w:val="00503119"/>
    <w:rsid w:val="00503299"/>
    <w:rsid w:val="00503A2D"/>
    <w:rsid w:val="00504D6C"/>
    <w:rsid w:val="005056BA"/>
    <w:rsid w:val="00505AA1"/>
    <w:rsid w:val="005060E4"/>
    <w:rsid w:val="00506170"/>
    <w:rsid w:val="0050619F"/>
    <w:rsid w:val="005063EF"/>
    <w:rsid w:val="0050656B"/>
    <w:rsid w:val="0050667F"/>
    <w:rsid w:val="00506878"/>
    <w:rsid w:val="00507595"/>
    <w:rsid w:val="00507A1E"/>
    <w:rsid w:val="00507CEB"/>
    <w:rsid w:val="00510134"/>
    <w:rsid w:val="005105CF"/>
    <w:rsid w:val="0051089F"/>
    <w:rsid w:val="00510BFE"/>
    <w:rsid w:val="00511440"/>
    <w:rsid w:val="00512643"/>
    <w:rsid w:val="00512A42"/>
    <w:rsid w:val="00512BF9"/>
    <w:rsid w:val="00512E7F"/>
    <w:rsid w:val="00513134"/>
    <w:rsid w:val="00513A11"/>
    <w:rsid w:val="00514483"/>
    <w:rsid w:val="00515224"/>
    <w:rsid w:val="0051531D"/>
    <w:rsid w:val="005162BC"/>
    <w:rsid w:val="0051711E"/>
    <w:rsid w:val="00517813"/>
    <w:rsid w:val="005207DA"/>
    <w:rsid w:val="00520ACE"/>
    <w:rsid w:val="00520BF4"/>
    <w:rsid w:val="005227C5"/>
    <w:rsid w:val="00522A66"/>
    <w:rsid w:val="00522A87"/>
    <w:rsid w:val="00522B4B"/>
    <w:rsid w:val="0052318C"/>
    <w:rsid w:val="00523C72"/>
    <w:rsid w:val="00523DB7"/>
    <w:rsid w:val="0052421C"/>
    <w:rsid w:val="005246B0"/>
    <w:rsid w:val="0052610A"/>
    <w:rsid w:val="005263CD"/>
    <w:rsid w:val="00527150"/>
    <w:rsid w:val="005273CC"/>
    <w:rsid w:val="00527448"/>
    <w:rsid w:val="00527DB2"/>
    <w:rsid w:val="00530E67"/>
    <w:rsid w:val="00531339"/>
    <w:rsid w:val="0053242A"/>
    <w:rsid w:val="0053259C"/>
    <w:rsid w:val="00532670"/>
    <w:rsid w:val="005330F9"/>
    <w:rsid w:val="00534174"/>
    <w:rsid w:val="00535164"/>
    <w:rsid w:val="00535F06"/>
    <w:rsid w:val="00535FBF"/>
    <w:rsid w:val="00536A00"/>
    <w:rsid w:val="00536EC0"/>
    <w:rsid w:val="005375D8"/>
    <w:rsid w:val="00537A5B"/>
    <w:rsid w:val="00537B80"/>
    <w:rsid w:val="00537CCC"/>
    <w:rsid w:val="00537CDC"/>
    <w:rsid w:val="005401EB"/>
    <w:rsid w:val="00540D08"/>
    <w:rsid w:val="00541393"/>
    <w:rsid w:val="005415CC"/>
    <w:rsid w:val="00541742"/>
    <w:rsid w:val="005418AB"/>
    <w:rsid w:val="0054211B"/>
    <w:rsid w:val="00542270"/>
    <w:rsid w:val="005429ED"/>
    <w:rsid w:val="00542E12"/>
    <w:rsid w:val="00542E3A"/>
    <w:rsid w:val="005438AD"/>
    <w:rsid w:val="00543B10"/>
    <w:rsid w:val="00543DFB"/>
    <w:rsid w:val="0054441E"/>
    <w:rsid w:val="005444A3"/>
    <w:rsid w:val="00544579"/>
    <w:rsid w:val="00544E95"/>
    <w:rsid w:val="00544F60"/>
    <w:rsid w:val="00545E45"/>
    <w:rsid w:val="00545F72"/>
    <w:rsid w:val="00547C8F"/>
    <w:rsid w:val="00547DF3"/>
    <w:rsid w:val="005511CF"/>
    <w:rsid w:val="005516DC"/>
    <w:rsid w:val="0055172E"/>
    <w:rsid w:val="00551AFE"/>
    <w:rsid w:val="00552057"/>
    <w:rsid w:val="005523D9"/>
    <w:rsid w:val="00552943"/>
    <w:rsid w:val="005532C8"/>
    <w:rsid w:val="0055424E"/>
    <w:rsid w:val="00554A27"/>
    <w:rsid w:val="00554F3C"/>
    <w:rsid w:val="00556251"/>
    <w:rsid w:val="00556306"/>
    <w:rsid w:val="00556585"/>
    <w:rsid w:val="0055679B"/>
    <w:rsid w:val="00556C84"/>
    <w:rsid w:val="005574DD"/>
    <w:rsid w:val="00557598"/>
    <w:rsid w:val="005576FA"/>
    <w:rsid w:val="005578FB"/>
    <w:rsid w:val="005578FF"/>
    <w:rsid w:val="00557988"/>
    <w:rsid w:val="005604EA"/>
    <w:rsid w:val="00560FCD"/>
    <w:rsid w:val="005614E5"/>
    <w:rsid w:val="005616FE"/>
    <w:rsid w:val="005620FB"/>
    <w:rsid w:val="0056226E"/>
    <w:rsid w:val="00563352"/>
    <w:rsid w:val="005634ED"/>
    <w:rsid w:val="00563CEB"/>
    <w:rsid w:val="0056419F"/>
    <w:rsid w:val="00564501"/>
    <w:rsid w:val="005647E0"/>
    <w:rsid w:val="00565561"/>
    <w:rsid w:val="00565CEE"/>
    <w:rsid w:val="00566202"/>
    <w:rsid w:val="00566594"/>
    <w:rsid w:val="0056686F"/>
    <w:rsid w:val="0056709A"/>
    <w:rsid w:val="00567401"/>
    <w:rsid w:val="00570482"/>
    <w:rsid w:val="00570904"/>
    <w:rsid w:val="0057097F"/>
    <w:rsid w:val="00571010"/>
    <w:rsid w:val="0057111E"/>
    <w:rsid w:val="00571192"/>
    <w:rsid w:val="005712C8"/>
    <w:rsid w:val="00571497"/>
    <w:rsid w:val="00571AE6"/>
    <w:rsid w:val="00571D5B"/>
    <w:rsid w:val="005725D1"/>
    <w:rsid w:val="005734E5"/>
    <w:rsid w:val="00573506"/>
    <w:rsid w:val="00573521"/>
    <w:rsid w:val="00575ADC"/>
    <w:rsid w:val="00575C4B"/>
    <w:rsid w:val="00575FEF"/>
    <w:rsid w:val="0057635F"/>
    <w:rsid w:val="0057658C"/>
    <w:rsid w:val="00576DF4"/>
    <w:rsid w:val="00577564"/>
    <w:rsid w:val="00580418"/>
    <w:rsid w:val="00580AC1"/>
    <w:rsid w:val="00580DD7"/>
    <w:rsid w:val="00580F7E"/>
    <w:rsid w:val="00581200"/>
    <w:rsid w:val="0058168F"/>
    <w:rsid w:val="00581748"/>
    <w:rsid w:val="005821BF"/>
    <w:rsid w:val="005823B6"/>
    <w:rsid w:val="00582CBF"/>
    <w:rsid w:val="00582DDE"/>
    <w:rsid w:val="00584176"/>
    <w:rsid w:val="005844D3"/>
    <w:rsid w:val="00584585"/>
    <w:rsid w:val="00584904"/>
    <w:rsid w:val="00584A5F"/>
    <w:rsid w:val="005850D0"/>
    <w:rsid w:val="005869E7"/>
    <w:rsid w:val="00586BD6"/>
    <w:rsid w:val="00587079"/>
    <w:rsid w:val="00587CD2"/>
    <w:rsid w:val="00587F1B"/>
    <w:rsid w:val="00591480"/>
    <w:rsid w:val="0059176E"/>
    <w:rsid w:val="00591772"/>
    <w:rsid w:val="005918C8"/>
    <w:rsid w:val="0059190A"/>
    <w:rsid w:val="005919FF"/>
    <w:rsid w:val="00592EE3"/>
    <w:rsid w:val="00592FF5"/>
    <w:rsid w:val="00593229"/>
    <w:rsid w:val="005939AF"/>
    <w:rsid w:val="00593AD5"/>
    <w:rsid w:val="00593C1E"/>
    <w:rsid w:val="00593E51"/>
    <w:rsid w:val="00594285"/>
    <w:rsid w:val="00594392"/>
    <w:rsid w:val="00594417"/>
    <w:rsid w:val="005944A0"/>
    <w:rsid w:val="00594935"/>
    <w:rsid w:val="00596328"/>
    <w:rsid w:val="0059691E"/>
    <w:rsid w:val="00596D8A"/>
    <w:rsid w:val="00596F9C"/>
    <w:rsid w:val="005A0F51"/>
    <w:rsid w:val="005A1659"/>
    <w:rsid w:val="005A182C"/>
    <w:rsid w:val="005A20AA"/>
    <w:rsid w:val="005A20F8"/>
    <w:rsid w:val="005A2C77"/>
    <w:rsid w:val="005A3050"/>
    <w:rsid w:val="005A377C"/>
    <w:rsid w:val="005A3E59"/>
    <w:rsid w:val="005A4121"/>
    <w:rsid w:val="005A45DB"/>
    <w:rsid w:val="005A4629"/>
    <w:rsid w:val="005A4BB5"/>
    <w:rsid w:val="005A4EC6"/>
    <w:rsid w:val="005A4F01"/>
    <w:rsid w:val="005A58E9"/>
    <w:rsid w:val="005A5A77"/>
    <w:rsid w:val="005A6262"/>
    <w:rsid w:val="005A6B98"/>
    <w:rsid w:val="005A6F96"/>
    <w:rsid w:val="005A73B0"/>
    <w:rsid w:val="005A752A"/>
    <w:rsid w:val="005A76C2"/>
    <w:rsid w:val="005A7E86"/>
    <w:rsid w:val="005B0E9B"/>
    <w:rsid w:val="005B1157"/>
    <w:rsid w:val="005B26D0"/>
    <w:rsid w:val="005B2E45"/>
    <w:rsid w:val="005B32A1"/>
    <w:rsid w:val="005B5011"/>
    <w:rsid w:val="005B50A3"/>
    <w:rsid w:val="005B5802"/>
    <w:rsid w:val="005B5971"/>
    <w:rsid w:val="005B5AA6"/>
    <w:rsid w:val="005B64F7"/>
    <w:rsid w:val="005B7390"/>
    <w:rsid w:val="005B7F45"/>
    <w:rsid w:val="005C0C73"/>
    <w:rsid w:val="005C109C"/>
    <w:rsid w:val="005C12A1"/>
    <w:rsid w:val="005C278A"/>
    <w:rsid w:val="005C2A5B"/>
    <w:rsid w:val="005C2FFD"/>
    <w:rsid w:val="005C369F"/>
    <w:rsid w:val="005C4C3F"/>
    <w:rsid w:val="005C52A5"/>
    <w:rsid w:val="005C55F1"/>
    <w:rsid w:val="005C7A01"/>
    <w:rsid w:val="005C7D4D"/>
    <w:rsid w:val="005D0095"/>
    <w:rsid w:val="005D010E"/>
    <w:rsid w:val="005D046B"/>
    <w:rsid w:val="005D0EF0"/>
    <w:rsid w:val="005D2043"/>
    <w:rsid w:val="005D27C3"/>
    <w:rsid w:val="005D3192"/>
    <w:rsid w:val="005D3D89"/>
    <w:rsid w:val="005D3DCA"/>
    <w:rsid w:val="005D40A2"/>
    <w:rsid w:val="005D42F2"/>
    <w:rsid w:val="005D600F"/>
    <w:rsid w:val="005D7141"/>
    <w:rsid w:val="005D76D3"/>
    <w:rsid w:val="005E032E"/>
    <w:rsid w:val="005E0366"/>
    <w:rsid w:val="005E0B66"/>
    <w:rsid w:val="005E0BA9"/>
    <w:rsid w:val="005E25F6"/>
    <w:rsid w:val="005E2989"/>
    <w:rsid w:val="005E2B00"/>
    <w:rsid w:val="005E2B4A"/>
    <w:rsid w:val="005E2C56"/>
    <w:rsid w:val="005E2FD4"/>
    <w:rsid w:val="005E3941"/>
    <w:rsid w:val="005E3C09"/>
    <w:rsid w:val="005E3D44"/>
    <w:rsid w:val="005E495F"/>
    <w:rsid w:val="005E5409"/>
    <w:rsid w:val="005E57EC"/>
    <w:rsid w:val="005E5949"/>
    <w:rsid w:val="005E5AD0"/>
    <w:rsid w:val="005E5AE4"/>
    <w:rsid w:val="005E5E48"/>
    <w:rsid w:val="005E5F62"/>
    <w:rsid w:val="005E61E9"/>
    <w:rsid w:val="005E6564"/>
    <w:rsid w:val="005E683F"/>
    <w:rsid w:val="005E6AB3"/>
    <w:rsid w:val="005E6AF4"/>
    <w:rsid w:val="005E6BF9"/>
    <w:rsid w:val="005E7148"/>
    <w:rsid w:val="005E7500"/>
    <w:rsid w:val="005E7BDB"/>
    <w:rsid w:val="005E7D43"/>
    <w:rsid w:val="005F019B"/>
    <w:rsid w:val="005F05C4"/>
    <w:rsid w:val="005F175E"/>
    <w:rsid w:val="005F1A70"/>
    <w:rsid w:val="005F253B"/>
    <w:rsid w:val="005F260A"/>
    <w:rsid w:val="005F264A"/>
    <w:rsid w:val="005F2B1D"/>
    <w:rsid w:val="005F2B59"/>
    <w:rsid w:val="005F3215"/>
    <w:rsid w:val="005F3687"/>
    <w:rsid w:val="005F46FA"/>
    <w:rsid w:val="005F5B4B"/>
    <w:rsid w:val="005F6A6B"/>
    <w:rsid w:val="005F70A9"/>
    <w:rsid w:val="005F7EBC"/>
    <w:rsid w:val="00600429"/>
    <w:rsid w:val="00600648"/>
    <w:rsid w:val="006006F2"/>
    <w:rsid w:val="00600B2C"/>
    <w:rsid w:val="00600B5D"/>
    <w:rsid w:val="006012B7"/>
    <w:rsid w:val="006025B1"/>
    <w:rsid w:val="00603AF9"/>
    <w:rsid w:val="006042C9"/>
    <w:rsid w:val="00604555"/>
    <w:rsid w:val="006049C0"/>
    <w:rsid w:val="00604C7F"/>
    <w:rsid w:val="00604E85"/>
    <w:rsid w:val="00604F62"/>
    <w:rsid w:val="00605255"/>
    <w:rsid w:val="00605854"/>
    <w:rsid w:val="006058D7"/>
    <w:rsid w:val="00605B07"/>
    <w:rsid w:val="00606E8F"/>
    <w:rsid w:val="0060731C"/>
    <w:rsid w:val="00610318"/>
    <w:rsid w:val="006103B6"/>
    <w:rsid w:val="006107E5"/>
    <w:rsid w:val="00610983"/>
    <w:rsid w:val="006111B7"/>
    <w:rsid w:val="00612325"/>
    <w:rsid w:val="00612465"/>
    <w:rsid w:val="006129CE"/>
    <w:rsid w:val="00612EBD"/>
    <w:rsid w:val="00613357"/>
    <w:rsid w:val="00614165"/>
    <w:rsid w:val="00614DB5"/>
    <w:rsid w:val="00615DD7"/>
    <w:rsid w:val="0061629F"/>
    <w:rsid w:val="00616E7C"/>
    <w:rsid w:val="006172FD"/>
    <w:rsid w:val="00617683"/>
    <w:rsid w:val="00617A81"/>
    <w:rsid w:val="00617E53"/>
    <w:rsid w:val="00620195"/>
    <w:rsid w:val="00620820"/>
    <w:rsid w:val="006209BF"/>
    <w:rsid w:val="00621A57"/>
    <w:rsid w:val="006229D7"/>
    <w:rsid w:val="00622CFD"/>
    <w:rsid w:val="00623616"/>
    <w:rsid w:val="006240FD"/>
    <w:rsid w:val="006243FF"/>
    <w:rsid w:val="00624A7C"/>
    <w:rsid w:val="00625047"/>
    <w:rsid w:val="006253AD"/>
    <w:rsid w:val="006253C5"/>
    <w:rsid w:val="006256C4"/>
    <w:rsid w:val="00625EEA"/>
    <w:rsid w:val="0062620E"/>
    <w:rsid w:val="00626F0C"/>
    <w:rsid w:val="00627C1F"/>
    <w:rsid w:val="00630052"/>
    <w:rsid w:val="006308A1"/>
    <w:rsid w:val="00630A8A"/>
    <w:rsid w:val="00630F67"/>
    <w:rsid w:val="0063108B"/>
    <w:rsid w:val="00631247"/>
    <w:rsid w:val="00631B6A"/>
    <w:rsid w:val="00631D55"/>
    <w:rsid w:val="00631F77"/>
    <w:rsid w:val="0063242A"/>
    <w:rsid w:val="00632A9D"/>
    <w:rsid w:val="00632CC1"/>
    <w:rsid w:val="00633286"/>
    <w:rsid w:val="0063341C"/>
    <w:rsid w:val="00633622"/>
    <w:rsid w:val="006341DA"/>
    <w:rsid w:val="006344E8"/>
    <w:rsid w:val="006348AA"/>
    <w:rsid w:val="00635918"/>
    <w:rsid w:val="00635BAF"/>
    <w:rsid w:val="00635BDB"/>
    <w:rsid w:val="00635DFE"/>
    <w:rsid w:val="006360C1"/>
    <w:rsid w:val="006368A5"/>
    <w:rsid w:val="00636E11"/>
    <w:rsid w:val="006370EB"/>
    <w:rsid w:val="00637432"/>
    <w:rsid w:val="006402A4"/>
    <w:rsid w:val="00640992"/>
    <w:rsid w:val="00642776"/>
    <w:rsid w:val="00642E2E"/>
    <w:rsid w:val="00642FFF"/>
    <w:rsid w:val="00643BB0"/>
    <w:rsid w:val="00643EC1"/>
    <w:rsid w:val="00644739"/>
    <w:rsid w:val="006447AB"/>
    <w:rsid w:val="006448DF"/>
    <w:rsid w:val="00644D80"/>
    <w:rsid w:val="00645291"/>
    <w:rsid w:val="00645A2F"/>
    <w:rsid w:val="006476FD"/>
    <w:rsid w:val="006478A0"/>
    <w:rsid w:val="006479CF"/>
    <w:rsid w:val="00647A2B"/>
    <w:rsid w:val="00650053"/>
    <w:rsid w:val="006502E6"/>
    <w:rsid w:val="006506AD"/>
    <w:rsid w:val="0065077C"/>
    <w:rsid w:val="00650956"/>
    <w:rsid w:val="00650B90"/>
    <w:rsid w:val="006519C8"/>
    <w:rsid w:val="00651B46"/>
    <w:rsid w:val="0065259C"/>
    <w:rsid w:val="00652689"/>
    <w:rsid w:val="0065391E"/>
    <w:rsid w:val="006545EB"/>
    <w:rsid w:val="00654D81"/>
    <w:rsid w:val="00655286"/>
    <w:rsid w:val="006552C6"/>
    <w:rsid w:val="0065588B"/>
    <w:rsid w:val="00655896"/>
    <w:rsid w:val="00655F2D"/>
    <w:rsid w:val="00657CE3"/>
    <w:rsid w:val="0066043D"/>
    <w:rsid w:val="00661CF4"/>
    <w:rsid w:val="00662698"/>
    <w:rsid w:val="00662A3C"/>
    <w:rsid w:val="006630D2"/>
    <w:rsid w:val="006633B0"/>
    <w:rsid w:val="006636CC"/>
    <w:rsid w:val="006639B0"/>
    <w:rsid w:val="00665345"/>
    <w:rsid w:val="00665953"/>
    <w:rsid w:val="00665C71"/>
    <w:rsid w:val="00666EB3"/>
    <w:rsid w:val="00666FAA"/>
    <w:rsid w:val="00667776"/>
    <w:rsid w:val="006703C7"/>
    <w:rsid w:val="0067092B"/>
    <w:rsid w:val="00670FA6"/>
    <w:rsid w:val="006712DC"/>
    <w:rsid w:val="006714FD"/>
    <w:rsid w:val="00671B4B"/>
    <w:rsid w:val="00671C38"/>
    <w:rsid w:val="00671F80"/>
    <w:rsid w:val="00672167"/>
    <w:rsid w:val="00672204"/>
    <w:rsid w:val="0067228C"/>
    <w:rsid w:val="00672778"/>
    <w:rsid w:val="00674684"/>
    <w:rsid w:val="00674792"/>
    <w:rsid w:val="00675500"/>
    <w:rsid w:val="00675BF0"/>
    <w:rsid w:val="00675CC4"/>
    <w:rsid w:val="00676183"/>
    <w:rsid w:val="006762D0"/>
    <w:rsid w:val="00676A60"/>
    <w:rsid w:val="00676A9F"/>
    <w:rsid w:val="00676CB6"/>
    <w:rsid w:val="00677019"/>
    <w:rsid w:val="00680FD1"/>
    <w:rsid w:val="006812D1"/>
    <w:rsid w:val="00682A91"/>
    <w:rsid w:val="00682D4F"/>
    <w:rsid w:val="006832FA"/>
    <w:rsid w:val="00683424"/>
    <w:rsid w:val="006836EA"/>
    <w:rsid w:val="0068398D"/>
    <w:rsid w:val="00683C79"/>
    <w:rsid w:val="006843D7"/>
    <w:rsid w:val="00685019"/>
    <w:rsid w:val="006851E8"/>
    <w:rsid w:val="006854D1"/>
    <w:rsid w:val="006857DF"/>
    <w:rsid w:val="00685BF1"/>
    <w:rsid w:val="00685DD7"/>
    <w:rsid w:val="006868F4"/>
    <w:rsid w:val="00687443"/>
    <w:rsid w:val="006876B4"/>
    <w:rsid w:val="00687A13"/>
    <w:rsid w:val="00687B92"/>
    <w:rsid w:val="006900B6"/>
    <w:rsid w:val="0069041B"/>
    <w:rsid w:val="00690734"/>
    <w:rsid w:val="006924CE"/>
    <w:rsid w:val="006934DD"/>
    <w:rsid w:val="006935AD"/>
    <w:rsid w:val="00693D4C"/>
    <w:rsid w:val="0069413A"/>
    <w:rsid w:val="00694B5D"/>
    <w:rsid w:val="00694FE0"/>
    <w:rsid w:val="00695651"/>
    <w:rsid w:val="00695E64"/>
    <w:rsid w:val="00696106"/>
    <w:rsid w:val="00696280"/>
    <w:rsid w:val="006962B0"/>
    <w:rsid w:val="00696D66"/>
    <w:rsid w:val="006A00C6"/>
    <w:rsid w:val="006A0A93"/>
    <w:rsid w:val="006A0B7A"/>
    <w:rsid w:val="006A118C"/>
    <w:rsid w:val="006A12D2"/>
    <w:rsid w:val="006A1663"/>
    <w:rsid w:val="006A18AD"/>
    <w:rsid w:val="006A198F"/>
    <w:rsid w:val="006A2887"/>
    <w:rsid w:val="006A291A"/>
    <w:rsid w:val="006A2A9E"/>
    <w:rsid w:val="006A3380"/>
    <w:rsid w:val="006A3849"/>
    <w:rsid w:val="006A3BD5"/>
    <w:rsid w:val="006A3FA1"/>
    <w:rsid w:val="006A41B6"/>
    <w:rsid w:val="006A425A"/>
    <w:rsid w:val="006A59F4"/>
    <w:rsid w:val="006A5C68"/>
    <w:rsid w:val="006A602F"/>
    <w:rsid w:val="006A6147"/>
    <w:rsid w:val="006A65A8"/>
    <w:rsid w:val="006A6903"/>
    <w:rsid w:val="006A7007"/>
    <w:rsid w:val="006A767A"/>
    <w:rsid w:val="006B0224"/>
    <w:rsid w:val="006B08B7"/>
    <w:rsid w:val="006B188E"/>
    <w:rsid w:val="006B1BC5"/>
    <w:rsid w:val="006B1DF3"/>
    <w:rsid w:val="006B23E1"/>
    <w:rsid w:val="006B279F"/>
    <w:rsid w:val="006B2881"/>
    <w:rsid w:val="006B3147"/>
    <w:rsid w:val="006B358C"/>
    <w:rsid w:val="006B37AC"/>
    <w:rsid w:val="006B4AD5"/>
    <w:rsid w:val="006B5461"/>
    <w:rsid w:val="006B547A"/>
    <w:rsid w:val="006B55FB"/>
    <w:rsid w:val="006B5D97"/>
    <w:rsid w:val="006B60F1"/>
    <w:rsid w:val="006B6354"/>
    <w:rsid w:val="006B6784"/>
    <w:rsid w:val="006B7068"/>
    <w:rsid w:val="006B7084"/>
    <w:rsid w:val="006B7FAE"/>
    <w:rsid w:val="006C0DE9"/>
    <w:rsid w:val="006C1A98"/>
    <w:rsid w:val="006C1B85"/>
    <w:rsid w:val="006C203A"/>
    <w:rsid w:val="006C35E1"/>
    <w:rsid w:val="006C3976"/>
    <w:rsid w:val="006C3DEC"/>
    <w:rsid w:val="006C46A5"/>
    <w:rsid w:val="006C477C"/>
    <w:rsid w:val="006C4F87"/>
    <w:rsid w:val="006C5097"/>
    <w:rsid w:val="006C56FD"/>
    <w:rsid w:val="006C5AE8"/>
    <w:rsid w:val="006C683D"/>
    <w:rsid w:val="006C6947"/>
    <w:rsid w:val="006C6F1E"/>
    <w:rsid w:val="006C7998"/>
    <w:rsid w:val="006C79CC"/>
    <w:rsid w:val="006C7F96"/>
    <w:rsid w:val="006D0A49"/>
    <w:rsid w:val="006D1258"/>
    <w:rsid w:val="006D298E"/>
    <w:rsid w:val="006D338B"/>
    <w:rsid w:val="006D524D"/>
    <w:rsid w:val="006D5525"/>
    <w:rsid w:val="006D5998"/>
    <w:rsid w:val="006D5CFE"/>
    <w:rsid w:val="006D6547"/>
    <w:rsid w:val="006D6F62"/>
    <w:rsid w:val="006D767A"/>
    <w:rsid w:val="006E0420"/>
    <w:rsid w:val="006E0541"/>
    <w:rsid w:val="006E0C81"/>
    <w:rsid w:val="006E2ACD"/>
    <w:rsid w:val="006E2B7B"/>
    <w:rsid w:val="006E3146"/>
    <w:rsid w:val="006E31C2"/>
    <w:rsid w:val="006E3D65"/>
    <w:rsid w:val="006E4549"/>
    <w:rsid w:val="006E4803"/>
    <w:rsid w:val="006E4C0A"/>
    <w:rsid w:val="006E4F8D"/>
    <w:rsid w:val="006E546A"/>
    <w:rsid w:val="006E5FCF"/>
    <w:rsid w:val="006E6E15"/>
    <w:rsid w:val="006E6F26"/>
    <w:rsid w:val="006E77B9"/>
    <w:rsid w:val="006E7BA4"/>
    <w:rsid w:val="006E7D6F"/>
    <w:rsid w:val="006F0BD9"/>
    <w:rsid w:val="006F14FD"/>
    <w:rsid w:val="006F174F"/>
    <w:rsid w:val="006F19FD"/>
    <w:rsid w:val="006F1A09"/>
    <w:rsid w:val="006F2C71"/>
    <w:rsid w:val="006F30E3"/>
    <w:rsid w:val="006F36EC"/>
    <w:rsid w:val="006F4BF5"/>
    <w:rsid w:val="006F4D00"/>
    <w:rsid w:val="006F4D6D"/>
    <w:rsid w:val="006F558A"/>
    <w:rsid w:val="006F5740"/>
    <w:rsid w:val="006F645F"/>
    <w:rsid w:val="006F6720"/>
    <w:rsid w:val="006F6AC0"/>
    <w:rsid w:val="006F6FF8"/>
    <w:rsid w:val="006F7C96"/>
    <w:rsid w:val="00700A39"/>
    <w:rsid w:val="00700BC5"/>
    <w:rsid w:val="00700E77"/>
    <w:rsid w:val="00700EA0"/>
    <w:rsid w:val="00701171"/>
    <w:rsid w:val="0070160B"/>
    <w:rsid w:val="0070173D"/>
    <w:rsid w:val="00701FAF"/>
    <w:rsid w:val="0070210E"/>
    <w:rsid w:val="00702504"/>
    <w:rsid w:val="00702BDD"/>
    <w:rsid w:val="00702FE6"/>
    <w:rsid w:val="007030D9"/>
    <w:rsid w:val="00704380"/>
    <w:rsid w:val="007043A2"/>
    <w:rsid w:val="007044C3"/>
    <w:rsid w:val="00704B9F"/>
    <w:rsid w:val="00704C92"/>
    <w:rsid w:val="00704D7A"/>
    <w:rsid w:val="0070507D"/>
    <w:rsid w:val="0070595F"/>
    <w:rsid w:val="00705A64"/>
    <w:rsid w:val="007060E7"/>
    <w:rsid w:val="00706132"/>
    <w:rsid w:val="00706505"/>
    <w:rsid w:val="00706942"/>
    <w:rsid w:val="00706A4D"/>
    <w:rsid w:val="007075CF"/>
    <w:rsid w:val="00710397"/>
    <w:rsid w:val="007109AE"/>
    <w:rsid w:val="00711A60"/>
    <w:rsid w:val="00711EC4"/>
    <w:rsid w:val="007121F6"/>
    <w:rsid w:val="00712E40"/>
    <w:rsid w:val="00712FF7"/>
    <w:rsid w:val="00713259"/>
    <w:rsid w:val="00713782"/>
    <w:rsid w:val="007152BC"/>
    <w:rsid w:val="00715369"/>
    <w:rsid w:val="0071564C"/>
    <w:rsid w:val="007157CA"/>
    <w:rsid w:val="007157CE"/>
    <w:rsid w:val="00715898"/>
    <w:rsid w:val="00716732"/>
    <w:rsid w:val="00716A14"/>
    <w:rsid w:val="00716F42"/>
    <w:rsid w:val="007175BF"/>
    <w:rsid w:val="0071779B"/>
    <w:rsid w:val="00717C3B"/>
    <w:rsid w:val="00717CFD"/>
    <w:rsid w:val="00720498"/>
    <w:rsid w:val="007210B2"/>
    <w:rsid w:val="007215D5"/>
    <w:rsid w:val="00721FBE"/>
    <w:rsid w:val="007223D7"/>
    <w:rsid w:val="0072258C"/>
    <w:rsid w:val="007226B2"/>
    <w:rsid w:val="007226CA"/>
    <w:rsid w:val="00722839"/>
    <w:rsid w:val="00722857"/>
    <w:rsid w:val="00722A46"/>
    <w:rsid w:val="00722FB7"/>
    <w:rsid w:val="0072321E"/>
    <w:rsid w:val="007234D2"/>
    <w:rsid w:val="0072405A"/>
    <w:rsid w:val="00724422"/>
    <w:rsid w:val="00724732"/>
    <w:rsid w:val="00724E8E"/>
    <w:rsid w:val="00725F90"/>
    <w:rsid w:val="0072609E"/>
    <w:rsid w:val="00726412"/>
    <w:rsid w:val="00727657"/>
    <w:rsid w:val="007276AF"/>
    <w:rsid w:val="00727A82"/>
    <w:rsid w:val="00727E69"/>
    <w:rsid w:val="007300A3"/>
    <w:rsid w:val="007301F9"/>
    <w:rsid w:val="00730617"/>
    <w:rsid w:val="00731104"/>
    <w:rsid w:val="00731927"/>
    <w:rsid w:val="0073214D"/>
    <w:rsid w:val="00732871"/>
    <w:rsid w:val="00734579"/>
    <w:rsid w:val="0073524F"/>
    <w:rsid w:val="007357A1"/>
    <w:rsid w:val="00737778"/>
    <w:rsid w:val="00737BB3"/>
    <w:rsid w:val="00740859"/>
    <w:rsid w:val="00740B81"/>
    <w:rsid w:val="00742663"/>
    <w:rsid w:val="00742A14"/>
    <w:rsid w:val="00745DE3"/>
    <w:rsid w:val="00745FC0"/>
    <w:rsid w:val="0074675D"/>
    <w:rsid w:val="007468B1"/>
    <w:rsid w:val="0075055D"/>
    <w:rsid w:val="0075075E"/>
    <w:rsid w:val="00750E35"/>
    <w:rsid w:val="007512BC"/>
    <w:rsid w:val="00751480"/>
    <w:rsid w:val="0075185D"/>
    <w:rsid w:val="00751D5D"/>
    <w:rsid w:val="00751EB4"/>
    <w:rsid w:val="00752076"/>
    <w:rsid w:val="0075208E"/>
    <w:rsid w:val="007520E8"/>
    <w:rsid w:val="00752A5A"/>
    <w:rsid w:val="007535B9"/>
    <w:rsid w:val="00753F92"/>
    <w:rsid w:val="00754204"/>
    <w:rsid w:val="007547D3"/>
    <w:rsid w:val="0075494B"/>
    <w:rsid w:val="00755440"/>
    <w:rsid w:val="0075578B"/>
    <w:rsid w:val="00755A45"/>
    <w:rsid w:val="00756033"/>
    <w:rsid w:val="00756067"/>
    <w:rsid w:val="00756218"/>
    <w:rsid w:val="007567E4"/>
    <w:rsid w:val="0075700E"/>
    <w:rsid w:val="0075737D"/>
    <w:rsid w:val="007573B9"/>
    <w:rsid w:val="00757514"/>
    <w:rsid w:val="007575AF"/>
    <w:rsid w:val="007602A5"/>
    <w:rsid w:val="00760AE9"/>
    <w:rsid w:val="00760B5C"/>
    <w:rsid w:val="007619C3"/>
    <w:rsid w:val="00761B48"/>
    <w:rsid w:val="00761BE6"/>
    <w:rsid w:val="00761CD0"/>
    <w:rsid w:val="00761D2A"/>
    <w:rsid w:val="00762C82"/>
    <w:rsid w:val="0076313F"/>
    <w:rsid w:val="0076341C"/>
    <w:rsid w:val="007636F5"/>
    <w:rsid w:val="007644BF"/>
    <w:rsid w:val="007654B4"/>
    <w:rsid w:val="00766835"/>
    <w:rsid w:val="00766B71"/>
    <w:rsid w:val="00766BCA"/>
    <w:rsid w:val="00767036"/>
    <w:rsid w:val="00767284"/>
    <w:rsid w:val="00771BD0"/>
    <w:rsid w:val="00771CA7"/>
    <w:rsid w:val="0077234E"/>
    <w:rsid w:val="00772446"/>
    <w:rsid w:val="007737F7"/>
    <w:rsid w:val="00774056"/>
    <w:rsid w:val="007742D6"/>
    <w:rsid w:val="00774E5A"/>
    <w:rsid w:val="00775B59"/>
    <w:rsid w:val="00775F7B"/>
    <w:rsid w:val="00776641"/>
    <w:rsid w:val="00776694"/>
    <w:rsid w:val="00776FCC"/>
    <w:rsid w:val="00777E07"/>
    <w:rsid w:val="00780A0D"/>
    <w:rsid w:val="00781378"/>
    <w:rsid w:val="007813EE"/>
    <w:rsid w:val="007821A5"/>
    <w:rsid w:val="0078291B"/>
    <w:rsid w:val="00782D6F"/>
    <w:rsid w:val="00782FF7"/>
    <w:rsid w:val="00783164"/>
    <w:rsid w:val="00783D55"/>
    <w:rsid w:val="00784E08"/>
    <w:rsid w:val="00784F9F"/>
    <w:rsid w:val="00785291"/>
    <w:rsid w:val="00785703"/>
    <w:rsid w:val="00785AE6"/>
    <w:rsid w:val="00785B31"/>
    <w:rsid w:val="00785B7A"/>
    <w:rsid w:val="00786409"/>
    <w:rsid w:val="00786485"/>
    <w:rsid w:val="007865A2"/>
    <w:rsid w:val="00786B95"/>
    <w:rsid w:val="00786D79"/>
    <w:rsid w:val="007907D5"/>
    <w:rsid w:val="007911F2"/>
    <w:rsid w:val="007914A6"/>
    <w:rsid w:val="00791924"/>
    <w:rsid w:val="007919A9"/>
    <w:rsid w:val="00792388"/>
    <w:rsid w:val="00793768"/>
    <w:rsid w:val="00793DAA"/>
    <w:rsid w:val="00794247"/>
    <w:rsid w:val="007946DC"/>
    <w:rsid w:val="00794ADA"/>
    <w:rsid w:val="007952C5"/>
    <w:rsid w:val="00795C06"/>
    <w:rsid w:val="00795C3C"/>
    <w:rsid w:val="00796189"/>
    <w:rsid w:val="0079627A"/>
    <w:rsid w:val="00796624"/>
    <w:rsid w:val="0079662E"/>
    <w:rsid w:val="0079690B"/>
    <w:rsid w:val="00796F1C"/>
    <w:rsid w:val="00797227"/>
    <w:rsid w:val="00797A86"/>
    <w:rsid w:val="007A0EBD"/>
    <w:rsid w:val="007A0F24"/>
    <w:rsid w:val="007A0FC5"/>
    <w:rsid w:val="007A117D"/>
    <w:rsid w:val="007A18CD"/>
    <w:rsid w:val="007A24B2"/>
    <w:rsid w:val="007A267B"/>
    <w:rsid w:val="007A2A88"/>
    <w:rsid w:val="007A3640"/>
    <w:rsid w:val="007A394D"/>
    <w:rsid w:val="007A3B2F"/>
    <w:rsid w:val="007A41D2"/>
    <w:rsid w:val="007A4F90"/>
    <w:rsid w:val="007A5364"/>
    <w:rsid w:val="007A54E5"/>
    <w:rsid w:val="007A56DE"/>
    <w:rsid w:val="007A59A9"/>
    <w:rsid w:val="007A5D86"/>
    <w:rsid w:val="007A6D19"/>
    <w:rsid w:val="007A71EE"/>
    <w:rsid w:val="007A78B3"/>
    <w:rsid w:val="007A799C"/>
    <w:rsid w:val="007B00C8"/>
    <w:rsid w:val="007B0192"/>
    <w:rsid w:val="007B01CB"/>
    <w:rsid w:val="007B0215"/>
    <w:rsid w:val="007B0F36"/>
    <w:rsid w:val="007B11A3"/>
    <w:rsid w:val="007B1259"/>
    <w:rsid w:val="007B13EC"/>
    <w:rsid w:val="007B1BDC"/>
    <w:rsid w:val="007B1BFC"/>
    <w:rsid w:val="007B20C3"/>
    <w:rsid w:val="007B2965"/>
    <w:rsid w:val="007B2985"/>
    <w:rsid w:val="007B29B5"/>
    <w:rsid w:val="007B2BB0"/>
    <w:rsid w:val="007B2CD7"/>
    <w:rsid w:val="007B3697"/>
    <w:rsid w:val="007B40F7"/>
    <w:rsid w:val="007B4648"/>
    <w:rsid w:val="007B477C"/>
    <w:rsid w:val="007B54EB"/>
    <w:rsid w:val="007B57FB"/>
    <w:rsid w:val="007B58B3"/>
    <w:rsid w:val="007B5D94"/>
    <w:rsid w:val="007B76B3"/>
    <w:rsid w:val="007B7732"/>
    <w:rsid w:val="007B7B63"/>
    <w:rsid w:val="007B7FF0"/>
    <w:rsid w:val="007C03C1"/>
    <w:rsid w:val="007C061E"/>
    <w:rsid w:val="007C0679"/>
    <w:rsid w:val="007C0E5D"/>
    <w:rsid w:val="007C12D3"/>
    <w:rsid w:val="007C1987"/>
    <w:rsid w:val="007C25E6"/>
    <w:rsid w:val="007C2838"/>
    <w:rsid w:val="007C3DA8"/>
    <w:rsid w:val="007C43B0"/>
    <w:rsid w:val="007C445A"/>
    <w:rsid w:val="007C4950"/>
    <w:rsid w:val="007C49C9"/>
    <w:rsid w:val="007C4F0E"/>
    <w:rsid w:val="007C564A"/>
    <w:rsid w:val="007C566E"/>
    <w:rsid w:val="007C5A8A"/>
    <w:rsid w:val="007C607B"/>
    <w:rsid w:val="007C6186"/>
    <w:rsid w:val="007C632A"/>
    <w:rsid w:val="007C6370"/>
    <w:rsid w:val="007C7CC7"/>
    <w:rsid w:val="007C7D55"/>
    <w:rsid w:val="007D00B9"/>
    <w:rsid w:val="007D014F"/>
    <w:rsid w:val="007D0847"/>
    <w:rsid w:val="007D1787"/>
    <w:rsid w:val="007D19A5"/>
    <w:rsid w:val="007D1AD3"/>
    <w:rsid w:val="007D1CB9"/>
    <w:rsid w:val="007D21CD"/>
    <w:rsid w:val="007D2B76"/>
    <w:rsid w:val="007D2C89"/>
    <w:rsid w:val="007D2F62"/>
    <w:rsid w:val="007D3B12"/>
    <w:rsid w:val="007D4A5B"/>
    <w:rsid w:val="007D52E3"/>
    <w:rsid w:val="007D5480"/>
    <w:rsid w:val="007D58D5"/>
    <w:rsid w:val="007D75E8"/>
    <w:rsid w:val="007D768F"/>
    <w:rsid w:val="007D7E40"/>
    <w:rsid w:val="007E1BA1"/>
    <w:rsid w:val="007E23CE"/>
    <w:rsid w:val="007E24B5"/>
    <w:rsid w:val="007E2E17"/>
    <w:rsid w:val="007E3D1F"/>
    <w:rsid w:val="007E3DCC"/>
    <w:rsid w:val="007E42E0"/>
    <w:rsid w:val="007E461B"/>
    <w:rsid w:val="007E519D"/>
    <w:rsid w:val="007E52C9"/>
    <w:rsid w:val="007E5716"/>
    <w:rsid w:val="007E5C53"/>
    <w:rsid w:val="007E5DEB"/>
    <w:rsid w:val="007E5EF4"/>
    <w:rsid w:val="007E635F"/>
    <w:rsid w:val="007E69C6"/>
    <w:rsid w:val="007E6D92"/>
    <w:rsid w:val="007E7AC9"/>
    <w:rsid w:val="007F0442"/>
    <w:rsid w:val="007F0459"/>
    <w:rsid w:val="007F1131"/>
    <w:rsid w:val="007F1557"/>
    <w:rsid w:val="007F2236"/>
    <w:rsid w:val="007F294A"/>
    <w:rsid w:val="007F2F86"/>
    <w:rsid w:val="007F30C3"/>
    <w:rsid w:val="007F3761"/>
    <w:rsid w:val="007F3897"/>
    <w:rsid w:val="007F3BDE"/>
    <w:rsid w:val="007F3FA9"/>
    <w:rsid w:val="007F411E"/>
    <w:rsid w:val="007F4659"/>
    <w:rsid w:val="007F49A1"/>
    <w:rsid w:val="007F49FC"/>
    <w:rsid w:val="007F4BE2"/>
    <w:rsid w:val="007F4EFF"/>
    <w:rsid w:val="007F54E3"/>
    <w:rsid w:val="007F6882"/>
    <w:rsid w:val="007F7027"/>
    <w:rsid w:val="007F7744"/>
    <w:rsid w:val="007F7AF7"/>
    <w:rsid w:val="007F7E75"/>
    <w:rsid w:val="0080055A"/>
    <w:rsid w:val="0080076B"/>
    <w:rsid w:val="008010E6"/>
    <w:rsid w:val="0080190C"/>
    <w:rsid w:val="00801AF3"/>
    <w:rsid w:val="00801B66"/>
    <w:rsid w:val="00802B26"/>
    <w:rsid w:val="00803C15"/>
    <w:rsid w:val="008052FA"/>
    <w:rsid w:val="008068FF"/>
    <w:rsid w:val="00806A51"/>
    <w:rsid w:val="00806C27"/>
    <w:rsid w:val="00807246"/>
    <w:rsid w:val="00807B2C"/>
    <w:rsid w:val="00807C4E"/>
    <w:rsid w:val="00807DF6"/>
    <w:rsid w:val="00810B88"/>
    <w:rsid w:val="008116F0"/>
    <w:rsid w:val="0081170D"/>
    <w:rsid w:val="008117E1"/>
    <w:rsid w:val="00811FD7"/>
    <w:rsid w:val="00813861"/>
    <w:rsid w:val="00814A5C"/>
    <w:rsid w:val="00814BCD"/>
    <w:rsid w:val="0081577B"/>
    <w:rsid w:val="00815A92"/>
    <w:rsid w:val="008160EC"/>
    <w:rsid w:val="00816526"/>
    <w:rsid w:val="00817ABC"/>
    <w:rsid w:val="00820154"/>
    <w:rsid w:val="00820391"/>
    <w:rsid w:val="00820490"/>
    <w:rsid w:val="00821553"/>
    <w:rsid w:val="00821F2F"/>
    <w:rsid w:val="008232C4"/>
    <w:rsid w:val="00824C62"/>
    <w:rsid w:val="00825141"/>
    <w:rsid w:val="00825EEB"/>
    <w:rsid w:val="00826B9F"/>
    <w:rsid w:val="008274A0"/>
    <w:rsid w:val="00827AAA"/>
    <w:rsid w:val="00827CA3"/>
    <w:rsid w:val="00830475"/>
    <w:rsid w:val="008306E9"/>
    <w:rsid w:val="00830C7E"/>
    <w:rsid w:val="00831192"/>
    <w:rsid w:val="00831B9B"/>
    <w:rsid w:val="00831E35"/>
    <w:rsid w:val="00831E62"/>
    <w:rsid w:val="0083218B"/>
    <w:rsid w:val="00832BA0"/>
    <w:rsid w:val="00833D1A"/>
    <w:rsid w:val="00833F0A"/>
    <w:rsid w:val="008343C2"/>
    <w:rsid w:val="00834743"/>
    <w:rsid w:val="008347D4"/>
    <w:rsid w:val="0083575E"/>
    <w:rsid w:val="00836862"/>
    <w:rsid w:val="00836CB7"/>
    <w:rsid w:val="00837027"/>
    <w:rsid w:val="00837C5B"/>
    <w:rsid w:val="0084054B"/>
    <w:rsid w:val="00841201"/>
    <w:rsid w:val="008416C3"/>
    <w:rsid w:val="00842D8B"/>
    <w:rsid w:val="008438CA"/>
    <w:rsid w:val="00843A0A"/>
    <w:rsid w:val="00843A1A"/>
    <w:rsid w:val="00843BD0"/>
    <w:rsid w:val="0084429C"/>
    <w:rsid w:val="00844420"/>
    <w:rsid w:val="0084504E"/>
    <w:rsid w:val="00845850"/>
    <w:rsid w:val="00845B0F"/>
    <w:rsid w:val="00846A83"/>
    <w:rsid w:val="00846DD1"/>
    <w:rsid w:val="00846F5B"/>
    <w:rsid w:val="00847A3E"/>
    <w:rsid w:val="00850B50"/>
    <w:rsid w:val="0085162C"/>
    <w:rsid w:val="00851670"/>
    <w:rsid w:val="00852185"/>
    <w:rsid w:val="00852715"/>
    <w:rsid w:val="00852ABF"/>
    <w:rsid w:val="00853903"/>
    <w:rsid w:val="00853AD6"/>
    <w:rsid w:val="00853DEC"/>
    <w:rsid w:val="00853EAB"/>
    <w:rsid w:val="00854925"/>
    <w:rsid w:val="00855449"/>
    <w:rsid w:val="008556AB"/>
    <w:rsid w:val="008557C7"/>
    <w:rsid w:val="00856591"/>
    <w:rsid w:val="008566D9"/>
    <w:rsid w:val="00857871"/>
    <w:rsid w:val="00857DC2"/>
    <w:rsid w:val="0086005C"/>
    <w:rsid w:val="00860526"/>
    <w:rsid w:val="00860D0A"/>
    <w:rsid w:val="00860E6B"/>
    <w:rsid w:val="00861B18"/>
    <w:rsid w:val="00861CDD"/>
    <w:rsid w:val="00861F0A"/>
    <w:rsid w:val="008621F5"/>
    <w:rsid w:val="0086229B"/>
    <w:rsid w:val="00862C5F"/>
    <w:rsid w:val="00862EDD"/>
    <w:rsid w:val="00863355"/>
    <w:rsid w:val="00863FA8"/>
    <w:rsid w:val="0086446C"/>
    <w:rsid w:val="008649F4"/>
    <w:rsid w:val="00865175"/>
    <w:rsid w:val="008652F3"/>
    <w:rsid w:val="00865427"/>
    <w:rsid w:val="00865564"/>
    <w:rsid w:val="008656B0"/>
    <w:rsid w:val="008657DA"/>
    <w:rsid w:val="00865A1B"/>
    <w:rsid w:val="00865C03"/>
    <w:rsid w:val="00867541"/>
    <w:rsid w:val="0086796B"/>
    <w:rsid w:val="008713C2"/>
    <w:rsid w:val="0087171E"/>
    <w:rsid w:val="00871A59"/>
    <w:rsid w:val="008740FA"/>
    <w:rsid w:val="008747D9"/>
    <w:rsid w:val="0087499B"/>
    <w:rsid w:val="008750E3"/>
    <w:rsid w:val="00876070"/>
    <w:rsid w:val="00876835"/>
    <w:rsid w:val="00876E8A"/>
    <w:rsid w:val="00876EF6"/>
    <w:rsid w:val="008772F0"/>
    <w:rsid w:val="0087754B"/>
    <w:rsid w:val="00877633"/>
    <w:rsid w:val="008779A9"/>
    <w:rsid w:val="00877A8A"/>
    <w:rsid w:val="00877BFA"/>
    <w:rsid w:val="00877FEE"/>
    <w:rsid w:val="00880B97"/>
    <w:rsid w:val="00881548"/>
    <w:rsid w:val="008815BA"/>
    <w:rsid w:val="008821E8"/>
    <w:rsid w:val="008828FB"/>
    <w:rsid w:val="008835B0"/>
    <w:rsid w:val="008835C1"/>
    <w:rsid w:val="00884C32"/>
    <w:rsid w:val="0088527A"/>
    <w:rsid w:val="00885CC8"/>
    <w:rsid w:val="00887509"/>
    <w:rsid w:val="00887A65"/>
    <w:rsid w:val="00887EDB"/>
    <w:rsid w:val="008907C4"/>
    <w:rsid w:val="00891421"/>
    <w:rsid w:val="0089159F"/>
    <w:rsid w:val="008917DF"/>
    <w:rsid w:val="0089240C"/>
    <w:rsid w:val="0089273A"/>
    <w:rsid w:val="00892B60"/>
    <w:rsid w:val="00892C9A"/>
    <w:rsid w:val="00892FAC"/>
    <w:rsid w:val="00893A29"/>
    <w:rsid w:val="0089488B"/>
    <w:rsid w:val="008949E7"/>
    <w:rsid w:val="00894D1E"/>
    <w:rsid w:val="00894F28"/>
    <w:rsid w:val="008951CD"/>
    <w:rsid w:val="00896B36"/>
    <w:rsid w:val="00896E3D"/>
    <w:rsid w:val="00897217"/>
    <w:rsid w:val="00897381"/>
    <w:rsid w:val="008974B6"/>
    <w:rsid w:val="00897659"/>
    <w:rsid w:val="00897A36"/>
    <w:rsid w:val="00897A77"/>
    <w:rsid w:val="008A0272"/>
    <w:rsid w:val="008A030D"/>
    <w:rsid w:val="008A0B4E"/>
    <w:rsid w:val="008A1193"/>
    <w:rsid w:val="008A2704"/>
    <w:rsid w:val="008A28B8"/>
    <w:rsid w:val="008A2E7F"/>
    <w:rsid w:val="008A30A7"/>
    <w:rsid w:val="008A31EC"/>
    <w:rsid w:val="008A376B"/>
    <w:rsid w:val="008A3891"/>
    <w:rsid w:val="008A47D4"/>
    <w:rsid w:val="008A4E41"/>
    <w:rsid w:val="008A4EF4"/>
    <w:rsid w:val="008A5232"/>
    <w:rsid w:val="008A559D"/>
    <w:rsid w:val="008A590A"/>
    <w:rsid w:val="008A6093"/>
    <w:rsid w:val="008A640E"/>
    <w:rsid w:val="008A72B7"/>
    <w:rsid w:val="008A74B2"/>
    <w:rsid w:val="008A75C2"/>
    <w:rsid w:val="008A7739"/>
    <w:rsid w:val="008A7834"/>
    <w:rsid w:val="008A78B1"/>
    <w:rsid w:val="008A7B11"/>
    <w:rsid w:val="008B12E2"/>
    <w:rsid w:val="008B1DEB"/>
    <w:rsid w:val="008B1F19"/>
    <w:rsid w:val="008B2740"/>
    <w:rsid w:val="008B2D99"/>
    <w:rsid w:val="008B31CF"/>
    <w:rsid w:val="008B39FA"/>
    <w:rsid w:val="008B3E61"/>
    <w:rsid w:val="008B453F"/>
    <w:rsid w:val="008B458A"/>
    <w:rsid w:val="008B4E9A"/>
    <w:rsid w:val="008B5406"/>
    <w:rsid w:val="008B572C"/>
    <w:rsid w:val="008B605B"/>
    <w:rsid w:val="008B65B3"/>
    <w:rsid w:val="008B6CA4"/>
    <w:rsid w:val="008B6CDC"/>
    <w:rsid w:val="008B71AE"/>
    <w:rsid w:val="008B7B6B"/>
    <w:rsid w:val="008B7C2C"/>
    <w:rsid w:val="008C0742"/>
    <w:rsid w:val="008C1CC1"/>
    <w:rsid w:val="008C2F6F"/>
    <w:rsid w:val="008C3245"/>
    <w:rsid w:val="008C424C"/>
    <w:rsid w:val="008C432A"/>
    <w:rsid w:val="008C4E24"/>
    <w:rsid w:val="008C5117"/>
    <w:rsid w:val="008C5EDB"/>
    <w:rsid w:val="008C6404"/>
    <w:rsid w:val="008C6C28"/>
    <w:rsid w:val="008C6ECA"/>
    <w:rsid w:val="008C7462"/>
    <w:rsid w:val="008C76EE"/>
    <w:rsid w:val="008C7B20"/>
    <w:rsid w:val="008C7C21"/>
    <w:rsid w:val="008C7CAB"/>
    <w:rsid w:val="008C7E42"/>
    <w:rsid w:val="008D0317"/>
    <w:rsid w:val="008D0394"/>
    <w:rsid w:val="008D092E"/>
    <w:rsid w:val="008D0E52"/>
    <w:rsid w:val="008D0FC3"/>
    <w:rsid w:val="008D15C1"/>
    <w:rsid w:val="008D24D1"/>
    <w:rsid w:val="008D3DDF"/>
    <w:rsid w:val="008D3E06"/>
    <w:rsid w:val="008D4BD5"/>
    <w:rsid w:val="008D52ED"/>
    <w:rsid w:val="008D532D"/>
    <w:rsid w:val="008D5823"/>
    <w:rsid w:val="008D5FF9"/>
    <w:rsid w:val="008D6387"/>
    <w:rsid w:val="008E00A6"/>
    <w:rsid w:val="008E0106"/>
    <w:rsid w:val="008E0165"/>
    <w:rsid w:val="008E02D2"/>
    <w:rsid w:val="008E05C2"/>
    <w:rsid w:val="008E1070"/>
    <w:rsid w:val="008E13A7"/>
    <w:rsid w:val="008E1AC3"/>
    <w:rsid w:val="008E1BC3"/>
    <w:rsid w:val="008E22A7"/>
    <w:rsid w:val="008E24CB"/>
    <w:rsid w:val="008E27C8"/>
    <w:rsid w:val="008E2A45"/>
    <w:rsid w:val="008E2BC8"/>
    <w:rsid w:val="008E2D6E"/>
    <w:rsid w:val="008E359A"/>
    <w:rsid w:val="008E3A2F"/>
    <w:rsid w:val="008E3B6C"/>
    <w:rsid w:val="008E3E7A"/>
    <w:rsid w:val="008E3EDD"/>
    <w:rsid w:val="008E41D0"/>
    <w:rsid w:val="008E426A"/>
    <w:rsid w:val="008E460B"/>
    <w:rsid w:val="008E4B44"/>
    <w:rsid w:val="008E4CD4"/>
    <w:rsid w:val="008E4D8A"/>
    <w:rsid w:val="008E5170"/>
    <w:rsid w:val="008E5956"/>
    <w:rsid w:val="008E5D64"/>
    <w:rsid w:val="008E5FC9"/>
    <w:rsid w:val="008E6254"/>
    <w:rsid w:val="008E65B3"/>
    <w:rsid w:val="008E7D72"/>
    <w:rsid w:val="008F012A"/>
    <w:rsid w:val="008F0257"/>
    <w:rsid w:val="008F0B83"/>
    <w:rsid w:val="008F0CB5"/>
    <w:rsid w:val="008F105A"/>
    <w:rsid w:val="008F13F3"/>
    <w:rsid w:val="008F1448"/>
    <w:rsid w:val="008F193A"/>
    <w:rsid w:val="008F29FA"/>
    <w:rsid w:val="008F34D8"/>
    <w:rsid w:val="008F5722"/>
    <w:rsid w:val="008F5917"/>
    <w:rsid w:val="008F5C75"/>
    <w:rsid w:val="008F606D"/>
    <w:rsid w:val="008F6CAC"/>
    <w:rsid w:val="008F7016"/>
    <w:rsid w:val="008F76FA"/>
    <w:rsid w:val="008F7A1D"/>
    <w:rsid w:val="0090028D"/>
    <w:rsid w:val="00900ADF"/>
    <w:rsid w:val="00901915"/>
    <w:rsid w:val="00901BBD"/>
    <w:rsid w:val="00902333"/>
    <w:rsid w:val="00902A44"/>
    <w:rsid w:val="0090473C"/>
    <w:rsid w:val="00904FC7"/>
    <w:rsid w:val="0090507C"/>
    <w:rsid w:val="00905B17"/>
    <w:rsid w:val="0091034F"/>
    <w:rsid w:val="0091108D"/>
    <w:rsid w:val="009119BF"/>
    <w:rsid w:val="00911CF4"/>
    <w:rsid w:val="00912101"/>
    <w:rsid w:val="00912BBB"/>
    <w:rsid w:val="0091301A"/>
    <w:rsid w:val="009133E6"/>
    <w:rsid w:val="0091364B"/>
    <w:rsid w:val="00913775"/>
    <w:rsid w:val="00913783"/>
    <w:rsid w:val="00913A86"/>
    <w:rsid w:val="00913BCB"/>
    <w:rsid w:val="00913C54"/>
    <w:rsid w:val="0091486F"/>
    <w:rsid w:val="00915BC9"/>
    <w:rsid w:val="00915FF7"/>
    <w:rsid w:val="00916947"/>
    <w:rsid w:val="00916C3B"/>
    <w:rsid w:val="00916EB5"/>
    <w:rsid w:val="009205FD"/>
    <w:rsid w:val="00920632"/>
    <w:rsid w:val="00920C51"/>
    <w:rsid w:val="009215DF"/>
    <w:rsid w:val="00921F2F"/>
    <w:rsid w:val="009221A9"/>
    <w:rsid w:val="00922977"/>
    <w:rsid w:val="0092342D"/>
    <w:rsid w:val="009237EB"/>
    <w:rsid w:val="0092395E"/>
    <w:rsid w:val="009267E2"/>
    <w:rsid w:val="00926CD0"/>
    <w:rsid w:val="0092794C"/>
    <w:rsid w:val="00930BAD"/>
    <w:rsid w:val="00930CEE"/>
    <w:rsid w:val="0093125A"/>
    <w:rsid w:val="00931699"/>
    <w:rsid w:val="00931E36"/>
    <w:rsid w:val="00932686"/>
    <w:rsid w:val="00933022"/>
    <w:rsid w:val="0093354E"/>
    <w:rsid w:val="00934267"/>
    <w:rsid w:val="009345F8"/>
    <w:rsid w:val="00934693"/>
    <w:rsid w:val="009362BD"/>
    <w:rsid w:val="00936B57"/>
    <w:rsid w:val="00936E47"/>
    <w:rsid w:val="00937584"/>
    <w:rsid w:val="009375F6"/>
    <w:rsid w:val="0093774C"/>
    <w:rsid w:val="00937C83"/>
    <w:rsid w:val="00937F9E"/>
    <w:rsid w:val="0094015E"/>
    <w:rsid w:val="00940612"/>
    <w:rsid w:val="00940739"/>
    <w:rsid w:val="00940AA4"/>
    <w:rsid w:val="00940D34"/>
    <w:rsid w:val="00942FDC"/>
    <w:rsid w:val="00944391"/>
    <w:rsid w:val="00944F95"/>
    <w:rsid w:val="009450DE"/>
    <w:rsid w:val="009452E2"/>
    <w:rsid w:val="00945E52"/>
    <w:rsid w:val="00946A1C"/>
    <w:rsid w:val="00950344"/>
    <w:rsid w:val="009508D2"/>
    <w:rsid w:val="00950B8E"/>
    <w:rsid w:val="00950C5A"/>
    <w:rsid w:val="0095158F"/>
    <w:rsid w:val="009517D5"/>
    <w:rsid w:val="00951D51"/>
    <w:rsid w:val="00952044"/>
    <w:rsid w:val="009528CE"/>
    <w:rsid w:val="00952E8E"/>
    <w:rsid w:val="00952FD5"/>
    <w:rsid w:val="00953503"/>
    <w:rsid w:val="00954240"/>
    <w:rsid w:val="009553C3"/>
    <w:rsid w:val="0095635F"/>
    <w:rsid w:val="00956768"/>
    <w:rsid w:val="009569AE"/>
    <w:rsid w:val="00957B3E"/>
    <w:rsid w:val="00957E0D"/>
    <w:rsid w:val="00961B2C"/>
    <w:rsid w:val="00962BF6"/>
    <w:rsid w:val="009641AA"/>
    <w:rsid w:val="009649E7"/>
    <w:rsid w:val="0096506B"/>
    <w:rsid w:val="00966187"/>
    <w:rsid w:val="009662EC"/>
    <w:rsid w:val="009667D3"/>
    <w:rsid w:val="00970EB2"/>
    <w:rsid w:val="00970F79"/>
    <w:rsid w:val="0097124F"/>
    <w:rsid w:val="009715C5"/>
    <w:rsid w:val="009717B8"/>
    <w:rsid w:val="0097283A"/>
    <w:rsid w:val="00972965"/>
    <w:rsid w:val="00972C34"/>
    <w:rsid w:val="009730B4"/>
    <w:rsid w:val="009730F6"/>
    <w:rsid w:val="00973464"/>
    <w:rsid w:val="0097356C"/>
    <w:rsid w:val="009737A2"/>
    <w:rsid w:val="00973AD1"/>
    <w:rsid w:val="00973FE5"/>
    <w:rsid w:val="00974375"/>
    <w:rsid w:val="0097518B"/>
    <w:rsid w:val="009759BE"/>
    <w:rsid w:val="00975F7C"/>
    <w:rsid w:val="00977310"/>
    <w:rsid w:val="00977DAF"/>
    <w:rsid w:val="00977FDD"/>
    <w:rsid w:val="00980047"/>
    <w:rsid w:val="00980FE4"/>
    <w:rsid w:val="00981380"/>
    <w:rsid w:val="00982048"/>
    <w:rsid w:val="00982651"/>
    <w:rsid w:val="00982D47"/>
    <w:rsid w:val="00982E48"/>
    <w:rsid w:val="00983744"/>
    <w:rsid w:val="009838D8"/>
    <w:rsid w:val="009838E4"/>
    <w:rsid w:val="00983FF5"/>
    <w:rsid w:val="00984964"/>
    <w:rsid w:val="009855CE"/>
    <w:rsid w:val="00986016"/>
    <w:rsid w:val="00986915"/>
    <w:rsid w:val="00986CF5"/>
    <w:rsid w:val="00986D2E"/>
    <w:rsid w:val="009871CB"/>
    <w:rsid w:val="0098730B"/>
    <w:rsid w:val="00987329"/>
    <w:rsid w:val="00987DEF"/>
    <w:rsid w:val="00987FB1"/>
    <w:rsid w:val="00990385"/>
    <w:rsid w:val="00990397"/>
    <w:rsid w:val="00990B15"/>
    <w:rsid w:val="00990F43"/>
    <w:rsid w:val="00992467"/>
    <w:rsid w:val="00992845"/>
    <w:rsid w:val="00993377"/>
    <w:rsid w:val="00993771"/>
    <w:rsid w:val="00993BAF"/>
    <w:rsid w:val="00993DFA"/>
    <w:rsid w:val="00993F0D"/>
    <w:rsid w:val="00994951"/>
    <w:rsid w:val="009950F8"/>
    <w:rsid w:val="0099531D"/>
    <w:rsid w:val="00995330"/>
    <w:rsid w:val="009953A6"/>
    <w:rsid w:val="00996797"/>
    <w:rsid w:val="00997046"/>
    <w:rsid w:val="00997389"/>
    <w:rsid w:val="009978A6"/>
    <w:rsid w:val="009A093E"/>
    <w:rsid w:val="009A0B75"/>
    <w:rsid w:val="009A0DE1"/>
    <w:rsid w:val="009A1024"/>
    <w:rsid w:val="009A18DB"/>
    <w:rsid w:val="009A1A62"/>
    <w:rsid w:val="009A1AAF"/>
    <w:rsid w:val="009A1EB5"/>
    <w:rsid w:val="009A1F92"/>
    <w:rsid w:val="009A237F"/>
    <w:rsid w:val="009A2A58"/>
    <w:rsid w:val="009A2D1E"/>
    <w:rsid w:val="009A3106"/>
    <w:rsid w:val="009A35C6"/>
    <w:rsid w:val="009A36EB"/>
    <w:rsid w:val="009A36FE"/>
    <w:rsid w:val="009A3B2C"/>
    <w:rsid w:val="009A3C35"/>
    <w:rsid w:val="009A3C9B"/>
    <w:rsid w:val="009A4356"/>
    <w:rsid w:val="009A43DA"/>
    <w:rsid w:val="009A46B5"/>
    <w:rsid w:val="009A4976"/>
    <w:rsid w:val="009A4AC8"/>
    <w:rsid w:val="009A51A1"/>
    <w:rsid w:val="009A676D"/>
    <w:rsid w:val="009A6E5D"/>
    <w:rsid w:val="009A703F"/>
    <w:rsid w:val="009A75F4"/>
    <w:rsid w:val="009A7818"/>
    <w:rsid w:val="009A7B4F"/>
    <w:rsid w:val="009B0DAC"/>
    <w:rsid w:val="009B23CA"/>
    <w:rsid w:val="009B25B9"/>
    <w:rsid w:val="009B2F1F"/>
    <w:rsid w:val="009B3A9E"/>
    <w:rsid w:val="009B45DF"/>
    <w:rsid w:val="009B4A02"/>
    <w:rsid w:val="009B4E50"/>
    <w:rsid w:val="009B6578"/>
    <w:rsid w:val="009B7666"/>
    <w:rsid w:val="009B778F"/>
    <w:rsid w:val="009B7895"/>
    <w:rsid w:val="009C0C10"/>
    <w:rsid w:val="009C0C30"/>
    <w:rsid w:val="009C101A"/>
    <w:rsid w:val="009C1272"/>
    <w:rsid w:val="009C1328"/>
    <w:rsid w:val="009C1A4B"/>
    <w:rsid w:val="009C1AF9"/>
    <w:rsid w:val="009C2629"/>
    <w:rsid w:val="009C2F53"/>
    <w:rsid w:val="009C3450"/>
    <w:rsid w:val="009C388D"/>
    <w:rsid w:val="009C3CEB"/>
    <w:rsid w:val="009C466B"/>
    <w:rsid w:val="009C4DFD"/>
    <w:rsid w:val="009C5342"/>
    <w:rsid w:val="009C5582"/>
    <w:rsid w:val="009C5C8A"/>
    <w:rsid w:val="009C6066"/>
    <w:rsid w:val="009C6516"/>
    <w:rsid w:val="009C6A19"/>
    <w:rsid w:val="009C6F2C"/>
    <w:rsid w:val="009C769C"/>
    <w:rsid w:val="009C7D29"/>
    <w:rsid w:val="009D02BB"/>
    <w:rsid w:val="009D03D6"/>
    <w:rsid w:val="009D0B2E"/>
    <w:rsid w:val="009D14C3"/>
    <w:rsid w:val="009D1C43"/>
    <w:rsid w:val="009D1D4D"/>
    <w:rsid w:val="009D3804"/>
    <w:rsid w:val="009D3A10"/>
    <w:rsid w:val="009D4104"/>
    <w:rsid w:val="009D45C1"/>
    <w:rsid w:val="009D4843"/>
    <w:rsid w:val="009D527A"/>
    <w:rsid w:val="009D5300"/>
    <w:rsid w:val="009D5480"/>
    <w:rsid w:val="009D608C"/>
    <w:rsid w:val="009D6324"/>
    <w:rsid w:val="009D63DA"/>
    <w:rsid w:val="009D6531"/>
    <w:rsid w:val="009D6647"/>
    <w:rsid w:val="009D6AC4"/>
    <w:rsid w:val="009D7696"/>
    <w:rsid w:val="009D7E88"/>
    <w:rsid w:val="009E00E7"/>
    <w:rsid w:val="009E00ED"/>
    <w:rsid w:val="009E03A8"/>
    <w:rsid w:val="009E0479"/>
    <w:rsid w:val="009E096B"/>
    <w:rsid w:val="009E098A"/>
    <w:rsid w:val="009E0EE6"/>
    <w:rsid w:val="009E110D"/>
    <w:rsid w:val="009E1666"/>
    <w:rsid w:val="009E17F0"/>
    <w:rsid w:val="009E1AEB"/>
    <w:rsid w:val="009E1CC4"/>
    <w:rsid w:val="009E1EC9"/>
    <w:rsid w:val="009E25E6"/>
    <w:rsid w:val="009E2BFF"/>
    <w:rsid w:val="009E2FBA"/>
    <w:rsid w:val="009E5291"/>
    <w:rsid w:val="009E5741"/>
    <w:rsid w:val="009E5D10"/>
    <w:rsid w:val="009E5DCC"/>
    <w:rsid w:val="009E63A8"/>
    <w:rsid w:val="009E64D2"/>
    <w:rsid w:val="009E6C28"/>
    <w:rsid w:val="009E702E"/>
    <w:rsid w:val="009F0117"/>
    <w:rsid w:val="009F0320"/>
    <w:rsid w:val="009F08A2"/>
    <w:rsid w:val="009F0EDD"/>
    <w:rsid w:val="009F129C"/>
    <w:rsid w:val="009F3991"/>
    <w:rsid w:val="009F3D72"/>
    <w:rsid w:val="009F4760"/>
    <w:rsid w:val="009F488E"/>
    <w:rsid w:val="009F4F36"/>
    <w:rsid w:val="009F51F7"/>
    <w:rsid w:val="009F5531"/>
    <w:rsid w:val="009F5A35"/>
    <w:rsid w:val="009F5B00"/>
    <w:rsid w:val="009F5C05"/>
    <w:rsid w:val="009F6073"/>
    <w:rsid w:val="009F6090"/>
    <w:rsid w:val="009F6478"/>
    <w:rsid w:val="009F6900"/>
    <w:rsid w:val="009F6959"/>
    <w:rsid w:val="009F6FE3"/>
    <w:rsid w:val="009F7D85"/>
    <w:rsid w:val="009F7E5D"/>
    <w:rsid w:val="00A0031D"/>
    <w:rsid w:val="00A005B2"/>
    <w:rsid w:val="00A00769"/>
    <w:rsid w:val="00A00957"/>
    <w:rsid w:val="00A0096E"/>
    <w:rsid w:val="00A00E3A"/>
    <w:rsid w:val="00A017B6"/>
    <w:rsid w:val="00A019D9"/>
    <w:rsid w:val="00A023D2"/>
    <w:rsid w:val="00A02752"/>
    <w:rsid w:val="00A03883"/>
    <w:rsid w:val="00A03988"/>
    <w:rsid w:val="00A03C35"/>
    <w:rsid w:val="00A05360"/>
    <w:rsid w:val="00A054E1"/>
    <w:rsid w:val="00A05B1F"/>
    <w:rsid w:val="00A05C8D"/>
    <w:rsid w:val="00A06251"/>
    <w:rsid w:val="00A064D8"/>
    <w:rsid w:val="00A067CC"/>
    <w:rsid w:val="00A06D2D"/>
    <w:rsid w:val="00A07349"/>
    <w:rsid w:val="00A07A55"/>
    <w:rsid w:val="00A07C05"/>
    <w:rsid w:val="00A103AE"/>
    <w:rsid w:val="00A10758"/>
    <w:rsid w:val="00A10B4A"/>
    <w:rsid w:val="00A1103A"/>
    <w:rsid w:val="00A113A5"/>
    <w:rsid w:val="00A11589"/>
    <w:rsid w:val="00A117A4"/>
    <w:rsid w:val="00A11AE0"/>
    <w:rsid w:val="00A11E2F"/>
    <w:rsid w:val="00A11F33"/>
    <w:rsid w:val="00A120B4"/>
    <w:rsid w:val="00A13595"/>
    <w:rsid w:val="00A13EFA"/>
    <w:rsid w:val="00A13FC9"/>
    <w:rsid w:val="00A140BD"/>
    <w:rsid w:val="00A14651"/>
    <w:rsid w:val="00A14C65"/>
    <w:rsid w:val="00A15125"/>
    <w:rsid w:val="00A15947"/>
    <w:rsid w:val="00A159A5"/>
    <w:rsid w:val="00A15DC7"/>
    <w:rsid w:val="00A16081"/>
    <w:rsid w:val="00A1668E"/>
    <w:rsid w:val="00A16C6D"/>
    <w:rsid w:val="00A17C8D"/>
    <w:rsid w:val="00A214B2"/>
    <w:rsid w:val="00A215A5"/>
    <w:rsid w:val="00A21ADA"/>
    <w:rsid w:val="00A220FA"/>
    <w:rsid w:val="00A22156"/>
    <w:rsid w:val="00A22882"/>
    <w:rsid w:val="00A229A2"/>
    <w:rsid w:val="00A2378B"/>
    <w:rsid w:val="00A24430"/>
    <w:rsid w:val="00A24488"/>
    <w:rsid w:val="00A2469D"/>
    <w:rsid w:val="00A247E6"/>
    <w:rsid w:val="00A25E13"/>
    <w:rsid w:val="00A25EC9"/>
    <w:rsid w:val="00A301C1"/>
    <w:rsid w:val="00A30281"/>
    <w:rsid w:val="00A30814"/>
    <w:rsid w:val="00A30D15"/>
    <w:rsid w:val="00A30DAC"/>
    <w:rsid w:val="00A31137"/>
    <w:rsid w:val="00A31176"/>
    <w:rsid w:val="00A31B2D"/>
    <w:rsid w:val="00A33468"/>
    <w:rsid w:val="00A33550"/>
    <w:rsid w:val="00A33C75"/>
    <w:rsid w:val="00A33CF4"/>
    <w:rsid w:val="00A33F14"/>
    <w:rsid w:val="00A3448E"/>
    <w:rsid w:val="00A34AAD"/>
    <w:rsid w:val="00A35282"/>
    <w:rsid w:val="00A35442"/>
    <w:rsid w:val="00A36571"/>
    <w:rsid w:val="00A377C2"/>
    <w:rsid w:val="00A37BC1"/>
    <w:rsid w:val="00A400C7"/>
    <w:rsid w:val="00A4022C"/>
    <w:rsid w:val="00A40418"/>
    <w:rsid w:val="00A421D8"/>
    <w:rsid w:val="00A43683"/>
    <w:rsid w:val="00A43978"/>
    <w:rsid w:val="00A43A0A"/>
    <w:rsid w:val="00A440BF"/>
    <w:rsid w:val="00A441F9"/>
    <w:rsid w:val="00A44309"/>
    <w:rsid w:val="00A45E1E"/>
    <w:rsid w:val="00A45E62"/>
    <w:rsid w:val="00A4628E"/>
    <w:rsid w:val="00A4664B"/>
    <w:rsid w:val="00A46B66"/>
    <w:rsid w:val="00A50083"/>
    <w:rsid w:val="00A504EC"/>
    <w:rsid w:val="00A5097C"/>
    <w:rsid w:val="00A50E30"/>
    <w:rsid w:val="00A510C0"/>
    <w:rsid w:val="00A5192F"/>
    <w:rsid w:val="00A51DAE"/>
    <w:rsid w:val="00A521CD"/>
    <w:rsid w:val="00A528FD"/>
    <w:rsid w:val="00A52B61"/>
    <w:rsid w:val="00A52CE7"/>
    <w:rsid w:val="00A52DBB"/>
    <w:rsid w:val="00A52E2A"/>
    <w:rsid w:val="00A53A8F"/>
    <w:rsid w:val="00A54E39"/>
    <w:rsid w:val="00A55696"/>
    <w:rsid w:val="00A567EF"/>
    <w:rsid w:val="00A568EF"/>
    <w:rsid w:val="00A5694C"/>
    <w:rsid w:val="00A5700F"/>
    <w:rsid w:val="00A57484"/>
    <w:rsid w:val="00A5767D"/>
    <w:rsid w:val="00A576E4"/>
    <w:rsid w:val="00A577F6"/>
    <w:rsid w:val="00A578D8"/>
    <w:rsid w:val="00A57CFC"/>
    <w:rsid w:val="00A57FEF"/>
    <w:rsid w:val="00A6066A"/>
    <w:rsid w:val="00A6072F"/>
    <w:rsid w:val="00A60F8A"/>
    <w:rsid w:val="00A6112E"/>
    <w:rsid w:val="00A6116D"/>
    <w:rsid w:val="00A613A4"/>
    <w:rsid w:val="00A617AD"/>
    <w:rsid w:val="00A61A29"/>
    <w:rsid w:val="00A61CC0"/>
    <w:rsid w:val="00A62CC6"/>
    <w:rsid w:val="00A62FFB"/>
    <w:rsid w:val="00A6342C"/>
    <w:rsid w:val="00A6355E"/>
    <w:rsid w:val="00A63E8A"/>
    <w:rsid w:val="00A65635"/>
    <w:rsid w:val="00A66B25"/>
    <w:rsid w:val="00A66B59"/>
    <w:rsid w:val="00A6702E"/>
    <w:rsid w:val="00A677A9"/>
    <w:rsid w:val="00A67AAF"/>
    <w:rsid w:val="00A70C57"/>
    <w:rsid w:val="00A70E65"/>
    <w:rsid w:val="00A71604"/>
    <w:rsid w:val="00A71AB0"/>
    <w:rsid w:val="00A71DA9"/>
    <w:rsid w:val="00A72262"/>
    <w:rsid w:val="00A7264A"/>
    <w:rsid w:val="00A72992"/>
    <w:rsid w:val="00A72EAC"/>
    <w:rsid w:val="00A73792"/>
    <w:rsid w:val="00A7463A"/>
    <w:rsid w:val="00A74C28"/>
    <w:rsid w:val="00A74CB2"/>
    <w:rsid w:val="00A74D1C"/>
    <w:rsid w:val="00A74F28"/>
    <w:rsid w:val="00A75109"/>
    <w:rsid w:val="00A7596B"/>
    <w:rsid w:val="00A7636C"/>
    <w:rsid w:val="00A7683A"/>
    <w:rsid w:val="00A76C6F"/>
    <w:rsid w:val="00A7723B"/>
    <w:rsid w:val="00A7723C"/>
    <w:rsid w:val="00A776F9"/>
    <w:rsid w:val="00A77710"/>
    <w:rsid w:val="00A77C35"/>
    <w:rsid w:val="00A8001C"/>
    <w:rsid w:val="00A8033C"/>
    <w:rsid w:val="00A809CB"/>
    <w:rsid w:val="00A80A5B"/>
    <w:rsid w:val="00A8105B"/>
    <w:rsid w:val="00A81175"/>
    <w:rsid w:val="00A81445"/>
    <w:rsid w:val="00A8197C"/>
    <w:rsid w:val="00A81C08"/>
    <w:rsid w:val="00A82024"/>
    <w:rsid w:val="00A824F1"/>
    <w:rsid w:val="00A8272D"/>
    <w:rsid w:val="00A828B1"/>
    <w:rsid w:val="00A82D88"/>
    <w:rsid w:val="00A833EA"/>
    <w:rsid w:val="00A84972"/>
    <w:rsid w:val="00A8646C"/>
    <w:rsid w:val="00A8661A"/>
    <w:rsid w:val="00A867D8"/>
    <w:rsid w:val="00A877F4"/>
    <w:rsid w:val="00A879A8"/>
    <w:rsid w:val="00A906D8"/>
    <w:rsid w:val="00A909D0"/>
    <w:rsid w:val="00A91141"/>
    <w:rsid w:val="00A91790"/>
    <w:rsid w:val="00A918F7"/>
    <w:rsid w:val="00A91D22"/>
    <w:rsid w:val="00A9204E"/>
    <w:rsid w:val="00A925B3"/>
    <w:rsid w:val="00A92630"/>
    <w:rsid w:val="00A92D21"/>
    <w:rsid w:val="00A9373C"/>
    <w:rsid w:val="00A9466B"/>
    <w:rsid w:val="00A947D5"/>
    <w:rsid w:val="00A94912"/>
    <w:rsid w:val="00A94A00"/>
    <w:rsid w:val="00A95153"/>
    <w:rsid w:val="00A9521B"/>
    <w:rsid w:val="00A95295"/>
    <w:rsid w:val="00A96270"/>
    <w:rsid w:val="00A967E4"/>
    <w:rsid w:val="00A968DE"/>
    <w:rsid w:val="00A9707E"/>
    <w:rsid w:val="00A97295"/>
    <w:rsid w:val="00AA003A"/>
    <w:rsid w:val="00AA0427"/>
    <w:rsid w:val="00AA1019"/>
    <w:rsid w:val="00AA176C"/>
    <w:rsid w:val="00AA1960"/>
    <w:rsid w:val="00AA1A3F"/>
    <w:rsid w:val="00AA1CC4"/>
    <w:rsid w:val="00AA3403"/>
    <w:rsid w:val="00AA341C"/>
    <w:rsid w:val="00AA37F5"/>
    <w:rsid w:val="00AA380D"/>
    <w:rsid w:val="00AA4FE6"/>
    <w:rsid w:val="00AA67E9"/>
    <w:rsid w:val="00AA6EED"/>
    <w:rsid w:val="00AA72D0"/>
    <w:rsid w:val="00AA7556"/>
    <w:rsid w:val="00AA760F"/>
    <w:rsid w:val="00AA77EC"/>
    <w:rsid w:val="00AA7CC7"/>
    <w:rsid w:val="00AB05AF"/>
    <w:rsid w:val="00AB094D"/>
    <w:rsid w:val="00AB10C3"/>
    <w:rsid w:val="00AB14DB"/>
    <w:rsid w:val="00AB2120"/>
    <w:rsid w:val="00AB2299"/>
    <w:rsid w:val="00AB2492"/>
    <w:rsid w:val="00AB24E9"/>
    <w:rsid w:val="00AB2784"/>
    <w:rsid w:val="00AB2BDA"/>
    <w:rsid w:val="00AB2E3A"/>
    <w:rsid w:val="00AB36E2"/>
    <w:rsid w:val="00AB37E6"/>
    <w:rsid w:val="00AB3986"/>
    <w:rsid w:val="00AB4895"/>
    <w:rsid w:val="00AB58D8"/>
    <w:rsid w:val="00AB5F76"/>
    <w:rsid w:val="00AB608C"/>
    <w:rsid w:val="00AB6AEE"/>
    <w:rsid w:val="00AB7221"/>
    <w:rsid w:val="00AB748C"/>
    <w:rsid w:val="00AB75A8"/>
    <w:rsid w:val="00AB7752"/>
    <w:rsid w:val="00AB793B"/>
    <w:rsid w:val="00AB7D8E"/>
    <w:rsid w:val="00AC0FDC"/>
    <w:rsid w:val="00AC1896"/>
    <w:rsid w:val="00AC3035"/>
    <w:rsid w:val="00AC3CF2"/>
    <w:rsid w:val="00AC4055"/>
    <w:rsid w:val="00AC4E49"/>
    <w:rsid w:val="00AC509D"/>
    <w:rsid w:val="00AC65F0"/>
    <w:rsid w:val="00AC6C58"/>
    <w:rsid w:val="00AC79EE"/>
    <w:rsid w:val="00AC7A01"/>
    <w:rsid w:val="00AC7EBB"/>
    <w:rsid w:val="00AD03FB"/>
    <w:rsid w:val="00AD0431"/>
    <w:rsid w:val="00AD0BD3"/>
    <w:rsid w:val="00AD0BFE"/>
    <w:rsid w:val="00AD1230"/>
    <w:rsid w:val="00AD1624"/>
    <w:rsid w:val="00AD163D"/>
    <w:rsid w:val="00AD1ABE"/>
    <w:rsid w:val="00AD1B2B"/>
    <w:rsid w:val="00AD1D72"/>
    <w:rsid w:val="00AD30CD"/>
    <w:rsid w:val="00AD315A"/>
    <w:rsid w:val="00AD43CF"/>
    <w:rsid w:val="00AD569F"/>
    <w:rsid w:val="00AD5FE2"/>
    <w:rsid w:val="00AD6475"/>
    <w:rsid w:val="00AD6669"/>
    <w:rsid w:val="00AD6FF8"/>
    <w:rsid w:val="00AE02CA"/>
    <w:rsid w:val="00AE06F8"/>
    <w:rsid w:val="00AE0865"/>
    <w:rsid w:val="00AE0F71"/>
    <w:rsid w:val="00AE1A34"/>
    <w:rsid w:val="00AE239F"/>
    <w:rsid w:val="00AE23C6"/>
    <w:rsid w:val="00AE2763"/>
    <w:rsid w:val="00AE279F"/>
    <w:rsid w:val="00AE2DD2"/>
    <w:rsid w:val="00AE322F"/>
    <w:rsid w:val="00AE3360"/>
    <w:rsid w:val="00AE33DA"/>
    <w:rsid w:val="00AE3665"/>
    <w:rsid w:val="00AE36AB"/>
    <w:rsid w:val="00AE3AD2"/>
    <w:rsid w:val="00AE415C"/>
    <w:rsid w:val="00AE4315"/>
    <w:rsid w:val="00AE4A64"/>
    <w:rsid w:val="00AE4AB4"/>
    <w:rsid w:val="00AE5692"/>
    <w:rsid w:val="00AE5BDF"/>
    <w:rsid w:val="00AE5C07"/>
    <w:rsid w:val="00AE5DF4"/>
    <w:rsid w:val="00AE60DD"/>
    <w:rsid w:val="00AE70C0"/>
    <w:rsid w:val="00AE7603"/>
    <w:rsid w:val="00AE7737"/>
    <w:rsid w:val="00AE7B8A"/>
    <w:rsid w:val="00AE7F7F"/>
    <w:rsid w:val="00AF03C3"/>
    <w:rsid w:val="00AF0CC8"/>
    <w:rsid w:val="00AF0CCD"/>
    <w:rsid w:val="00AF1266"/>
    <w:rsid w:val="00AF17BB"/>
    <w:rsid w:val="00AF1B7E"/>
    <w:rsid w:val="00AF1B97"/>
    <w:rsid w:val="00AF1D2C"/>
    <w:rsid w:val="00AF1FFC"/>
    <w:rsid w:val="00AF2045"/>
    <w:rsid w:val="00AF21A8"/>
    <w:rsid w:val="00AF37C1"/>
    <w:rsid w:val="00AF3AAA"/>
    <w:rsid w:val="00AF434A"/>
    <w:rsid w:val="00AF488D"/>
    <w:rsid w:val="00AF5415"/>
    <w:rsid w:val="00AF5847"/>
    <w:rsid w:val="00AF635B"/>
    <w:rsid w:val="00AF6610"/>
    <w:rsid w:val="00AF6AB8"/>
    <w:rsid w:val="00AF6BBF"/>
    <w:rsid w:val="00AF7A47"/>
    <w:rsid w:val="00AF7D2E"/>
    <w:rsid w:val="00B00534"/>
    <w:rsid w:val="00B00FB0"/>
    <w:rsid w:val="00B010E8"/>
    <w:rsid w:val="00B01F94"/>
    <w:rsid w:val="00B02145"/>
    <w:rsid w:val="00B025D8"/>
    <w:rsid w:val="00B0275E"/>
    <w:rsid w:val="00B02BFB"/>
    <w:rsid w:val="00B02DE6"/>
    <w:rsid w:val="00B037E4"/>
    <w:rsid w:val="00B04623"/>
    <w:rsid w:val="00B0536A"/>
    <w:rsid w:val="00B06226"/>
    <w:rsid w:val="00B072BA"/>
    <w:rsid w:val="00B0757A"/>
    <w:rsid w:val="00B077A3"/>
    <w:rsid w:val="00B07A2D"/>
    <w:rsid w:val="00B10A16"/>
    <w:rsid w:val="00B10B68"/>
    <w:rsid w:val="00B1149A"/>
    <w:rsid w:val="00B11A8D"/>
    <w:rsid w:val="00B126DF"/>
    <w:rsid w:val="00B1275D"/>
    <w:rsid w:val="00B12BFB"/>
    <w:rsid w:val="00B12E36"/>
    <w:rsid w:val="00B12F03"/>
    <w:rsid w:val="00B13EEF"/>
    <w:rsid w:val="00B13F6F"/>
    <w:rsid w:val="00B14179"/>
    <w:rsid w:val="00B141F3"/>
    <w:rsid w:val="00B14F44"/>
    <w:rsid w:val="00B15A82"/>
    <w:rsid w:val="00B15B1F"/>
    <w:rsid w:val="00B15B29"/>
    <w:rsid w:val="00B171A7"/>
    <w:rsid w:val="00B17AA8"/>
    <w:rsid w:val="00B17AB9"/>
    <w:rsid w:val="00B20344"/>
    <w:rsid w:val="00B20F9B"/>
    <w:rsid w:val="00B21933"/>
    <w:rsid w:val="00B21CF8"/>
    <w:rsid w:val="00B21E5A"/>
    <w:rsid w:val="00B2209C"/>
    <w:rsid w:val="00B2281B"/>
    <w:rsid w:val="00B22D2D"/>
    <w:rsid w:val="00B23573"/>
    <w:rsid w:val="00B235EE"/>
    <w:rsid w:val="00B2378C"/>
    <w:rsid w:val="00B239C8"/>
    <w:rsid w:val="00B23CCD"/>
    <w:rsid w:val="00B2457E"/>
    <w:rsid w:val="00B24A51"/>
    <w:rsid w:val="00B24B9C"/>
    <w:rsid w:val="00B24C9B"/>
    <w:rsid w:val="00B2519A"/>
    <w:rsid w:val="00B258BE"/>
    <w:rsid w:val="00B268EA"/>
    <w:rsid w:val="00B26D38"/>
    <w:rsid w:val="00B27249"/>
    <w:rsid w:val="00B30119"/>
    <w:rsid w:val="00B30F2E"/>
    <w:rsid w:val="00B31E01"/>
    <w:rsid w:val="00B31E08"/>
    <w:rsid w:val="00B320CE"/>
    <w:rsid w:val="00B3279B"/>
    <w:rsid w:val="00B32D30"/>
    <w:rsid w:val="00B333FB"/>
    <w:rsid w:val="00B33E6C"/>
    <w:rsid w:val="00B34ECA"/>
    <w:rsid w:val="00B35108"/>
    <w:rsid w:val="00B35758"/>
    <w:rsid w:val="00B3635D"/>
    <w:rsid w:val="00B36541"/>
    <w:rsid w:val="00B3736E"/>
    <w:rsid w:val="00B400DA"/>
    <w:rsid w:val="00B402F0"/>
    <w:rsid w:val="00B40C2B"/>
    <w:rsid w:val="00B40D01"/>
    <w:rsid w:val="00B40E0B"/>
    <w:rsid w:val="00B4156F"/>
    <w:rsid w:val="00B41B9F"/>
    <w:rsid w:val="00B41BE5"/>
    <w:rsid w:val="00B4257F"/>
    <w:rsid w:val="00B42766"/>
    <w:rsid w:val="00B429FF"/>
    <w:rsid w:val="00B42A71"/>
    <w:rsid w:val="00B43216"/>
    <w:rsid w:val="00B432E7"/>
    <w:rsid w:val="00B43C1C"/>
    <w:rsid w:val="00B44351"/>
    <w:rsid w:val="00B44484"/>
    <w:rsid w:val="00B4449D"/>
    <w:rsid w:val="00B44E0E"/>
    <w:rsid w:val="00B45AD1"/>
    <w:rsid w:val="00B45BFE"/>
    <w:rsid w:val="00B4620F"/>
    <w:rsid w:val="00B4623B"/>
    <w:rsid w:val="00B468B0"/>
    <w:rsid w:val="00B47303"/>
    <w:rsid w:val="00B47612"/>
    <w:rsid w:val="00B477AB"/>
    <w:rsid w:val="00B477C1"/>
    <w:rsid w:val="00B47968"/>
    <w:rsid w:val="00B47CBC"/>
    <w:rsid w:val="00B47F8A"/>
    <w:rsid w:val="00B50113"/>
    <w:rsid w:val="00B50621"/>
    <w:rsid w:val="00B50932"/>
    <w:rsid w:val="00B509AE"/>
    <w:rsid w:val="00B50F59"/>
    <w:rsid w:val="00B51287"/>
    <w:rsid w:val="00B51FCE"/>
    <w:rsid w:val="00B524BB"/>
    <w:rsid w:val="00B52CAF"/>
    <w:rsid w:val="00B534AF"/>
    <w:rsid w:val="00B53724"/>
    <w:rsid w:val="00B53CE1"/>
    <w:rsid w:val="00B54D86"/>
    <w:rsid w:val="00B55FB0"/>
    <w:rsid w:val="00B56A8A"/>
    <w:rsid w:val="00B57C71"/>
    <w:rsid w:val="00B57EBC"/>
    <w:rsid w:val="00B60332"/>
    <w:rsid w:val="00B608BC"/>
    <w:rsid w:val="00B60EA8"/>
    <w:rsid w:val="00B61C2E"/>
    <w:rsid w:val="00B62035"/>
    <w:rsid w:val="00B62233"/>
    <w:rsid w:val="00B62D99"/>
    <w:rsid w:val="00B632F7"/>
    <w:rsid w:val="00B63A11"/>
    <w:rsid w:val="00B63AD6"/>
    <w:rsid w:val="00B63B87"/>
    <w:rsid w:val="00B63D08"/>
    <w:rsid w:val="00B64328"/>
    <w:rsid w:val="00B64FD0"/>
    <w:rsid w:val="00B654DD"/>
    <w:rsid w:val="00B655BB"/>
    <w:rsid w:val="00B658A8"/>
    <w:rsid w:val="00B6657F"/>
    <w:rsid w:val="00B669CB"/>
    <w:rsid w:val="00B66B9A"/>
    <w:rsid w:val="00B66E2A"/>
    <w:rsid w:val="00B67067"/>
    <w:rsid w:val="00B6709A"/>
    <w:rsid w:val="00B6779C"/>
    <w:rsid w:val="00B67B50"/>
    <w:rsid w:val="00B70598"/>
    <w:rsid w:val="00B70B64"/>
    <w:rsid w:val="00B70FB9"/>
    <w:rsid w:val="00B7130B"/>
    <w:rsid w:val="00B7237C"/>
    <w:rsid w:val="00B7453B"/>
    <w:rsid w:val="00B74B4A"/>
    <w:rsid w:val="00B74C49"/>
    <w:rsid w:val="00B75125"/>
    <w:rsid w:val="00B754EC"/>
    <w:rsid w:val="00B75FF0"/>
    <w:rsid w:val="00B768BB"/>
    <w:rsid w:val="00B769D0"/>
    <w:rsid w:val="00B76B5F"/>
    <w:rsid w:val="00B76D57"/>
    <w:rsid w:val="00B76E37"/>
    <w:rsid w:val="00B76EFB"/>
    <w:rsid w:val="00B775EC"/>
    <w:rsid w:val="00B779C3"/>
    <w:rsid w:val="00B8086E"/>
    <w:rsid w:val="00B80BB1"/>
    <w:rsid w:val="00B81609"/>
    <w:rsid w:val="00B81D29"/>
    <w:rsid w:val="00B8248B"/>
    <w:rsid w:val="00B82697"/>
    <w:rsid w:val="00B82873"/>
    <w:rsid w:val="00B82EB4"/>
    <w:rsid w:val="00B83770"/>
    <w:rsid w:val="00B83A96"/>
    <w:rsid w:val="00B83F42"/>
    <w:rsid w:val="00B84236"/>
    <w:rsid w:val="00B8493B"/>
    <w:rsid w:val="00B849F9"/>
    <w:rsid w:val="00B84AAC"/>
    <w:rsid w:val="00B84C79"/>
    <w:rsid w:val="00B85185"/>
    <w:rsid w:val="00B85234"/>
    <w:rsid w:val="00B8549F"/>
    <w:rsid w:val="00B86462"/>
    <w:rsid w:val="00B86724"/>
    <w:rsid w:val="00B869E1"/>
    <w:rsid w:val="00B86A79"/>
    <w:rsid w:val="00B87569"/>
    <w:rsid w:val="00B878A0"/>
    <w:rsid w:val="00B87F48"/>
    <w:rsid w:val="00B903F2"/>
    <w:rsid w:val="00B909CD"/>
    <w:rsid w:val="00B90DEF"/>
    <w:rsid w:val="00B91994"/>
    <w:rsid w:val="00B91BF9"/>
    <w:rsid w:val="00B928F7"/>
    <w:rsid w:val="00B92DE6"/>
    <w:rsid w:val="00B9328D"/>
    <w:rsid w:val="00B934E2"/>
    <w:rsid w:val="00B939DF"/>
    <w:rsid w:val="00B93BD2"/>
    <w:rsid w:val="00B940ED"/>
    <w:rsid w:val="00B945BB"/>
    <w:rsid w:val="00B94B08"/>
    <w:rsid w:val="00B94CF6"/>
    <w:rsid w:val="00B956CD"/>
    <w:rsid w:val="00B965C9"/>
    <w:rsid w:val="00B966CA"/>
    <w:rsid w:val="00B9679B"/>
    <w:rsid w:val="00B9718F"/>
    <w:rsid w:val="00B97208"/>
    <w:rsid w:val="00B97B49"/>
    <w:rsid w:val="00BA075C"/>
    <w:rsid w:val="00BA0903"/>
    <w:rsid w:val="00BA0C61"/>
    <w:rsid w:val="00BA0E8F"/>
    <w:rsid w:val="00BA15BB"/>
    <w:rsid w:val="00BA278E"/>
    <w:rsid w:val="00BA2D6E"/>
    <w:rsid w:val="00BA3538"/>
    <w:rsid w:val="00BA3AAB"/>
    <w:rsid w:val="00BA3CD2"/>
    <w:rsid w:val="00BA4495"/>
    <w:rsid w:val="00BA46CC"/>
    <w:rsid w:val="00BA46FE"/>
    <w:rsid w:val="00BA55DA"/>
    <w:rsid w:val="00BA5AFF"/>
    <w:rsid w:val="00BA5BD3"/>
    <w:rsid w:val="00BA6DA3"/>
    <w:rsid w:val="00BA6F99"/>
    <w:rsid w:val="00BA6FB9"/>
    <w:rsid w:val="00BA7C4B"/>
    <w:rsid w:val="00BA7E5B"/>
    <w:rsid w:val="00BB02BF"/>
    <w:rsid w:val="00BB0328"/>
    <w:rsid w:val="00BB05CB"/>
    <w:rsid w:val="00BB0635"/>
    <w:rsid w:val="00BB12B9"/>
    <w:rsid w:val="00BB18DC"/>
    <w:rsid w:val="00BB1DED"/>
    <w:rsid w:val="00BB2BD5"/>
    <w:rsid w:val="00BB34A3"/>
    <w:rsid w:val="00BB39B1"/>
    <w:rsid w:val="00BB4066"/>
    <w:rsid w:val="00BB5CC7"/>
    <w:rsid w:val="00BB6325"/>
    <w:rsid w:val="00BB63E7"/>
    <w:rsid w:val="00BB6618"/>
    <w:rsid w:val="00BB68C0"/>
    <w:rsid w:val="00BB78E8"/>
    <w:rsid w:val="00BB79CE"/>
    <w:rsid w:val="00BB7AC3"/>
    <w:rsid w:val="00BB7F56"/>
    <w:rsid w:val="00BC02B5"/>
    <w:rsid w:val="00BC07E5"/>
    <w:rsid w:val="00BC09B0"/>
    <w:rsid w:val="00BC0AE8"/>
    <w:rsid w:val="00BC140F"/>
    <w:rsid w:val="00BC1AE7"/>
    <w:rsid w:val="00BC1B71"/>
    <w:rsid w:val="00BC1B8B"/>
    <w:rsid w:val="00BC22AD"/>
    <w:rsid w:val="00BC2587"/>
    <w:rsid w:val="00BC2814"/>
    <w:rsid w:val="00BC2A1E"/>
    <w:rsid w:val="00BC39CF"/>
    <w:rsid w:val="00BC4882"/>
    <w:rsid w:val="00BC519A"/>
    <w:rsid w:val="00BC5219"/>
    <w:rsid w:val="00BC55A3"/>
    <w:rsid w:val="00BC589D"/>
    <w:rsid w:val="00BC5E7A"/>
    <w:rsid w:val="00BC6004"/>
    <w:rsid w:val="00BC609F"/>
    <w:rsid w:val="00BC6B5D"/>
    <w:rsid w:val="00BC6B60"/>
    <w:rsid w:val="00BC6DBA"/>
    <w:rsid w:val="00BC70F2"/>
    <w:rsid w:val="00BC725E"/>
    <w:rsid w:val="00BD02F2"/>
    <w:rsid w:val="00BD0712"/>
    <w:rsid w:val="00BD0F72"/>
    <w:rsid w:val="00BD20A4"/>
    <w:rsid w:val="00BD2646"/>
    <w:rsid w:val="00BD2897"/>
    <w:rsid w:val="00BD2EAF"/>
    <w:rsid w:val="00BD3617"/>
    <w:rsid w:val="00BD36C0"/>
    <w:rsid w:val="00BD37E2"/>
    <w:rsid w:val="00BD42D6"/>
    <w:rsid w:val="00BD4BDF"/>
    <w:rsid w:val="00BD4EFD"/>
    <w:rsid w:val="00BD503A"/>
    <w:rsid w:val="00BD55C4"/>
    <w:rsid w:val="00BD5B31"/>
    <w:rsid w:val="00BD609E"/>
    <w:rsid w:val="00BD62AC"/>
    <w:rsid w:val="00BD6559"/>
    <w:rsid w:val="00BD65C2"/>
    <w:rsid w:val="00BD693C"/>
    <w:rsid w:val="00BD6DE4"/>
    <w:rsid w:val="00BD7368"/>
    <w:rsid w:val="00BD7796"/>
    <w:rsid w:val="00BE08EA"/>
    <w:rsid w:val="00BE1BE1"/>
    <w:rsid w:val="00BE2340"/>
    <w:rsid w:val="00BE3C83"/>
    <w:rsid w:val="00BE3FDB"/>
    <w:rsid w:val="00BE40DB"/>
    <w:rsid w:val="00BE42FF"/>
    <w:rsid w:val="00BE4F57"/>
    <w:rsid w:val="00BE5CCD"/>
    <w:rsid w:val="00BE64DB"/>
    <w:rsid w:val="00BE66CD"/>
    <w:rsid w:val="00BE7B6C"/>
    <w:rsid w:val="00BF0109"/>
    <w:rsid w:val="00BF036E"/>
    <w:rsid w:val="00BF0506"/>
    <w:rsid w:val="00BF07C0"/>
    <w:rsid w:val="00BF090E"/>
    <w:rsid w:val="00BF11A6"/>
    <w:rsid w:val="00BF1828"/>
    <w:rsid w:val="00BF1E3D"/>
    <w:rsid w:val="00BF2714"/>
    <w:rsid w:val="00BF3E6D"/>
    <w:rsid w:val="00BF3E9D"/>
    <w:rsid w:val="00BF47FC"/>
    <w:rsid w:val="00BF4D50"/>
    <w:rsid w:val="00BF508A"/>
    <w:rsid w:val="00BF55A3"/>
    <w:rsid w:val="00BF5996"/>
    <w:rsid w:val="00BF6114"/>
    <w:rsid w:val="00BF6466"/>
    <w:rsid w:val="00BF6A73"/>
    <w:rsid w:val="00BF70BA"/>
    <w:rsid w:val="00BF73CF"/>
    <w:rsid w:val="00BF7566"/>
    <w:rsid w:val="00C001E6"/>
    <w:rsid w:val="00C012B8"/>
    <w:rsid w:val="00C02863"/>
    <w:rsid w:val="00C03A1E"/>
    <w:rsid w:val="00C03B4B"/>
    <w:rsid w:val="00C044A0"/>
    <w:rsid w:val="00C050F1"/>
    <w:rsid w:val="00C05203"/>
    <w:rsid w:val="00C05B0A"/>
    <w:rsid w:val="00C05DD3"/>
    <w:rsid w:val="00C060AE"/>
    <w:rsid w:val="00C067C5"/>
    <w:rsid w:val="00C067DC"/>
    <w:rsid w:val="00C0695B"/>
    <w:rsid w:val="00C06CAB"/>
    <w:rsid w:val="00C07E4B"/>
    <w:rsid w:val="00C10411"/>
    <w:rsid w:val="00C10E56"/>
    <w:rsid w:val="00C114DC"/>
    <w:rsid w:val="00C121DB"/>
    <w:rsid w:val="00C1277A"/>
    <w:rsid w:val="00C12B3C"/>
    <w:rsid w:val="00C1376B"/>
    <w:rsid w:val="00C14CD9"/>
    <w:rsid w:val="00C1564B"/>
    <w:rsid w:val="00C1603B"/>
    <w:rsid w:val="00C16371"/>
    <w:rsid w:val="00C16FEE"/>
    <w:rsid w:val="00C17582"/>
    <w:rsid w:val="00C17F23"/>
    <w:rsid w:val="00C2027C"/>
    <w:rsid w:val="00C212FA"/>
    <w:rsid w:val="00C21370"/>
    <w:rsid w:val="00C218AA"/>
    <w:rsid w:val="00C22781"/>
    <w:rsid w:val="00C22BEE"/>
    <w:rsid w:val="00C22E49"/>
    <w:rsid w:val="00C23941"/>
    <w:rsid w:val="00C23AFC"/>
    <w:rsid w:val="00C23B7A"/>
    <w:rsid w:val="00C23EB2"/>
    <w:rsid w:val="00C2458A"/>
    <w:rsid w:val="00C245BD"/>
    <w:rsid w:val="00C255E9"/>
    <w:rsid w:val="00C25DAB"/>
    <w:rsid w:val="00C25EE0"/>
    <w:rsid w:val="00C267F9"/>
    <w:rsid w:val="00C26CB5"/>
    <w:rsid w:val="00C26CBE"/>
    <w:rsid w:val="00C270AC"/>
    <w:rsid w:val="00C276A3"/>
    <w:rsid w:val="00C278DC"/>
    <w:rsid w:val="00C27C10"/>
    <w:rsid w:val="00C301FE"/>
    <w:rsid w:val="00C30205"/>
    <w:rsid w:val="00C302C6"/>
    <w:rsid w:val="00C30D98"/>
    <w:rsid w:val="00C313C0"/>
    <w:rsid w:val="00C31980"/>
    <w:rsid w:val="00C31A4E"/>
    <w:rsid w:val="00C31E12"/>
    <w:rsid w:val="00C33A5F"/>
    <w:rsid w:val="00C33AED"/>
    <w:rsid w:val="00C33C65"/>
    <w:rsid w:val="00C33F38"/>
    <w:rsid w:val="00C3409A"/>
    <w:rsid w:val="00C343E6"/>
    <w:rsid w:val="00C34968"/>
    <w:rsid w:val="00C34B14"/>
    <w:rsid w:val="00C34B7D"/>
    <w:rsid w:val="00C3593F"/>
    <w:rsid w:val="00C35C9E"/>
    <w:rsid w:val="00C36676"/>
    <w:rsid w:val="00C374AF"/>
    <w:rsid w:val="00C37622"/>
    <w:rsid w:val="00C378E5"/>
    <w:rsid w:val="00C37CE5"/>
    <w:rsid w:val="00C40483"/>
    <w:rsid w:val="00C409F6"/>
    <w:rsid w:val="00C41AF1"/>
    <w:rsid w:val="00C41B75"/>
    <w:rsid w:val="00C41BF1"/>
    <w:rsid w:val="00C41CCD"/>
    <w:rsid w:val="00C41D18"/>
    <w:rsid w:val="00C41E86"/>
    <w:rsid w:val="00C440C4"/>
    <w:rsid w:val="00C441ED"/>
    <w:rsid w:val="00C44ACD"/>
    <w:rsid w:val="00C44F11"/>
    <w:rsid w:val="00C45062"/>
    <w:rsid w:val="00C45634"/>
    <w:rsid w:val="00C45B0B"/>
    <w:rsid w:val="00C45BE4"/>
    <w:rsid w:val="00C45C1C"/>
    <w:rsid w:val="00C46220"/>
    <w:rsid w:val="00C467F0"/>
    <w:rsid w:val="00C4738A"/>
    <w:rsid w:val="00C47864"/>
    <w:rsid w:val="00C500D1"/>
    <w:rsid w:val="00C50762"/>
    <w:rsid w:val="00C50857"/>
    <w:rsid w:val="00C50C7A"/>
    <w:rsid w:val="00C50FB2"/>
    <w:rsid w:val="00C50FFF"/>
    <w:rsid w:val="00C515CB"/>
    <w:rsid w:val="00C51ABA"/>
    <w:rsid w:val="00C51EB9"/>
    <w:rsid w:val="00C5249B"/>
    <w:rsid w:val="00C5293D"/>
    <w:rsid w:val="00C52BA8"/>
    <w:rsid w:val="00C53299"/>
    <w:rsid w:val="00C533A3"/>
    <w:rsid w:val="00C53570"/>
    <w:rsid w:val="00C53E95"/>
    <w:rsid w:val="00C5415A"/>
    <w:rsid w:val="00C54536"/>
    <w:rsid w:val="00C54A33"/>
    <w:rsid w:val="00C55270"/>
    <w:rsid w:val="00C555C9"/>
    <w:rsid w:val="00C55966"/>
    <w:rsid w:val="00C55C26"/>
    <w:rsid w:val="00C55D0E"/>
    <w:rsid w:val="00C57890"/>
    <w:rsid w:val="00C57F80"/>
    <w:rsid w:val="00C600EB"/>
    <w:rsid w:val="00C60655"/>
    <w:rsid w:val="00C60BC5"/>
    <w:rsid w:val="00C60D42"/>
    <w:rsid w:val="00C6183C"/>
    <w:rsid w:val="00C61DA5"/>
    <w:rsid w:val="00C62504"/>
    <w:rsid w:val="00C63697"/>
    <w:rsid w:val="00C63A85"/>
    <w:rsid w:val="00C64A96"/>
    <w:rsid w:val="00C65860"/>
    <w:rsid w:val="00C6593C"/>
    <w:rsid w:val="00C65D7C"/>
    <w:rsid w:val="00C65F60"/>
    <w:rsid w:val="00C66243"/>
    <w:rsid w:val="00C66E72"/>
    <w:rsid w:val="00C700A1"/>
    <w:rsid w:val="00C701F9"/>
    <w:rsid w:val="00C70696"/>
    <w:rsid w:val="00C7083A"/>
    <w:rsid w:val="00C70966"/>
    <w:rsid w:val="00C713F2"/>
    <w:rsid w:val="00C723FA"/>
    <w:rsid w:val="00C72C65"/>
    <w:rsid w:val="00C72F37"/>
    <w:rsid w:val="00C73CE8"/>
    <w:rsid w:val="00C73D05"/>
    <w:rsid w:val="00C74D90"/>
    <w:rsid w:val="00C7558B"/>
    <w:rsid w:val="00C755A6"/>
    <w:rsid w:val="00C75ADD"/>
    <w:rsid w:val="00C75BA6"/>
    <w:rsid w:val="00C75D0D"/>
    <w:rsid w:val="00C76002"/>
    <w:rsid w:val="00C7741E"/>
    <w:rsid w:val="00C774CA"/>
    <w:rsid w:val="00C779D4"/>
    <w:rsid w:val="00C8019A"/>
    <w:rsid w:val="00C812A2"/>
    <w:rsid w:val="00C81739"/>
    <w:rsid w:val="00C81E4D"/>
    <w:rsid w:val="00C82C42"/>
    <w:rsid w:val="00C82E31"/>
    <w:rsid w:val="00C83217"/>
    <w:rsid w:val="00C834AE"/>
    <w:rsid w:val="00C836F2"/>
    <w:rsid w:val="00C83833"/>
    <w:rsid w:val="00C83A4B"/>
    <w:rsid w:val="00C83A5F"/>
    <w:rsid w:val="00C83AB3"/>
    <w:rsid w:val="00C83C14"/>
    <w:rsid w:val="00C83C67"/>
    <w:rsid w:val="00C840C8"/>
    <w:rsid w:val="00C8464F"/>
    <w:rsid w:val="00C847E2"/>
    <w:rsid w:val="00C852B1"/>
    <w:rsid w:val="00C858BB"/>
    <w:rsid w:val="00C85EA7"/>
    <w:rsid w:val="00C868DD"/>
    <w:rsid w:val="00C86AE7"/>
    <w:rsid w:val="00C87536"/>
    <w:rsid w:val="00C8792C"/>
    <w:rsid w:val="00C87EA5"/>
    <w:rsid w:val="00C90888"/>
    <w:rsid w:val="00C90E06"/>
    <w:rsid w:val="00C9146C"/>
    <w:rsid w:val="00C9147E"/>
    <w:rsid w:val="00C91C41"/>
    <w:rsid w:val="00C922C2"/>
    <w:rsid w:val="00C928CC"/>
    <w:rsid w:val="00C930AF"/>
    <w:rsid w:val="00C93597"/>
    <w:rsid w:val="00C93883"/>
    <w:rsid w:val="00C93CDA"/>
    <w:rsid w:val="00C93E8C"/>
    <w:rsid w:val="00C942A8"/>
    <w:rsid w:val="00C947A4"/>
    <w:rsid w:val="00C94870"/>
    <w:rsid w:val="00C94CD7"/>
    <w:rsid w:val="00C950EF"/>
    <w:rsid w:val="00C959EC"/>
    <w:rsid w:val="00C975E4"/>
    <w:rsid w:val="00CA06C8"/>
    <w:rsid w:val="00CA08F7"/>
    <w:rsid w:val="00CA0A29"/>
    <w:rsid w:val="00CA0BC7"/>
    <w:rsid w:val="00CA111D"/>
    <w:rsid w:val="00CA13DC"/>
    <w:rsid w:val="00CA14A5"/>
    <w:rsid w:val="00CA1945"/>
    <w:rsid w:val="00CA1C67"/>
    <w:rsid w:val="00CA1DC6"/>
    <w:rsid w:val="00CA1EDB"/>
    <w:rsid w:val="00CA1F0A"/>
    <w:rsid w:val="00CA231F"/>
    <w:rsid w:val="00CA31A3"/>
    <w:rsid w:val="00CA3492"/>
    <w:rsid w:val="00CA35E9"/>
    <w:rsid w:val="00CA3DA7"/>
    <w:rsid w:val="00CA3F8C"/>
    <w:rsid w:val="00CA400E"/>
    <w:rsid w:val="00CA4555"/>
    <w:rsid w:val="00CA470D"/>
    <w:rsid w:val="00CA5052"/>
    <w:rsid w:val="00CA5463"/>
    <w:rsid w:val="00CA5720"/>
    <w:rsid w:val="00CA597C"/>
    <w:rsid w:val="00CA5D4A"/>
    <w:rsid w:val="00CA5D68"/>
    <w:rsid w:val="00CA6FA0"/>
    <w:rsid w:val="00CA72F5"/>
    <w:rsid w:val="00CA7402"/>
    <w:rsid w:val="00CA7B4F"/>
    <w:rsid w:val="00CA7D62"/>
    <w:rsid w:val="00CB01B9"/>
    <w:rsid w:val="00CB0873"/>
    <w:rsid w:val="00CB0CAB"/>
    <w:rsid w:val="00CB1E61"/>
    <w:rsid w:val="00CB3189"/>
    <w:rsid w:val="00CB3480"/>
    <w:rsid w:val="00CB3837"/>
    <w:rsid w:val="00CB4139"/>
    <w:rsid w:val="00CB4319"/>
    <w:rsid w:val="00CB4637"/>
    <w:rsid w:val="00CB58DC"/>
    <w:rsid w:val="00CB58E1"/>
    <w:rsid w:val="00CB71C6"/>
    <w:rsid w:val="00CB724C"/>
    <w:rsid w:val="00CB73CB"/>
    <w:rsid w:val="00CB744F"/>
    <w:rsid w:val="00CB7BBF"/>
    <w:rsid w:val="00CB7FB4"/>
    <w:rsid w:val="00CC085A"/>
    <w:rsid w:val="00CC13BC"/>
    <w:rsid w:val="00CC14C4"/>
    <w:rsid w:val="00CC1A37"/>
    <w:rsid w:val="00CC1A8C"/>
    <w:rsid w:val="00CC1E2D"/>
    <w:rsid w:val="00CC1F68"/>
    <w:rsid w:val="00CC1FD1"/>
    <w:rsid w:val="00CC2872"/>
    <w:rsid w:val="00CC3681"/>
    <w:rsid w:val="00CC3814"/>
    <w:rsid w:val="00CC3CF6"/>
    <w:rsid w:val="00CC3F77"/>
    <w:rsid w:val="00CC4DE2"/>
    <w:rsid w:val="00CC562A"/>
    <w:rsid w:val="00CC595E"/>
    <w:rsid w:val="00CC597C"/>
    <w:rsid w:val="00CC5E73"/>
    <w:rsid w:val="00CC6200"/>
    <w:rsid w:val="00CC6767"/>
    <w:rsid w:val="00CC6918"/>
    <w:rsid w:val="00CC6B23"/>
    <w:rsid w:val="00CC79EB"/>
    <w:rsid w:val="00CC7DF1"/>
    <w:rsid w:val="00CC7E28"/>
    <w:rsid w:val="00CD056B"/>
    <w:rsid w:val="00CD112A"/>
    <w:rsid w:val="00CD16EE"/>
    <w:rsid w:val="00CD18DA"/>
    <w:rsid w:val="00CD320E"/>
    <w:rsid w:val="00CD3564"/>
    <w:rsid w:val="00CD386E"/>
    <w:rsid w:val="00CD3BED"/>
    <w:rsid w:val="00CD432F"/>
    <w:rsid w:val="00CD46EF"/>
    <w:rsid w:val="00CD47B8"/>
    <w:rsid w:val="00CD4896"/>
    <w:rsid w:val="00CD49B9"/>
    <w:rsid w:val="00CD4A68"/>
    <w:rsid w:val="00CD53C8"/>
    <w:rsid w:val="00CD56D6"/>
    <w:rsid w:val="00CD5B93"/>
    <w:rsid w:val="00CD6068"/>
    <w:rsid w:val="00CD65C0"/>
    <w:rsid w:val="00CD68AE"/>
    <w:rsid w:val="00CD68D3"/>
    <w:rsid w:val="00CD6B17"/>
    <w:rsid w:val="00CD6E8D"/>
    <w:rsid w:val="00CD70AF"/>
    <w:rsid w:val="00CD74F5"/>
    <w:rsid w:val="00CD76A0"/>
    <w:rsid w:val="00CD76E0"/>
    <w:rsid w:val="00CD775D"/>
    <w:rsid w:val="00CD7874"/>
    <w:rsid w:val="00CD7995"/>
    <w:rsid w:val="00CD7BCE"/>
    <w:rsid w:val="00CE0040"/>
    <w:rsid w:val="00CE0A8A"/>
    <w:rsid w:val="00CE0A8E"/>
    <w:rsid w:val="00CE0C4D"/>
    <w:rsid w:val="00CE36F0"/>
    <w:rsid w:val="00CE3F46"/>
    <w:rsid w:val="00CE3F5A"/>
    <w:rsid w:val="00CE4FAC"/>
    <w:rsid w:val="00CE5116"/>
    <w:rsid w:val="00CE6BCC"/>
    <w:rsid w:val="00CE6CC6"/>
    <w:rsid w:val="00CE6DDB"/>
    <w:rsid w:val="00CE6F82"/>
    <w:rsid w:val="00CE7788"/>
    <w:rsid w:val="00CE7C93"/>
    <w:rsid w:val="00CF06D8"/>
    <w:rsid w:val="00CF0EC3"/>
    <w:rsid w:val="00CF10AC"/>
    <w:rsid w:val="00CF15FD"/>
    <w:rsid w:val="00CF1786"/>
    <w:rsid w:val="00CF1C6D"/>
    <w:rsid w:val="00CF25F1"/>
    <w:rsid w:val="00CF2A3E"/>
    <w:rsid w:val="00CF2D80"/>
    <w:rsid w:val="00CF3187"/>
    <w:rsid w:val="00CF39BD"/>
    <w:rsid w:val="00CF3D1F"/>
    <w:rsid w:val="00CF492F"/>
    <w:rsid w:val="00CF5E0C"/>
    <w:rsid w:val="00CF6210"/>
    <w:rsid w:val="00CF6BBA"/>
    <w:rsid w:val="00CF78B2"/>
    <w:rsid w:val="00CF7934"/>
    <w:rsid w:val="00D00483"/>
    <w:rsid w:val="00D00EE2"/>
    <w:rsid w:val="00D0179C"/>
    <w:rsid w:val="00D01859"/>
    <w:rsid w:val="00D028B7"/>
    <w:rsid w:val="00D02F0A"/>
    <w:rsid w:val="00D02F2C"/>
    <w:rsid w:val="00D034E1"/>
    <w:rsid w:val="00D03D28"/>
    <w:rsid w:val="00D0483E"/>
    <w:rsid w:val="00D04BAB"/>
    <w:rsid w:val="00D05493"/>
    <w:rsid w:val="00D05A3A"/>
    <w:rsid w:val="00D0607C"/>
    <w:rsid w:val="00D06683"/>
    <w:rsid w:val="00D071A3"/>
    <w:rsid w:val="00D0731B"/>
    <w:rsid w:val="00D116BA"/>
    <w:rsid w:val="00D11A1C"/>
    <w:rsid w:val="00D120F0"/>
    <w:rsid w:val="00D12530"/>
    <w:rsid w:val="00D127A9"/>
    <w:rsid w:val="00D134B6"/>
    <w:rsid w:val="00D13FD9"/>
    <w:rsid w:val="00D14090"/>
    <w:rsid w:val="00D14E69"/>
    <w:rsid w:val="00D15BBE"/>
    <w:rsid w:val="00D15C9F"/>
    <w:rsid w:val="00D16618"/>
    <w:rsid w:val="00D17211"/>
    <w:rsid w:val="00D1748C"/>
    <w:rsid w:val="00D17921"/>
    <w:rsid w:val="00D17925"/>
    <w:rsid w:val="00D17A33"/>
    <w:rsid w:val="00D201F1"/>
    <w:rsid w:val="00D202C7"/>
    <w:rsid w:val="00D211EF"/>
    <w:rsid w:val="00D2120B"/>
    <w:rsid w:val="00D218BB"/>
    <w:rsid w:val="00D23868"/>
    <w:rsid w:val="00D23BF2"/>
    <w:rsid w:val="00D23D76"/>
    <w:rsid w:val="00D23EC8"/>
    <w:rsid w:val="00D23F81"/>
    <w:rsid w:val="00D24ACC"/>
    <w:rsid w:val="00D2527F"/>
    <w:rsid w:val="00D25ECC"/>
    <w:rsid w:val="00D264F8"/>
    <w:rsid w:val="00D26B3B"/>
    <w:rsid w:val="00D274B6"/>
    <w:rsid w:val="00D276DE"/>
    <w:rsid w:val="00D3014A"/>
    <w:rsid w:val="00D30820"/>
    <w:rsid w:val="00D30F41"/>
    <w:rsid w:val="00D30F68"/>
    <w:rsid w:val="00D3283A"/>
    <w:rsid w:val="00D3348B"/>
    <w:rsid w:val="00D34423"/>
    <w:rsid w:val="00D351BB"/>
    <w:rsid w:val="00D357AD"/>
    <w:rsid w:val="00D369A5"/>
    <w:rsid w:val="00D370A6"/>
    <w:rsid w:val="00D377F2"/>
    <w:rsid w:val="00D37A79"/>
    <w:rsid w:val="00D37FD2"/>
    <w:rsid w:val="00D40304"/>
    <w:rsid w:val="00D4063D"/>
    <w:rsid w:val="00D40D67"/>
    <w:rsid w:val="00D41052"/>
    <w:rsid w:val="00D4109F"/>
    <w:rsid w:val="00D41A0C"/>
    <w:rsid w:val="00D41A12"/>
    <w:rsid w:val="00D43075"/>
    <w:rsid w:val="00D434E3"/>
    <w:rsid w:val="00D435F4"/>
    <w:rsid w:val="00D43C74"/>
    <w:rsid w:val="00D4425F"/>
    <w:rsid w:val="00D458A6"/>
    <w:rsid w:val="00D458EC"/>
    <w:rsid w:val="00D4593B"/>
    <w:rsid w:val="00D459FE"/>
    <w:rsid w:val="00D45A1F"/>
    <w:rsid w:val="00D45AA3"/>
    <w:rsid w:val="00D45BEB"/>
    <w:rsid w:val="00D4670C"/>
    <w:rsid w:val="00D47185"/>
    <w:rsid w:val="00D47AC2"/>
    <w:rsid w:val="00D47ADC"/>
    <w:rsid w:val="00D5014F"/>
    <w:rsid w:val="00D50645"/>
    <w:rsid w:val="00D50699"/>
    <w:rsid w:val="00D50A6B"/>
    <w:rsid w:val="00D50AFA"/>
    <w:rsid w:val="00D50C3A"/>
    <w:rsid w:val="00D5140D"/>
    <w:rsid w:val="00D51456"/>
    <w:rsid w:val="00D52115"/>
    <w:rsid w:val="00D52ED2"/>
    <w:rsid w:val="00D532D4"/>
    <w:rsid w:val="00D53B28"/>
    <w:rsid w:val="00D5408D"/>
    <w:rsid w:val="00D544B8"/>
    <w:rsid w:val="00D54776"/>
    <w:rsid w:val="00D5519D"/>
    <w:rsid w:val="00D5529E"/>
    <w:rsid w:val="00D55496"/>
    <w:rsid w:val="00D554A3"/>
    <w:rsid w:val="00D5594C"/>
    <w:rsid w:val="00D55EE9"/>
    <w:rsid w:val="00D566A7"/>
    <w:rsid w:val="00D56AC8"/>
    <w:rsid w:val="00D574BA"/>
    <w:rsid w:val="00D6038A"/>
    <w:rsid w:val="00D60528"/>
    <w:rsid w:val="00D6064B"/>
    <w:rsid w:val="00D60FEB"/>
    <w:rsid w:val="00D611A0"/>
    <w:rsid w:val="00D61B42"/>
    <w:rsid w:val="00D61F6A"/>
    <w:rsid w:val="00D61FA3"/>
    <w:rsid w:val="00D62180"/>
    <w:rsid w:val="00D62399"/>
    <w:rsid w:val="00D624C1"/>
    <w:rsid w:val="00D62C9D"/>
    <w:rsid w:val="00D63257"/>
    <w:rsid w:val="00D64062"/>
    <w:rsid w:val="00D642EB"/>
    <w:rsid w:val="00D653C4"/>
    <w:rsid w:val="00D655DA"/>
    <w:rsid w:val="00D65779"/>
    <w:rsid w:val="00D6612E"/>
    <w:rsid w:val="00D667D0"/>
    <w:rsid w:val="00D66B47"/>
    <w:rsid w:val="00D673F9"/>
    <w:rsid w:val="00D6759B"/>
    <w:rsid w:val="00D6765A"/>
    <w:rsid w:val="00D67B78"/>
    <w:rsid w:val="00D67EF4"/>
    <w:rsid w:val="00D7076E"/>
    <w:rsid w:val="00D70CDB"/>
    <w:rsid w:val="00D70D06"/>
    <w:rsid w:val="00D7113C"/>
    <w:rsid w:val="00D71A99"/>
    <w:rsid w:val="00D71D87"/>
    <w:rsid w:val="00D72032"/>
    <w:rsid w:val="00D7247F"/>
    <w:rsid w:val="00D72BB8"/>
    <w:rsid w:val="00D72F29"/>
    <w:rsid w:val="00D73324"/>
    <w:rsid w:val="00D73615"/>
    <w:rsid w:val="00D7390D"/>
    <w:rsid w:val="00D73C72"/>
    <w:rsid w:val="00D7543B"/>
    <w:rsid w:val="00D75637"/>
    <w:rsid w:val="00D75B9C"/>
    <w:rsid w:val="00D76116"/>
    <w:rsid w:val="00D7662C"/>
    <w:rsid w:val="00D76B9C"/>
    <w:rsid w:val="00D80083"/>
    <w:rsid w:val="00D8043E"/>
    <w:rsid w:val="00D80BDC"/>
    <w:rsid w:val="00D81004"/>
    <w:rsid w:val="00D81305"/>
    <w:rsid w:val="00D815F1"/>
    <w:rsid w:val="00D82008"/>
    <w:rsid w:val="00D8268E"/>
    <w:rsid w:val="00D82D0B"/>
    <w:rsid w:val="00D83FE1"/>
    <w:rsid w:val="00D84109"/>
    <w:rsid w:val="00D84221"/>
    <w:rsid w:val="00D84A7E"/>
    <w:rsid w:val="00D85069"/>
    <w:rsid w:val="00D85864"/>
    <w:rsid w:val="00D85AF4"/>
    <w:rsid w:val="00D86105"/>
    <w:rsid w:val="00D86825"/>
    <w:rsid w:val="00D8693C"/>
    <w:rsid w:val="00D869E3"/>
    <w:rsid w:val="00D86D9C"/>
    <w:rsid w:val="00D87801"/>
    <w:rsid w:val="00D878EE"/>
    <w:rsid w:val="00D87988"/>
    <w:rsid w:val="00D87B23"/>
    <w:rsid w:val="00D87DCF"/>
    <w:rsid w:val="00D90218"/>
    <w:rsid w:val="00D90BE2"/>
    <w:rsid w:val="00D90ECC"/>
    <w:rsid w:val="00D91A96"/>
    <w:rsid w:val="00D91C4C"/>
    <w:rsid w:val="00D91F0B"/>
    <w:rsid w:val="00D923B3"/>
    <w:rsid w:val="00D92CF5"/>
    <w:rsid w:val="00D93586"/>
    <w:rsid w:val="00D95182"/>
    <w:rsid w:val="00D95A98"/>
    <w:rsid w:val="00D95DA5"/>
    <w:rsid w:val="00D962D6"/>
    <w:rsid w:val="00D9654C"/>
    <w:rsid w:val="00D9773E"/>
    <w:rsid w:val="00D97B53"/>
    <w:rsid w:val="00DA0494"/>
    <w:rsid w:val="00DA0A97"/>
    <w:rsid w:val="00DA1EDA"/>
    <w:rsid w:val="00DA27FB"/>
    <w:rsid w:val="00DA2801"/>
    <w:rsid w:val="00DA4437"/>
    <w:rsid w:val="00DA4D09"/>
    <w:rsid w:val="00DA4D36"/>
    <w:rsid w:val="00DA5060"/>
    <w:rsid w:val="00DA53FB"/>
    <w:rsid w:val="00DA5B76"/>
    <w:rsid w:val="00DA5FEE"/>
    <w:rsid w:val="00DA62FC"/>
    <w:rsid w:val="00DA681E"/>
    <w:rsid w:val="00DA787A"/>
    <w:rsid w:val="00DB016D"/>
    <w:rsid w:val="00DB079D"/>
    <w:rsid w:val="00DB09EC"/>
    <w:rsid w:val="00DB1971"/>
    <w:rsid w:val="00DB2194"/>
    <w:rsid w:val="00DB2681"/>
    <w:rsid w:val="00DB280F"/>
    <w:rsid w:val="00DB30A0"/>
    <w:rsid w:val="00DB3CE9"/>
    <w:rsid w:val="00DB4114"/>
    <w:rsid w:val="00DB48A5"/>
    <w:rsid w:val="00DB587D"/>
    <w:rsid w:val="00DB64E2"/>
    <w:rsid w:val="00DB6BE3"/>
    <w:rsid w:val="00DB70B0"/>
    <w:rsid w:val="00DB73F5"/>
    <w:rsid w:val="00DB7F96"/>
    <w:rsid w:val="00DC0EE7"/>
    <w:rsid w:val="00DC19B5"/>
    <w:rsid w:val="00DC19D9"/>
    <w:rsid w:val="00DC1DD9"/>
    <w:rsid w:val="00DC1F22"/>
    <w:rsid w:val="00DC211A"/>
    <w:rsid w:val="00DC2835"/>
    <w:rsid w:val="00DC29F3"/>
    <w:rsid w:val="00DC2F22"/>
    <w:rsid w:val="00DC3F10"/>
    <w:rsid w:val="00DC4547"/>
    <w:rsid w:val="00DC4684"/>
    <w:rsid w:val="00DC497D"/>
    <w:rsid w:val="00DC4F5E"/>
    <w:rsid w:val="00DC5B85"/>
    <w:rsid w:val="00DC63DA"/>
    <w:rsid w:val="00DC6C19"/>
    <w:rsid w:val="00DC6EDC"/>
    <w:rsid w:val="00DC718D"/>
    <w:rsid w:val="00DC7A65"/>
    <w:rsid w:val="00DC7B9E"/>
    <w:rsid w:val="00DD0196"/>
    <w:rsid w:val="00DD027A"/>
    <w:rsid w:val="00DD0778"/>
    <w:rsid w:val="00DD14E8"/>
    <w:rsid w:val="00DD1839"/>
    <w:rsid w:val="00DD198B"/>
    <w:rsid w:val="00DD1E21"/>
    <w:rsid w:val="00DD26A1"/>
    <w:rsid w:val="00DD353A"/>
    <w:rsid w:val="00DD4A37"/>
    <w:rsid w:val="00DD4D0A"/>
    <w:rsid w:val="00DD678B"/>
    <w:rsid w:val="00DD732A"/>
    <w:rsid w:val="00DE06CC"/>
    <w:rsid w:val="00DE122F"/>
    <w:rsid w:val="00DE1297"/>
    <w:rsid w:val="00DE2298"/>
    <w:rsid w:val="00DE2942"/>
    <w:rsid w:val="00DE344D"/>
    <w:rsid w:val="00DE3B1F"/>
    <w:rsid w:val="00DE42DA"/>
    <w:rsid w:val="00DE46C1"/>
    <w:rsid w:val="00DE47BA"/>
    <w:rsid w:val="00DE4903"/>
    <w:rsid w:val="00DE493A"/>
    <w:rsid w:val="00DE5260"/>
    <w:rsid w:val="00DE5EDF"/>
    <w:rsid w:val="00DE61CB"/>
    <w:rsid w:val="00DE69C9"/>
    <w:rsid w:val="00DE6A13"/>
    <w:rsid w:val="00DE6DDF"/>
    <w:rsid w:val="00DE75B2"/>
    <w:rsid w:val="00DE762F"/>
    <w:rsid w:val="00DE7AF1"/>
    <w:rsid w:val="00DE7F52"/>
    <w:rsid w:val="00DF0464"/>
    <w:rsid w:val="00DF185A"/>
    <w:rsid w:val="00DF2168"/>
    <w:rsid w:val="00DF3034"/>
    <w:rsid w:val="00DF3EA2"/>
    <w:rsid w:val="00DF4228"/>
    <w:rsid w:val="00DF42FC"/>
    <w:rsid w:val="00DF4577"/>
    <w:rsid w:val="00DF51AD"/>
    <w:rsid w:val="00DF5212"/>
    <w:rsid w:val="00DF5B70"/>
    <w:rsid w:val="00DF6C41"/>
    <w:rsid w:val="00E0118A"/>
    <w:rsid w:val="00E01DF6"/>
    <w:rsid w:val="00E0219F"/>
    <w:rsid w:val="00E02852"/>
    <w:rsid w:val="00E028D9"/>
    <w:rsid w:val="00E02A52"/>
    <w:rsid w:val="00E02E5C"/>
    <w:rsid w:val="00E02F54"/>
    <w:rsid w:val="00E0359A"/>
    <w:rsid w:val="00E03765"/>
    <w:rsid w:val="00E03AEB"/>
    <w:rsid w:val="00E03D14"/>
    <w:rsid w:val="00E03E08"/>
    <w:rsid w:val="00E0438D"/>
    <w:rsid w:val="00E0453F"/>
    <w:rsid w:val="00E0496D"/>
    <w:rsid w:val="00E05BA2"/>
    <w:rsid w:val="00E06566"/>
    <w:rsid w:val="00E06755"/>
    <w:rsid w:val="00E072D4"/>
    <w:rsid w:val="00E07A2C"/>
    <w:rsid w:val="00E101C5"/>
    <w:rsid w:val="00E104C0"/>
    <w:rsid w:val="00E108F1"/>
    <w:rsid w:val="00E10F68"/>
    <w:rsid w:val="00E10F6C"/>
    <w:rsid w:val="00E1150C"/>
    <w:rsid w:val="00E11EA9"/>
    <w:rsid w:val="00E11F2E"/>
    <w:rsid w:val="00E1203B"/>
    <w:rsid w:val="00E12068"/>
    <w:rsid w:val="00E125FE"/>
    <w:rsid w:val="00E12634"/>
    <w:rsid w:val="00E12946"/>
    <w:rsid w:val="00E12A7B"/>
    <w:rsid w:val="00E13339"/>
    <w:rsid w:val="00E13A85"/>
    <w:rsid w:val="00E13E88"/>
    <w:rsid w:val="00E1456F"/>
    <w:rsid w:val="00E14C19"/>
    <w:rsid w:val="00E14F23"/>
    <w:rsid w:val="00E15C70"/>
    <w:rsid w:val="00E16195"/>
    <w:rsid w:val="00E161E0"/>
    <w:rsid w:val="00E16637"/>
    <w:rsid w:val="00E17550"/>
    <w:rsid w:val="00E20CFF"/>
    <w:rsid w:val="00E21223"/>
    <w:rsid w:val="00E2350E"/>
    <w:rsid w:val="00E237DF"/>
    <w:rsid w:val="00E24048"/>
    <w:rsid w:val="00E24290"/>
    <w:rsid w:val="00E244A7"/>
    <w:rsid w:val="00E248B2"/>
    <w:rsid w:val="00E24C50"/>
    <w:rsid w:val="00E251DB"/>
    <w:rsid w:val="00E25615"/>
    <w:rsid w:val="00E26554"/>
    <w:rsid w:val="00E272D4"/>
    <w:rsid w:val="00E27B31"/>
    <w:rsid w:val="00E27BB2"/>
    <w:rsid w:val="00E30290"/>
    <w:rsid w:val="00E30872"/>
    <w:rsid w:val="00E30F83"/>
    <w:rsid w:val="00E31144"/>
    <w:rsid w:val="00E31505"/>
    <w:rsid w:val="00E31BE1"/>
    <w:rsid w:val="00E32023"/>
    <w:rsid w:val="00E3276F"/>
    <w:rsid w:val="00E32DE2"/>
    <w:rsid w:val="00E330F5"/>
    <w:rsid w:val="00E332F9"/>
    <w:rsid w:val="00E33D37"/>
    <w:rsid w:val="00E33EF6"/>
    <w:rsid w:val="00E34AC0"/>
    <w:rsid w:val="00E34CBC"/>
    <w:rsid w:val="00E34D4C"/>
    <w:rsid w:val="00E35069"/>
    <w:rsid w:val="00E35294"/>
    <w:rsid w:val="00E366B0"/>
    <w:rsid w:val="00E3674D"/>
    <w:rsid w:val="00E368AD"/>
    <w:rsid w:val="00E36BE6"/>
    <w:rsid w:val="00E36DCA"/>
    <w:rsid w:val="00E36F67"/>
    <w:rsid w:val="00E379D0"/>
    <w:rsid w:val="00E401AE"/>
    <w:rsid w:val="00E40911"/>
    <w:rsid w:val="00E40C30"/>
    <w:rsid w:val="00E41519"/>
    <w:rsid w:val="00E41AE4"/>
    <w:rsid w:val="00E42505"/>
    <w:rsid w:val="00E43782"/>
    <w:rsid w:val="00E441B3"/>
    <w:rsid w:val="00E449EA"/>
    <w:rsid w:val="00E45660"/>
    <w:rsid w:val="00E457B4"/>
    <w:rsid w:val="00E45B4F"/>
    <w:rsid w:val="00E45BFF"/>
    <w:rsid w:val="00E45D94"/>
    <w:rsid w:val="00E45DC6"/>
    <w:rsid w:val="00E45FD7"/>
    <w:rsid w:val="00E4635B"/>
    <w:rsid w:val="00E469C1"/>
    <w:rsid w:val="00E47033"/>
    <w:rsid w:val="00E47866"/>
    <w:rsid w:val="00E47BA4"/>
    <w:rsid w:val="00E50046"/>
    <w:rsid w:val="00E506CC"/>
    <w:rsid w:val="00E506EA"/>
    <w:rsid w:val="00E50B65"/>
    <w:rsid w:val="00E51D74"/>
    <w:rsid w:val="00E52282"/>
    <w:rsid w:val="00E522AF"/>
    <w:rsid w:val="00E526E8"/>
    <w:rsid w:val="00E52720"/>
    <w:rsid w:val="00E532FD"/>
    <w:rsid w:val="00E5337D"/>
    <w:rsid w:val="00E5345E"/>
    <w:rsid w:val="00E53580"/>
    <w:rsid w:val="00E54532"/>
    <w:rsid w:val="00E5463D"/>
    <w:rsid w:val="00E55370"/>
    <w:rsid w:val="00E55BE6"/>
    <w:rsid w:val="00E5643C"/>
    <w:rsid w:val="00E5655A"/>
    <w:rsid w:val="00E5675B"/>
    <w:rsid w:val="00E56C81"/>
    <w:rsid w:val="00E56FEA"/>
    <w:rsid w:val="00E57197"/>
    <w:rsid w:val="00E575FC"/>
    <w:rsid w:val="00E578C9"/>
    <w:rsid w:val="00E57B1C"/>
    <w:rsid w:val="00E57DB3"/>
    <w:rsid w:val="00E60296"/>
    <w:rsid w:val="00E60EC8"/>
    <w:rsid w:val="00E616FF"/>
    <w:rsid w:val="00E61F5C"/>
    <w:rsid w:val="00E620E3"/>
    <w:rsid w:val="00E63649"/>
    <w:rsid w:val="00E636E1"/>
    <w:rsid w:val="00E639EA"/>
    <w:rsid w:val="00E640F3"/>
    <w:rsid w:val="00E643C0"/>
    <w:rsid w:val="00E64510"/>
    <w:rsid w:val="00E646A5"/>
    <w:rsid w:val="00E64E80"/>
    <w:rsid w:val="00E650F1"/>
    <w:rsid w:val="00E65298"/>
    <w:rsid w:val="00E65A4E"/>
    <w:rsid w:val="00E66517"/>
    <w:rsid w:val="00E6768B"/>
    <w:rsid w:val="00E67B09"/>
    <w:rsid w:val="00E709FC"/>
    <w:rsid w:val="00E70BAE"/>
    <w:rsid w:val="00E710DE"/>
    <w:rsid w:val="00E715C1"/>
    <w:rsid w:val="00E7205E"/>
    <w:rsid w:val="00E720B4"/>
    <w:rsid w:val="00E7283F"/>
    <w:rsid w:val="00E728A7"/>
    <w:rsid w:val="00E73311"/>
    <w:rsid w:val="00E7333D"/>
    <w:rsid w:val="00E73685"/>
    <w:rsid w:val="00E74239"/>
    <w:rsid w:val="00E74252"/>
    <w:rsid w:val="00E747BA"/>
    <w:rsid w:val="00E74F4E"/>
    <w:rsid w:val="00E75429"/>
    <w:rsid w:val="00E755BC"/>
    <w:rsid w:val="00E75E37"/>
    <w:rsid w:val="00E7685D"/>
    <w:rsid w:val="00E769A3"/>
    <w:rsid w:val="00E76BE8"/>
    <w:rsid w:val="00E8016A"/>
    <w:rsid w:val="00E80479"/>
    <w:rsid w:val="00E80E91"/>
    <w:rsid w:val="00E81205"/>
    <w:rsid w:val="00E8132E"/>
    <w:rsid w:val="00E81431"/>
    <w:rsid w:val="00E817DF"/>
    <w:rsid w:val="00E825B0"/>
    <w:rsid w:val="00E83B68"/>
    <w:rsid w:val="00E83C4B"/>
    <w:rsid w:val="00E83D8E"/>
    <w:rsid w:val="00E83F01"/>
    <w:rsid w:val="00E843C1"/>
    <w:rsid w:val="00E84CDE"/>
    <w:rsid w:val="00E853C8"/>
    <w:rsid w:val="00E85660"/>
    <w:rsid w:val="00E87501"/>
    <w:rsid w:val="00E8751B"/>
    <w:rsid w:val="00E87C84"/>
    <w:rsid w:val="00E87D25"/>
    <w:rsid w:val="00E90495"/>
    <w:rsid w:val="00E90661"/>
    <w:rsid w:val="00E90F26"/>
    <w:rsid w:val="00E917A5"/>
    <w:rsid w:val="00E922DD"/>
    <w:rsid w:val="00E92592"/>
    <w:rsid w:val="00E93798"/>
    <w:rsid w:val="00E938A0"/>
    <w:rsid w:val="00E94112"/>
    <w:rsid w:val="00E944E0"/>
    <w:rsid w:val="00E9461F"/>
    <w:rsid w:val="00E94A82"/>
    <w:rsid w:val="00E9535E"/>
    <w:rsid w:val="00E961C6"/>
    <w:rsid w:val="00E963D7"/>
    <w:rsid w:val="00E96507"/>
    <w:rsid w:val="00E96EAF"/>
    <w:rsid w:val="00E9770D"/>
    <w:rsid w:val="00EA0187"/>
    <w:rsid w:val="00EA0579"/>
    <w:rsid w:val="00EA0714"/>
    <w:rsid w:val="00EA08EB"/>
    <w:rsid w:val="00EA0B50"/>
    <w:rsid w:val="00EA0DBB"/>
    <w:rsid w:val="00EA122B"/>
    <w:rsid w:val="00EA1955"/>
    <w:rsid w:val="00EA2257"/>
    <w:rsid w:val="00EA2478"/>
    <w:rsid w:val="00EA262D"/>
    <w:rsid w:val="00EA3320"/>
    <w:rsid w:val="00EA420A"/>
    <w:rsid w:val="00EA4300"/>
    <w:rsid w:val="00EA4B34"/>
    <w:rsid w:val="00EA5DF0"/>
    <w:rsid w:val="00EA671F"/>
    <w:rsid w:val="00EA6C78"/>
    <w:rsid w:val="00EA6D29"/>
    <w:rsid w:val="00EA6E3B"/>
    <w:rsid w:val="00EA725F"/>
    <w:rsid w:val="00EA73D1"/>
    <w:rsid w:val="00EA7817"/>
    <w:rsid w:val="00EA795C"/>
    <w:rsid w:val="00EA7FB9"/>
    <w:rsid w:val="00EB00E0"/>
    <w:rsid w:val="00EB0533"/>
    <w:rsid w:val="00EB13FF"/>
    <w:rsid w:val="00EB1A4B"/>
    <w:rsid w:val="00EB2F8B"/>
    <w:rsid w:val="00EB387D"/>
    <w:rsid w:val="00EB4426"/>
    <w:rsid w:val="00EB4820"/>
    <w:rsid w:val="00EB4D8D"/>
    <w:rsid w:val="00EB5BFD"/>
    <w:rsid w:val="00EB5C2C"/>
    <w:rsid w:val="00EB675B"/>
    <w:rsid w:val="00EB6DCA"/>
    <w:rsid w:val="00EB72BF"/>
    <w:rsid w:val="00EB7C3E"/>
    <w:rsid w:val="00EC03CA"/>
    <w:rsid w:val="00EC1AAE"/>
    <w:rsid w:val="00EC24D7"/>
    <w:rsid w:val="00EC2800"/>
    <w:rsid w:val="00EC381A"/>
    <w:rsid w:val="00EC3E9A"/>
    <w:rsid w:val="00EC41D8"/>
    <w:rsid w:val="00EC4321"/>
    <w:rsid w:val="00EC4940"/>
    <w:rsid w:val="00EC500F"/>
    <w:rsid w:val="00EC5162"/>
    <w:rsid w:val="00EC52C7"/>
    <w:rsid w:val="00EC543F"/>
    <w:rsid w:val="00EC57CE"/>
    <w:rsid w:val="00EC5ADA"/>
    <w:rsid w:val="00EC635F"/>
    <w:rsid w:val="00EC67C7"/>
    <w:rsid w:val="00EC6F51"/>
    <w:rsid w:val="00EC7150"/>
    <w:rsid w:val="00EC71EB"/>
    <w:rsid w:val="00EC7C52"/>
    <w:rsid w:val="00EC7CA0"/>
    <w:rsid w:val="00ED048F"/>
    <w:rsid w:val="00ED0C73"/>
    <w:rsid w:val="00ED18E0"/>
    <w:rsid w:val="00ED25F7"/>
    <w:rsid w:val="00ED28CD"/>
    <w:rsid w:val="00ED29F2"/>
    <w:rsid w:val="00ED2B1C"/>
    <w:rsid w:val="00ED2FE8"/>
    <w:rsid w:val="00ED3435"/>
    <w:rsid w:val="00ED3638"/>
    <w:rsid w:val="00ED3ADB"/>
    <w:rsid w:val="00ED3CA6"/>
    <w:rsid w:val="00ED4A90"/>
    <w:rsid w:val="00ED567A"/>
    <w:rsid w:val="00ED62CE"/>
    <w:rsid w:val="00ED64B2"/>
    <w:rsid w:val="00ED698D"/>
    <w:rsid w:val="00ED6B7B"/>
    <w:rsid w:val="00ED6BED"/>
    <w:rsid w:val="00ED707B"/>
    <w:rsid w:val="00ED741D"/>
    <w:rsid w:val="00ED7B55"/>
    <w:rsid w:val="00ED7C9C"/>
    <w:rsid w:val="00EE2631"/>
    <w:rsid w:val="00EE2694"/>
    <w:rsid w:val="00EE2C7F"/>
    <w:rsid w:val="00EE2E6D"/>
    <w:rsid w:val="00EE35D0"/>
    <w:rsid w:val="00EE3901"/>
    <w:rsid w:val="00EE436E"/>
    <w:rsid w:val="00EE45A9"/>
    <w:rsid w:val="00EE49AE"/>
    <w:rsid w:val="00EE5BD0"/>
    <w:rsid w:val="00EE609F"/>
    <w:rsid w:val="00EE64A7"/>
    <w:rsid w:val="00EE6A57"/>
    <w:rsid w:val="00EE6D3F"/>
    <w:rsid w:val="00EE78CD"/>
    <w:rsid w:val="00EE7B90"/>
    <w:rsid w:val="00EF0D9B"/>
    <w:rsid w:val="00EF0E74"/>
    <w:rsid w:val="00EF108E"/>
    <w:rsid w:val="00EF12D6"/>
    <w:rsid w:val="00EF1E96"/>
    <w:rsid w:val="00EF2710"/>
    <w:rsid w:val="00EF299F"/>
    <w:rsid w:val="00EF2A3D"/>
    <w:rsid w:val="00EF3A58"/>
    <w:rsid w:val="00EF4535"/>
    <w:rsid w:val="00EF4663"/>
    <w:rsid w:val="00EF4B74"/>
    <w:rsid w:val="00EF616D"/>
    <w:rsid w:val="00EF6569"/>
    <w:rsid w:val="00EF657E"/>
    <w:rsid w:val="00EF6877"/>
    <w:rsid w:val="00EF68E3"/>
    <w:rsid w:val="00EF69B2"/>
    <w:rsid w:val="00EF6A62"/>
    <w:rsid w:val="00EF6B04"/>
    <w:rsid w:val="00EF6CCE"/>
    <w:rsid w:val="00EF6CD1"/>
    <w:rsid w:val="00EF7258"/>
    <w:rsid w:val="00EF7666"/>
    <w:rsid w:val="00EF78E9"/>
    <w:rsid w:val="00F00B9C"/>
    <w:rsid w:val="00F00C4A"/>
    <w:rsid w:val="00F0183E"/>
    <w:rsid w:val="00F01CF4"/>
    <w:rsid w:val="00F02549"/>
    <w:rsid w:val="00F027BC"/>
    <w:rsid w:val="00F02BBF"/>
    <w:rsid w:val="00F032C6"/>
    <w:rsid w:val="00F03952"/>
    <w:rsid w:val="00F040A1"/>
    <w:rsid w:val="00F042B8"/>
    <w:rsid w:val="00F04395"/>
    <w:rsid w:val="00F04AA5"/>
    <w:rsid w:val="00F060BF"/>
    <w:rsid w:val="00F0696F"/>
    <w:rsid w:val="00F06A46"/>
    <w:rsid w:val="00F06DC9"/>
    <w:rsid w:val="00F10104"/>
    <w:rsid w:val="00F10312"/>
    <w:rsid w:val="00F10F0C"/>
    <w:rsid w:val="00F1152C"/>
    <w:rsid w:val="00F11A2B"/>
    <w:rsid w:val="00F11A75"/>
    <w:rsid w:val="00F123EF"/>
    <w:rsid w:val="00F139BB"/>
    <w:rsid w:val="00F13AE2"/>
    <w:rsid w:val="00F13D5C"/>
    <w:rsid w:val="00F13F4F"/>
    <w:rsid w:val="00F140FD"/>
    <w:rsid w:val="00F1452C"/>
    <w:rsid w:val="00F14760"/>
    <w:rsid w:val="00F151EA"/>
    <w:rsid w:val="00F15D68"/>
    <w:rsid w:val="00F17393"/>
    <w:rsid w:val="00F17E2B"/>
    <w:rsid w:val="00F20203"/>
    <w:rsid w:val="00F20DB4"/>
    <w:rsid w:val="00F21002"/>
    <w:rsid w:val="00F21092"/>
    <w:rsid w:val="00F2259C"/>
    <w:rsid w:val="00F225D2"/>
    <w:rsid w:val="00F24069"/>
    <w:rsid w:val="00F2527D"/>
    <w:rsid w:val="00F2598A"/>
    <w:rsid w:val="00F2705B"/>
    <w:rsid w:val="00F27183"/>
    <w:rsid w:val="00F27780"/>
    <w:rsid w:val="00F279FF"/>
    <w:rsid w:val="00F27EF6"/>
    <w:rsid w:val="00F3025A"/>
    <w:rsid w:val="00F30D41"/>
    <w:rsid w:val="00F314A6"/>
    <w:rsid w:val="00F31E75"/>
    <w:rsid w:val="00F31FCC"/>
    <w:rsid w:val="00F32316"/>
    <w:rsid w:val="00F325A0"/>
    <w:rsid w:val="00F32867"/>
    <w:rsid w:val="00F32948"/>
    <w:rsid w:val="00F32A6C"/>
    <w:rsid w:val="00F32B5F"/>
    <w:rsid w:val="00F3392D"/>
    <w:rsid w:val="00F33FBD"/>
    <w:rsid w:val="00F34459"/>
    <w:rsid w:val="00F344C9"/>
    <w:rsid w:val="00F350D3"/>
    <w:rsid w:val="00F355DF"/>
    <w:rsid w:val="00F356C6"/>
    <w:rsid w:val="00F35BC4"/>
    <w:rsid w:val="00F35C74"/>
    <w:rsid w:val="00F35D4C"/>
    <w:rsid w:val="00F362A2"/>
    <w:rsid w:val="00F3630B"/>
    <w:rsid w:val="00F37CB5"/>
    <w:rsid w:val="00F404B9"/>
    <w:rsid w:val="00F40525"/>
    <w:rsid w:val="00F4058F"/>
    <w:rsid w:val="00F407F3"/>
    <w:rsid w:val="00F40EC8"/>
    <w:rsid w:val="00F40FCD"/>
    <w:rsid w:val="00F415AA"/>
    <w:rsid w:val="00F41835"/>
    <w:rsid w:val="00F41F9A"/>
    <w:rsid w:val="00F421C2"/>
    <w:rsid w:val="00F426BC"/>
    <w:rsid w:val="00F42B6D"/>
    <w:rsid w:val="00F42CBC"/>
    <w:rsid w:val="00F4308C"/>
    <w:rsid w:val="00F4328C"/>
    <w:rsid w:val="00F433E3"/>
    <w:rsid w:val="00F43FE3"/>
    <w:rsid w:val="00F444AF"/>
    <w:rsid w:val="00F449CB"/>
    <w:rsid w:val="00F454B0"/>
    <w:rsid w:val="00F4600E"/>
    <w:rsid w:val="00F46029"/>
    <w:rsid w:val="00F46680"/>
    <w:rsid w:val="00F46A2D"/>
    <w:rsid w:val="00F472B6"/>
    <w:rsid w:val="00F47E1A"/>
    <w:rsid w:val="00F47E8D"/>
    <w:rsid w:val="00F50192"/>
    <w:rsid w:val="00F50DB8"/>
    <w:rsid w:val="00F510E3"/>
    <w:rsid w:val="00F51828"/>
    <w:rsid w:val="00F51B7C"/>
    <w:rsid w:val="00F52083"/>
    <w:rsid w:val="00F5283A"/>
    <w:rsid w:val="00F52903"/>
    <w:rsid w:val="00F52BC9"/>
    <w:rsid w:val="00F53B8D"/>
    <w:rsid w:val="00F53BC3"/>
    <w:rsid w:val="00F541D9"/>
    <w:rsid w:val="00F54656"/>
    <w:rsid w:val="00F54B4D"/>
    <w:rsid w:val="00F54DDA"/>
    <w:rsid w:val="00F54F4B"/>
    <w:rsid w:val="00F555F1"/>
    <w:rsid w:val="00F55BB0"/>
    <w:rsid w:val="00F56B33"/>
    <w:rsid w:val="00F57098"/>
    <w:rsid w:val="00F572EF"/>
    <w:rsid w:val="00F57A72"/>
    <w:rsid w:val="00F57D8E"/>
    <w:rsid w:val="00F603ED"/>
    <w:rsid w:val="00F61649"/>
    <w:rsid w:val="00F61C8E"/>
    <w:rsid w:val="00F62BAD"/>
    <w:rsid w:val="00F62F7B"/>
    <w:rsid w:val="00F631C5"/>
    <w:rsid w:val="00F633C5"/>
    <w:rsid w:val="00F639BD"/>
    <w:rsid w:val="00F63A26"/>
    <w:rsid w:val="00F63FB9"/>
    <w:rsid w:val="00F63FE6"/>
    <w:rsid w:val="00F643B3"/>
    <w:rsid w:val="00F64C36"/>
    <w:rsid w:val="00F64C5D"/>
    <w:rsid w:val="00F66184"/>
    <w:rsid w:val="00F66263"/>
    <w:rsid w:val="00F6669C"/>
    <w:rsid w:val="00F66832"/>
    <w:rsid w:val="00F66873"/>
    <w:rsid w:val="00F66879"/>
    <w:rsid w:val="00F66BA8"/>
    <w:rsid w:val="00F67344"/>
    <w:rsid w:val="00F67614"/>
    <w:rsid w:val="00F6767C"/>
    <w:rsid w:val="00F70536"/>
    <w:rsid w:val="00F70B88"/>
    <w:rsid w:val="00F70F2E"/>
    <w:rsid w:val="00F7136E"/>
    <w:rsid w:val="00F71C26"/>
    <w:rsid w:val="00F71C71"/>
    <w:rsid w:val="00F71FCB"/>
    <w:rsid w:val="00F7340A"/>
    <w:rsid w:val="00F73914"/>
    <w:rsid w:val="00F73BCB"/>
    <w:rsid w:val="00F73DD1"/>
    <w:rsid w:val="00F7431D"/>
    <w:rsid w:val="00F746EC"/>
    <w:rsid w:val="00F74EAB"/>
    <w:rsid w:val="00F75DA7"/>
    <w:rsid w:val="00F75DD9"/>
    <w:rsid w:val="00F76158"/>
    <w:rsid w:val="00F761AB"/>
    <w:rsid w:val="00F767BD"/>
    <w:rsid w:val="00F76AB5"/>
    <w:rsid w:val="00F76D6F"/>
    <w:rsid w:val="00F80BBB"/>
    <w:rsid w:val="00F81202"/>
    <w:rsid w:val="00F8158C"/>
    <w:rsid w:val="00F818BA"/>
    <w:rsid w:val="00F81AC0"/>
    <w:rsid w:val="00F81B43"/>
    <w:rsid w:val="00F8324A"/>
    <w:rsid w:val="00F83641"/>
    <w:rsid w:val="00F83933"/>
    <w:rsid w:val="00F83FE7"/>
    <w:rsid w:val="00F847DA"/>
    <w:rsid w:val="00F84B9F"/>
    <w:rsid w:val="00F84F3A"/>
    <w:rsid w:val="00F859CA"/>
    <w:rsid w:val="00F85CFF"/>
    <w:rsid w:val="00F8640B"/>
    <w:rsid w:val="00F90471"/>
    <w:rsid w:val="00F90FB3"/>
    <w:rsid w:val="00F91B59"/>
    <w:rsid w:val="00F91FCE"/>
    <w:rsid w:val="00F92755"/>
    <w:rsid w:val="00F931F3"/>
    <w:rsid w:val="00F94328"/>
    <w:rsid w:val="00F9463F"/>
    <w:rsid w:val="00F946AA"/>
    <w:rsid w:val="00F949BC"/>
    <w:rsid w:val="00F94BEE"/>
    <w:rsid w:val="00F94CBC"/>
    <w:rsid w:val="00F950ED"/>
    <w:rsid w:val="00F954A9"/>
    <w:rsid w:val="00F958BE"/>
    <w:rsid w:val="00F95910"/>
    <w:rsid w:val="00F959EF"/>
    <w:rsid w:val="00F96335"/>
    <w:rsid w:val="00F963C3"/>
    <w:rsid w:val="00F96B75"/>
    <w:rsid w:val="00F97138"/>
    <w:rsid w:val="00FA04F1"/>
    <w:rsid w:val="00FA0DD8"/>
    <w:rsid w:val="00FA149C"/>
    <w:rsid w:val="00FA1767"/>
    <w:rsid w:val="00FA1B03"/>
    <w:rsid w:val="00FA1F33"/>
    <w:rsid w:val="00FA213B"/>
    <w:rsid w:val="00FA389C"/>
    <w:rsid w:val="00FA3B05"/>
    <w:rsid w:val="00FA46E7"/>
    <w:rsid w:val="00FA4A34"/>
    <w:rsid w:val="00FA4CB7"/>
    <w:rsid w:val="00FA4FEC"/>
    <w:rsid w:val="00FA565C"/>
    <w:rsid w:val="00FA5C8B"/>
    <w:rsid w:val="00FA6076"/>
    <w:rsid w:val="00FA679B"/>
    <w:rsid w:val="00FA69A6"/>
    <w:rsid w:val="00FA6B08"/>
    <w:rsid w:val="00FA6F1A"/>
    <w:rsid w:val="00FA7E69"/>
    <w:rsid w:val="00FB0972"/>
    <w:rsid w:val="00FB23E3"/>
    <w:rsid w:val="00FB2A37"/>
    <w:rsid w:val="00FB2C91"/>
    <w:rsid w:val="00FB38D0"/>
    <w:rsid w:val="00FB3BEE"/>
    <w:rsid w:val="00FB3E24"/>
    <w:rsid w:val="00FB4241"/>
    <w:rsid w:val="00FB4DA8"/>
    <w:rsid w:val="00FB51BE"/>
    <w:rsid w:val="00FB54FF"/>
    <w:rsid w:val="00FB5622"/>
    <w:rsid w:val="00FB5BDB"/>
    <w:rsid w:val="00FB608E"/>
    <w:rsid w:val="00FB6902"/>
    <w:rsid w:val="00FB7057"/>
    <w:rsid w:val="00FB73D5"/>
    <w:rsid w:val="00FB7542"/>
    <w:rsid w:val="00FB7920"/>
    <w:rsid w:val="00FC0642"/>
    <w:rsid w:val="00FC0B7B"/>
    <w:rsid w:val="00FC151C"/>
    <w:rsid w:val="00FC1C8F"/>
    <w:rsid w:val="00FC1E85"/>
    <w:rsid w:val="00FC1F04"/>
    <w:rsid w:val="00FC23D7"/>
    <w:rsid w:val="00FC2940"/>
    <w:rsid w:val="00FC3385"/>
    <w:rsid w:val="00FC4302"/>
    <w:rsid w:val="00FC4764"/>
    <w:rsid w:val="00FC4CFA"/>
    <w:rsid w:val="00FC4D94"/>
    <w:rsid w:val="00FC4DB2"/>
    <w:rsid w:val="00FC5F2C"/>
    <w:rsid w:val="00FC5FB2"/>
    <w:rsid w:val="00FC612E"/>
    <w:rsid w:val="00FC6E5F"/>
    <w:rsid w:val="00FC6F9C"/>
    <w:rsid w:val="00FC7C79"/>
    <w:rsid w:val="00FC7CA1"/>
    <w:rsid w:val="00FD0CEB"/>
    <w:rsid w:val="00FD0F3A"/>
    <w:rsid w:val="00FD12FF"/>
    <w:rsid w:val="00FD1BA8"/>
    <w:rsid w:val="00FD1EAC"/>
    <w:rsid w:val="00FD25A7"/>
    <w:rsid w:val="00FD2846"/>
    <w:rsid w:val="00FD2A82"/>
    <w:rsid w:val="00FD48CE"/>
    <w:rsid w:val="00FD6ABC"/>
    <w:rsid w:val="00FE06F6"/>
    <w:rsid w:val="00FE0E6D"/>
    <w:rsid w:val="00FE1CED"/>
    <w:rsid w:val="00FE235E"/>
    <w:rsid w:val="00FE2400"/>
    <w:rsid w:val="00FE26D6"/>
    <w:rsid w:val="00FE2969"/>
    <w:rsid w:val="00FE330A"/>
    <w:rsid w:val="00FE3328"/>
    <w:rsid w:val="00FE37FF"/>
    <w:rsid w:val="00FE39C8"/>
    <w:rsid w:val="00FE4556"/>
    <w:rsid w:val="00FE45CA"/>
    <w:rsid w:val="00FE5745"/>
    <w:rsid w:val="00FE6214"/>
    <w:rsid w:val="00FE7304"/>
    <w:rsid w:val="00FE7342"/>
    <w:rsid w:val="00FE7B66"/>
    <w:rsid w:val="00FF02DC"/>
    <w:rsid w:val="00FF08C5"/>
    <w:rsid w:val="00FF0B90"/>
    <w:rsid w:val="00FF1590"/>
    <w:rsid w:val="00FF15D8"/>
    <w:rsid w:val="00FF16D9"/>
    <w:rsid w:val="00FF2943"/>
    <w:rsid w:val="00FF3358"/>
    <w:rsid w:val="00FF39D1"/>
    <w:rsid w:val="00FF4326"/>
    <w:rsid w:val="00FF4501"/>
    <w:rsid w:val="00FF45B5"/>
    <w:rsid w:val="00FF4973"/>
    <w:rsid w:val="00FF4C3C"/>
    <w:rsid w:val="00FF4EF9"/>
    <w:rsid w:val="00FF52E6"/>
    <w:rsid w:val="00FF53E8"/>
    <w:rsid w:val="00FF5C3A"/>
    <w:rsid w:val="00FF5FDE"/>
    <w:rsid w:val="00FF6734"/>
    <w:rsid w:val="00FF6C76"/>
    <w:rsid w:val="016697E7"/>
    <w:rsid w:val="01FB16DF"/>
    <w:rsid w:val="0222AD4B"/>
    <w:rsid w:val="025A6572"/>
    <w:rsid w:val="033DE8B2"/>
    <w:rsid w:val="03B78D40"/>
    <w:rsid w:val="03E9BF07"/>
    <w:rsid w:val="042EB5F6"/>
    <w:rsid w:val="04564C62"/>
    <w:rsid w:val="04B0C87A"/>
    <w:rsid w:val="04ED293A"/>
    <w:rsid w:val="06C7001E"/>
    <w:rsid w:val="0754ACF9"/>
    <w:rsid w:val="07963F51"/>
    <w:rsid w:val="07EA4608"/>
    <w:rsid w:val="098E405D"/>
    <w:rsid w:val="09AE8BF7"/>
    <w:rsid w:val="0AFF0C75"/>
    <w:rsid w:val="0B7F4665"/>
    <w:rsid w:val="0B8FC134"/>
    <w:rsid w:val="0C9D9E62"/>
    <w:rsid w:val="0E3BCCA3"/>
    <w:rsid w:val="0E6D024B"/>
    <w:rsid w:val="0F221DFD"/>
    <w:rsid w:val="106E6F9B"/>
    <w:rsid w:val="1185AEF3"/>
    <w:rsid w:val="11AA8E14"/>
    <w:rsid w:val="1338EB8A"/>
    <w:rsid w:val="13C108BF"/>
    <w:rsid w:val="13E77B77"/>
    <w:rsid w:val="150C910F"/>
    <w:rsid w:val="1590C809"/>
    <w:rsid w:val="160E9A7C"/>
    <w:rsid w:val="172D2FE2"/>
    <w:rsid w:val="174E11F9"/>
    <w:rsid w:val="181214E3"/>
    <w:rsid w:val="19DB8384"/>
    <w:rsid w:val="1AA5A34B"/>
    <w:rsid w:val="1AA79C84"/>
    <w:rsid w:val="1AFDF8DF"/>
    <w:rsid w:val="1BB8AA26"/>
    <w:rsid w:val="1BCD53D5"/>
    <w:rsid w:val="1C39AE5F"/>
    <w:rsid w:val="1C66DEB2"/>
    <w:rsid w:val="1E4A7321"/>
    <w:rsid w:val="1E522DD6"/>
    <w:rsid w:val="1E768C4C"/>
    <w:rsid w:val="1E942F6D"/>
    <w:rsid w:val="1E95EB3D"/>
    <w:rsid w:val="1F20E918"/>
    <w:rsid w:val="1F3D51A1"/>
    <w:rsid w:val="1FE2E983"/>
    <w:rsid w:val="206E0651"/>
    <w:rsid w:val="20AC0CD4"/>
    <w:rsid w:val="212D75B4"/>
    <w:rsid w:val="2152B881"/>
    <w:rsid w:val="2184ADDA"/>
    <w:rsid w:val="21EC8070"/>
    <w:rsid w:val="235F43CB"/>
    <w:rsid w:val="239631A9"/>
    <w:rsid w:val="24309110"/>
    <w:rsid w:val="2431C946"/>
    <w:rsid w:val="245606AE"/>
    <w:rsid w:val="253E9338"/>
    <w:rsid w:val="2561FE2A"/>
    <w:rsid w:val="2645464E"/>
    <w:rsid w:val="268903B5"/>
    <w:rsid w:val="26BC2855"/>
    <w:rsid w:val="26EAC406"/>
    <w:rsid w:val="283E070B"/>
    <w:rsid w:val="296C43B1"/>
    <w:rsid w:val="2B701827"/>
    <w:rsid w:val="2D918048"/>
    <w:rsid w:val="2F44E474"/>
    <w:rsid w:val="2F6304FF"/>
    <w:rsid w:val="2FA04A7F"/>
    <w:rsid w:val="2FBE939A"/>
    <w:rsid w:val="3041F5B3"/>
    <w:rsid w:val="305F9397"/>
    <w:rsid w:val="307C6F66"/>
    <w:rsid w:val="310EAF71"/>
    <w:rsid w:val="31283B7A"/>
    <w:rsid w:val="31BF1852"/>
    <w:rsid w:val="322DDB54"/>
    <w:rsid w:val="32F7E03F"/>
    <w:rsid w:val="3321D118"/>
    <w:rsid w:val="33ADC07A"/>
    <w:rsid w:val="346967F1"/>
    <w:rsid w:val="348A7CD9"/>
    <w:rsid w:val="354F173B"/>
    <w:rsid w:val="35F7577A"/>
    <w:rsid w:val="36615E65"/>
    <w:rsid w:val="368B0191"/>
    <w:rsid w:val="36DB0D8B"/>
    <w:rsid w:val="37CA6FC8"/>
    <w:rsid w:val="38B87044"/>
    <w:rsid w:val="390F1149"/>
    <w:rsid w:val="397A481F"/>
    <w:rsid w:val="39DA2CD8"/>
    <w:rsid w:val="3A2EFCDD"/>
    <w:rsid w:val="3A661D8C"/>
    <w:rsid w:val="3A95461D"/>
    <w:rsid w:val="3A98778C"/>
    <w:rsid w:val="3BEB8817"/>
    <w:rsid w:val="3C18ADD2"/>
    <w:rsid w:val="3D8A89E7"/>
    <w:rsid w:val="3EE87C55"/>
    <w:rsid w:val="3F02D3A2"/>
    <w:rsid w:val="3FAC4D69"/>
    <w:rsid w:val="40178344"/>
    <w:rsid w:val="4045AFB6"/>
    <w:rsid w:val="40DF1203"/>
    <w:rsid w:val="41663D5A"/>
    <w:rsid w:val="423B0BDC"/>
    <w:rsid w:val="42794ECD"/>
    <w:rsid w:val="4295761F"/>
    <w:rsid w:val="42B62660"/>
    <w:rsid w:val="42FCECFD"/>
    <w:rsid w:val="4314E66A"/>
    <w:rsid w:val="438B96F2"/>
    <w:rsid w:val="44B3AC7A"/>
    <w:rsid w:val="44D6C3E1"/>
    <w:rsid w:val="4525FAFA"/>
    <w:rsid w:val="4573B355"/>
    <w:rsid w:val="467E40C5"/>
    <w:rsid w:val="46AD6956"/>
    <w:rsid w:val="46BBE1A6"/>
    <w:rsid w:val="47599A11"/>
    <w:rsid w:val="477A87BB"/>
    <w:rsid w:val="478FF077"/>
    <w:rsid w:val="48B3A644"/>
    <w:rsid w:val="49B77E64"/>
    <w:rsid w:val="4B3AB49A"/>
    <w:rsid w:val="4D307FFF"/>
    <w:rsid w:val="4D3B0681"/>
    <w:rsid w:val="4D6E7BEA"/>
    <w:rsid w:val="4DCA7ABF"/>
    <w:rsid w:val="4E8367A3"/>
    <w:rsid w:val="4EF5B5E5"/>
    <w:rsid w:val="4F7BE6AD"/>
    <w:rsid w:val="4FAFCA03"/>
    <w:rsid w:val="5014E453"/>
    <w:rsid w:val="5045451A"/>
    <w:rsid w:val="50CB6A11"/>
    <w:rsid w:val="5113882E"/>
    <w:rsid w:val="515F0AE2"/>
    <w:rsid w:val="51F54601"/>
    <w:rsid w:val="526762AB"/>
    <w:rsid w:val="5271EA7F"/>
    <w:rsid w:val="530A59F3"/>
    <w:rsid w:val="53375775"/>
    <w:rsid w:val="542ECECD"/>
    <w:rsid w:val="5452BB15"/>
    <w:rsid w:val="54D0C0B0"/>
    <w:rsid w:val="552927C6"/>
    <w:rsid w:val="556E1EB5"/>
    <w:rsid w:val="55A13914"/>
    <w:rsid w:val="562C91F9"/>
    <w:rsid w:val="57C19983"/>
    <w:rsid w:val="57D64332"/>
    <w:rsid w:val="580F9BFA"/>
    <w:rsid w:val="5915E33F"/>
    <w:rsid w:val="596B4BB7"/>
    <w:rsid w:val="59BA0031"/>
    <w:rsid w:val="59DD1798"/>
    <w:rsid w:val="5A54F615"/>
    <w:rsid w:val="5B86C8D1"/>
    <w:rsid w:val="5BB3C653"/>
    <w:rsid w:val="5BCBBFC0"/>
    <w:rsid w:val="5D5DA117"/>
    <w:rsid w:val="5DA656AC"/>
    <w:rsid w:val="5E88147F"/>
    <w:rsid w:val="5ECAAD8E"/>
    <w:rsid w:val="5ECB4506"/>
    <w:rsid w:val="5F357EC2"/>
    <w:rsid w:val="5F78E21A"/>
    <w:rsid w:val="5FC8881B"/>
    <w:rsid w:val="601BF855"/>
    <w:rsid w:val="6091789B"/>
    <w:rsid w:val="60E12934"/>
    <w:rsid w:val="6174655E"/>
    <w:rsid w:val="61CCCCCB"/>
    <w:rsid w:val="6563923E"/>
    <w:rsid w:val="6591E740"/>
    <w:rsid w:val="66408073"/>
    <w:rsid w:val="664F0304"/>
    <w:rsid w:val="6670A523"/>
    <w:rsid w:val="66759D51"/>
    <w:rsid w:val="677F2EA2"/>
    <w:rsid w:val="683DAB2C"/>
    <w:rsid w:val="699545A1"/>
    <w:rsid w:val="6AF14917"/>
    <w:rsid w:val="6C26B52D"/>
    <w:rsid w:val="6C592B8A"/>
    <w:rsid w:val="6CBAAE72"/>
    <w:rsid w:val="6CEF66A9"/>
    <w:rsid w:val="6D3CAFC5"/>
    <w:rsid w:val="6D7949EF"/>
    <w:rsid w:val="6E493573"/>
    <w:rsid w:val="6EE36B4F"/>
    <w:rsid w:val="6F4B3DE5"/>
    <w:rsid w:val="6FB9D800"/>
    <w:rsid w:val="6FE6D582"/>
    <w:rsid w:val="7009B129"/>
    <w:rsid w:val="7226ADFC"/>
    <w:rsid w:val="72602B90"/>
    <w:rsid w:val="72F2A809"/>
    <w:rsid w:val="733EE973"/>
    <w:rsid w:val="7381E824"/>
    <w:rsid w:val="73E8C8DC"/>
    <w:rsid w:val="740ED4F7"/>
    <w:rsid w:val="7478AA0C"/>
    <w:rsid w:val="775FDA2D"/>
    <w:rsid w:val="787B3DCD"/>
    <w:rsid w:val="797EA800"/>
    <w:rsid w:val="7AE22A14"/>
    <w:rsid w:val="7BE36938"/>
    <w:rsid w:val="7C8B76A6"/>
    <w:rsid w:val="7CCA14A1"/>
    <w:rsid w:val="7E059A50"/>
    <w:rsid w:val="7E2C01CC"/>
    <w:rsid w:val="7F1DD5C7"/>
    <w:rsid w:val="7F62CCB6"/>
    <w:rsid w:val="7FA58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8DE82E"/>
  <w15:docId w15:val="{7335BA89-6536-42A6-9FAB-E06C55F5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5C71"/>
    <w:rPr>
      <w:sz w:val="24"/>
      <w:szCs w:val="24"/>
    </w:rPr>
  </w:style>
  <w:style w:type="paragraph" w:styleId="Heading1">
    <w:name w:val="heading 1"/>
    <w:basedOn w:val="Normal"/>
    <w:next w:val="Normal"/>
    <w:link w:val="Heading1Char"/>
    <w:qFormat/>
    <w:rsid w:val="00173654"/>
    <w:pPr>
      <w:keepNext/>
      <w:tabs>
        <w:tab w:val="left" w:pos="5310"/>
      </w:tabs>
      <w:outlineLvl w:val="0"/>
    </w:pPr>
    <w:rPr>
      <w:rFonts w:ascii="Arial" w:hAnsi="Arial"/>
      <w:b/>
      <w:color w:val="000000" w:themeColor="text1"/>
      <w:sz w:val="32"/>
      <w:szCs w:val="18"/>
    </w:rPr>
  </w:style>
  <w:style w:type="paragraph" w:styleId="Heading2">
    <w:name w:val="heading 2"/>
    <w:basedOn w:val="Normal"/>
    <w:next w:val="Normal"/>
    <w:link w:val="Heading2Char"/>
    <w:unhideWhenUsed/>
    <w:qFormat/>
    <w:rsid w:val="00173654"/>
    <w:pPr>
      <w:outlineLvl w:val="1"/>
    </w:pPr>
    <w:rPr>
      <w:rFonts w:ascii="Arial" w:hAnsi="Arial" w:cs="Arial"/>
      <w:b/>
      <w:color w:val="000000" w:themeColor="text1"/>
      <w:sz w:val="23"/>
      <w:szCs w:val="28"/>
    </w:rPr>
  </w:style>
  <w:style w:type="paragraph" w:styleId="Heading3">
    <w:name w:val="heading 3"/>
    <w:basedOn w:val="Normal"/>
    <w:next w:val="Normal"/>
    <w:link w:val="Heading3Char"/>
    <w:unhideWhenUsed/>
    <w:qFormat/>
    <w:rsid w:val="00C37CE5"/>
    <w:pPr>
      <w:contextualSpacing/>
      <w:outlineLvl w:val="2"/>
    </w:pPr>
    <w:rPr>
      <w:rFonts w:ascii="Arial" w:hAnsi="Arial" w:cs="Arial"/>
      <w:b/>
      <w:bCs/>
      <w:sz w:val="23"/>
      <w:szCs w:val="23"/>
    </w:rPr>
  </w:style>
  <w:style w:type="paragraph" w:styleId="Heading4">
    <w:name w:val="heading 4"/>
    <w:basedOn w:val="Normal"/>
    <w:next w:val="Normal"/>
    <w:link w:val="Heading4Char"/>
    <w:unhideWhenUsed/>
    <w:qFormat/>
    <w:rsid w:val="00944391"/>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63F0"/>
    <w:pPr>
      <w:tabs>
        <w:tab w:val="center" w:pos="4320"/>
        <w:tab w:val="right" w:pos="8640"/>
      </w:tabs>
    </w:pPr>
  </w:style>
  <w:style w:type="paragraph" w:styleId="Footer">
    <w:name w:val="footer"/>
    <w:basedOn w:val="Normal"/>
    <w:link w:val="FooterChar"/>
    <w:uiPriority w:val="99"/>
    <w:rsid w:val="004E63F0"/>
    <w:pPr>
      <w:tabs>
        <w:tab w:val="center" w:pos="4320"/>
        <w:tab w:val="right" w:pos="8640"/>
      </w:tabs>
    </w:pPr>
  </w:style>
  <w:style w:type="character" w:styleId="PageNumber">
    <w:name w:val="page number"/>
    <w:basedOn w:val="DefaultParagraphFont"/>
    <w:rsid w:val="004E63F0"/>
  </w:style>
  <w:style w:type="table" w:styleId="TableGrid">
    <w:name w:val="Table Grid"/>
    <w:basedOn w:val="TableNormal"/>
    <w:uiPriority w:val="39"/>
    <w:rsid w:val="00F4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D4104"/>
    <w:rPr>
      <w:sz w:val="20"/>
      <w:szCs w:val="20"/>
    </w:rPr>
  </w:style>
  <w:style w:type="character" w:styleId="FootnoteReference">
    <w:name w:val="footnote reference"/>
    <w:uiPriority w:val="99"/>
    <w:semiHidden/>
    <w:rsid w:val="009D4104"/>
    <w:rPr>
      <w:vertAlign w:val="superscript"/>
    </w:rPr>
  </w:style>
  <w:style w:type="paragraph" w:styleId="BalloonText">
    <w:name w:val="Balloon Text"/>
    <w:basedOn w:val="Normal"/>
    <w:semiHidden/>
    <w:rsid w:val="002C314D"/>
    <w:rPr>
      <w:rFonts w:ascii="Tahoma" w:hAnsi="Tahoma" w:cs="Tahoma"/>
      <w:sz w:val="16"/>
      <w:szCs w:val="16"/>
    </w:rPr>
  </w:style>
  <w:style w:type="character" w:styleId="Hyperlink">
    <w:name w:val="Hyperlink"/>
    <w:uiPriority w:val="99"/>
    <w:rsid w:val="00665345"/>
    <w:rPr>
      <w:color w:val="0000FF"/>
      <w:u w:val="single"/>
    </w:rPr>
  </w:style>
  <w:style w:type="paragraph" w:customStyle="1" w:styleId="Default">
    <w:name w:val="Default"/>
    <w:rsid w:val="00FB5BDB"/>
    <w:pPr>
      <w:autoSpaceDE w:val="0"/>
      <w:autoSpaceDN w:val="0"/>
      <w:adjustRightInd w:val="0"/>
    </w:pPr>
    <w:rPr>
      <w:color w:val="000000"/>
      <w:sz w:val="24"/>
      <w:szCs w:val="24"/>
    </w:rPr>
  </w:style>
  <w:style w:type="paragraph" w:styleId="BodyTextIndent">
    <w:name w:val="Body Text Indent"/>
    <w:basedOn w:val="Default"/>
    <w:next w:val="Default"/>
    <w:rsid w:val="00FB5BDB"/>
    <w:pPr>
      <w:spacing w:after="240"/>
    </w:pPr>
    <w:rPr>
      <w:color w:val="auto"/>
    </w:rPr>
  </w:style>
  <w:style w:type="paragraph" w:customStyle="1" w:styleId="Normal12point">
    <w:name w:val="Normal 12 point"/>
    <w:basedOn w:val="Normal"/>
    <w:link w:val="Normal12pointChar"/>
    <w:rsid w:val="00385009"/>
    <w:rPr>
      <w:rFonts w:ascii="Verdana" w:hAnsi="Verdana"/>
      <w:szCs w:val="20"/>
    </w:rPr>
  </w:style>
  <w:style w:type="character" w:customStyle="1" w:styleId="Normal12pointChar">
    <w:name w:val="Normal 12 point Char"/>
    <w:link w:val="Normal12point"/>
    <w:rsid w:val="00385009"/>
    <w:rPr>
      <w:rFonts w:ascii="Verdana" w:hAnsi="Verdana"/>
      <w:sz w:val="24"/>
      <w:lang w:val="en-US" w:eastAsia="en-US" w:bidi="ar-SA"/>
    </w:rPr>
  </w:style>
  <w:style w:type="paragraph" w:styleId="Revision">
    <w:name w:val="Revision"/>
    <w:hidden/>
    <w:uiPriority w:val="99"/>
    <w:semiHidden/>
    <w:rsid w:val="008D3DDF"/>
    <w:rPr>
      <w:sz w:val="24"/>
      <w:szCs w:val="24"/>
    </w:rPr>
  </w:style>
  <w:style w:type="paragraph" w:styleId="EndnoteText">
    <w:name w:val="endnote text"/>
    <w:basedOn w:val="Normal"/>
    <w:link w:val="EndnoteTextChar"/>
    <w:rsid w:val="00BB2BD5"/>
    <w:rPr>
      <w:sz w:val="20"/>
      <w:szCs w:val="20"/>
    </w:rPr>
  </w:style>
  <w:style w:type="character" w:customStyle="1" w:styleId="EndnoteTextChar">
    <w:name w:val="Endnote Text Char"/>
    <w:basedOn w:val="DefaultParagraphFont"/>
    <w:link w:val="EndnoteText"/>
    <w:rsid w:val="00BB2BD5"/>
  </w:style>
  <w:style w:type="character" w:styleId="EndnoteReference">
    <w:name w:val="endnote reference"/>
    <w:rsid w:val="00BB2BD5"/>
    <w:rPr>
      <w:vertAlign w:val="superscript"/>
    </w:rPr>
  </w:style>
  <w:style w:type="character" w:customStyle="1" w:styleId="FooterChar">
    <w:name w:val="Footer Char"/>
    <w:link w:val="Footer"/>
    <w:uiPriority w:val="99"/>
    <w:rsid w:val="009A3B2C"/>
    <w:rPr>
      <w:sz w:val="24"/>
      <w:szCs w:val="24"/>
    </w:rPr>
  </w:style>
  <w:style w:type="character" w:styleId="Emphasis">
    <w:name w:val="Emphasis"/>
    <w:qFormat/>
    <w:rsid w:val="00801AF3"/>
    <w:rPr>
      <w:i/>
      <w:iCs/>
    </w:rPr>
  </w:style>
  <w:style w:type="character" w:customStyle="1" w:styleId="Heading1Char">
    <w:name w:val="Heading 1 Char"/>
    <w:link w:val="Heading1"/>
    <w:rsid w:val="00173654"/>
    <w:rPr>
      <w:rFonts w:ascii="Arial" w:hAnsi="Arial"/>
      <w:b/>
      <w:color w:val="000000" w:themeColor="text1"/>
      <w:sz w:val="32"/>
      <w:szCs w:val="18"/>
    </w:rPr>
  </w:style>
  <w:style w:type="paragraph" w:customStyle="1" w:styleId="nrpsHeading1">
    <w:name w:val="nrps Heading 1"/>
    <w:basedOn w:val="Heading1"/>
    <w:next w:val="Normal"/>
    <w:link w:val="nrpsHeading1Char"/>
    <w:qFormat/>
    <w:rsid w:val="002F2328"/>
    <w:pPr>
      <w:spacing w:after="200"/>
    </w:pPr>
    <w:rPr>
      <w:bCs/>
    </w:rPr>
  </w:style>
  <w:style w:type="character" w:customStyle="1" w:styleId="nrpsHeading1Char">
    <w:name w:val="nrps Heading 1 Char"/>
    <w:basedOn w:val="DefaultParagraphFont"/>
    <w:link w:val="nrpsHeading1"/>
    <w:rsid w:val="002F2328"/>
    <w:rPr>
      <w:rFonts w:ascii="Arial" w:hAnsi="Arial"/>
      <w:b/>
      <w:color w:val="000000" w:themeColor="text1"/>
      <w:sz w:val="32"/>
      <w:szCs w:val="18"/>
    </w:rPr>
  </w:style>
  <w:style w:type="character" w:styleId="CommentReference">
    <w:name w:val="annotation reference"/>
    <w:basedOn w:val="DefaultParagraphFont"/>
    <w:unhideWhenUsed/>
    <w:rsid w:val="006F7C96"/>
    <w:rPr>
      <w:sz w:val="16"/>
      <w:szCs w:val="16"/>
    </w:rPr>
  </w:style>
  <w:style w:type="paragraph" w:styleId="CommentText">
    <w:name w:val="annotation text"/>
    <w:basedOn w:val="Normal"/>
    <w:link w:val="CommentTextChar"/>
    <w:uiPriority w:val="99"/>
    <w:unhideWhenUsed/>
    <w:rsid w:val="006F7C96"/>
    <w:rPr>
      <w:sz w:val="20"/>
      <w:szCs w:val="20"/>
    </w:rPr>
  </w:style>
  <w:style w:type="character" w:customStyle="1" w:styleId="CommentTextChar">
    <w:name w:val="Comment Text Char"/>
    <w:basedOn w:val="DefaultParagraphFont"/>
    <w:link w:val="CommentText"/>
    <w:uiPriority w:val="99"/>
    <w:rsid w:val="006F7C96"/>
  </w:style>
  <w:style w:type="paragraph" w:styleId="CommentSubject">
    <w:name w:val="annotation subject"/>
    <w:basedOn w:val="CommentText"/>
    <w:next w:val="CommentText"/>
    <w:link w:val="CommentSubjectChar"/>
    <w:semiHidden/>
    <w:unhideWhenUsed/>
    <w:rsid w:val="006F7C96"/>
    <w:rPr>
      <w:b/>
      <w:bCs/>
    </w:rPr>
  </w:style>
  <w:style w:type="character" w:customStyle="1" w:styleId="CommentSubjectChar">
    <w:name w:val="Comment Subject Char"/>
    <w:basedOn w:val="CommentTextChar"/>
    <w:link w:val="CommentSubject"/>
    <w:semiHidden/>
    <w:rsid w:val="006F7C96"/>
    <w:rPr>
      <w:b/>
      <w:bCs/>
    </w:rPr>
  </w:style>
  <w:style w:type="character" w:styleId="FollowedHyperlink">
    <w:name w:val="FollowedHyperlink"/>
    <w:basedOn w:val="DefaultParagraphFont"/>
    <w:uiPriority w:val="99"/>
    <w:semiHidden/>
    <w:unhideWhenUsed/>
    <w:rsid w:val="00A15947"/>
    <w:rPr>
      <w:color w:val="800080" w:themeColor="followedHyperlink"/>
      <w:u w:val="single"/>
    </w:rPr>
  </w:style>
  <w:style w:type="paragraph" w:styleId="NormalWeb">
    <w:name w:val="Normal (Web)"/>
    <w:basedOn w:val="Normal"/>
    <w:semiHidden/>
    <w:unhideWhenUsed/>
    <w:rsid w:val="00031934"/>
  </w:style>
  <w:style w:type="character" w:customStyle="1" w:styleId="FootnoteTextChar">
    <w:name w:val="Footnote Text Char"/>
    <w:basedOn w:val="DefaultParagraphFont"/>
    <w:link w:val="FootnoteText"/>
    <w:uiPriority w:val="99"/>
    <w:semiHidden/>
    <w:rsid w:val="00E0496D"/>
  </w:style>
  <w:style w:type="paragraph" w:styleId="ListParagraph">
    <w:name w:val="List Paragraph"/>
    <w:basedOn w:val="Normal"/>
    <w:uiPriority w:val="34"/>
    <w:qFormat/>
    <w:rsid w:val="00593E51"/>
    <w:pPr>
      <w:ind w:left="720"/>
      <w:contextualSpacing/>
    </w:pPr>
  </w:style>
  <w:style w:type="table" w:customStyle="1" w:styleId="TableGrid2">
    <w:name w:val="Table Grid2"/>
    <w:basedOn w:val="TableNormal"/>
    <w:next w:val="TableGrid"/>
    <w:uiPriority w:val="99"/>
    <w:rsid w:val="00AA7CC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02F2C"/>
    <w:rPr>
      <w:color w:val="605E5C"/>
      <w:shd w:val="clear" w:color="auto" w:fill="E1DFDD"/>
    </w:rPr>
  </w:style>
  <w:style w:type="table" w:customStyle="1" w:styleId="TableGrid1">
    <w:name w:val="Table Grid1"/>
    <w:basedOn w:val="TableNormal"/>
    <w:next w:val="TableGrid"/>
    <w:uiPriority w:val="99"/>
    <w:rsid w:val="00BC519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73654"/>
    <w:pPr>
      <w:spacing w:after="100"/>
    </w:pPr>
  </w:style>
  <w:style w:type="character" w:customStyle="1" w:styleId="Heading2Char">
    <w:name w:val="Heading 2 Char"/>
    <w:basedOn w:val="DefaultParagraphFont"/>
    <w:link w:val="Heading2"/>
    <w:rsid w:val="00173654"/>
    <w:rPr>
      <w:rFonts w:ascii="Arial" w:hAnsi="Arial" w:cs="Arial"/>
      <w:b/>
      <w:color w:val="000000" w:themeColor="text1"/>
      <w:sz w:val="23"/>
      <w:szCs w:val="28"/>
    </w:rPr>
  </w:style>
  <w:style w:type="paragraph" w:styleId="TOC2">
    <w:name w:val="toc 2"/>
    <w:basedOn w:val="Normal"/>
    <w:next w:val="Normal"/>
    <w:autoRedefine/>
    <w:uiPriority w:val="39"/>
    <w:unhideWhenUsed/>
    <w:rsid w:val="00173654"/>
    <w:pPr>
      <w:spacing w:after="100"/>
      <w:ind w:left="240"/>
    </w:pPr>
  </w:style>
  <w:style w:type="character" w:customStyle="1" w:styleId="Heading3Char">
    <w:name w:val="Heading 3 Char"/>
    <w:basedOn w:val="DefaultParagraphFont"/>
    <w:link w:val="Heading3"/>
    <w:rsid w:val="00C37CE5"/>
    <w:rPr>
      <w:rFonts w:ascii="Arial" w:hAnsi="Arial" w:cs="Arial"/>
      <w:b/>
      <w:bCs/>
      <w:sz w:val="23"/>
      <w:szCs w:val="23"/>
    </w:rPr>
  </w:style>
  <w:style w:type="paragraph" w:styleId="TableofFigures">
    <w:name w:val="table of figures"/>
    <w:basedOn w:val="Normal"/>
    <w:next w:val="Normal"/>
    <w:uiPriority w:val="99"/>
    <w:unhideWhenUsed/>
    <w:rsid w:val="00380471"/>
  </w:style>
  <w:style w:type="character" w:customStyle="1" w:styleId="Heading4Char">
    <w:name w:val="Heading 4 Char"/>
    <w:basedOn w:val="DefaultParagraphFont"/>
    <w:link w:val="Heading4"/>
    <w:rsid w:val="00944391"/>
    <w:rPr>
      <w:i/>
      <w:iCs/>
      <w:sz w:val="24"/>
      <w:szCs w:val="24"/>
    </w:rPr>
  </w:style>
  <w:style w:type="character" w:styleId="Mention">
    <w:name w:val="Mention"/>
    <w:basedOn w:val="DefaultParagraphFont"/>
    <w:uiPriority w:val="99"/>
    <w:unhideWhenUsed/>
    <w:rsid w:val="00430B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nps.gov/subjects/nagpra/repor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03A8-DC17-4802-A9B3-F47D2805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15704</Words>
  <Characters>89513</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Melanie A</dc:creator>
  <cp:lastModifiedBy>O'Brien, Melanie A</cp:lastModifiedBy>
  <cp:revision>2</cp:revision>
  <dcterms:created xsi:type="dcterms:W3CDTF">2022-09-26T20:24:00Z</dcterms:created>
  <dcterms:modified xsi:type="dcterms:W3CDTF">2022-09-26T20:24:00Z</dcterms:modified>
</cp:coreProperties>
</file>