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126AE" w:rsidP="00043B68" w14:paraId="10270119" w14:textId="77777777">
      <w:r>
        <w:t>Supporting Statement B</w:t>
      </w:r>
    </w:p>
    <w:p w:rsidR="008126AE" w:rsidP="008126AE" w14:paraId="4361C3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008126AE" w:rsidRPr="005045FE" w:rsidP="008126AE" w14:paraId="189B6730" w14:textId="7E758A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Co</w:t>
      </w:r>
      <w:r w:rsidR="0053749C">
        <w:rPr>
          <w:b/>
          <w:bCs/>
          <w:sz w:val="32"/>
          <w:szCs w:val="32"/>
        </w:rPr>
        <w:t>nsolidated Consumers’ Report</w:t>
      </w:r>
    </w:p>
    <w:p w:rsidR="008126AE" w:rsidP="008126AE" w14:paraId="1CD252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008126AE" w:rsidRPr="008126AE" w:rsidP="008126AE" w14:paraId="4BB53127" w14:textId="619E53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7B61E0">
        <w:rPr>
          <w:b/>
          <w:bCs/>
          <w:sz w:val="32"/>
          <w:szCs w:val="32"/>
        </w:rPr>
        <w:t>1028</w:t>
      </w:r>
      <w:r>
        <w:rPr>
          <w:b/>
          <w:bCs/>
          <w:sz w:val="32"/>
          <w:szCs w:val="32"/>
        </w:rPr>
        <w:t>-</w:t>
      </w:r>
      <w:r w:rsidR="002E083E">
        <w:rPr>
          <w:b/>
          <w:bCs/>
          <w:sz w:val="32"/>
          <w:szCs w:val="32"/>
        </w:rPr>
        <w:t>00</w:t>
      </w:r>
      <w:r w:rsidR="0053749C">
        <w:rPr>
          <w:b/>
          <w:bCs/>
          <w:sz w:val="32"/>
          <w:szCs w:val="32"/>
        </w:rPr>
        <w:t>70 (1 form)</w:t>
      </w:r>
    </w:p>
    <w:p w:rsidR="008126AE" w:rsidP="008126AE" w14:paraId="012B87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14:paraId="7E0492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14:paraId="106C24A8" w14:textId="4E621F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rsidR="008126AE" w:rsidP="008126AE" w14:paraId="1FC6F9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P="008126AE" w14:paraId="2F6DE7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rsidR="008126AE" w:rsidP="008126AE" w14:paraId="265A49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5C17DE" w:rsidP="008126AE" w14:paraId="70B220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1.</w:t>
      </w:r>
      <w:r w:rsidRPr="005C17DE">
        <w:rPr>
          <w:b/>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5C17DE">
        <w:rPr>
          <w:b/>
          <w:sz w:val="24"/>
          <w:szCs w:val="24"/>
        </w:rPr>
        <w:t>collection as a whole</w:t>
      </w:r>
      <w:r w:rsidRPr="005C17DE">
        <w:rPr>
          <w:b/>
          <w:sz w:val="24"/>
          <w:szCs w:val="24"/>
        </w:rPr>
        <w:t>.  If the collection had been conducted previously, include the actual response rate achieved during the last collection.</w:t>
      </w:r>
    </w:p>
    <w:p w:rsidR="008126AE" w:rsidP="008126AE" w14:paraId="7C9ECD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D5264" w:rsidP="008126AE" w14:paraId="07653C77" w14:textId="29CB05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single canvass form in this Information Collection</w:t>
      </w:r>
      <w:r w:rsidR="004E7CD5">
        <w:rPr>
          <w:rFonts w:ascii="Calibri" w:hAnsi="Calibri" w:cs="Calibri"/>
          <w:sz w:val="22"/>
          <w:szCs w:val="22"/>
        </w:rPr>
        <w:t xml:space="preserve"> </w:t>
      </w:r>
      <w:r>
        <w:rPr>
          <w:rFonts w:ascii="Calibri" w:hAnsi="Calibri" w:cs="Calibri"/>
          <w:sz w:val="22"/>
          <w:szCs w:val="22"/>
        </w:rPr>
        <w:t>is conducted as a complete census.</w:t>
      </w:r>
      <w:r w:rsidR="00D3070D">
        <w:rPr>
          <w:rFonts w:ascii="Calibri" w:hAnsi="Calibri" w:cs="Calibri"/>
          <w:sz w:val="22"/>
          <w:szCs w:val="22"/>
        </w:rPr>
        <w:t xml:space="preserve"> No sampling is performed. The total universe is approximately </w:t>
      </w:r>
      <w:r w:rsidR="00A840D4">
        <w:rPr>
          <w:rFonts w:ascii="Calibri" w:hAnsi="Calibri" w:cs="Calibri"/>
          <w:sz w:val="22"/>
          <w:szCs w:val="22"/>
        </w:rPr>
        <w:t>259 respondents that are business or other for-profit institutions (Table 1 below).</w:t>
      </w:r>
    </w:p>
    <w:p w:rsidR="00FD5264" w:rsidP="008126AE" w14:paraId="407676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F23995" w:rsidP="00F23995" w14:paraId="7868465E" w14:textId="4598A04E">
      <w:pPr>
        <w:spacing w:line="276" w:lineRule="auto"/>
        <w:rPr>
          <w:rFonts w:ascii="Calibri" w:hAnsi="Calibri" w:cs="Calibri"/>
          <w:color w:val="000000"/>
          <w:sz w:val="22"/>
          <w:szCs w:val="22"/>
        </w:rPr>
      </w:pPr>
      <w:r w:rsidRPr="00AC789C">
        <w:rPr>
          <w:rFonts w:ascii="Calibri" w:hAnsi="Calibri" w:cs="Calibri"/>
          <w:color w:val="000000"/>
          <w:sz w:val="22"/>
          <w:szCs w:val="22"/>
        </w:rPr>
        <w:t>Table 1. Consolidated estimates of annual burden</w:t>
      </w:r>
      <w:r>
        <w:rPr>
          <w:rFonts w:ascii="Calibri" w:hAnsi="Calibri" w:cs="Calibri"/>
          <w:color w:val="000000"/>
          <w:sz w:val="22"/>
          <w:szCs w:val="22"/>
        </w:rPr>
        <w:t xml:space="preserve"> (private sector) </w:t>
      </w:r>
      <w:r>
        <w:rPr>
          <w:rFonts w:ascii="Calibri" w:hAnsi="Calibri" w:cs="Calibri"/>
          <w:color w:val="000000"/>
          <w:sz w:val="22"/>
          <w:szCs w:val="22"/>
          <w:vertAlign w:val="superscript"/>
        </w:rPr>
        <w:t>1</w:t>
      </w:r>
    </w:p>
    <w:p w:rsidR="004148CB" w:rsidP="008126AE" w14:paraId="5B2B49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1260"/>
        <w:gridCol w:w="1350"/>
        <w:gridCol w:w="1350"/>
        <w:gridCol w:w="1170"/>
        <w:gridCol w:w="1260"/>
        <w:gridCol w:w="1350"/>
      </w:tblGrid>
      <w:tr w14:paraId="3EF73309" w14:textId="77777777" w:rsidTr="000B371B">
        <w:tblPrEx>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8"/>
        </w:trPr>
        <w:tc>
          <w:tcPr>
            <w:tcW w:w="3060" w:type="dxa"/>
            <w:gridSpan w:val="3"/>
          </w:tcPr>
          <w:p w:rsidR="001B4990" w:rsidRPr="00404750" w:rsidP="000B371B" w14:paraId="02B9AB8B" w14:textId="77777777">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rsidR="001B4990" w:rsidRPr="00404750" w:rsidP="000B371B" w14:paraId="27F6B7D5" w14:textId="77777777">
            <w:pPr>
              <w:spacing w:line="276" w:lineRule="auto"/>
              <w:jc w:val="center"/>
              <w:rPr>
                <w:rFonts w:ascii="Calibri" w:hAnsi="Calibri" w:cs="Calibri"/>
                <w:b/>
              </w:rPr>
            </w:pPr>
            <w:r w:rsidRPr="00404750">
              <w:rPr>
                <w:rFonts w:ascii="Calibri" w:hAnsi="Calibri" w:cs="Calibri"/>
                <w:b/>
              </w:rPr>
              <w:t>PRIVATE SECTOR</w:t>
            </w:r>
          </w:p>
        </w:tc>
      </w:tr>
      <w:tr w14:paraId="2FACF048" w14:textId="77777777" w:rsidTr="000B371B">
        <w:tblPrEx>
          <w:tblW w:w="8190" w:type="dxa"/>
          <w:tblInd w:w="288" w:type="dxa"/>
          <w:tblLayout w:type="fixed"/>
          <w:tblLook w:val="01E0"/>
        </w:tblPrEx>
        <w:tc>
          <w:tcPr>
            <w:tcW w:w="450" w:type="dxa"/>
          </w:tcPr>
          <w:p w:rsidR="001B4990" w:rsidRPr="00404750" w:rsidP="000B371B" w14:paraId="2C6DA3C8" w14:textId="77777777">
            <w:pPr>
              <w:spacing w:line="276" w:lineRule="auto"/>
              <w:jc w:val="center"/>
              <w:rPr>
                <w:rFonts w:ascii="Calibri" w:hAnsi="Calibri" w:cs="Calibri"/>
                <w:b/>
              </w:rPr>
            </w:pPr>
          </w:p>
        </w:tc>
        <w:tc>
          <w:tcPr>
            <w:tcW w:w="1260" w:type="dxa"/>
            <w:shd w:val="clear" w:color="auto" w:fill="auto"/>
            <w:vAlign w:val="center"/>
          </w:tcPr>
          <w:p w:rsidR="001B4990" w:rsidRPr="00404750" w:rsidP="000B371B" w14:paraId="0530FC63" w14:textId="77777777">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001B4990" w:rsidRPr="00404750" w:rsidP="000B371B" w14:paraId="434F1571" w14:textId="77777777">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rsidR="001B4990" w:rsidRPr="00404750" w:rsidP="000B371B" w14:paraId="4BF661B9" w14:textId="4C0AA207">
            <w:pPr>
              <w:spacing w:line="276" w:lineRule="auto"/>
              <w:jc w:val="center"/>
              <w:rPr>
                <w:rFonts w:ascii="Calibri" w:hAnsi="Calibri" w:cs="Calibri"/>
                <w:b/>
              </w:rPr>
            </w:pPr>
            <w:r w:rsidRPr="00404750">
              <w:rPr>
                <w:rFonts w:ascii="Calibri" w:hAnsi="Calibri" w:cs="Calibri"/>
                <w:b/>
              </w:rPr>
              <w:t>Number of</w:t>
            </w:r>
            <w:r w:rsidR="0018314A">
              <w:rPr>
                <w:rFonts w:ascii="Calibri" w:hAnsi="Calibri" w:cs="Calibri"/>
                <w:b/>
              </w:rPr>
              <w:t xml:space="preserve"> Potential</w:t>
            </w:r>
          </w:p>
          <w:p w:rsidR="001B4990" w:rsidRPr="00404750" w:rsidP="000B371B" w14:paraId="460FCF99" w14:textId="77777777">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rsidR="001B4990" w:rsidRPr="00404750" w:rsidP="000B371B" w14:paraId="679BEECE" w14:textId="4DA018DA">
            <w:pPr>
              <w:spacing w:line="276" w:lineRule="auto"/>
              <w:jc w:val="center"/>
              <w:rPr>
                <w:rFonts w:ascii="Calibri" w:hAnsi="Calibri" w:cs="Calibri"/>
                <w:b/>
              </w:rPr>
            </w:pPr>
            <w:r>
              <w:rPr>
                <w:rFonts w:ascii="Calibri" w:hAnsi="Calibri" w:cs="Calibri"/>
                <w:b/>
              </w:rPr>
              <w:t xml:space="preserve">Potential </w:t>
            </w: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rsidR="001B4990" w:rsidRPr="00404750" w:rsidP="000B371B" w14:paraId="642546F3" w14:textId="77777777">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rsidR="001B4990" w:rsidRPr="00404750" w:rsidP="000B371B" w14:paraId="051FCA9F" w14:textId="77777777">
            <w:pPr>
              <w:spacing w:line="276" w:lineRule="auto"/>
              <w:jc w:val="center"/>
              <w:rPr>
                <w:rFonts w:ascii="Calibri" w:hAnsi="Calibri" w:cs="Calibri"/>
                <w:b/>
              </w:rPr>
            </w:pPr>
            <w:r w:rsidRPr="00404750">
              <w:rPr>
                <w:rFonts w:ascii="Calibri" w:hAnsi="Calibri" w:cs="Calibri"/>
                <w:b/>
              </w:rPr>
              <w:t>Burden Hours</w:t>
            </w:r>
          </w:p>
        </w:tc>
      </w:tr>
      <w:tr w14:paraId="39E64CC9" w14:textId="77777777" w:rsidTr="000B371B">
        <w:tblPrEx>
          <w:tblW w:w="8190" w:type="dxa"/>
          <w:tblInd w:w="288" w:type="dxa"/>
          <w:tblLayout w:type="fixed"/>
          <w:tblLook w:val="01E0"/>
        </w:tblPrEx>
        <w:tc>
          <w:tcPr>
            <w:tcW w:w="450" w:type="dxa"/>
          </w:tcPr>
          <w:p w:rsidR="001B4990" w:rsidRPr="00404750" w:rsidP="000B371B" w14:paraId="188ACEAE" w14:textId="77777777">
            <w:pPr>
              <w:spacing w:line="276" w:lineRule="auto"/>
              <w:rPr>
                <w:rFonts w:ascii="Calibri" w:hAnsi="Calibri" w:cs="Calibri"/>
              </w:rPr>
            </w:pPr>
          </w:p>
        </w:tc>
        <w:tc>
          <w:tcPr>
            <w:tcW w:w="1260" w:type="dxa"/>
            <w:shd w:val="clear" w:color="auto" w:fill="auto"/>
            <w:vAlign w:val="center"/>
          </w:tcPr>
          <w:p w:rsidR="001B4990" w:rsidRPr="00404750" w:rsidP="000B371B" w14:paraId="2027987E" w14:textId="77777777">
            <w:pPr>
              <w:spacing w:line="276" w:lineRule="auto"/>
              <w:rPr>
                <w:rFonts w:ascii="Calibri" w:hAnsi="Calibri" w:cs="Calibri"/>
              </w:rPr>
            </w:pPr>
          </w:p>
        </w:tc>
        <w:tc>
          <w:tcPr>
            <w:tcW w:w="1350" w:type="dxa"/>
            <w:shd w:val="clear" w:color="auto" w:fill="auto"/>
            <w:vAlign w:val="center"/>
          </w:tcPr>
          <w:p w:rsidR="001B4990" w:rsidRPr="00404750" w:rsidP="000B371B" w14:paraId="2A11E4DA" w14:textId="77777777">
            <w:pPr>
              <w:spacing w:line="276" w:lineRule="auto"/>
              <w:rPr>
                <w:rFonts w:ascii="Calibri" w:hAnsi="Calibri" w:cs="Calibri"/>
              </w:rPr>
            </w:pPr>
          </w:p>
        </w:tc>
        <w:tc>
          <w:tcPr>
            <w:tcW w:w="1350" w:type="dxa"/>
            <w:tcBorders>
              <w:left w:val="single" w:sz="18" w:space="0" w:color="auto"/>
            </w:tcBorders>
            <w:shd w:val="clear" w:color="auto" w:fill="auto"/>
            <w:vAlign w:val="center"/>
          </w:tcPr>
          <w:p w:rsidR="001B4990" w:rsidRPr="00404750" w:rsidP="000B371B" w14:paraId="0B855930" w14:textId="77777777">
            <w:pPr>
              <w:spacing w:line="276" w:lineRule="auto"/>
              <w:rPr>
                <w:rFonts w:ascii="Calibri" w:hAnsi="Calibri" w:cs="Calibri"/>
              </w:rPr>
            </w:pPr>
          </w:p>
        </w:tc>
        <w:tc>
          <w:tcPr>
            <w:tcW w:w="1170" w:type="dxa"/>
            <w:tcBorders>
              <w:right w:val="single" w:sz="8" w:space="0" w:color="auto"/>
            </w:tcBorders>
            <w:shd w:val="clear" w:color="auto" w:fill="auto"/>
            <w:vAlign w:val="center"/>
          </w:tcPr>
          <w:p w:rsidR="001B4990" w:rsidRPr="00404750" w:rsidP="000B371B" w14:paraId="15BB3FB0" w14:textId="77777777">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rsidR="001B4990" w:rsidRPr="00404750" w:rsidP="000B371B" w14:paraId="4B86EDB9" w14:textId="77777777">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rsidR="001B4990" w:rsidRPr="00404750" w:rsidP="000B371B" w14:paraId="125AA12F" w14:textId="77777777">
            <w:pPr>
              <w:spacing w:line="276" w:lineRule="auto"/>
              <w:rPr>
                <w:rFonts w:ascii="Calibri" w:hAnsi="Calibri" w:cs="Calibri"/>
              </w:rPr>
            </w:pPr>
          </w:p>
        </w:tc>
      </w:tr>
      <w:tr w14:paraId="36235FB2" w14:textId="77777777" w:rsidTr="000B371B">
        <w:tblPrEx>
          <w:tblW w:w="8190" w:type="dxa"/>
          <w:tblInd w:w="288" w:type="dxa"/>
          <w:tblLayout w:type="fixed"/>
          <w:tblLook w:val="01E0"/>
        </w:tblPrEx>
        <w:tc>
          <w:tcPr>
            <w:tcW w:w="450" w:type="dxa"/>
          </w:tcPr>
          <w:p w:rsidR="001B4990" w:rsidRPr="00404750" w:rsidP="000B371B" w14:paraId="531C8426" w14:textId="77777777">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rsidR="001B4990" w:rsidRPr="00404750" w:rsidP="000B371B" w14:paraId="08068A70" w14:textId="22ED9E10">
            <w:pPr>
              <w:spacing w:line="276" w:lineRule="auto"/>
              <w:rPr>
                <w:rFonts w:ascii="Calibri" w:hAnsi="Calibri" w:cs="Calibri"/>
              </w:rPr>
            </w:pPr>
            <w:r>
              <w:rPr>
                <w:rFonts w:ascii="Calibri" w:hAnsi="Calibri" w:cs="Calibri"/>
              </w:rPr>
              <w:t>9-4</w:t>
            </w:r>
            <w:r w:rsidR="00FF3592">
              <w:rPr>
                <w:rFonts w:ascii="Calibri" w:hAnsi="Calibri" w:cs="Calibri"/>
              </w:rPr>
              <w:t>117</w:t>
            </w:r>
            <w:r>
              <w:rPr>
                <w:rFonts w:ascii="Calibri" w:hAnsi="Calibri" w:cs="Calibri"/>
              </w:rPr>
              <w:t>-</w:t>
            </w:r>
            <w:r w:rsidR="00FF3592">
              <w:rPr>
                <w:rFonts w:ascii="Calibri" w:hAnsi="Calibri" w:cs="Calibri"/>
              </w:rPr>
              <w:t>M</w:t>
            </w:r>
            <w:r>
              <w:rPr>
                <w:rFonts w:ascii="Calibri" w:hAnsi="Calibri" w:cs="Calibri"/>
              </w:rPr>
              <w:t>A</w:t>
            </w:r>
          </w:p>
        </w:tc>
        <w:tc>
          <w:tcPr>
            <w:tcW w:w="1350" w:type="dxa"/>
            <w:shd w:val="clear" w:color="auto" w:fill="auto"/>
            <w:vAlign w:val="center"/>
          </w:tcPr>
          <w:p w:rsidR="001B4990" w:rsidRPr="00404750" w:rsidP="000B371B" w14:paraId="7DF99BFD" w14:textId="57D8E985">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1B4990" w:rsidRPr="00404750" w:rsidP="000B371B" w14:paraId="6BE226AE" w14:textId="36DA6C6A">
            <w:pPr>
              <w:spacing w:line="276" w:lineRule="auto"/>
              <w:jc w:val="right"/>
              <w:rPr>
                <w:rFonts w:ascii="Calibri" w:hAnsi="Calibri" w:cs="Calibri"/>
              </w:rPr>
            </w:pPr>
            <w:r>
              <w:rPr>
                <w:rFonts w:ascii="Calibri" w:hAnsi="Calibri" w:cs="Calibri"/>
              </w:rPr>
              <w:t>106</w:t>
            </w:r>
          </w:p>
        </w:tc>
        <w:tc>
          <w:tcPr>
            <w:tcW w:w="1170" w:type="dxa"/>
            <w:tcBorders>
              <w:right w:val="single" w:sz="8" w:space="0" w:color="auto"/>
            </w:tcBorders>
            <w:shd w:val="clear" w:color="auto" w:fill="auto"/>
            <w:vAlign w:val="center"/>
          </w:tcPr>
          <w:p w:rsidR="001B4990" w:rsidRPr="00404750" w:rsidP="000B371B" w14:paraId="5DF2BF18" w14:textId="6A3A4042">
            <w:pPr>
              <w:spacing w:line="276" w:lineRule="auto"/>
              <w:jc w:val="right"/>
              <w:rPr>
                <w:rFonts w:ascii="Calibri" w:hAnsi="Calibri" w:cs="Calibri"/>
              </w:rPr>
            </w:pPr>
            <w:r>
              <w:rPr>
                <w:rFonts w:ascii="Calibri" w:hAnsi="Calibri" w:cs="Calibri"/>
              </w:rPr>
              <w:t>1</w:t>
            </w:r>
            <w:r w:rsidR="00992C66">
              <w:rPr>
                <w:rFonts w:ascii="Calibri" w:hAnsi="Calibri" w:cs="Calibri"/>
              </w:rPr>
              <w:t>,</w:t>
            </w:r>
            <w:r>
              <w:rPr>
                <w:rFonts w:ascii="Calibri" w:hAnsi="Calibri" w:cs="Calibri"/>
              </w:rPr>
              <w:t>272</w:t>
            </w:r>
          </w:p>
        </w:tc>
        <w:tc>
          <w:tcPr>
            <w:tcW w:w="1260" w:type="dxa"/>
            <w:tcBorders>
              <w:left w:val="single" w:sz="8" w:space="0" w:color="auto"/>
              <w:right w:val="single" w:sz="12" w:space="0" w:color="auto"/>
            </w:tcBorders>
            <w:shd w:val="clear" w:color="auto" w:fill="auto"/>
            <w:vAlign w:val="center"/>
          </w:tcPr>
          <w:p w:rsidR="001B4990" w:rsidRPr="00404750" w:rsidP="000B371B" w14:paraId="4499EC7C" w14:textId="4C801558">
            <w:pPr>
              <w:spacing w:line="276" w:lineRule="auto"/>
              <w:jc w:val="center"/>
              <w:rPr>
                <w:rFonts w:ascii="Calibri" w:hAnsi="Calibri" w:cs="Calibri"/>
              </w:rPr>
            </w:pPr>
            <w:r>
              <w:rPr>
                <w:rFonts w:ascii="Calibri" w:hAnsi="Calibri" w:cs="Calibri"/>
              </w:rPr>
              <w:t>4</w:t>
            </w:r>
            <w:r w:rsidR="009703B1">
              <w:rPr>
                <w:rFonts w:ascii="Calibri" w:hAnsi="Calibri" w:cs="Calibri"/>
              </w:rPr>
              <w:t>5</w:t>
            </w:r>
            <w:r>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1B4990" w:rsidRPr="00404750" w:rsidP="000B371B" w14:paraId="6012390C" w14:textId="65BB53F4">
            <w:pPr>
              <w:spacing w:line="276" w:lineRule="auto"/>
              <w:jc w:val="right"/>
              <w:rPr>
                <w:rFonts w:ascii="Calibri" w:hAnsi="Calibri" w:cs="Calibri"/>
              </w:rPr>
            </w:pPr>
            <w:r>
              <w:rPr>
                <w:rFonts w:ascii="Calibri" w:hAnsi="Calibri" w:cs="Calibri"/>
              </w:rPr>
              <w:t>954</w:t>
            </w:r>
          </w:p>
        </w:tc>
      </w:tr>
      <w:tr w14:paraId="5A4E4C3C" w14:textId="77777777" w:rsidTr="000B371B">
        <w:tblPrEx>
          <w:tblW w:w="8190" w:type="dxa"/>
          <w:tblInd w:w="288" w:type="dxa"/>
          <w:tblLayout w:type="fixed"/>
          <w:tblLook w:val="01E0"/>
        </w:tblPrEx>
        <w:tc>
          <w:tcPr>
            <w:tcW w:w="450" w:type="dxa"/>
          </w:tcPr>
          <w:p w:rsidR="00D75066" w:rsidP="000B371B" w14:paraId="76C46159" w14:textId="08CF7C55">
            <w:pPr>
              <w:spacing w:line="276" w:lineRule="auto"/>
              <w:jc w:val="right"/>
              <w:rPr>
                <w:rFonts w:ascii="Calibri" w:hAnsi="Calibri" w:cs="Calibri"/>
              </w:rPr>
            </w:pPr>
            <w:r>
              <w:rPr>
                <w:rFonts w:ascii="Calibri" w:hAnsi="Calibri" w:cs="Calibri"/>
              </w:rPr>
              <w:t>2</w:t>
            </w:r>
          </w:p>
        </w:tc>
        <w:tc>
          <w:tcPr>
            <w:tcW w:w="1260" w:type="dxa"/>
            <w:shd w:val="clear" w:color="auto" w:fill="auto"/>
            <w:vAlign w:val="center"/>
          </w:tcPr>
          <w:p w:rsidR="00D75066" w:rsidP="000B371B" w14:paraId="66D778B5" w14:textId="64EC3A69">
            <w:pPr>
              <w:spacing w:line="276" w:lineRule="auto"/>
              <w:rPr>
                <w:rFonts w:ascii="Calibri" w:hAnsi="Calibri" w:cs="Calibri"/>
              </w:rPr>
            </w:pPr>
            <w:r>
              <w:rPr>
                <w:rFonts w:ascii="Calibri" w:hAnsi="Calibri" w:cs="Calibri"/>
              </w:rPr>
              <w:t>9-4117-MA</w:t>
            </w:r>
          </w:p>
        </w:tc>
        <w:tc>
          <w:tcPr>
            <w:tcW w:w="1350" w:type="dxa"/>
            <w:shd w:val="clear" w:color="auto" w:fill="auto"/>
            <w:vAlign w:val="center"/>
          </w:tcPr>
          <w:p w:rsidR="00D75066" w:rsidP="000B371B" w14:paraId="733EAED0" w14:textId="540D51B4">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75066" w:rsidP="000B371B" w14:paraId="46C55374" w14:textId="710C07BA">
            <w:pPr>
              <w:spacing w:line="276" w:lineRule="auto"/>
              <w:jc w:val="right"/>
              <w:rPr>
                <w:rFonts w:ascii="Calibri" w:hAnsi="Calibri" w:cs="Calibri"/>
              </w:rPr>
            </w:pPr>
            <w:r>
              <w:rPr>
                <w:rFonts w:ascii="Calibri" w:hAnsi="Calibri" w:cs="Calibri"/>
              </w:rPr>
              <w:t>153</w:t>
            </w:r>
          </w:p>
        </w:tc>
        <w:tc>
          <w:tcPr>
            <w:tcW w:w="1170" w:type="dxa"/>
            <w:tcBorders>
              <w:right w:val="single" w:sz="8" w:space="0" w:color="auto"/>
            </w:tcBorders>
            <w:shd w:val="clear" w:color="auto" w:fill="auto"/>
            <w:vAlign w:val="center"/>
          </w:tcPr>
          <w:p w:rsidR="00D75066" w:rsidP="000B371B" w14:paraId="1B1F6694" w14:textId="754F4D6D">
            <w:pPr>
              <w:spacing w:line="276" w:lineRule="auto"/>
              <w:jc w:val="right"/>
              <w:rPr>
                <w:rFonts w:ascii="Calibri" w:hAnsi="Calibri" w:cs="Calibri"/>
              </w:rPr>
            </w:pPr>
            <w:r>
              <w:rPr>
                <w:rFonts w:ascii="Calibri" w:hAnsi="Calibri" w:cs="Calibri"/>
              </w:rPr>
              <w:t>153</w:t>
            </w:r>
          </w:p>
        </w:tc>
        <w:tc>
          <w:tcPr>
            <w:tcW w:w="1260" w:type="dxa"/>
            <w:tcBorders>
              <w:left w:val="single" w:sz="8" w:space="0" w:color="auto"/>
              <w:right w:val="single" w:sz="12" w:space="0" w:color="auto"/>
            </w:tcBorders>
            <w:shd w:val="clear" w:color="auto" w:fill="auto"/>
            <w:vAlign w:val="center"/>
          </w:tcPr>
          <w:p w:rsidR="00D75066" w:rsidP="000B371B" w14:paraId="1EAF02A6" w14:textId="0FE9D6A6">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D75066" w:rsidP="000B371B" w14:paraId="3B056DB3" w14:textId="5AF4BD18">
            <w:pPr>
              <w:spacing w:line="276" w:lineRule="auto"/>
              <w:jc w:val="right"/>
              <w:rPr>
                <w:rFonts w:ascii="Calibri" w:hAnsi="Calibri" w:cs="Calibri"/>
              </w:rPr>
            </w:pPr>
            <w:r>
              <w:rPr>
                <w:rFonts w:ascii="Calibri" w:hAnsi="Calibri" w:cs="Calibri"/>
              </w:rPr>
              <w:t>115</w:t>
            </w:r>
          </w:p>
        </w:tc>
      </w:tr>
      <w:tr w14:paraId="4E3FA652" w14:textId="77777777" w:rsidTr="000B371B">
        <w:tblPrEx>
          <w:tblW w:w="8190" w:type="dxa"/>
          <w:tblInd w:w="288" w:type="dxa"/>
          <w:tblLayout w:type="fixed"/>
          <w:tblLook w:val="01E0"/>
        </w:tblPrEx>
        <w:tc>
          <w:tcPr>
            <w:tcW w:w="3060" w:type="dxa"/>
            <w:gridSpan w:val="3"/>
          </w:tcPr>
          <w:p w:rsidR="001B4990" w:rsidRPr="00A859BB" w:rsidP="000B371B" w14:paraId="05145ED2" w14:textId="77777777">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rsidR="001B4990" w:rsidRPr="00A859BB" w:rsidP="000B371B" w14:paraId="798648EC" w14:textId="2191565C">
            <w:pPr>
              <w:spacing w:line="276" w:lineRule="auto"/>
              <w:jc w:val="right"/>
              <w:rPr>
                <w:rFonts w:ascii="Calibri" w:hAnsi="Calibri" w:cs="Calibri"/>
                <w:b/>
              </w:rPr>
            </w:pPr>
            <w:r>
              <w:rPr>
                <w:rFonts w:ascii="Calibri" w:hAnsi="Calibri" w:cs="Calibri"/>
                <w:b/>
              </w:rPr>
              <w:t>2</w:t>
            </w:r>
            <w:r w:rsidR="007C7FAF">
              <w:rPr>
                <w:rFonts w:ascii="Calibri" w:hAnsi="Calibri" w:cs="Calibri"/>
                <w:b/>
              </w:rPr>
              <w:t>59</w:t>
            </w:r>
          </w:p>
        </w:tc>
        <w:tc>
          <w:tcPr>
            <w:tcW w:w="1170" w:type="dxa"/>
            <w:tcBorders>
              <w:right w:val="single" w:sz="8" w:space="0" w:color="auto"/>
            </w:tcBorders>
            <w:shd w:val="clear" w:color="auto" w:fill="auto"/>
            <w:vAlign w:val="center"/>
          </w:tcPr>
          <w:p w:rsidR="001B4990" w:rsidRPr="00A859BB" w:rsidP="000B371B" w14:paraId="2FA86D23" w14:textId="66694C13">
            <w:pPr>
              <w:spacing w:line="276" w:lineRule="auto"/>
              <w:jc w:val="right"/>
              <w:rPr>
                <w:rFonts w:ascii="Calibri" w:hAnsi="Calibri" w:cs="Calibri"/>
                <w:b/>
              </w:rPr>
            </w:pPr>
            <w:r>
              <w:rPr>
                <w:rFonts w:ascii="Calibri" w:hAnsi="Calibri" w:cs="Calibri"/>
                <w:b/>
              </w:rPr>
              <w:t>1,425</w:t>
            </w:r>
          </w:p>
        </w:tc>
        <w:tc>
          <w:tcPr>
            <w:tcW w:w="1260" w:type="dxa"/>
            <w:tcBorders>
              <w:left w:val="single" w:sz="8" w:space="0" w:color="auto"/>
              <w:right w:val="single" w:sz="12" w:space="0" w:color="auto"/>
            </w:tcBorders>
            <w:shd w:val="clear" w:color="auto" w:fill="D9D9D9"/>
            <w:vAlign w:val="center"/>
          </w:tcPr>
          <w:p w:rsidR="001B4990" w:rsidRPr="00A859BB" w:rsidP="000B371B" w14:paraId="6B6FA4AA" w14:textId="77777777">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rsidR="001B4990" w:rsidRPr="00A859BB" w:rsidP="000B371B" w14:paraId="350CFC81" w14:textId="2F70A324">
            <w:pPr>
              <w:spacing w:line="276" w:lineRule="auto"/>
              <w:jc w:val="right"/>
              <w:rPr>
                <w:rFonts w:ascii="Calibri" w:hAnsi="Calibri" w:cs="Calibri"/>
                <w:b/>
              </w:rPr>
            </w:pPr>
            <w:r>
              <w:rPr>
                <w:rFonts w:ascii="Calibri" w:hAnsi="Calibri" w:cs="Calibri"/>
                <w:b/>
              </w:rPr>
              <w:t>1,069</w:t>
            </w:r>
          </w:p>
        </w:tc>
      </w:tr>
    </w:tbl>
    <w:p w:rsidR="00845558" w:rsidP="00DC4E17" w14:paraId="0F182B5F" w14:textId="77777777">
      <w:pPr>
        <w:pStyle w:val="NoSpacing"/>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rsidR="00A7514E" w:rsidP="008126AE" w14:paraId="4E065110" w14:textId="6360B8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FD642D" w:rsidP="008126AE" w14:paraId="3738302A" w14:textId="00CD52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BE35FB">
        <w:rPr>
          <w:rFonts w:ascii="Calibri" w:hAnsi="Calibri" w:cs="Calibri"/>
          <w:sz w:val="22"/>
          <w:szCs w:val="22"/>
        </w:rPr>
        <w:t xml:space="preserve">The Consolidated Consumers’ Report response rate is </w:t>
      </w:r>
      <w:r w:rsidR="00EB6E7F">
        <w:rPr>
          <w:rFonts w:ascii="Calibri" w:hAnsi="Calibri" w:cs="Calibri"/>
          <w:sz w:val="22"/>
          <w:szCs w:val="22"/>
        </w:rPr>
        <w:t xml:space="preserve">29 percent. To investigate whether a significant bias is introduced by this Information Collection’s low response rate, a Mann-Whitney U Test was conducted (on the key statistic: Consumption). No statistically significant difference was found between respondents and </w:t>
      </w:r>
      <w:r w:rsidR="00C26627">
        <w:rPr>
          <w:rFonts w:ascii="Calibri" w:hAnsi="Calibri" w:cs="Calibri"/>
          <w:sz w:val="22"/>
          <w:szCs w:val="22"/>
        </w:rPr>
        <w:t>non-respondents. Nevertheless, a committee has been empaneled to seek ways to boost this Information Collection’s response rate without increased reporting burden.</w:t>
      </w:r>
    </w:p>
    <w:p w:rsidR="00EA7257" w:rsidP="008126AE" w14:paraId="207909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5C17DE" w:rsidP="008126AE" w14:paraId="5E7796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rsidR="008126AE" w:rsidRPr="005C17DE" w:rsidP="008126AE" w14:paraId="2CE46C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rsidR="008126AE" w:rsidRPr="005C17DE" w:rsidP="008126AE" w14:paraId="522891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rsidR="008126AE" w:rsidRPr="005C17DE" w:rsidP="008126AE" w14:paraId="796EC8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Degree of accuracy needed for the purpose described in the justification,</w:t>
      </w:r>
    </w:p>
    <w:p w:rsidR="008126AE" w:rsidRPr="005C17DE" w:rsidP="008126AE" w14:paraId="2A0645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rsidR="008126AE" w:rsidRPr="005C17DE" w:rsidP="008126AE" w14:paraId="4D9E72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Any use of periodic (less frequent than annual) data collection cycles to reduce burden.</w:t>
      </w:r>
    </w:p>
    <w:p w:rsidR="00A76BEF" w:rsidP="008126AE" w14:paraId="52AD6A8F" w14:textId="119942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04D50" w:rsidP="0043772B" w14:paraId="16BFB8A1" w14:textId="37E9DA7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This</w:t>
      </w:r>
      <w:r w:rsidR="003A3C5C">
        <w:rPr>
          <w:rFonts w:ascii="Calibri" w:hAnsi="Calibri" w:cs="Calibri"/>
          <w:sz w:val="22"/>
          <w:szCs w:val="22"/>
        </w:rPr>
        <w:t xml:space="preserve"> canvass does not employ sampling techniques. In some cases, individual establishments, by mutual agreement, have converted to reporting on an annual, rather than a monthly basis to reduce their burden. For those establishments, a monthly response is imputed from their annual response. Data are imputed for all non</w:t>
      </w:r>
      <w:r w:rsidR="00AA6FFB">
        <w:rPr>
          <w:rFonts w:ascii="Calibri" w:hAnsi="Calibri" w:cs="Calibri"/>
          <w:sz w:val="22"/>
          <w:szCs w:val="22"/>
        </w:rPr>
        <w:t>-</w:t>
      </w:r>
      <w:r w:rsidR="003A3C5C">
        <w:rPr>
          <w:rFonts w:ascii="Calibri" w:hAnsi="Calibri" w:cs="Calibri"/>
          <w:sz w:val="22"/>
          <w:szCs w:val="22"/>
        </w:rPr>
        <w:t xml:space="preserve">respondents. </w:t>
      </w:r>
      <w:r w:rsidR="000F5EF5">
        <w:rPr>
          <w:rFonts w:ascii="Calibri" w:hAnsi="Calibri" w:cs="Calibri"/>
          <w:sz w:val="22"/>
          <w:szCs w:val="22"/>
        </w:rPr>
        <w:t>Most</w:t>
      </w:r>
      <w:r w:rsidR="003A3C5C">
        <w:rPr>
          <w:rFonts w:ascii="Calibri" w:hAnsi="Calibri" w:cs="Calibri"/>
          <w:sz w:val="22"/>
          <w:szCs w:val="22"/>
        </w:rPr>
        <w:t xml:space="preserve"> published statistics are rounded to three significant digits. Estimation procedures for non</w:t>
      </w:r>
      <w:r w:rsidR="000F5EF5">
        <w:rPr>
          <w:rFonts w:ascii="Calibri" w:hAnsi="Calibri" w:cs="Calibri"/>
          <w:sz w:val="22"/>
          <w:szCs w:val="22"/>
        </w:rPr>
        <w:t>-</w:t>
      </w:r>
      <w:r w:rsidR="003A3C5C">
        <w:rPr>
          <w:rFonts w:ascii="Calibri" w:hAnsi="Calibri" w:cs="Calibri"/>
          <w:sz w:val="22"/>
          <w:szCs w:val="22"/>
        </w:rPr>
        <w:t>respondents are described in item (3) below.</w:t>
      </w:r>
    </w:p>
    <w:p w:rsidR="005C17DE" w:rsidP="00A56FDC" w14:paraId="1819B3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5C17DE" w:rsidP="008126AE" w14:paraId="2D0600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3.</w:t>
      </w:r>
      <w:r w:rsidRPr="005C17DE">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2D47E1" w:rsidP="00F43944" w14:paraId="2606BE44" w14:textId="77777777">
      <w:pPr>
        <w:pStyle w:val="BodyTextIndent"/>
        <w:ind w:left="0"/>
        <w:rPr>
          <w:rFonts w:ascii="Calibri" w:hAnsi="Calibri" w:cs="Calibri"/>
          <w:sz w:val="22"/>
          <w:szCs w:val="22"/>
          <w:lang w:val="en-US"/>
        </w:rPr>
      </w:pPr>
    </w:p>
    <w:p w:rsidR="00690CEF" w:rsidP="00690CEF" w14:paraId="327582E9" w14:textId="77777777">
      <w:pPr>
        <w:pStyle w:val="BodyTextIndent"/>
        <w:ind w:left="0" w:firstLine="360"/>
        <w:rPr>
          <w:rFonts w:ascii="Calibri" w:hAnsi="Calibri" w:cs="Calibri"/>
          <w:sz w:val="22"/>
          <w:szCs w:val="22"/>
          <w:lang w:val="en-US"/>
        </w:rPr>
      </w:pPr>
      <w:r>
        <w:rPr>
          <w:rFonts w:ascii="Calibri" w:hAnsi="Calibri" w:cs="Calibri"/>
          <w:sz w:val="22"/>
          <w:szCs w:val="22"/>
          <w:lang w:val="en-US"/>
        </w:rPr>
        <w:t>Mineral commodity specialists</w:t>
      </w:r>
      <w:r w:rsidR="00940BAB">
        <w:rPr>
          <w:rFonts w:ascii="Calibri" w:hAnsi="Calibri" w:cs="Calibri"/>
          <w:sz w:val="22"/>
          <w:szCs w:val="22"/>
          <w:lang w:val="en-US"/>
        </w:rPr>
        <w:t xml:space="preserve"> or statistical assistants call these monthly and annual nonrespondents or alternative company contacts on or before the data close-out date</w:t>
      </w:r>
      <w:r>
        <w:rPr>
          <w:rFonts w:ascii="Calibri" w:hAnsi="Calibri" w:cs="Calibri"/>
          <w:sz w:val="22"/>
          <w:szCs w:val="22"/>
          <w:lang w:val="en-US"/>
        </w:rPr>
        <w:t>.</w:t>
      </w:r>
    </w:p>
    <w:p w:rsidR="00690CEF" w:rsidP="00690CEF" w14:paraId="6B95F459" w14:textId="77777777">
      <w:pPr>
        <w:pStyle w:val="BodyTextIndent"/>
        <w:ind w:left="0"/>
        <w:rPr>
          <w:rFonts w:ascii="Calibri" w:hAnsi="Calibri" w:cs="Calibri"/>
          <w:sz w:val="22"/>
          <w:szCs w:val="22"/>
          <w:lang w:val="en-US"/>
        </w:rPr>
      </w:pPr>
      <w:r>
        <w:rPr>
          <w:rFonts w:ascii="Calibri" w:hAnsi="Calibri" w:cs="Calibri"/>
          <w:sz w:val="22"/>
          <w:szCs w:val="22"/>
          <w:u w:val="single"/>
          <w:lang w:val="en-US"/>
        </w:rPr>
        <w:t>Nonresponse</w:t>
      </w:r>
      <w:r>
        <w:rPr>
          <w:rFonts w:ascii="Calibri" w:hAnsi="Calibri" w:cs="Calibri"/>
          <w:sz w:val="22"/>
          <w:szCs w:val="22"/>
          <w:lang w:val="en-US"/>
        </w:rPr>
        <w:t>:</w:t>
      </w:r>
    </w:p>
    <w:p w:rsidR="00783119" w:rsidP="00690CEF" w14:paraId="6CA8D25E" w14:textId="612BE250">
      <w:pPr>
        <w:pStyle w:val="BodyTextIndent"/>
        <w:ind w:left="0" w:firstLine="360"/>
        <w:rPr>
          <w:rFonts w:ascii="Calibri" w:hAnsi="Calibri" w:cs="Calibri"/>
          <w:sz w:val="22"/>
          <w:szCs w:val="22"/>
          <w:lang w:val="en-US"/>
        </w:rPr>
      </w:pPr>
      <w:r>
        <w:rPr>
          <w:rFonts w:ascii="Calibri" w:hAnsi="Calibri" w:cs="Calibri"/>
          <w:sz w:val="22"/>
          <w:szCs w:val="22"/>
          <w:lang w:val="en-US"/>
        </w:rPr>
        <w:t>Several</w:t>
      </w:r>
      <w:r w:rsidR="00816F0B">
        <w:rPr>
          <w:rFonts w:ascii="Calibri" w:hAnsi="Calibri" w:cs="Calibri"/>
          <w:sz w:val="22"/>
          <w:szCs w:val="22"/>
          <w:lang w:val="en-US"/>
        </w:rPr>
        <w:t xml:space="preserve"> sources of information are used to impute data for nonrespondents. One important source of information is the data on the number of employees and employee hours that mining operations are required to submit to the </w:t>
      </w:r>
      <w:r w:rsidR="00816F0B">
        <w:rPr>
          <w:rFonts w:ascii="Calibri" w:hAnsi="Calibri" w:cs="Calibri"/>
          <w:b/>
          <w:bCs/>
          <w:sz w:val="22"/>
          <w:szCs w:val="22"/>
          <w:lang w:val="en-US"/>
        </w:rPr>
        <w:t>Mine Safety and Health Administration</w:t>
      </w:r>
      <w:r w:rsidR="00816F0B">
        <w:rPr>
          <w:rFonts w:ascii="Calibri" w:hAnsi="Calibri" w:cs="Calibri"/>
          <w:sz w:val="22"/>
          <w:szCs w:val="22"/>
          <w:lang w:val="en-US"/>
        </w:rPr>
        <w:t>. These employment data are closely related to consumption. Ratios of employee hours to consumption can be computed for companies that respond, and those ratios can be used to estimate consumption for nonrespondents.</w:t>
      </w:r>
    </w:p>
    <w:p w:rsidR="00D46256" w:rsidP="00690CEF" w14:paraId="7185D54E" w14:textId="6F23F6A3">
      <w:pPr>
        <w:pStyle w:val="BodyTextIndent"/>
        <w:ind w:left="0" w:firstLine="360"/>
        <w:rPr>
          <w:rFonts w:ascii="Calibri" w:hAnsi="Calibri" w:cs="Calibri"/>
          <w:sz w:val="22"/>
          <w:szCs w:val="22"/>
          <w:lang w:val="en-US"/>
        </w:rPr>
      </w:pPr>
      <w:r>
        <w:rPr>
          <w:rFonts w:ascii="Calibri" w:hAnsi="Calibri" w:cs="Calibri"/>
          <w:sz w:val="22"/>
          <w:szCs w:val="22"/>
          <w:lang w:val="en-US"/>
        </w:rPr>
        <w:t xml:space="preserve">Forms 10-K or 10-Q filed with the </w:t>
      </w:r>
      <w:r>
        <w:rPr>
          <w:rFonts w:ascii="Calibri" w:hAnsi="Calibri" w:cs="Calibri"/>
          <w:b/>
          <w:bCs/>
          <w:sz w:val="22"/>
          <w:szCs w:val="22"/>
          <w:lang w:val="en-US"/>
        </w:rPr>
        <w:t>Security and Exchange Commission</w:t>
      </w:r>
      <w:r>
        <w:rPr>
          <w:rFonts w:ascii="Calibri" w:hAnsi="Calibri" w:cs="Calibri"/>
          <w:sz w:val="22"/>
          <w:szCs w:val="22"/>
          <w:lang w:val="en-US"/>
        </w:rPr>
        <w:t xml:space="preserve"> and company annual reports can also provide valuable sources of information. Publicly traded companies must file annual reports on Form 10-K (OMB Control Number 3225-0063) including comprehensive overviews of their business and financial conditions and audited financial statements. </w:t>
      </w:r>
      <w:r w:rsidR="00311B5D">
        <w:rPr>
          <w:rFonts w:ascii="Calibri" w:hAnsi="Calibri" w:cs="Calibri"/>
          <w:sz w:val="22"/>
          <w:szCs w:val="22"/>
          <w:lang w:val="en-US"/>
        </w:rPr>
        <w:t>This form may also contain consumption and sales information. Publicly traded companies sometimes elect to send Form 10-K to shareholders in lieu of less detailed annual reports. Publicly traded companies must also file Form 10-Q (OMB Control Number 3235-0070) quarterly.</w:t>
      </w:r>
      <w:r w:rsidR="00E469A3">
        <w:rPr>
          <w:rFonts w:ascii="Calibri" w:hAnsi="Calibri" w:cs="Calibri"/>
          <w:sz w:val="22"/>
          <w:szCs w:val="22"/>
          <w:lang w:val="en-US"/>
        </w:rPr>
        <w:t xml:space="preserve"> Firms include information for the final quarter of a firm’s fiscal year in the annual Form 10-K; therefore, only three Form 10-Q filings are made each year. Form 10-Q contains similar information to the annual Form 10-K; however, the information is generally less detailed, and the financial statements are generally unaudited.</w:t>
      </w:r>
    </w:p>
    <w:p w:rsidR="00D80EEB" w:rsidP="00690CEF" w14:paraId="4463F45F" w14:textId="51B9BA2F">
      <w:pPr>
        <w:pStyle w:val="BodyTextIndent"/>
        <w:ind w:left="0" w:firstLine="360"/>
        <w:rPr>
          <w:rFonts w:ascii="Calibri" w:hAnsi="Calibri" w:cs="Calibri"/>
          <w:sz w:val="22"/>
          <w:szCs w:val="22"/>
          <w:lang w:val="en-US"/>
        </w:rPr>
      </w:pPr>
      <w:r>
        <w:rPr>
          <w:rFonts w:ascii="Calibri" w:hAnsi="Calibri" w:cs="Calibri"/>
          <w:sz w:val="22"/>
          <w:szCs w:val="22"/>
          <w:lang w:val="en-US"/>
        </w:rPr>
        <w:t xml:space="preserve">The </w:t>
      </w:r>
      <w:r w:rsidR="00F03B84">
        <w:rPr>
          <w:rFonts w:ascii="Calibri" w:hAnsi="Calibri" w:cs="Calibri"/>
          <w:sz w:val="22"/>
          <w:szCs w:val="22"/>
          <w:lang w:val="en-US"/>
        </w:rPr>
        <w:t>U.S. Geological Survey (</w:t>
      </w:r>
      <w:r>
        <w:rPr>
          <w:rFonts w:ascii="Calibri" w:hAnsi="Calibri" w:cs="Calibri"/>
          <w:sz w:val="22"/>
          <w:szCs w:val="22"/>
          <w:lang w:val="en-US"/>
        </w:rPr>
        <w:t>USGS</w:t>
      </w:r>
      <w:r w:rsidR="00F03B84">
        <w:rPr>
          <w:rFonts w:ascii="Calibri" w:hAnsi="Calibri" w:cs="Calibri"/>
          <w:sz w:val="22"/>
          <w:szCs w:val="22"/>
          <w:lang w:val="en-US"/>
        </w:rPr>
        <w:t>)</w:t>
      </w:r>
      <w:r>
        <w:rPr>
          <w:rFonts w:ascii="Calibri" w:hAnsi="Calibri" w:cs="Calibri"/>
          <w:sz w:val="22"/>
          <w:szCs w:val="22"/>
          <w:lang w:val="en-US"/>
        </w:rPr>
        <w:t xml:space="preserve"> also retrieves</w:t>
      </w:r>
      <w:r w:rsidR="00F03B84">
        <w:rPr>
          <w:rFonts w:ascii="Calibri" w:hAnsi="Calibri" w:cs="Calibri"/>
          <w:sz w:val="22"/>
          <w:szCs w:val="22"/>
          <w:lang w:val="en-US"/>
        </w:rPr>
        <w:t xml:space="preserve"> from company Web sites state-of-the-company annual shareholder reports containing financial data, results of continuing operations, market segment information, new product plans, subsidiary activities, and research and development activities on future programs.</w:t>
      </w:r>
    </w:p>
    <w:p w:rsidR="00AE78B0" w:rsidP="00690CEF" w14:paraId="09E7FDE2" w14:textId="5D28775D">
      <w:pPr>
        <w:pStyle w:val="BodyTextIndent"/>
        <w:ind w:left="0" w:firstLine="360"/>
        <w:rPr>
          <w:rFonts w:ascii="Calibri" w:hAnsi="Calibri" w:cs="Calibri"/>
          <w:sz w:val="22"/>
          <w:szCs w:val="22"/>
          <w:lang w:val="en-US"/>
        </w:rPr>
      </w:pPr>
      <w:r>
        <w:rPr>
          <w:rFonts w:ascii="Calibri" w:hAnsi="Calibri" w:cs="Calibri"/>
          <w:sz w:val="22"/>
          <w:szCs w:val="22"/>
          <w:lang w:val="en-US"/>
        </w:rPr>
        <w:t xml:space="preserve">The USGS believes that there is no significant nonresponse bias because of the suitable information on which to base imputations. This Information Collection Request does not contain a canvass of </w:t>
      </w:r>
      <w:r>
        <w:rPr>
          <w:rFonts w:ascii="Calibri" w:hAnsi="Calibri" w:cs="Calibri"/>
          <w:sz w:val="22"/>
          <w:szCs w:val="22"/>
          <w:lang w:val="en-US"/>
        </w:rPr>
        <w:t>opinion.</w:t>
      </w:r>
    </w:p>
    <w:p w:rsidR="004D472B" w:rsidRPr="00D46256" w:rsidP="00690CEF" w14:paraId="695DFFAD" w14:textId="7477FFE7">
      <w:pPr>
        <w:pStyle w:val="BodyTextIndent"/>
        <w:ind w:left="0" w:firstLine="360"/>
        <w:rPr>
          <w:rFonts w:ascii="Calibri" w:hAnsi="Calibri" w:cs="Calibri"/>
          <w:sz w:val="22"/>
          <w:szCs w:val="22"/>
          <w:lang w:val="en-US"/>
        </w:rPr>
      </w:pPr>
      <w:r>
        <w:rPr>
          <w:rFonts w:ascii="Calibri" w:hAnsi="Calibri" w:cs="Calibri"/>
          <w:sz w:val="22"/>
          <w:szCs w:val="22"/>
          <w:lang w:val="en-US"/>
        </w:rPr>
        <w:t>Industry acceptance of this canvass continues to be extremely positive.</w:t>
      </w:r>
    </w:p>
    <w:p w:rsidR="00F43944" w:rsidP="00F43944" w14:paraId="6BF347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5C17DE" w:rsidP="008126AE" w14:paraId="6EFA14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126AE" w:rsidP="008126AE" w14:paraId="0AFE68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445E8" w:rsidP="00290621" w14:paraId="0DB9CE7D" w14:textId="02B44B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Many of the USGS’ information customers are also businesses that respond to the single canvass in this Information Collection. USGS mineral commodity specialists are in frequent contact with companies by way of industry associations and conferences (for example, the International Tungsten Association, the Cobalt Development Institute, the International Chromium Development Association, the Tantalum-Niobium International Study Center, the International Molybdenum Association, and the International Titanium Association). The information exchanged with these industry associations and at conferences includes trade, consumption, and production statistics, as well as information on technology developments within the </w:t>
      </w:r>
      <w:r>
        <w:rPr>
          <w:rFonts w:ascii="Calibri" w:hAnsi="Calibri" w:cs="Calibri"/>
          <w:sz w:val="22"/>
          <w:szCs w:val="22"/>
        </w:rPr>
        <w:t>particular industry</w:t>
      </w:r>
      <w:r>
        <w:rPr>
          <w:rFonts w:ascii="Calibri" w:hAnsi="Calibri" w:cs="Calibri"/>
          <w:sz w:val="22"/>
          <w:szCs w:val="22"/>
        </w:rPr>
        <w:t>.</w:t>
      </w:r>
    </w:p>
    <w:p w:rsidR="00B70257" w:rsidP="00290621" w14:paraId="59CA3518" w14:textId="3D63CF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B70257" w:rsidP="00290621" w14:paraId="390BD81B" w14:textId="572052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Informal communications during periodic contacts with our customers allow us to determine if the published canvass data are meeting our needs. Any feedback concerning this information collection discussed during these communications or nonresponse follow-up telephone contacts is used as suggestions that might facilitate clarification or ease respondent burden. Respondents are also encouraged to submit comments via a feedback link on the Web at </w:t>
      </w:r>
      <w:r w:rsidRPr="0053170F">
        <w:rPr>
          <w:rFonts w:ascii="Calibri" w:hAnsi="Calibri" w:cs="Calibri"/>
          <w:sz w:val="22"/>
          <w:szCs w:val="22"/>
        </w:rPr>
        <w:t>https://mids.er.usgs.gov/Feedback</w:t>
      </w:r>
      <w:r>
        <w:rPr>
          <w:rFonts w:ascii="Calibri" w:hAnsi="Calibri" w:cs="Calibri"/>
          <w:sz w:val="22"/>
          <w:szCs w:val="22"/>
        </w:rPr>
        <w:t>. An</w:t>
      </w:r>
      <w:r w:rsidR="0053170F">
        <w:rPr>
          <w:rFonts w:ascii="Calibri" w:hAnsi="Calibri" w:cs="Calibri"/>
          <w:sz w:val="22"/>
          <w:szCs w:val="22"/>
        </w:rPr>
        <w:t xml:space="preserve"> annual letter is sent to our voluntary canvass respondents thanking them for their support and encouraging them to view our data products. At present, no formal tests are in process that would require clearance.</w:t>
      </w:r>
    </w:p>
    <w:p w:rsidR="005C17DE" w:rsidP="008126AE" w14:paraId="5F6D28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3B45" w:rsidRPr="005C17DE" w:rsidP="00A76BEF" w14:paraId="79B5F1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5.</w:t>
      </w:r>
      <w:r w:rsidRPr="005C17DE">
        <w:rPr>
          <w:b/>
          <w:sz w:val="24"/>
          <w:szCs w:val="24"/>
        </w:rPr>
        <w:tab/>
        <w:t>Provide the name</w:t>
      </w:r>
      <w:r w:rsidRPr="005C17DE" w:rsidR="00DD29FE">
        <w:rPr>
          <w:b/>
          <w:sz w:val="24"/>
          <w:szCs w:val="24"/>
        </w:rPr>
        <w:t>s</w:t>
      </w:r>
      <w:r w:rsidRPr="005C17DE">
        <w:rPr>
          <w:b/>
          <w:sz w:val="24"/>
          <w:szCs w:val="24"/>
        </w:rPr>
        <w:t xml:space="preserve"> and telephone number</w:t>
      </w:r>
      <w:r w:rsidRPr="005C17DE" w:rsidR="00DD29FE">
        <w:rPr>
          <w:b/>
          <w:sz w:val="24"/>
          <w:szCs w:val="24"/>
        </w:rPr>
        <w:t>s</w:t>
      </w:r>
      <w:r w:rsidRPr="005C17DE">
        <w:rPr>
          <w:b/>
          <w:sz w:val="24"/>
          <w:szCs w:val="24"/>
        </w:rPr>
        <w:t xml:space="preserve"> of individuals consulted on statistical aspects of the design and the name of the agency unit, contractor(s), grantee(s), or other person(s) who will </w:t>
      </w:r>
      <w:r w:rsidRPr="005C17DE">
        <w:rPr>
          <w:b/>
          <w:sz w:val="24"/>
          <w:szCs w:val="24"/>
        </w:rPr>
        <w:t>actually collect</w:t>
      </w:r>
      <w:r w:rsidRPr="005C17DE">
        <w:rPr>
          <w:b/>
          <w:sz w:val="24"/>
          <w:szCs w:val="24"/>
        </w:rPr>
        <w:t xml:space="preserve"> and/or analyze the information for the agency.</w:t>
      </w:r>
    </w:p>
    <w:p w:rsidR="00A76BEF" w:rsidP="00A76BEF" w14:paraId="540B76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76BEF" w:rsidP="007E2921" w14:paraId="56D5E1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For further information concerning this information collection, please contact:</w:t>
      </w:r>
    </w:p>
    <w:p w:rsidR="00F9535B" w:rsidRPr="00664CD7" w:rsidP="00AF6E26" w14:paraId="662CA356"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Jeffrey</w:t>
      </w:r>
      <w:r w:rsidR="00664CD7">
        <w:rPr>
          <w:rFonts w:ascii="Calibri" w:hAnsi="Calibri" w:cs="Calibri"/>
          <w:sz w:val="22"/>
          <w:szCs w:val="22"/>
        </w:rPr>
        <w:t xml:space="preserve"> P. Busse, Statistician, 703-648-4914, </w:t>
      </w:r>
      <w:r w:rsidRPr="00664CD7" w:rsidR="00664CD7">
        <w:rPr>
          <w:rFonts w:ascii="Calibri" w:hAnsi="Calibri" w:cs="Calibri"/>
          <w:sz w:val="22"/>
          <w:szCs w:val="22"/>
        </w:rPr>
        <w:t>jbusse@usgs.gov</w:t>
      </w:r>
      <w:r w:rsidR="00664CD7">
        <w:rPr>
          <w:rFonts w:ascii="Calibri" w:hAnsi="Calibri" w:cs="Calibri"/>
          <w:sz w:val="22"/>
          <w:szCs w:val="22"/>
        </w:rPr>
        <w:t>,</w:t>
      </w:r>
    </w:p>
    <w:p w:rsidR="00BF4071" w:rsidRPr="002778A8" w:rsidP="002778A8" w14:paraId="0B8FCC84" w14:textId="68B84296">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 xml:space="preserve">Elizabeth S. Sangine, Chief, Mineral Commodities Section, 703-648-7720, </w:t>
      </w:r>
      <w:r w:rsidRPr="00BF4071">
        <w:rPr>
          <w:rFonts w:ascii="Calibri" w:hAnsi="Calibri" w:cs="Calibri"/>
          <w:sz w:val="22"/>
          <w:szCs w:val="22"/>
        </w:rPr>
        <w:t>escottsangine@usgs.gov</w:t>
      </w:r>
      <w:r>
        <w:rPr>
          <w:rFonts w:ascii="Calibri" w:hAnsi="Calibri" w:cs="Calibri"/>
          <w:sz w:val="22"/>
          <w:szCs w:val="22"/>
        </w:rPr>
        <w:t>,</w:t>
      </w:r>
    </w:p>
    <w:p w:rsidR="000527D4" w:rsidP="00AF6E26" w14:paraId="11394B87"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cs="Calibri"/>
          <w:sz w:val="22"/>
          <w:szCs w:val="22"/>
        </w:rPr>
      </w:pPr>
      <w:r>
        <w:rPr>
          <w:rFonts w:ascii="Calibri" w:hAnsi="Calibri" w:cs="Calibri"/>
          <w:sz w:val="22"/>
          <w:szCs w:val="22"/>
        </w:rPr>
        <w:t>o</w:t>
      </w:r>
      <w:r>
        <w:rPr>
          <w:rFonts w:ascii="Calibri" w:hAnsi="Calibri" w:cs="Calibri"/>
          <w:sz w:val="22"/>
          <w:szCs w:val="22"/>
        </w:rPr>
        <w:t>r</w:t>
      </w:r>
    </w:p>
    <w:p w:rsidR="00DB4DE9" w:rsidRPr="00AF6E26" w:rsidP="00045CC9" w14:paraId="5E132906" w14:textId="4275E21A">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Shonta Osborne</w:t>
      </w:r>
      <w:r w:rsidRPr="00AF6E26" w:rsidR="00AF6E26">
        <w:rPr>
          <w:rFonts w:ascii="Calibri" w:hAnsi="Calibri" w:cs="Calibri"/>
          <w:sz w:val="22"/>
          <w:szCs w:val="22"/>
        </w:rPr>
        <w:t xml:space="preserve">, </w:t>
      </w:r>
      <w:r>
        <w:rPr>
          <w:rFonts w:ascii="Calibri" w:hAnsi="Calibri" w:cs="Calibri"/>
          <w:sz w:val="22"/>
          <w:szCs w:val="22"/>
        </w:rPr>
        <w:t xml:space="preserve">Chief, Data Collection and Analysis Group, </w:t>
      </w:r>
      <w:r w:rsidRPr="00AF6E26" w:rsidR="00AF6E26">
        <w:rPr>
          <w:rFonts w:ascii="Calibri" w:hAnsi="Calibri" w:cs="Calibri"/>
          <w:sz w:val="22"/>
          <w:szCs w:val="22"/>
        </w:rPr>
        <w:t>703-648-</w:t>
      </w:r>
      <w:r w:rsidR="00495C9F">
        <w:rPr>
          <w:rFonts w:ascii="Calibri" w:hAnsi="Calibri" w:cs="Calibri"/>
          <w:sz w:val="22"/>
          <w:szCs w:val="22"/>
        </w:rPr>
        <w:t>79</w:t>
      </w:r>
      <w:r>
        <w:rPr>
          <w:rFonts w:ascii="Calibri" w:hAnsi="Calibri" w:cs="Calibri"/>
          <w:sz w:val="22"/>
          <w:szCs w:val="22"/>
        </w:rPr>
        <w:t>60</w:t>
      </w:r>
      <w:r w:rsidRPr="00AF6E26" w:rsidR="00AF6E26">
        <w:rPr>
          <w:rFonts w:ascii="Calibri" w:hAnsi="Calibri" w:cs="Calibri"/>
          <w:sz w:val="22"/>
          <w:szCs w:val="22"/>
        </w:rPr>
        <w:t xml:space="preserve">, </w:t>
      </w:r>
      <w:r>
        <w:rPr>
          <w:rFonts w:ascii="Calibri" w:hAnsi="Calibri" w:cs="Calibri"/>
          <w:sz w:val="22"/>
          <w:szCs w:val="22"/>
        </w:rPr>
        <w:t>sosborne</w:t>
      </w:r>
      <w:r w:rsidRPr="00AF6E26" w:rsidR="00AF6E26">
        <w:rPr>
          <w:rFonts w:ascii="Calibri" w:hAnsi="Calibri" w:cs="Calibri"/>
          <w:sz w:val="22"/>
          <w:szCs w:val="22"/>
        </w:rPr>
        <w:t>@usgs.gov</w:t>
      </w:r>
      <w:r w:rsidRPr="00AF6E26" w:rsidR="00D60387">
        <w:rPr>
          <w:rFonts w:ascii="Calibri" w:hAnsi="Calibri" w:cs="Calibri"/>
          <w:sz w:val="22"/>
          <w:szCs w:val="22"/>
        </w:rPr>
        <w:t>.</w:t>
      </w:r>
    </w:p>
    <w:sectPr w:rsidSect="00EB3B45">
      <w:footerReference w:type="even"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6D7B" w:rsidP="00260880" w14:paraId="5AF059F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6D7B" w14:paraId="51B8F8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cs="Times New Roman"/>
        <w:sz w:val="20"/>
        <w:szCs w:val="20"/>
      </w:rPr>
      <w:id w:val="-1700473393"/>
      <w:placeholder>
        <w:docPart w:val="DefaultPlaceholder_1081868577"/>
      </w:placeholder>
      <w:docPartList>
        <w:docPartGallery w:val="Quick Parts"/>
      </w:docPartList>
    </w:sdtPr>
    <w:sdtContent>
      <w:tbl>
        <w:tblPr>
          <w:tblStyle w:val="TableGrid"/>
          <w:tblW w:w="0" w:type="auto"/>
          <w:tblBorders>
            <w:left w:val="none" w:sz="0" w:space="0" w:color="auto"/>
            <w:bottom w:val="none" w:sz="0" w:space="0" w:color="auto"/>
            <w:right w:val="none" w:sz="0" w:space="0" w:color="auto"/>
          </w:tblBorders>
          <w:tblLook w:val="04A0"/>
        </w:tblPr>
        <w:tblGrid>
          <w:gridCol w:w="6750"/>
          <w:gridCol w:w="2600"/>
        </w:tblGrid>
        <w:tr w14:paraId="49B07808" w14:textId="77777777" w:rsidTr="008C542C">
          <w:tblPrEx>
            <w:tblW w:w="0" w:type="auto"/>
            <w:tblBorders>
              <w:left w:val="none" w:sz="0" w:space="0" w:color="auto"/>
              <w:bottom w:val="none" w:sz="0" w:space="0" w:color="auto"/>
              <w:right w:val="none" w:sz="0" w:space="0" w:color="auto"/>
            </w:tblBorders>
            <w:tblLook w:val="04A0"/>
          </w:tblPrEx>
          <w:tc>
            <w:tcPr>
              <w:tcW w:w="6750" w:type="dxa"/>
            </w:tcPr>
            <w:p w:rsidR="00446D7B" w:rsidRPr="004513E4" w:rsidP="000B4D95" w14:paraId="1A1175C0" w14:textId="3931B531">
              <w:pPr>
                <w:pStyle w:val="Footer"/>
              </w:pPr>
              <w:r>
                <w:rPr>
                  <w:rFonts w:asciiTheme="minorHAnsi" w:hAnsiTheme="minorHAnsi" w:cstheme="minorHAnsi"/>
                  <w:noProof/>
                </w:rPr>
                <w:fldChar w:fldCharType="begin"/>
              </w:r>
              <w:r>
                <w:rPr>
                  <w:rFonts w:asciiTheme="minorHAnsi" w:hAnsiTheme="minorHAnsi" w:cstheme="minorHAnsi"/>
                  <w:noProof/>
                </w:rPr>
                <w:instrText xml:space="preserve"> FILENAME \* MERGEFORMAT </w:instrText>
              </w:r>
              <w:r>
                <w:rPr>
                  <w:rFonts w:asciiTheme="minorHAnsi" w:hAnsiTheme="minorHAnsi" w:cstheme="minorHAnsi"/>
                  <w:noProof/>
                </w:rPr>
                <w:fldChar w:fldCharType="separate"/>
              </w:r>
              <w:r>
                <w:rPr>
                  <w:rFonts w:asciiTheme="minorHAnsi" w:hAnsiTheme="minorHAnsi" w:cstheme="minorHAnsi"/>
                  <w:noProof/>
                </w:rPr>
                <w:t>1028-00</w:t>
              </w:r>
              <w:r w:rsidR="00B0689B">
                <w:rPr>
                  <w:rFonts w:asciiTheme="minorHAnsi" w:hAnsiTheme="minorHAnsi" w:cstheme="minorHAnsi"/>
                  <w:noProof/>
                </w:rPr>
                <w:t>70</w:t>
              </w:r>
              <w:r>
                <w:rPr>
                  <w:rFonts w:asciiTheme="minorHAnsi" w:hAnsiTheme="minorHAnsi" w:cstheme="minorHAnsi"/>
                  <w:noProof/>
                </w:rPr>
                <w:t xml:space="preserve"> SS-B C</w:t>
              </w:r>
              <w:r w:rsidR="00B0689B">
                <w:rPr>
                  <w:rFonts w:asciiTheme="minorHAnsi" w:hAnsiTheme="minorHAnsi" w:cstheme="minorHAnsi"/>
                  <w:noProof/>
                </w:rPr>
                <w:t>CR</w:t>
              </w:r>
              <w:r>
                <w:rPr>
                  <w:rFonts w:asciiTheme="minorHAnsi" w:hAnsiTheme="minorHAnsi" w:cstheme="minorHAnsi"/>
                  <w:noProof/>
                </w:rPr>
                <w:t xml:space="preserve"> 202</w:t>
              </w:r>
              <w:r w:rsidR="00B0689B">
                <w:rPr>
                  <w:rFonts w:asciiTheme="minorHAnsi" w:hAnsiTheme="minorHAnsi" w:cstheme="minorHAnsi"/>
                  <w:noProof/>
                </w:rPr>
                <w:t>20</w:t>
              </w:r>
              <w:r w:rsidR="00021D0F">
                <w:rPr>
                  <w:rFonts w:asciiTheme="minorHAnsi" w:hAnsiTheme="minorHAnsi" w:cstheme="minorHAnsi"/>
                  <w:noProof/>
                </w:rPr>
                <w:t>6</w:t>
              </w:r>
              <w:r w:rsidR="00B0689B">
                <w:rPr>
                  <w:rFonts w:asciiTheme="minorHAnsi" w:hAnsiTheme="minorHAnsi" w:cstheme="minorHAnsi"/>
                  <w:noProof/>
                </w:rPr>
                <w:t>0</w:t>
              </w:r>
              <w:r w:rsidR="00021D0F">
                <w:rPr>
                  <w:rFonts w:asciiTheme="minorHAnsi" w:hAnsiTheme="minorHAnsi" w:cstheme="minorHAnsi"/>
                  <w:noProof/>
                </w:rPr>
                <w:t>1</w:t>
              </w:r>
              <w:r>
                <w:rPr>
                  <w:rFonts w:asciiTheme="minorHAnsi" w:hAnsiTheme="minorHAnsi" w:cstheme="minorHAnsi"/>
                  <w:noProof/>
                </w:rPr>
                <w:t xml:space="preserve"> sts v</w:t>
              </w:r>
              <w:r w:rsidR="00021D0F">
                <w:rPr>
                  <w:rFonts w:asciiTheme="minorHAnsi" w:hAnsiTheme="minorHAnsi" w:cstheme="minorHAnsi"/>
                  <w:noProof/>
                </w:rPr>
                <w:t>2</w:t>
              </w:r>
              <w:r>
                <w:rPr>
                  <w:rFonts w:asciiTheme="minorHAnsi" w:hAnsiTheme="minorHAnsi" w:cstheme="minorHAnsi"/>
                  <w:noProof/>
                </w:rPr>
                <w:t>.docx</w:t>
              </w:r>
              <w:r>
                <w:rPr>
                  <w:rFonts w:asciiTheme="minorHAnsi" w:hAnsiTheme="minorHAnsi" w:cstheme="minorHAnsi"/>
                  <w:noProof/>
                </w:rPr>
                <w:fldChar w:fldCharType="end"/>
              </w:r>
            </w:p>
          </w:tc>
          <w:tc>
            <w:tcPr>
              <w:tcW w:w="2600" w:type="dxa"/>
            </w:tcPr>
            <w:p w:rsidR="00446D7B" w:rsidRPr="00B85A36" w:rsidP="008C542C" w14:paraId="2ADF0ADD" w14:textId="07782DEF">
              <w:pPr>
                <w:pStyle w:val="Footer"/>
                <w:jc w:val="right"/>
                <w:rPr>
                  <w:rFonts w:asciiTheme="minorHAnsi" w:hAnsiTheme="minorHAnsi" w:cstheme="minorHAnsi"/>
                </w:rPr>
              </w:pPr>
              <w:r w:rsidRPr="00B85A36">
                <w:rPr>
                  <w:rFonts w:asciiTheme="minorHAnsi" w:hAnsiTheme="minorHAnsi" w:cstheme="minorHAnsi"/>
                </w:rPr>
                <w:t xml:space="preserve">Page </w:t>
              </w:r>
              <w:r w:rsidRPr="00B85A36">
                <w:rPr>
                  <w:rFonts w:asciiTheme="minorHAnsi" w:hAnsiTheme="minorHAnsi" w:cstheme="minorHAnsi"/>
                </w:rPr>
                <w:fldChar w:fldCharType="begin"/>
              </w:r>
              <w:r w:rsidRPr="00B85A36">
                <w:rPr>
                  <w:rFonts w:asciiTheme="minorHAnsi" w:hAnsiTheme="minorHAnsi" w:cstheme="minorHAnsi"/>
                </w:rPr>
                <w:instrText xml:space="preserve"> PAGE  \* Arabic  \* MERGEFORMAT </w:instrText>
              </w:r>
              <w:r w:rsidRPr="00B85A36">
                <w:rPr>
                  <w:rFonts w:asciiTheme="minorHAnsi" w:hAnsiTheme="minorHAnsi" w:cstheme="minorHAnsi"/>
                </w:rPr>
                <w:fldChar w:fldCharType="separate"/>
              </w:r>
              <w:r w:rsidRPr="00B85A36" w:rsidR="00ED5297">
                <w:rPr>
                  <w:rFonts w:asciiTheme="minorHAnsi" w:hAnsiTheme="minorHAnsi" w:cstheme="minorHAnsi"/>
                  <w:noProof/>
                </w:rPr>
                <w:t>1</w:t>
              </w:r>
              <w:r w:rsidRPr="00B85A36">
                <w:rPr>
                  <w:rFonts w:asciiTheme="minorHAnsi" w:hAnsiTheme="minorHAnsi" w:cstheme="minorHAnsi"/>
                </w:rPr>
                <w:fldChar w:fldCharType="end"/>
              </w:r>
            </w:p>
          </w:tc>
        </w:tr>
      </w:tbl>
      <w:p w:rsidR="00446D7B" w:rsidRPr="004513E4" w14:paraId="11F9AA25" w14:textId="77777777">
        <w:pPr>
          <w:pStyle w:val="Footer"/>
        </w:pPr>
      </w:p>
      <w:p w:rsidR="00446D7B" w:rsidRPr="001272A9" w:rsidP="001272A9" w14:paraId="3200FBC0" w14:textId="77777777">
        <w:pPr>
          <w:pStyle w:val="Footer"/>
        </w:pP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8368B19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3C28AB"/>
    <w:multiLevelType w:val="hybridMultilevel"/>
    <w:tmpl w:val="3D1CD2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1F3494"/>
    <w:multiLevelType w:val="hybridMultilevel"/>
    <w:tmpl w:val="548C02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8126AE"/>
    <w:rsid w:val="0000048C"/>
    <w:rsid w:val="000011CE"/>
    <w:rsid w:val="000045B0"/>
    <w:rsid w:val="00013391"/>
    <w:rsid w:val="00013E19"/>
    <w:rsid w:val="000155F5"/>
    <w:rsid w:val="0001646E"/>
    <w:rsid w:val="00016F3B"/>
    <w:rsid w:val="00017A58"/>
    <w:rsid w:val="00020A40"/>
    <w:rsid w:val="00021D0F"/>
    <w:rsid w:val="0002488A"/>
    <w:rsid w:val="000327FB"/>
    <w:rsid w:val="000378BE"/>
    <w:rsid w:val="00037C25"/>
    <w:rsid w:val="000423B4"/>
    <w:rsid w:val="00043B68"/>
    <w:rsid w:val="000452CF"/>
    <w:rsid w:val="00045CC9"/>
    <w:rsid w:val="00050797"/>
    <w:rsid w:val="000516CD"/>
    <w:rsid w:val="000527D4"/>
    <w:rsid w:val="0005296C"/>
    <w:rsid w:val="00053AD0"/>
    <w:rsid w:val="00062E07"/>
    <w:rsid w:val="00065FE3"/>
    <w:rsid w:val="000660D8"/>
    <w:rsid w:val="00066A78"/>
    <w:rsid w:val="000715A3"/>
    <w:rsid w:val="00074FD4"/>
    <w:rsid w:val="00081FF9"/>
    <w:rsid w:val="000821EA"/>
    <w:rsid w:val="00083755"/>
    <w:rsid w:val="00086908"/>
    <w:rsid w:val="00087A9C"/>
    <w:rsid w:val="00090DE4"/>
    <w:rsid w:val="00092B57"/>
    <w:rsid w:val="000A3D5F"/>
    <w:rsid w:val="000B371B"/>
    <w:rsid w:val="000B4368"/>
    <w:rsid w:val="000B4D95"/>
    <w:rsid w:val="000C30DF"/>
    <w:rsid w:val="000D1F08"/>
    <w:rsid w:val="000D59F9"/>
    <w:rsid w:val="000E0050"/>
    <w:rsid w:val="000E70B8"/>
    <w:rsid w:val="000F5B84"/>
    <w:rsid w:val="000F5EF5"/>
    <w:rsid w:val="000F7232"/>
    <w:rsid w:val="00102270"/>
    <w:rsid w:val="00105DD0"/>
    <w:rsid w:val="00106967"/>
    <w:rsid w:val="00110A71"/>
    <w:rsid w:val="00115AC6"/>
    <w:rsid w:val="0012051B"/>
    <w:rsid w:val="00122044"/>
    <w:rsid w:val="00123AC1"/>
    <w:rsid w:val="001272A9"/>
    <w:rsid w:val="00133151"/>
    <w:rsid w:val="0013541F"/>
    <w:rsid w:val="001423A5"/>
    <w:rsid w:val="00142587"/>
    <w:rsid w:val="00143B57"/>
    <w:rsid w:val="00145996"/>
    <w:rsid w:val="00154C6F"/>
    <w:rsid w:val="0015596C"/>
    <w:rsid w:val="00165B90"/>
    <w:rsid w:val="00170139"/>
    <w:rsid w:val="00173958"/>
    <w:rsid w:val="001807C3"/>
    <w:rsid w:val="00182961"/>
    <w:rsid w:val="0018314A"/>
    <w:rsid w:val="00184608"/>
    <w:rsid w:val="00190908"/>
    <w:rsid w:val="00194D04"/>
    <w:rsid w:val="00194FCD"/>
    <w:rsid w:val="001950F6"/>
    <w:rsid w:val="001A1177"/>
    <w:rsid w:val="001B1E39"/>
    <w:rsid w:val="001B4990"/>
    <w:rsid w:val="001B4B48"/>
    <w:rsid w:val="001C213D"/>
    <w:rsid w:val="001C2E43"/>
    <w:rsid w:val="001C6D84"/>
    <w:rsid w:val="001C77DE"/>
    <w:rsid w:val="001D1940"/>
    <w:rsid w:val="001E5AA9"/>
    <w:rsid w:val="001F0D3C"/>
    <w:rsid w:val="001F2694"/>
    <w:rsid w:val="00204D50"/>
    <w:rsid w:val="002064FB"/>
    <w:rsid w:val="002073E5"/>
    <w:rsid w:val="002110E5"/>
    <w:rsid w:val="00211506"/>
    <w:rsid w:val="00212545"/>
    <w:rsid w:val="00226F04"/>
    <w:rsid w:val="00233BBC"/>
    <w:rsid w:val="00234F13"/>
    <w:rsid w:val="002463FE"/>
    <w:rsid w:val="00256F86"/>
    <w:rsid w:val="00257580"/>
    <w:rsid w:val="00260880"/>
    <w:rsid w:val="00264883"/>
    <w:rsid w:val="00265C6A"/>
    <w:rsid w:val="00270C74"/>
    <w:rsid w:val="002719FE"/>
    <w:rsid w:val="00273D93"/>
    <w:rsid w:val="0027549D"/>
    <w:rsid w:val="00276C59"/>
    <w:rsid w:val="002778A8"/>
    <w:rsid w:val="00281AFD"/>
    <w:rsid w:val="00290621"/>
    <w:rsid w:val="00291E4D"/>
    <w:rsid w:val="002A0D7F"/>
    <w:rsid w:val="002A2C12"/>
    <w:rsid w:val="002A3FBC"/>
    <w:rsid w:val="002A6CA4"/>
    <w:rsid w:val="002B0EA1"/>
    <w:rsid w:val="002B2661"/>
    <w:rsid w:val="002B37D4"/>
    <w:rsid w:val="002B464A"/>
    <w:rsid w:val="002D39E7"/>
    <w:rsid w:val="002D47E1"/>
    <w:rsid w:val="002D7637"/>
    <w:rsid w:val="002E083E"/>
    <w:rsid w:val="002E3E85"/>
    <w:rsid w:val="002E6B04"/>
    <w:rsid w:val="002F09E2"/>
    <w:rsid w:val="002F250E"/>
    <w:rsid w:val="002F2808"/>
    <w:rsid w:val="0030414D"/>
    <w:rsid w:val="00305826"/>
    <w:rsid w:val="00310124"/>
    <w:rsid w:val="00311B5D"/>
    <w:rsid w:val="00313C41"/>
    <w:rsid w:val="00320035"/>
    <w:rsid w:val="00320720"/>
    <w:rsid w:val="00320B2A"/>
    <w:rsid w:val="003334DF"/>
    <w:rsid w:val="0033450A"/>
    <w:rsid w:val="0033660D"/>
    <w:rsid w:val="00337CBD"/>
    <w:rsid w:val="00342E16"/>
    <w:rsid w:val="003546F2"/>
    <w:rsid w:val="00354B15"/>
    <w:rsid w:val="003573EA"/>
    <w:rsid w:val="003610A9"/>
    <w:rsid w:val="00364D6C"/>
    <w:rsid w:val="00365255"/>
    <w:rsid w:val="0037346D"/>
    <w:rsid w:val="00376468"/>
    <w:rsid w:val="00382AC7"/>
    <w:rsid w:val="00384A09"/>
    <w:rsid w:val="003964E0"/>
    <w:rsid w:val="00397496"/>
    <w:rsid w:val="003A3C5C"/>
    <w:rsid w:val="003A40AB"/>
    <w:rsid w:val="003A44C5"/>
    <w:rsid w:val="003B1AB2"/>
    <w:rsid w:val="003B2E01"/>
    <w:rsid w:val="003B4724"/>
    <w:rsid w:val="003B6388"/>
    <w:rsid w:val="003B792A"/>
    <w:rsid w:val="003D10D6"/>
    <w:rsid w:val="003D32BB"/>
    <w:rsid w:val="003D5A4F"/>
    <w:rsid w:val="003F1530"/>
    <w:rsid w:val="003F32EF"/>
    <w:rsid w:val="003F336E"/>
    <w:rsid w:val="003F43ED"/>
    <w:rsid w:val="003F638F"/>
    <w:rsid w:val="003F7C7E"/>
    <w:rsid w:val="004023D0"/>
    <w:rsid w:val="00403BC0"/>
    <w:rsid w:val="00404750"/>
    <w:rsid w:val="0040502C"/>
    <w:rsid w:val="004100F4"/>
    <w:rsid w:val="004148CB"/>
    <w:rsid w:val="00421FC1"/>
    <w:rsid w:val="00427B5B"/>
    <w:rsid w:val="00427CE8"/>
    <w:rsid w:val="004346DF"/>
    <w:rsid w:val="00435213"/>
    <w:rsid w:val="00436A0A"/>
    <w:rsid w:val="0043772B"/>
    <w:rsid w:val="004419CC"/>
    <w:rsid w:val="004452EA"/>
    <w:rsid w:val="004465F9"/>
    <w:rsid w:val="00446D7B"/>
    <w:rsid w:val="004513E4"/>
    <w:rsid w:val="004522F4"/>
    <w:rsid w:val="00454313"/>
    <w:rsid w:val="00456FA5"/>
    <w:rsid w:val="0045785C"/>
    <w:rsid w:val="00465566"/>
    <w:rsid w:val="00474203"/>
    <w:rsid w:val="004800C7"/>
    <w:rsid w:val="00482C9B"/>
    <w:rsid w:val="00484D83"/>
    <w:rsid w:val="00484FFD"/>
    <w:rsid w:val="00490AEF"/>
    <w:rsid w:val="00490C19"/>
    <w:rsid w:val="00491340"/>
    <w:rsid w:val="004926C3"/>
    <w:rsid w:val="00493358"/>
    <w:rsid w:val="00495186"/>
    <w:rsid w:val="00495C9F"/>
    <w:rsid w:val="00496842"/>
    <w:rsid w:val="004A1E4D"/>
    <w:rsid w:val="004B63FE"/>
    <w:rsid w:val="004C2ABB"/>
    <w:rsid w:val="004C5370"/>
    <w:rsid w:val="004C5539"/>
    <w:rsid w:val="004C56C5"/>
    <w:rsid w:val="004D1FDF"/>
    <w:rsid w:val="004D3A06"/>
    <w:rsid w:val="004D472B"/>
    <w:rsid w:val="004D49EC"/>
    <w:rsid w:val="004E2059"/>
    <w:rsid w:val="004E30EB"/>
    <w:rsid w:val="004E7CD5"/>
    <w:rsid w:val="004F03D8"/>
    <w:rsid w:val="004F259B"/>
    <w:rsid w:val="004F43E6"/>
    <w:rsid w:val="004F7E05"/>
    <w:rsid w:val="0050020F"/>
    <w:rsid w:val="0050317A"/>
    <w:rsid w:val="005045FE"/>
    <w:rsid w:val="00511518"/>
    <w:rsid w:val="00513D11"/>
    <w:rsid w:val="00515E86"/>
    <w:rsid w:val="0052235C"/>
    <w:rsid w:val="00523AFB"/>
    <w:rsid w:val="0052617C"/>
    <w:rsid w:val="005273CE"/>
    <w:rsid w:val="0052795E"/>
    <w:rsid w:val="0053170F"/>
    <w:rsid w:val="005332B7"/>
    <w:rsid w:val="00533F57"/>
    <w:rsid w:val="00535014"/>
    <w:rsid w:val="0053749C"/>
    <w:rsid w:val="005552F7"/>
    <w:rsid w:val="00555908"/>
    <w:rsid w:val="00556A7A"/>
    <w:rsid w:val="00576690"/>
    <w:rsid w:val="00576D57"/>
    <w:rsid w:val="00577F06"/>
    <w:rsid w:val="005871B9"/>
    <w:rsid w:val="00596368"/>
    <w:rsid w:val="005A07F7"/>
    <w:rsid w:val="005A4BC6"/>
    <w:rsid w:val="005A7654"/>
    <w:rsid w:val="005A7659"/>
    <w:rsid w:val="005B0D90"/>
    <w:rsid w:val="005B5A8F"/>
    <w:rsid w:val="005C17DE"/>
    <w:rsid w:val="005C43CB"/>
    <w:rsid w:val="005C77FE"/>
    <w:rsid w:val="005D441C"/>
    <w:rsid w:val="005E37BA"/>
    <w:rsid w:val="005F51C7"/>
    <w:rsid w:val="005F6B97"/>
    <w:rsid w:val="00604E4E"/>
    <w:rsid w:val="00605560"/>
    <w:rsid w:val="006076CA"/>
    <w:rsid w:val="0061107C"/>
    <w:rsid w:val="00633AC7"/>
    <w:rsid w:val="0064165E"/>
    <w:rsid w:val="00647BCD"/>
    <w:rsid w:val="00653080"/>
    <w:rsid w:val="006534BA"/>
    <w:rsid w:val="006559A4"/>
    <w:rsid w:val="0065692D"/>
    <w:rsid w:val="00657DF9"/>
    <w:rsid w:val="00657EFD"/>
    <w:rsid w:val="00661888"/>
    <w:rsid w:val="00664CD7"/>
    <w:rsid w:val="00672A8E"/>
    <w:rsid w:val="006815A5"/>
    <w:rsid w:val="00690CEF"/>
    <w:rsid w:val="006A0326"/>
    <w:rsid w:val="006B40B0"/>
    <w:rsid w:val="006C1368"/>
    <w:rsid w:val="006C2E0D"/>
    <w:rsid w:val="006C5BAA"/>
    <w:rsid w:val="006C6223"/>
    <w:rsid w:val="006D3AE8"/>
    <w:rsid w:val="006E0A9D"/>
    <w:rsid w:val="006E3C32"/>
    <w:rsid w:val="006F18CF"/>
    <w:rsid w:val="006F1DDA"/>
    <w:rsid w:val="006F2D2E"/>
    <w:rsid w:val="006F348D"/>
    <w:rsid w:val="006F7898"/>
    <w:rsid w:val="006F7E5F"/>
    <w:rsid w:val="00703EB2"/>
    <w:rsid w:val="00710265"/>
    <w:rsid w:val="00712419"/>
    <w:rsid w:val="00712445"/>
    <w:rsid w:val="007133AA"/>
    <w:rsid w:val="007155DC"/>
    <w:rsid w:val="00715B49"/>
    <w:rsid w:val="00715D53"/>
    <w:rsid w:val="007207F5"/>
    <w:rsid w:val="0072114C"/>
    <w:rsid w:val="007250BD"/>
    <w:rsid w:val="007339BD"/>
    <w:rsid w:val="00736BCA"/>
    <w:rsid w:val="007408BD"/>
    <w:rsid w:val="00742D06"/>
    <w:rsid w:val="0074396E"/>
    <w:rsid w:val="00754DF2"/>
    <w:rsid w:val="00760C0F"/>
    <w:rsid w:val="00761CA8"/>
    <w:rsid w:val="007623D9"/>
    <w:rsid w:val="007727B5"/>
    <w:rsid w:val="00774BBF"/>
    <w:rsid w:val="00775A17"/>
    <w:rsid w:val="00776A6D"/>
    <w:rsid w:val="00783119"/>
    <w:rsid w:val="00794CD2"/>
    <w:rsid w:val="007A5DAA"/>
    <w:rsid w:val="007A6AE2"/>
    <w:rsid w:val="007A7A0F"/>
    <w:rsid w:val="007B53C1"/>
    <w:rsid w:val="007B61E0"/>
    <w:rsid w:val="007C0EFC"/>
    <w:rsid w:val="007C3EFA"/>
    <w:rsid w:val="007C70BF"/>
    <w:rsid w:val="007C7FAF"/>
    <w:rsid w:val="007E2138"/>
    <w:rsid w:val="007E2921"/>
    <w:rsid w:val="007E29E2"/>
    <w:rsid w:val="007E55E8"/>
    <w:rsid w:val="007F4FEE"/>
    <w:rsid w:val="007F5424"/>
    <w:rsid w:val="007F5435"/>
    <w:rsid w:val="00804C47"/>
    <w:rsid w:val="008058B4"/>
    <w:rsid w:val="008078B4"/>
    <w:rsid w:val="00807B0E"/>
    <w:rsid w:val="008126AE"/>
    <w:rsid w:val="00812B39"/>
    <w:rsid w:val="00816F0B"/>
    <w:rsid w:val="00820BB6"/>
    <w:rsid w:val="00821E5E"/>
    <w:rsid w:val="00823BDF"/>
    <w:rsid w:val="00823C60"/>
    <w:rsid w:val="00824082"/>
    <w:rsid w:val="008240BF"/>
    <w:rsid w:val="00827299"/>
    <w:rsid w:val="00830002"/>
    <w:rsid w:val="0083474F"/>
    <w:rsid w:val="008369D1"/>
    <w:rsid w:val="00843474"/>
    <w:rsid w:val="008454F4"/>
    <w:rsid w:val="00845558"/>
    <w:rsid w:val="00846C10"/>
    <w:rsid w:val="00847056"/>
    <w:rsid w:val="00847983"/>
    <w:rsid w:val="0085037C"/>
    <w:rsid w:val="008568D4"/>
    <w:rsid w:val="008573AE"/>
    <w:rsid w:val="0086140A"/>
    <w:rsid w:val="008649B1"/>
    <w:rsid w:val="00873823"/>
    <w:rsid w:val="00876230"/>
    <w:rsid w:val="00893C28"/>
    <w:rsid w:val="00894DD2"/>
    <w:rsid w:val="008950F4"/>
    <w:rsid w:val="008963A6"/>
    <w:rsid w:val="00897CCE"/>
    <w:rsid w:val="008A297E"/>
    <w:rsid w:val="008B0AC1"/>
    <w:rsid w:val="008B4927"/>
    <w:rsid w:val="008C18AC"/>
    <w:rsid w:val="008C542C"/>
    <w:rsid w:val="008C5655"/>
    <w:rsid w:val="008D5581"/>
    <w:rsid w:val="008E0BA0"/>
    <w:rsid w:val="008E7F46"/>
    <w:rsid w:val="008F73A6"/>
    <w:rsid w:val="00900E07"/>
    <w:rsid w:val="00904410"/>
    <w:rsid w:val="00910D3B"/>
    <w:rsid w:val="00912CE7"/>
    <w:rsid w:val="00912E0B"/>
    <w:rsid w:val="00914C6A"/>
    <w:rsid w:val="00916595"/>
    <w:rsid w:val="009172A8"/>
    <w:rsid w:val="0092361A"/>
    <w:rsid w:val="00925A9D"/>
    <w:rsid w:val="009311DA"/>
    <w:rsid w:val="00935B9A"/>
    <w:rsid w:val="00940BAB"/>
    <w:rsid w:val="0094260A"/>
    <w:rsid w:val="00946C1D"/>
    <w:rsid w:val="0095122F"/>
    <w:rsid w:val="00953026"/>
    <w:rsid w:val="00957E7F"/>
    <w:rsid w:val="00960FA6"/>
    <w:rsid w:val="00965101"/>
    <w:rsid w:val="009703B1"/>
    <w:rsid w:val="00977BDA"/>
    <w:rsid w:val="00980D57"/>
    <w:rsid w:val="00990422"/>
    <w:rsid w:val="00992C66"/>
    <w:rsid w:val="009963E3"/>
    <w:rsid w:val="00997596"/>
    <w:rsid w:val="009A1C7E"/>
    <w:rsid w:val="009A4233"/>
    <w:rsid w:val="009C05F0"/>
    <w:rsid w:val="009C376D"/>
    <w:rsid w:val="009C3B13"/>
    <w:rsid w:val="009D03A6"/>
    <w:rsid w:val="009D7CB5"/>
    <w:rsid w:val="009E44A3"/>
    <w:rsid w:val="009E78D2"/>
    <w:rsid w:val="009F6A19"/>
    <w:rsid w:val="00A07ABB"/>
    <w:rsid w:val="00A16DF2"/>
    <w:rsid w:val="00A24A78"/>
    <w:rsid w:val="00A30BF7"/>
    <w:rsid w:val="00A324E3"/>
    <w:rsid w:val="00A41FF3"/>
    <w:rsid w:val="00A45A3B"/>
    <w:rsid w:val="00A52935"/>
    <w:rsid w:val="00A5514B"/>
    <w:rsid w:val="00A55527"/>
    <w:rsid w:val="00A56FDC"/>
    <w:rsid w:val="00A57848"/>
    <w:rsid w:val="00A60D44"/>
    <w:rsid w:val="00A6235A"/>
    <w:rsid w:val="00A62FAD"/>
    <w:rsid w:val="00A66189"/>
    <w:rsid w:val="00A70060"/>
    <w:rsid w:val="00A72925"/>
    <w:rsid w:val="00A731FD"/>
    <w:rsid w:val="00A74617"/>
    <w:rsid w:val="00A7514E"/>
    <w:rsid w:val="00A76BEF"/>
    <w:rsid w:val="00A816D9"/>
    <w:rsid w:val="00A840D4"/>
    <w:rsid w:val="00A859BB"/>
    <w:rsid w:val="00A87CD7"/>
    <w:rsid w:val="00A90CD1"/>
    <w:rsid w:val="00A92854"/>
    <w:rsid w:val="00A94550"/>
    <w:rsid w:val="00A95C54"/>
    <w:rsid w:val="00AA2D92"/>
    <w:rsid w:val="00AA6FFB"/>
    <w:rsid w:val="00AB331B"/>
    <w:rsid w:val="00AB5597"/>
    <w:rsid w:val="00AB6F86"/>
    <w:rsid w:val="00AB7B10"/>
    <w:rsid w:val="00AC06AE"/>
    <w:rsid w:val="00AC6ECA"/>
    <w:rsid w:val="00AC789C"/>
    <w:rsid w:val="00AD01D4"/>
    <w:rsid w:val="00AD313B"/>
    <w:rsid w:val="00AD5394"/>
    <w:rsid w:val="00AE2BC0"/>
    <w:rsid w:val="00AE78B0"/>
    <w:rsid w:val="00AF136B"/>
    <w:rsid w:val="00AF6E26"/>
    <w:rsid w:val="00B03A45"/>
    <w:rsid w:val="00B057C5"/>
    <w:rsid w:val="00B0689B"/>
    <w:rsid w:val="00B16A0C"/>
    <w:rsid w:val="00B16CC1"/>
    <w:rsid w:val="00B21FAA"/>
    <w:rsid w:val="00B27B54"/>
    <w:rsid w:val="00B31CAC"/>
    <w:rsid w:val="00B358B9"/>
    <w:rsid w:val="00B40E27"/>
    <w:rsid w:val="00B43D1A"/>
    <w:rsid w:val="00B445E8"/>
    <w:rsid w:val="00B459FC"/>
    <w:rsid w:val="00B47B85"/>
    <w:rsid w:val="00B511C2"/>
    <w:rsid w:val="00B51912"/>
    <w:rsid w:val="00B52425"/>
    <w:rsid w:val="00B52D9D"/>
    <w:rsid w:val="00B61CF3"/>
    <w:rsid w:val="00B62B1A"/>
    <w:rsid w:val="00B70257"/>
    <w:rsid w:val="00B8053E"/>
    <w:rsid w:val="00B808D6"/>
    <w:rsid w:val="00B81E29"/>
    <w:rsid w:val="00B847AF"/>
    <w:rsid w:val="00B85A36"/>
    <w:rsid w:val="00B87EB3"/>
    <w:rsid w:val="00B91846"/>
    <w:rsid w:val="00B926FE"/>
    <w:rsid w:val="00B940D1"/>
    <w:rsid w:val="00BA1C80"/>
    <w:rsid w:val="00BA376C"/>
    <w:rsid w:val="00BA6DF5"/>
    <w:rsid w:val="00BC3234"/>
    <w:rsid w:val="00BC3C39"/>
    <w:rsid w:val="00BC5FD4"/>
    <w:rsid w:val="00BC790A"/>
    <w:rsid w:val="00BD1B71"/>
    <w:rsid w:val="00BD2AA6"/>
    <w:rsid w:val="00BD6B76"/>
    <w:rsid w:val="00BD7E76"/>
    <w:rsid w:val="00BE3135"/>
    <w:rsid w:val="00BE35FB"/>
    <w:rsid w:val="00BE49E0"/>
    <w:rsid w:val="00BE5FCC"/>
    <w:rsid w:val="00BF28D1"/>
    <w:rsid w:val="00BF4071"/>
    <w:rsid w:val="00BF72D8"/>
    <w:rsid w:val="00C001FA"/>
    <w:rsid w:val="00C07772"/>
    <w:rsid w:val="00C07B00"/>
    <w:rsid w:val="00C159F0"/>
    <w:rsid w:val="00C15E9D"/>
    <w:rsid w:val="00C26627"/>
    <w:rsid w:val="00C32DDF"/>
    <w:rsid w:val="00C33A72"/>
    <w:rsid w:val="00C34B72"/>
    <w:rsid w:val="00C47856"/>
    <w:rsid w:val="00C514D2"/>
    <w:rsid w:val="00C5425D"/>
    <w:rsid w:val="00C54AF4"/>
    <w:rsid w:val="00C57CD7"/>
    <w:rsid w:val="00C6557A"/>
    <w:rsid w:val="00C70322"/>
    <w:rsid w:val="00C73445"/>
    <w:rsid w:val="00C73526"/>
    <w:rsid w:val="00C76FCE"/>
    <w:rsid w:val="00C80617"/>
    <w:rsid w:val="00C8472B"/>
    <w:rsid w:val="00C907C5"/>
    <w:rsid w:val="00C91CB5"/>
    <w:rsid w:val="00C92210"/>
    <w:rsid w:val="00CA1C1E"/>
    <w:rsid w:val="00CA443D"/>
    <w:rsid w:val="00CA6A49"/>
    <w:rsid w:val="00CA7A02"/>
    <w:rsid w:val="00CB5CA6"/>
    <w:rsid w:val="00CB639E"/>
    <w:rsid w:val="00CB69A3"/>
    <w:rsid w:val="00CD34B9"/>
    <w:rsid w:val="00CD39FB"/>
    <w:rsid w:val="00CD7C21"/>
    <w:rsid w:val="00CE1D82"/>
    <w:rsid w:val="00CF787A"/>
    <w:rsid w:val="00D01987"/>
    <w:rsid w:val="00D02F50"/>
    <w:rsid w:val="00D06C54"/>
    <w:rsid w:val="00D06EAE"/>
    <w:rsid w:val="00D1092F"/>
    <w:rsid w:val="00D10F70"/>
    <w:rsid w:val="00D1720A"/>
    <w:rsid w:val="00D3070D"/>
    <w:rsid w:val="00D31710"/>
    <w:rsid w:val="00D407D1"/>
    <w:rsid w:val="00D46256"/>
    <w:rsid w:val="00D46D63"/>
    <w:rsid w:val="00D60387"/>
    <w:rsid w:val="00D67DEB"/>
    <w:rsid w:val="00D702B6"/>
    <w:rsid w:val="00D7197F"/>
    <w:rsid w:val="00D733C4"/>
    <w:rsid w:val="00D74065"/>
    <w:rsid w:val="00D75066"/>
    <w:rsid w:val="00D7605C"/>
    <w:rsid w:val="00D76AD7"/>
    <w:rsid w:val="00D76EC5"/>
    <w:rsid w:val="00D80EEB"/>
    <w:rsid w:val="00D8153F"/>
    <w:rsid w:val="00D81A2E"/>
    <w:rsid w:val="00D823BD"/>
    <w:rsid w:val="00D833B0"/>
    <w:rsid w:val="00D85471"/>
    <w:rsid w:val="00D856A6"/>
    <w:rsid w:val="00D86368"/>
    <w:rsid w:val="00D87088"/>
    <w:rsid w:val="00D90B0F"/>
    <w:rsid w:val="00D93217"/>
    <w:rsid w:val="00D940C4"/>
    <w:rsid w:val="00D944FF"/>
    <w:rsid w:val="00D96225"/>
    <w:rsid w:val="00DA016F"/>
    <w:rsid w:val="00DA289E"/>
    <w:rsid w:val="00DA2A6F"/>
    <w:rsid w:val="00DB0386"/>
    <w:rsid w:val="00DB1F9D"/>
    <w:rsid w:val="00DB4DE9"/>
    <w:rsid w:val="00DC07CF"/>
    <w:rsid w:val="00DC2683"/>
    <w:rsid w:val="00DC313B"/>
    <w:rsid w:val="00DC49F9"/>
    <w:rsid w:val="00DC4E17"/>
    <w:rsid w:val="00DD1035"/>
    <w:rsid w:val="00DD29FE"/>
    <w:rsid w:val="00DE0807"/>
    <w:rsid w:val="00DF10E2"/>
    <w:rsid w:val="00DF7FDB"/>
    <w:rsid w:val="00E010AC"/>
    <w:rsid w:val="00E01DEB"/>
    <w:rsid w:val="00E07AE3"/>
    <w:rsid w:val="00E14908"/>
    <w:rsid w:val="00E15F99"/>
    <w:rsid w:val="00E227B7"/>
    <w:rsid w:val="00E26A8F"/>
    <w:rsid w:val="00E33142"/>
    <w:rsid w:val="00E42D89"/>
    <w:rsid w:val="00E469A3"/>
    <w:rsid w:val="00E46D75"/>
    <w:rsid w:val="00E56F18"/>
    <w:rsid w:val="00E67512"/>
    <w:rsid w:val="00E703B3"/>
    <w:rsid w:val="00E72CC8"/>
    <w:rsid w:val="00E77B5E"/>
    <w:rsid w:val="00E77EAB"/>
    <w:rsid w:val="00E860CF"/>
    <w:rsid w:val="00E87D11"/>
    <w:rsid w:val="00E90CD0"/>
    <w:rsid w:val="00E96256"/>
    <w:rsid w:val="00E96A1C"/>
    <w:rsid w:val="00EA11CE"/>
    <w:rsid w:val="00EA1CA4"/>
    <w:rsid w:val="00EA2CC9"/>
    <w:rsid w:val="00EA2F0C"/>
    <w:rsid w:val="00EA3007"/>
    <w:rsid w:val="00EA385C"/>
    <w:rsid w:val="00EA7257"/>
    <w:rsid w:val="00EA7D4D"/>
    <w:rsid w:val="00EB3B45"/>
    <w:rsid w:val="00EB6E7F"/>
    <w:rsid w:val="00EC0BDD"/>
    <w:rsid w:val="00EC6AF0"/>
    <w:rsid w:val="00ED5297"/>
    <w:rsid w:val="00ED636D"/>
    <w:rsid w:val="00ED7F16"/>
    <w:rsid w:val="00EE0030"/>
    <w:rsid w:val="00EF0510"/>
    <w:rsid w:val="00EF4115"/>
    <w:rsid w:val="00EF4DDB"/>
    <w:rsid w:val="00F03B84"/>
    <w:rsid w:val="00F100DD"/>
    <w:rsid w:val="00F137EA"/>
    <w:rsid w:val="00F161F5"/>
    <w:rsid w:val="00F162EA"/>
    <w:rsid w:val="00F1685B"/>
    <w:rsid w:val="00F2311E"/>
    <w:rsid w:val="00F23995"/>
    <w:rsid w:val="00F25E1E"/>
    <w:rsid w:val="00F34E4D"/>
    <w:rsid w:val="00F377D5"/>
    <w:rsid w:val="00F400E8"/>
    <w:rsid w:val="00F43944"/>
    <w:rsid w:val="00F4579A"/>
    <w:rsid w:val="00F47845"/>
    <w:rsid w:val="00F47C11"/>
    <w:rsid w:val="00F508F7"/>
    <w:rsid w:val="00F50CB8"/>
    <w:rsid w:val="00F519A1"/>
    <w:rsid w:val="00F5349A"/>
    <w:rsid w:val="00F54242"/>
    <w:rsid w:val="00F65282"/>
    <w:rsid w:val="00F704BB"/>
    <w:rsid w:val="00F70EF6"/>
    <w:rsid w:val="00F75807"/>
    <w:rsid w:val="00F83FAD"/>
    <w:rsid w:val="00F86205"/>
    <w:rsid w:val="00F91621"/>
    <w:rsid w:val="00F91C20"/>
    <w:rsid w:val="00F93ECF"/>
    <w:rsid w:val="00F9535B"/>
    <w:rsid w:val="00F967F8"/>
    <w:rsid w:val="00FA4F35"/>
    <w:rsid w:val="00FA6A14"/>
    <w:rsid w:val="00FA70C1"/>
    <w:rsid w:val="00FB3D49"/>
    <w:rsid w:val="00FB63E6"/>
    <w:rsid w:val="00FB6CDC"/>
    <w:rsid w:val="00FC24CF"/>
    <w:rsid w:val="00FC5CA2"/>
    <w:rsid w:val="00FC6360"/>
    <w:rsid w:val="00FD3783"/>
    <w:rsid w:val="00FD3862"/>
    <w:rsid w:val="00FD4038"/>
    <w:rsid w:val="00FD4888"/>
    <w:rsid w:val="00FD5264"/>
    <w:rsid w:val="00FD527E"/>
    <w:rsid w:val="00FD5DDA"/>
    <w:rsid w:val="00FD642D"/>
    <w:rsid w:val="00FD68D9"/>
    <w:rsid w:val="00FD6BAA"/>
    <w:rsid w:val="00FE00FF"/>
    <w:rsid w:val="00FE4A8E"/>
    <w:rsid w:val="00FF0491"/>
    <w:rsid w:val="00FF2EA8"/>
    <w:rsid w:val="00FF35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30"/>
  <w14:docId w14:val="2C0A8F18"/>
  <w15:docId w15:val="{3D7876AD-DACF-4FCB-808C-573E0EFA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5FE"/>
    <w:rPr>
      <w:rFonts w:ascii="Tahoma" w:hAnsi="Tahoma" w:cs="Tahoma"/>
      <w:sz w:val="16"/>
      <w:szCs w:val="16"/>
    </w:rPr>
  </w:style>
  <w:style w:type="character" w:customStyle="1" w:styleId="BalloonTextChar">
    <w:name w:val="Balloon Text Char"/>
    <w:basedOn w:val="DefaultParagraphFont"/>
    <w:link w:val="BalloonText"/>
    <w:uiPriority w:val="99"/>
    <w:semiHidden/>
    <w:rsid w:val="005045FE"/>
    <w:rPr>
      <w:rFonts w:ascii="Tahoma" w:eastAsia="Times New Roman" w:hAnsi="Tahoma" w:cs="Tahoma"/>
      <w:sz w:val="16"/>
      <w:szCs w:val="16"/>
    </w:rPr>
  </w:style>
  <w:style w:type="paragraph" w:styleId="NoSpacing">
    <w:name w:val="No Spacing"/>
    <w:uiPriority w:val="1"/>
    <w:qFormat/>
    <w:rsid w:val="00D02F50"/>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F43944"/>
    <w:pPr>
      <w:spacing w:after="120"/>
      <w:ind w:left="360"/>
    </w:pPr>
    <w:rPr>
      <w:lang w:val="x-none" w:eastAsia="x-none"/>
    </w:rPr>
  </w:style>
  <w:style w:type="character" w:customStyle="1" w:styleId="BodyTextIndentChar">
    <w:name w:val="Body Text Indent Char"/>
    <w:basedOn w:val="DefaultParagraphFont"/>
    <w:link w:val="BodyTextIndent"/>
    <w:rsid w:val="00F43944"/>
    <w:rPr>
      <w:rFonts w:ascii="Times New Roman" w:eastAsia="Times New Roman" w:hAnsi="Times New Roman"/>
      <w:lang w:val="x-none" w:eastAsia="x-none"/>
    </w:rPr>
  </w:style>
  <w:style w:type="paragraph" w:styleId="ListParagraph">
    <w:name w:val="List Paragraph"/>
    <w:basedOn w:val="Normal"/>
    <w:uiPriority w:val="34"/>
    <w:qFormat/>
    <w:rsid w:val="00F9535B"/>
    <w:pPr>
      <w:ind w:left="720"/>
      <w:contextualSpacing/>
    </w:pPr>
  </w:style>
  <w:style w:type="character" w:styleId="CommentReference">
    <w:name w:val="annotation reference"/>
    <w:basedOn w:val="DefaultParagraphFont"/>
    <w:uiPriority w:val="99"/>
    <w:semiHidden/>
    <w:unhideWhenUsed/>
    <w:rsid w:val="00633AC7"/>
    <w:rPr>
      <w:sz w:val="16"/>
      <w:szCs w:val="16"/>
    </w:rPr>
  </w:style>
  <w:style w:type="paragraph" w:styleId="CommentText">
    <w:name w:val="annotation text"/>
    <w:basedOn w:val="Normal"/>
    <w:link w:val="CommentTextChar"/>
    <w:uiPriority w:val="99"/>
    <w:semiHidden/>
    <w:unhideWhenUsed/>
    <w:rsid w:val="00633AC7"/>
  </w:style>
  <w:style w:type="character" w:customStyle="1" w:styleId="CommentTextChar">
    <w:name w:val="Comment Text Char"/>
    <w:basedOn w:val="DefaultParagraphFont"/>
    <w:link w:val="CommentText"/>
    <w:uiPriority w:val="99"/>
    <w:semiHidden/>
    <w:rsid w:val="00633A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33AC7"/>
    <w:rPr>
      <w:b/>
      <w:bCs/>
    </w:rPr>
  </w:style>
  <w:style w:type="character" w:customStyle="1" w:styleId="CommentSubjectChar">
    <w:name w:val="Comment Subject Char"/>
    <w:basedOn w:val="CommentTextChar"/>
    <w:link w:val="CommentSubject"/>
    <w:uiPriority w:val="99"/>
    <w:semiHidden/>
    <w:rsid w:val="00633AC7"/>
    <w:rPr>
      <w:rFonts w:ascii="Times New Roman" w:eastAsia="Times New Roman" w:hAnsi="Times New Roman"/>
      <w:b/>
      <w:bCs/>
    </w:rPr>
  </w:style>
  <w:style w:type="character" w:styleId="UnresolvedMention">
    <w:name w:val="Unresolved Mention"/>
    <w:basedOn w:val="DefaultParagraphFont"/>
    <w:uiPriority w:val="99"/>
    <w:semiHidden/>
    <w:unhideWhenUsed/>
    <w:rsid w:val="00F25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1868577"/>
        <w:category>
          <w:name w:val="General"/>
          <w:gallery w:val="placeholder"/>
        </w:category>
        <w:types>
          <w:type w:val="bbPlcHdr"/>
        </w:types>
        <w:behaviors>
          <w:behavior w:val="content"/>
        </w:behaviors>
        <w:guid w:val="{A6C72788-8700-4673-B8E2-0E0CEF62C76D}"/>
      </w:docPartPr>
      <w:docPartBody>
        <w:p w:rsidR="00484FFD">
          <w:r w:rsidRPr="00B52425">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E53"/>
    <w:rsid w:val="00020D8E"/>
    <w:rsid w:val="00073765"/>
    <w:rsid w:val="000748FE"/>
    <w:rsid w:val="000B3489"/>
    <w:rsid w:val="00150657"/>
    <w:rsid w:val="00172FCD"/>
    <w:rsid w:val="00187C6C"/>
    <w:rsid w:val="00193253"/>
    <w:rsid w:val="00230996"/>
    <w:rsid w:val="002528D7"/>
    <w:rsid w:val="00261AC0"/>
    <w:rsid w:val="002C03B7"/>
    <w:rsid w:val="003C0B87"/>
    <w:rsid w:val="003C78E6"/>
    <w:rsid w:val="003D07B9"/>
    <w:rsid w:val="003F0BBC"/>
    <w:rsid w:val="004701D4"/>
    <w:rsid w:val="00473999"/>
    <w:rsid w:val="00484FFD"/>
    <w:rsid w:val="004B0990"/>
    <w:rsid w:val="004D0F64"/>
    <w:rsid w:val="004E3C30"/>
    <w:rsid w:val="00524ACA"/>
    <w:rsid w:val="00541B91"/>
    <w:rsid w:val="00586CE0"/>
    <w:rsid w:val="0059696D"/>
    <w:rsid w:val="005C78F4"/>
    <w:rsid w:val="005F4F8B"/>
    <w:rsid w:val="00622DB6"/>
    <w:rsid w:val="00630706"/>
    <w:rsid w:val="006A7EB4"/>
    <w:rsid w:val="006E19DC"/>
    <w:rsid w:val="006F2908"/>
    <w:rsid w:val="0071444C"/>
    <w:rsid w:val="00765CE4"/>
    <w:rsid w:val="00775520"/>
    <w:rsid w:val="0078786E"/>
    <w:rsid w:val="007E713E"/>
    <w:rsid w:val="00804D84"/>
    <w:rsid w:val="00870B44"/>
    <w:rsid w:val="00886F70"/>
    <w:rsid w:val="008E186D"/>
    <w:rsid w:val="00957C04"/>
    <w:rsid w:val="00962A29"/>
    <w:rsid w:val="0096598C"/>
    <w:rsid w:val="00971101"/>
    <w:rsid w:val="00A16000"/>
    <w:rsid w:val="00A521E9"/>
    <w:rsid w:val="00A77C53"/>
    <w:rsid w:val="00A85EE4"/>
    <w:rsid w:val="00A94E53"/>
    <w:rsid w:val="00AA47E3"/>
    <w:rsid w:val="00AC2315"/>
    <w:rsid w:val="00AF7892"/>
    <w:rsid w:val="00B10477"/>
    <w:rsid w:val="00B2254E"/>
    <w:rsid w:val="00B54923"/>
    <w:rsid w:val="00BF5C8E"/>
    <w:rsid w:val="00C3524C"/>
    <w:rsid w:val="00C6760F"/>
    <w:rsid w:val="00C90340"/>
    <w:rsid w:val="00CB7927"/>
    <w:rsid w:val="00CF590A"/>
    <w:rsid w:val="00D0125A"/>
    <w:rsid w:val="00D05B76"/>
    <w:rsid w:val="00DB5248"/>
    <w:rsid w:val="00DB72BD"/>
    <w:rsid w:val="00DC371A"/>
    <w:rsid w:val="00DC7954"/>
    <w:rsid w:val="00DD0F5D"/>
    <w:rsid w:val="00DE0ED5"/>
    <w:rsid w:val="00E41759"/>
    <w:rsid w:val="00E444BE"/>
    <w:rsid w:val="00F2336A"/>
    <w:rsid w:val="00F24602"/>
    <w:rsid w:val="00F96FCA"/>
    <w:rsid w:val="00FD20AB"/>
    <w:rsid w:val="00FF07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E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90E2D-DD77-44C0-97B6-16FA2FDC4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3</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Stoller, Steven T</cp:lastModifiedBy>
  <cp:revision>362</cp:revision>
  <dcterms:created xsi:type="dcterms:W3CDTF">2018-09-24T19:02:00Z</dcterms:created>
  <dcterms:modified xsi:type="dcterms:W3CDTF">2022-06-01T20:22:00Z</dcterms:modified>
</cp:coreProperties>
</file>