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E78D0" w:rsidR="00B167B8" w:rsidP="00192707" w:rsidRDefault="00B167B8" w14:paraId="0CCBF01E" w14:textId="77777777">
      <w:pPr>
        <w:jc w:val="center"/>
        <w:rPr>
          <w:b/>
        </w:rPr>
      </w:pPr>
      <w:bookmarkStart w:name="_GoBack" w:id="0"/>
      <w:bookmarkEnd w:id="0"/>
      <w:r w:rsidRPr="005E78D0">
        <w:rPr>
          <w:b/>
        </w:rPr>
        <w:t>Supporting Statement for Paperwork Reduction Act Submissions</w:t>
      </w:r>
    </w:p>
    <w:p w:rsidR="00BF0738" w:rsidP="0014087C" w:rsidRDefault="00CC51D7" w14:paraId="06C75FE8" w14:textId="77777777">
      <w:pPr>
        <w:jc w:val="center"/>
        <w:rPr>
          <w:b/>
        </w:rPr>
      </w:pPr>
      <w:r>
        <w:rPr>
          <w:b/>
        </w:rPr>
        <w:t>Reporting and Recordkeeping for Digital Certificates</w:t>
      </w:r>
    </w:p>
    <w:p w:rsidR="00BF0738" w:rsidP="0014087C" w:rsidRDefault="00BF0738" w14:paraId="29B6F2D1" w14:textId="77777777">
      <w:pPr>
        <w:jc w:val="center"/>
        <w:rPr>
          <w:b/>
        </w:rPr>
      </w:pPr>
      <w:r>
        <w:rPr>
          <w:b/>
        </w:rPr>
        <w:t>OMB</w:t>
      </w:r>
      <w:r w:rsidRPr="00BF0738">
        <w:rPr>
          <w:b/>
        </w:rPr>
        <w:t xml:space="preserve"> </w:t>
      </w:r>
      <w:r w:rsidR="005E78D0">
        <w:rPr>
          <w:b/>
        </w:rPr>
        <w:t>Approval</w:t>
      </w:r>
      <w:r w:rsidRPr="00BF0738">
        <w:rPr>
          <w:b/>
        </w:rPr>
        <w:t xml:space="preserve"> </w:t>
      </w:r>
      <w:r w:rsidR="005E78D0">
        <w:rPr>
          <w:b/>
        </w:rPr>
        <w:t>#</w:t>
      </w:r>
      <w:r w:rsidR="00CC51D7">
        <w:rPr>
          <w:b/>
        </w:rPr>
        <w:t>1117-0038</w:t>
      </w:r>
    </w:p>
    <w:p w:rsidR="00B167B8" w:rsidP="0014087C" w:rsidRDefault="00B167B8" w14:paraId="6A8E03DB" w14:textId="77777777"/>
    <w:p w:rsidR="005E78D0" w:rsidP="005E78D0" w:rsidRDefault="005E78D0" w14:paraId="6536D0C8" w14:textId="77777777">
      <w:r>
        <w:t xml:space="preserve">The Drug Enforcement Administration (DEA) seeks approval by the Office of Management and Budget (OMB) for an existing collection of information that was previously approved by OMB </w:t>
      </w:r>
      <w:r w:rsidRPr="0086545A">
        <w:t xml:space="preserve">– </w:t>
      </w:r>
      <w:r w:rsidR="00CC51D7">
        <w:t>OMB Approval #1117-0038</w:t>
      </w:r>
      <w:r>
        <w:t>,</w:t>
      </w:r>
      <w:r w:rsidRPr="009237A3" w:rsidR="009237A3">
        <w:t xml:space="preserve"> Reporting and Recordkeeping for Digital Certificates</w:t>
      </w:r>
      <w:r>
        <w:t>.</w:t>
      </w:r>
    </w:p>
    <w:p w:rsidR="005E78D0" w:rsidP="0014087C" w:rsidRDefault="005E78D0" w14:paraId="02F47BE6" w14:textId="77777777"/>
    <w:p w:rsidRPr="005E78D0" w:rsidR="00B167B8" w:rsidP="0014087C" w:rsidRDefault="00B51333" w14:paraId="7841E7F7" w14:textId="77777777">
      <w:pPr>
        <w:rPr>
          <w:b/>
        </w:rPr>
      </w:pPr>
      <w:r w:rsidRPr="005E78D0">
        <w:rPr>
          <w:b/>
        </w:rPr>
        <w:t xml:space="preserve">Part </w:t>
      </w:r>
      <w:r w:rsidRPr="005E78D0" w:rsidR="005E78D0">
        <w:rPr>
          <w:b/>
        </w:rPr>
        <w:t xml:space="preserve">A.  </w:t>
      </w:r>
      <w:r w:rsidRPr="005E78D0" w:rsidR="00B167B8">
        <w:rPr>
          <w:b/>
        </w:rPr>
        <w:t>Justification</w:t>
      </w:r>
    </w:p>
    <w:p w:rsidR="000F671E" w:rsidP="0014087C" w:rsidRDefault="000F671E" w14:paraId="136CDE87" w14:textId="77777777"/>
    <w:p w:rsidR="005E78D0" w:rsidP="0014087C" w:rsidRDefault="00B167B8" w14:paraId="52A1ABE5" w14:textId="77777777">
      <w:r>
        <w:t xml:space="preserve">1. </w:t>
      </w:r>
      <w:r w:rsidR="00473437">
        <w:t xml:space="preserve"> </w:t>
      </w:r>
      <w:r w:rsidRPr="005E78D0" w:rsidR="001334E1">
        <w:rPr>
          <w:u w:val="single"/>
        </w:rPr>
        <w:t>Necessity of information:</w:t>
      </w:r>
    </w:p>
    <w:p w:rsidR="000168E8" w:rsidP="009F2148" w:rsidRDefault="000168E8" w14:paraId="1F4C5BA4" w14:textId="77777777"/>
    <w:p w:rsidR="007C3078" w:rsidP="009F2148" w:rsidRDefault="009F2148" w14:paraId="4F646830" w14:textId="77777777">
      <w:r>
        <w:t xml:space="preserve">The Controlled Substances Act (CSA) (21 U.S.C. 801 et seq.) requires </w:t>
      </w:r>
      <w:r w:rsidR="002C5E09">
        <w:t>DEA</w:t>
      </w:r>
      <w:r>
        <w:t xml:space="preserve"> to establish a closed system of </w:t>
      </w:r>
      <w:r w:rsidR="00643892">
        <w:t xml:space="preserve">distribution </w:t>
      </w:r>
      <w:r>
        <w:t xml:space="preserve">for </w:t>
      </w:r>
      <w:r w:rsidR="00643892">
        <w:t xml:space="preserve">controlled </w:t>
      </w:r>
      <w:r>
        <w:t xml:space="preserve">substances that have a potential for abuse.  </w:t>
      </w:r>
      <w:r w:rsidR="00A11B48">
        <w:t xml:space="preserve">21 U.S.C. </w:t>
      </w:r>
      <w:r>
        <w:t xml:space="preserve">828 </w:t>
      </w:r>
      <w:r w:rsidR="00A11B48">
        <w:t xml:space="preserve">requires </w:t>
      </w:r>
      <w:r>
        <w:t xml:space="preserve">DEA provide a form to registrants to be used to purchase </w:t>
      </w:r>
      <w:r w:rsidR="002C5E09">
        <w:t>s</w:t>
      </w:r>
      <w:r>
        <w:t xml:space="preserve">chedule I and II controlled substances.  No person may distribute a </w:t>
      </w:r>
      <w:r w:rsidR="002C5E09">
        <w:t>s</w:t>
      </w:r>
      <w:r>
        <w:t xml:space="preserve">chedule I and II controlled substance except </w:t>
      </w:r>
      <w:r w:rsidR="00A11B48">
        <w:t xml:space="preserve">pursuant </w:t>
      </w:r>
      <w:r>
        <w:t>to an order is</w:t>
      </w:r>
      <w:r w:rsidR="00672166">
        <w:t>sued on the DEA-provided form.</w:t>
      </w:r>
    </w:p>
    <w:p w:rsidR="007C3078" w:rsidP="009F2148" w:rsidRDefault="007C3078" w14:paraId="59FDC976" w14:textId="77777777"/>
    <w:p w:rsidR="009F2148" w:rsidP="009F2148" w:rsidRDefault="009F2148" w14:paraId="78268D67" w14:textId="77777777">
      <w:r>
        <w:t xml:space="preserve">DEA’s regulations implementing section 828 are in 21 CFR part 1305. </w:t>
      </w:r>
      <w:r w:rsidR="002C5E09">
        <w:t xml:space="preserve"> </w:t>
      </w:r>
      <w:r>
        <w:t xml:space="preserve">DEA’s regulations allow registrants to issue orders for </w:t>
      </w:r>
      <w:r w:rsidR="002C5E09">
        <w:t>s</w:t>
      </w:r>
      <w:r>
        <w:t>chedule I and II controlled substances electronically provided that the electronic order is signed using a digital certificate issued by the DEA Certification Authority.  A digital certificate, issued as part of a public key infrastructure (PKI), is necessary to meet the standards of authentication, nonrepudiation, and record integrity that</w:t>
      </w:r>
      <w:r w:rsidR="002C5E09">
        <w:t xml:space="preserve"> </w:t>
      </w:r>
      <w:r>
        <w:t xml:space="preserve">DEA adopted to ensure that the mandated closed system of </w:t>
      </w:r>
      <w:r w:rsidR="004A6BCE">
        <w:t xml:space="preserve">distribution </w:t>
      </w:r>
      <w:r>
        <w:t>continues.  At present, only PKI systems meet the standards.  The use of digital signatures allows registrants to create, sign, transmit, and store records electronically.  Reports to</w:t>
      </w:r>
      <w:r w:rsidR="00672166">
        <w:t xml:space="preserve"> DEA are also electronic.</w:t>
      </w:r>
    </w:p>
    <w:p w:rsidR="009F2148" w:rsidP="009F2148" w:rsidRDefault="009F2148" w14:paraId="7A0BAAF1" w14:textId="77777777">
      <w:pPr>
        <w:pStyle w:val="1"/>
        <w:numPr>
          <w:ilvl w:val="0"/>
          <w:numId w:val="0"/>
        </w:numPr>
        <w:tabs>
          <w:tab w:val="left" w:pos="-1440"/>
        </w:tabs>
      </w:pPr>
    </w:p>
    <w:p w:rsidRPr="009E467E" w:rsidR="009F2148" w:rsidP="009E467E" w:rsidRDefault="009F2148" w14:paraId="2CA9C993" w14:textId="77777777">
      <w:pPr>
        <w:rPr>
          <w:snapToGrid w:val="0"/>
        </w:rPr>
      </w:pPr>
      <w:r>
        <w:t>Because the CSA mandates that</w:t>
      </w:r>
      <w:r w:rsidR="002C5E09">
        <w:t xml:space="preserve"> </w:t>
      </w:r>
      <w:r>
        <w:t xml:space="preserve">DEA issue the form, DEA operates the Certification Authority.  The digital certificate serves as the equivalent of </w:t>
      </w:r>
      <w:r w:rsidR="00456DF8">
        <w:t xml:space="preserve">the paper </w:t>
      </w:r>
      <w:r w:rsidR="007C3078">
        <w:t>DEA</w:t>
      </w:r>
      <w:r>
        <w:t xml:space="preserve"> Form 222</w:t>
      </w:r>
      <w:r w:rsidR="00456DF8">
        <w:t xml:space="preserve"> (U</w:t>
      </w:r>
      <w:r w:rsidRPr="00456DF8" w:rsidR="00456DF8">
        <w:rPr>
          <w:snapToGrid w:val="0"/>
        </w:rPr>
        <w:t>.S. Official Order Forms</w:t>
      </w:r>
      <w:r w:rsidR="00456DF8">
        <w:rPr>
          <w:snapToGrid w:val="0"/>
        </w:rPr>
        <w:t xml:space="preserve"> – Schedules I &amp; II), </w:t>
      </w:r>
      <w:r>
        <w:t>because the data that</w:t>
      </w:r>
      <w:r w:rsidR="002C5E09">
        <w:t xml:space="preserve"> </w:t>
      </w:r>
      <w:r>
        <w:t>DEA preprints on the form are included as extension data on the digital certificate.  Registrants or their staff who have power of attorney to sign orders are required to apply for a digital certificate, which</w:t>
      </w:r>
      <w:r w:rsidR="002C5E09">
        <w:t xml:space="preserve"> </w:t>
      </w:r>
      <w:r>
        <w:t xml:space="preserve">DEA issues when it has determined that the applicant is eligible to sign orders for </w:t>
      </w:r>
      <w:r w:rsidR="002C5E09">
        <w:t>s</w:t>
      </w:r>
      <w:r>
        <w:t>chedule I and II controlled substances.</w:t>
      </w:r>
    </w:p>
    <w:p w:rsidR="00B167B8" w:rsidP="0014087C" w:rsidRDefault="00B167B8" w14:paraId="08A6E725" w14:textId="77777777"/>
    <w:p w:rsidR="005E78D0" w:rsidP="0014087C" w:rsidRDefault="00B167B8" w14:paraId="05FE28A6" w14:textId="77777777">
      <w:r>
        <w:t xml:space="preserve">2. </w:t>
      </w:r>
      <w:r w:rsidR="005E78D0">
        <w:t xml:space="preserve"> </w:t>
      </w:r>
      <w:r w:rsidRPr="005E78D0" w:rsidR="00523D1C">
        <w:rPr>
          <w:u w:val="single"/>
        </w:rPr>
        <w:t>Needs and Uses:</w:t>
      </w:r>
    </w:p>
    <w:p w:rsidR="00B77401" w:rsidP="0014087C" w:rsidRDefault="00B77401" w14:paraId="026A103F" w14:textId="77777777"/>
    <w:p w:rsidR="009F2148" w:rsidP="009F2148" w:rsidRDefault="009F2148" w14:paraId="39FDED3F" w14:textId="77777777">
      <w:r w:rsidRPr="004D5430">
        <w:t xml:space="preserve">The application for a digital certificate is required to ensure that the person applying for the certificate is either a DEA registrant or someone who has power of attorney from a DEA registrant to sign orders for </w:t>
      </w:r>
      <w:r w:rsidR="002C5E09">
        <w:t>s</w:t>
      </w:r>
      <w:r w:rsidRPr="004D5430">
        <w:t>chedule I and II substances.  The DEA Certification Authority uses the information to verify the person’s identity and eligibility to hold a DEA-issued digital certificate.</w:t>
      </w:r>
    </w:p>
    <w:p w:rsidR="00672166" w:rsidP="009F2148" w:rsidRDefault="00672166" w14:paraId="5D8351BE" w14:textId="77777777"/>
    <w:p w:rsidR="005E78D0" w:rsidP="0014087C" w:rsidRDefault="005E78D0" w14:paraId="11E3DE49" w14:textId="77777777">
      <w:r>
        <w:t xml:space="preserve">3.  </w:t>
      </w:r>
      <w:r w:rsidRPr="00CE115A" w:rsidR="00B86DE5">
        <w:rPr>
          <w:u w:val="single"/>
        </w:rPr>
        <w:t xml:space="preserve">Use of </w:t>
      </w:r>
      <w:r w:rsidRPr="00CE115A" w:rsidR="00766BEE">
        <w:rPr>
          <w:u w:val="single"/>
        </w:rPr>
        <w:t xml:space="preserve">Information </w:t>
      </w:r>
      <w:r w:rsidRPr="00CE115A" w:rsidR="00523D1C">
        <w:rPr>
          <w:u w:val="single"/>
        </w:rPr>
        <w:t>Technology:</w:t>
      </w:r>
    </w:p>
    <w:p w:rsidR="005E78D0" w:rsidP="0014087C" w:rsidRDefault="005E78D0" w14:paraId="6DD35E73" w14:textId="77777777"/>
    <w:p w:rsidR="009F3D85" w:rsidP="009F3D85" w:rsidRDefault="00C00E49" w14:paraId="60DB4A00" w14:textId="77777777">
      <w:pPr>
        <w:keepNext/>
      </w:pPr>
      <w:r>
        <w:t>The</w:t>
      </w:r>
      <w:r w:rsidRPr="009F3D85" w:rsidR="009F3D85">
        <w:t xml:space="preserve"> initial applications must include one or more original </w:t>
      </w:r>
      <w:r w:rsidR="00750B55">
        <w:t>signatures that are</w:t>
      </w:r>
      <w:r w:rsidRPr="009F3D85" w:rsidR="009F3D85">
        <w:t xml:space="preserve"> collected on paper.  Currently, </w:t>
      </w:r>
      <w:r w:rsidRPr="00CE115A" w:rsidR="00810D78">
        <w:t>100</w:t>
      </w:r>
      <w:r w:rsidRPr="00CE115A" w:rsidR="001025D8">
        <w:t>%</w:t>
      </w:r>
      <w:r w:rsidRPr="009F3D85" w:rsidR="001025D8">
        <w:t xml:space="preserve"> </w:t>
      </w:r>
      <w:r w:rsidRPr="009F3D85" w:rsidR="009F3D85">
        <w:t xml:space="preserve">of </w:t>
      </w:r>
      <w:r w:rsidR="00435949">
        <w:t xml:space="preserve">digital </w:t>
      </w:r>
      <w:r w:rsidRPr="009F3D85" w:rsidR="009F3D85">
        <w:t xml:space="preserve">certificates are </w:t>
      </w:r>
      <w:r w:rsidR="00810D78">
        <w:t>issued</w:t>
      </w:r>
      <w:r w:rsidRPr="009F3D85" w:rsidR="00810D78">
        <w:t xml:space="preserve"> </w:t>
      </w:r>
      <w:r w:rsidRPr="009F3D85" w:rsidR="009F3D85">
        <w:t>electronically.</w:t>
      </w:r>
    </w:p>
    <w:p w:rsidR="008525FC" w:rsidP="0014087C" w:rsidRDefault="008525FC" w14:paraId="57B2D550" w14:textId="77777777"/>
    <w:p w:rsidR="005E78D0" w:rsidP="0014087C" w:rsidRDefault="005E78D0" w14:paraId="02AE4CD0" w14:textId="77777777">
      <w:r>
        <w:t xml:space="preserve">4.  </w:t>
      </w:r>
      <w:r w:rsidRPr="005E78D0" w:rsidR="00523D1C">
        <w:rPr>
          <w:u w:val="single"/>
        </w:rPr>
        <w:t>Efforts to Identify Duplication:</w:t>
      </w:r>
    </w:p>
    <w:p w:rsidR="005E78D0" w:rsidP="0014087C" w:rsidRDefault="005E78D0" w14:paraId="73C56681" w14:textId="77777777"/>
    <w:p w:rsidR="00B167B8" w:rsidP="0014087C" w:rsidRDefault="00557B39" w14:paraId="76FA63BD" w14:textId="77777777">
      <w:r w:rsidRPr="00557B39">
        <w:t xml:space="preserve">Digital certificates must be provided only to eligible parties.  </w:t>
      </w:r>
      <w:r w:rsidR="00AC0A1C">
        <w:t xml:space="preserve">DEA has made efforts to identify and prevent duplication of the collection of information.  The </w:t>
      </w:r>
      <w:r w:rsidR="00B167B8">
        <w:t>collection</w:t>
      </w:r>
      <w:r w:rsidR="00AC0A1C">
        <w:t xml:space="preserve"> of this information</w:t>
      </w:r>
      <w:r w:rsidR="00B167B8">
        <w:t xml:space="preserve"> is unique to </w:t>
      </w:r>
      <w:r w:rsidR="00300F3B">
        <w:t>DEA</w:t>
      </w:r>
      <w:r w:rsidR="00B167B8">
        <w:t>.</w:t>
      </w:r>
    </w:p>
    <w:p w:rsidR="009F3D85" w:rsidP="0014087C" w:rsidRDefault="009F3D85" w14:paraId="7ED14AC2" w14:textId="77777777"/>
    <w:p w:rsidR="005E78D0" w:rsidP="0014087C" w:rsidRDefault="005E78D0" w14:paraId="3E2DF37B" w14:textId="77777777">
      <w:r>
        <w:t xml:space="preserve">5.  </w:t>
      </w:r>
      <w:r w:rsidR="00300F3B">
        <w:rPr>
          <w:u w:val="single"/>
        </w:rPr>
        <w:t xml:space="preserve">Impact </w:t>
      </w:r>
      <w:r w:rsidRPr="005E78D0" w:rsidR="00523D1C">
        <w:rPr>
          <w:u w:val="single"/>
        </w:rPr>
        <w:t>on Small Businesses</w:t>
      </w:r>
      <w:r w:rsidR="00300F3B">
        <w:rPr>
          <w:u w:val="single"/>
        </w:rPr>
        <w:t xml:space="preserve"> or Entities</w:t>
      </w:r>
      <w:r w:rsidRPr="005E78D0" w:rsidR="00523D1C">
        <w:rPr>
          <w:u w:val="single"/>
        </w:rPr>
        <w:t>:</w:t>
      </w:r>
    </w:p>
    <w:p w:rsidR="005E78D0" w:rsidP="0014087C" w:rsidRDefault="005E78D0" w14:paraId="03E28B08" w14:textId="77777777"/>
    <w:p w:rsidR="009F2148" w:rsidP="0014087C" w:rsidRDefault="00E5600F" w14:paraId="24FC611D" w14:textId="77777777">
      <w:r>
        <w:t xml:space="preserve">This information </w:t>
      </w:r>
      <w:r w:rsidR="00300F3B">
        <w:t>collection will not have a significant economic impact on small businesses or other small entities within the meaning and intent of the Regulatory Flexibility Act, 5 U.S.C</w:t>
      </w:r>
      <w:r>
        <w:t>.</w:t>
      </w:r>
      <w:r w:rsidR="00300F3B">
        <w:t xml:space="preserve"> 601-612.</w:t>
      </w:r>
    </w:p>
    <w:p w:rsidR="00B167B8" w:rsidP="0014087C" w:rsidRDefault="00B167B8" w14:paraId="012659A6" w14:textId="77777777"/>
    <w:p w:rsidR="00120EDA" w:rsidP="0014087C" w:rsidRDefault="005E78D0" w14:paraId="3749ED0D" w14:textId="77777777">
      <w:r>
        <w:t xml:space="preserve">6.  </w:t>
      </w:r>
      <w:r w:rsidRPr="005E78D0" w:rsidR="00523D1C">
        <w:rPr>
          <w:u w:val="single"/>
        </w:rPr>
        <w:t>Consequences of Less Frequent Collection:</w:t>
      </w:r>
    </w:p>
    <w:p w:rsidR="009F2148" w:rsidP="0014087C" w:rsidRDefault="00565FC5" w14:paraId="2A17EAF6" w14:textId="77777777">
      <w:r>
        <w:t xml:space="preserve"> </w:t>
      </w:r>
    </w:p>
    <w:p w:rsidRPr="00557B39" w:rsidR="009F2148" w:rsidP="009F2148" w:rsidRDefault="009F2148" w14:paraId="729D9922" w14:textId="77777777">
      <w:r w:rsidRPr="00557B39">
        <w:t>For the application for a digital certificate, DEA must have sufficient information to verify the identity and registration status of the applicant.  Because the validity of the certificate is based on an active DEA registration, the digital certificate must expire at the same time as the registrant’s DEA registration.  Most registrations expire every three years.  DEA does not require resubmission of information until the third renewal of a certificate.</w:t>
      </w:r>
    </w:p>
    <w:p w:rsidRPr="00557B39" w:rsidR="009F2148" w:rsidP="0014087C" w:rsidRDefault="009F2148" w14:paraId="2308AF48" w14:textId="77777777"/>
    <w:p w:rsidR="009F2148" w:rsidP="004015C1" w:rsidRDefault="009F2148" w14:paraId="1F390F6F" w14:textId="77777777">
      <w:pPr>
        <w:pStyle w:val="1"/>
        <w:numPr>
          <w:ilvl w:val="0"/>
          <w:numId w:val="0"/>
        </w:numPr>
        <w:tabs>
          <w:tab w:val="left" w:pos="-1440"/>
        </w:tabs>
      </w:pPr>
      <w:r w:rsidRPr="00557B39">
        <w:t>If the information collection is not conducted, DEA registrants would not be authorized to issue orders for Schedule I and II substances electronically.  The paper-based system imposes substantial costs on the regulated community both because it requires the use of a special form and because virtually all other ordering is done electronically.  The use of digital certificates makes it possible to integrate these orders into existing systems and reduce the costs of ordering.</w:t>
      </w:r>
    </w:p>
    <w:p w:rsidR="00B167B8" w:rsidP="0014087C" w:rsidRDefault="00B167B8" w14:paraId="6B11EA97" w14:textId="77777777"/>
    <w:p w:rsidR="00AD05C6" w:rsidP="0014087C" w:rsidRDefault="005E78D0" w14:paraId="296197D2" w14:textId="77777777">
      <w:r>
        <w:t xml:space="preserve">7.  </w:t>
      </w:r>
      <w:r w:rsidRPr="00AD05C6" w:rsidR="00523D1C">
        <w:rPr>
          <w:u w:val="single"/>
        </w:rPr>
        <w:t>Special Circumstances Influencing Collection:</w:t>
      </w:r>
    </w:p>
    <w:p w:rsidR="00AD05C6" w:rsidP="0014087C" w:rsidRDefault="00AD05C6" w14:paraId="200A1B99" w14:textId="77777777"/>
    <w:p w:rsidR="00557B39" w:rsidP="0014087C" w:rsidRDefault="00557B39" w14:paraId="3ED17AEC" w14:textId="77777777">
      <w:r>
        <w:t>Some respondents report monthly, others quarterly.  Respondents decide how frequently they will submit these voluntary reports.  Less frequent reporting would reduce DEA’s ability to monitor actual and relative abuse potential of drugs.  Other special circumstances in item 7 of the supporting statement are not applicable to this information collection.</w:t>
      </w:r>
    </w:p>
    <w:p w:rsidR="00BD6505" w:rsidP="0014087C" w:rsidRDefault="00BD6505" w14:paraId="05658E5F" w14:textId="77777777"/>
    <w:p w:rsidR="00AD05C6" w:rsidP="0014087C" w:rsidRDefault="00AD05C6" w14:paraId="241395CD" w14:textId="77777777">
      <w:r>
        <w:t xml:space="preserve">8.  </w:t>
      </w:r>
      <w:r w:rsidR="00605BD8">
        <w:rPr>
          <w:u w:val="single"/>
        </w:rPr>
        <w:t>Consultation with persons outside the Agency</w:t>
      </w:r>
      <w:r w:rsidRPr="00AD05C6" w:rsidR="00523D1C">
        <w:rPr>
          <w:u w:val="single"/>
        </w:rPr>
        <w:t>:</w:t>
      </w:r>
    </w:p>
    <w:p w:rsidR="00AD05C6" w:rsidP="0014087C" w:rsidRDefault="00AD05C6" w14:paraId="1E66914C" w14:textId="77777777"/>
    <w:p w:rsidR="00605BD8" w:rsidP="00605BD8" w:rsidRDefault="00605BD8" w14:paraId="5FE0D072" w14:textId="77777777">
      <w:r w:rsidRPr="00E006C4">
        <w:t>Public comment was solicited in</w:t>
      </w:r>
      <w:r w:rsidR="00E006C4">
        <w:t xml:space="preserve"> a </w:t>
      </w:r>
      <w:r w:rsidRPr="00E006C4">
        <w:t>60-day Federal Register Notice of Information Collection</w:t>
      </w:r>
      <w:r w:rsidR="00E006C4">
        <w:t xml:space="preserve"> </w:t>
      </w:r>
      <w:r w:rsidRPr="00E006C4">
        <w:t xml:space="preserve">and </w:t>
      </w:r>
      <w:r w:rsidR="00E006C4">
        <w:t>a</w:t>
      </w:r>
      <w:r w:rsidRPr="00E006C4">
        <w:t xml:space="preserve"> 30-day Federal Register Notice of Information Collection</w:t>
      </w:r>
      <w:r w:rsidR="00E006C4">
        <w:t>.</w:t>
      </w:r>
      <w:r w:rsidRPr="00E006C4" w:rsidR="00765E44">
        <w:t xml:space="preserve"> </w:t>
      </w:r>
      <w:r w:rsidR="00E006C4">
        <w:t xml:space="preserve"> </w:t>
      </w:r>
      <w:r w:rsidRPr="00E006C4">
        <w:t>The DEA did not receive any comments concerning this collection.</w:t>
      </w:r>
    </w:p>
    <w:p w:rsidR="00605BD8" w:rsidP="00605BD8" w:rsidRDefault="00605BD8" w14:paraId="4EA99C53" w14:textId="77777777"/>
    <w:p w:rsidR="00B167B8" w:rsidP="00605BD8" w:rsidRDefault="00605BD8" w14:paraId="5BDF001B" w14:textId="77777777">
      <w:r>
        <w:lastRenderedPageBreak/>
        <w:t>DEA meets regularly with the affected industry to discuss policies, programs, and regulations.  These meetings provide an open forum to discuss matters of mutual concern with representatives of those entities from who</w:t>
      </w:r>
      <w:r w:rsidR="009628D3">
        <w:t>m the information is obtained.</w:t>
      </w:r>
    </w:p>
    <w:p w:rsidR="00605BD8" w:rsidP="00605BD8" w:rsidRDefault="00605BD8" w14:paraId="1513F17D" w14:textId="77777777"/>
    <w:p w:rsidR="00AD05C6" w:rsidP="0014087C" w:rsidRDefault="00AD05C6" w14:paraId="39240E8B" w14:textId="77777777">
      <w:r>
        <w:t xml:space="preserve">9.  </w:t>
      </w:r>
      <w:r w:rsidRPr="00AD05C6" w:rsidR="00523D1C">
        <w:rPr>
          <w:u w:val="single"/>
        </w:rPr>
        <w:t>Payment or Gift to Claimants:</w:t>
      </w:r>
    </w:p>
    <w:p w:rsidR="00AD05C6" w:rsidP="0014087C" w:rsidRDefault="00AD05C6" w14:paraId="374EC4EF" w14:textId="77777777"/>
    <w:p w:rsidR="00B167B8" w:rsidP="0014087C" w:rsidRDefault="00120EDA" w14:paraId="63E5E7E1" w14:textId="77777777">
      <w:r>
        <w:t>This information collection does not propose to provide any payment or gift to respondents</w:t>
      </w:r>
      <w:r w:rsidR="00B167B8">
        <w:t>.</w:t>
      </w:r>
    </w:p>
    <w:p w:rsidR="00CC51D7" w:rsidP="0014087C" w:rsidRDefault="00CC51D7" w14:paraId="05FD8187" w14:textId="77777777"/>
    <w:p w:rsidR="00AD05C6" w:rsidP="0014087C" w:rsidRDefault="00AD05C6" w14:paraId="695EC2E6" w14:textId="77777777">
      <w:r>
        <w:t xml:space="preserve">10.  </w:t>
      </w:r>
      <w:r w:rsidRPr="00AD05C6" w:rsidR="00523D1C">
        <w:rPr>
          <w:u w:val="single"/>
        </w:rPr>
        <w:t>Assurance of Confidentiality:</w:t>
      </w:r>
    </w:p>
    <w:p w:rsidR="00AD05C6" w:rsidP="0014087C" w:rsidRDefault="00AD05C6" w14:paraId="7367EDDC" w14:textId="77777777"/>
    <w:p w:rsidR="00E5600F" w:rsidP="0014087C" w:rsidRDefault="000A521F" w14:paraId="751CF7DF" w14:textId="77777777">
      <w:r w:rsidRPr="00E719E1">
        <w:t>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DEA through secure storage, limited access, and federal regulatory and DEA procedures.  In the event a FOIA request is made to obtain information that has been designated as confidential business information per 28 CFR 16.8(c) and Exemption 4 of FOIA, DEA will give written notice to the submitter to allow an opportunity to object within a reasonable time prior to any disclosure by DEA.</w:t>
      </w:r>
    </w:p>
    <w:p w:rsidR="00CC51D7" w:rsidP="0014087C" w:rsidRDefault="00CC51D7" w14:paraId="735E1607" w14:textId="77777777"/>
    <w:p w:rsidR="00AD05C6" w:rsidP="0014087C" w:rsidRDefault="00B167B8" w14:paraId="7B7FF9A9" w14:textId="77777777">
      <w:r>
        <w:t xml:space="preserve">11. </w:t>
      </w:r>
      <w:r w:rsidR="00565FC5">
        <w:t xml:space="preserve"> </w:t>
      </w:r>
      <w:r w:rsidRPr="00AD05C6" w:rsidR="00523D1C">
        <w:rPr>
          <w:u w:val="single"/>
        </w:rPr>
        <w:t>Justification for Sensitive Questions:</w:t>
      </w:r>
    </w:p>
    <w:p w:rsidR="00AD05C6" w:rsidP="0014087C" w:rsidRDefault="00AD05C6" w14:paraId="7799B09E" w14:textId="77777777"/>
    <w:p w:rsidR="00B167B8" w:rsidP="0014087C" w:rsidRDefault="00B167B8" w14:paraId="5E1990B6" w14:textId="77777777">
      <w:r>
        <w:t xml:space="preserve">This information collection does not </w:t>
      </w:r>
      <w:r w:rsidR="00120EDA">
        <w:t xml:space="preserve">ask any questions </w:t>
      </w:r>
      <w:r>
        <w:t>of a sensitive nature.</w:t>
      </w:r>
    </w:p>
    <w:p w:rsidR="00CC51D7" w:rsidP="0014087C" w:rsidRDefault="00CC51D7" w14:paraId="15D184F0" w14:textId="77777777"/>
    <w:p w:rsidR="00E451DF" w:rsidP="00CC51D7" w:rsidRDefault="00AD05C6" w14:paraId="21E5B777" w14:textId="77777777">
      <w:pPr>
        <w:rPr>
          <w:u w:val="single"/>
        </w:rPr>
      </w:pPr>
      <w:r>
        <w:t xml:space="preserve">12.  </w:t>
      </w:r>
      <w:r w:rsidRPr="00987033" w:rsidR="00523D1C">
        <w:rPr>
          <w:u w:val="single"/>
        </w:rPr>
        <w:t>Estimate of Hour Burden:</w:t>
      </w:r>
    </w:p>
    <w:p w:rsidR="009F3D85" w:rsidP="00CC51D7" w:rsidRDefault="009F3D85" w14:paraId="04BC26A0" w14:textId="77777777">
      <w:pPr>
        <w:rPr>
          <w:u w:val="single"/>
        </w:rPr>
      </w:pPr>
    </w:p>
    <w:p w:rsidR="00CD642D" w:rsidP="00CC51D7" w:rsidRDefault="00CC51D7" w14:paraId="41228C29" w14:textId="77777777">
      <w:r>
        <w:rPr>
          <w:szCs w:val="24"/>
        </w:rPr>
        <w:t>DEA Forms 251, 252, 253 and 254 are available to be completed and submitted in connection with this information collection</w:t>
      </w:r>
      <w:r w:rsidR="00987033">
        <w:rPr>
          <w:szCs w:val="24"/>
        </w:rPr>
        <w:t>.</w:t>
      </w:r>
    </w:p>
    <w:p w:rsidR="001E31D0" w:rsidP="00CC51D7" w:rsidRDefault="001E31D0" w14:paraId="6567D809" w14:textId="77777777">
      <w:pPr>
        <w:rPr>
          <w:szCs w:val="24"/>
        </w:rPr>
      </w:pPr>
    </w:p>
    <w:p w:rsidRPr="00E30DDA" w:rsidR="00CC51D7" w:rsidP="00CC51D7" w:rsidRDefault="00CC51D7" w14:paraId="5BD7B4A0" w14:textId="77777777">
      <w:pPr>
        <w:rPr>
          <w:szCs w:val="24"/>
        </w:rPr>
      </w:pPr>
      <w:r>
        <w:rPr>
          <w:szCs w:val="24"/>
        </w:rPr>
        <w:t>Number of Respondents:</w:t>
      </w:r>
      <w:r>
        <w:rPr>
          <w:szCs w:val="24"/>
        </w:rPr>
        <w:tab/>
      </w:r>
      <w:r w:rsidR="003C5A5D">
        <w:rPr>
          <w:szCs w:val="24"/>
        </w:rPr>
        <w:tab/>
      </w:r>
      <w:r w:rsidR="00B40CB4">
        <w:rPr>
          <w:szCs w:val="24"/>
        </w:rPr>
        <w:t>94,011</w:t>
      </w:r>
    </w:p>
    <w:p w:rsidRPr="00E30DDA" w:rsidR="00CC51D7" w:rsidP="00CC51D7" w:rsidRDefault="00CC51D7" w14:paraId="7D39326A" w14:textId="77777777">
      <w:pPr>
        <w:rPr>
          <w:szCs w:val="24"/>
        </w:rPr>
      </w:pPr>
      <w:r w:rsidRPr="00E30DDA">
        <w:rPr>
          <w:szCs w:val="24"/>
        </w:rPr>
        <w:t>Frequency of Response:</w:t>
      </w:r>
      <w:r w:rsidRPr="00E30DDA">
        <w:rPr>
          <w:szCs w:val="24"/>
        </w:rPr>
        <w:tab/>
      </w:r>
      <w:r w:rsidR="003C5A5D">
        <w:rPr>
          <w:szCs w:val="24"/>
        </w:rPr>
        <w:tab/>
      </w:r>
      <w:r w:rsidRPr="00B40CB4" w:rsidR="00B40CB4">
        <w:rPr>
          <w:szCs w:val="24"/>
        </w:rPr>
        <w:t>0.994735</w:t>
      </w:r>
      <w:r w:rsidR="00E178D6">
        <w:rPr>
          <w:szCs w:val="24"/>
        </w:rPr>
        <w:t xml:space="preserve"> average (</w:t>
      </w:r>
      <w:r>
        <w:rPr>
          <w:szCs w:val="24"/>
        </w:rPr>
        <w:t>as needed</w:t>
      </w:r>
      <w:r w:rsidR="00E178D6">
        <w:rPr>
          <w:szCs w:val="24"/>
        </w:rPr>
        <w:t>)</w:t>
      </w:r>
      <w:r w:rsidRPr="00B40CB4" w:rsidR="00B40CB4">
        <w:rPr>
          <w:rStyle w:val="FootnoteReference"/>
          <w:rFonts w:eastAsia="SimSun"/>
          <w:noProof/>
          <w:vertAlign w:val="superscript"/>
        </w:rPr>
        <w:t xml:space="preserve"> </w:t>
      </w:r>
      <w:r w:rsidRPr="00DE19AE" w:rsidR="00B40CB4">
        <w:rPr>
          <w:rStyle w:val="FootnoteReference"/>
          <w:rFonts w:eastAsia="SimSun"/>
          <w:noProof/>
          <w:vertAlign w:val="superscript"/>
        </w:rPr>
        <w:footnoteReference w:id="1"/>
      </w:r>
    </w:p>
    <w:p w:rsidRPr="00E30DDA" w:rsidR="00CC51D7" w:rsidP="00CC51D7" w:rsidRDefault="00CC51D7" w14:paraId="165019FA" w14:textId="77777777">
      <w:pPr>
        <w:rPr>
          <w:szCs w:val="24"/>
        </w:rPr>
      </w:pPr>
      <w:r w:rsidRPr="00E30DDA">
        <w:rPr>
          <w:szCs w:val="24"/>
        </w:rPr>
        <w:t>Total annual responses:</w:t>
      </w:r>
      <w:r w:rsidRPr="00E30DDA">
        <w:rPr>
          <w:szCs w:val="24"/>
        </w:rPr>
        <w:tab/>
      </w:r>
      <w:r w:rsidR="003C5A5D">
        <w:rPr>
          <w:szCs w:val="24"/>
        </w:rPr>
        <w:tab/>
      </w:r>
      <w:r w:rsidR="004B6E4B">
        <w:rPr>
          <w:szCs w:val="24"/>
        </w:rPr>
        <w:t>93,516</w:t>
      </w:r>
    </w:p>
    <w:p w:rsidR="00CC51D7" w:rsidP="00CC51D7" w:rsidRDefault="00CC51D7" w14:paraId="1A013CE7" w14:textId="77777777">
      <w:pPr>
        <w:rPr>
          <w:szCs w:val="24"/>
        </w:rPr>
      </w:pPr>
      <w:r>
        <w:rPr>
          <w:szCs w:val="24"/>
        </w:rPr>
        <w:t>Average time per response:</w:t>
      </w:r>
      <w:r w:rsidR="003C5A5D">
        <w:rPr>
          <w:szCs w:val="24"/>
        </w:rPr>
        <w:tab/>
      </w:r>
      <w:r>
        <w:rPr>
          <w:szCs w:val="24"/>
        </w:rPr>
        <w:tab/>
      </w:r>
      <w:r w:rsidR="00E44121">
        <w:rPr>
          <w:szCs w:val="24"/>
        </w:rPr>
        <w:t>2</w:t>
      </w:r>
      <w:r>
        <w:rPr>
          <w:szCs w:val="24"/>
        </w:rPr>
        <w:t xml:space="preserve"> hours</w:t>
      </w:r>
      <w:r w:rsidRPr="00DE19AE" w:rsidR="00E44121">
        <w:rPr>
          <w:rStyle w:val="FootnoteReference"/>
          <w:rFonts w:eastAsia="SimSun"/>
          <w:noProof/>
          <w:vertAlign w:val="superscript"/>
        </w:rPr>
        <w:footnoteReference w:id="2"/>
      </w:r>
    </w:p>
    <w:p w:rsidRPr="00E30DDA" w:rsidR="00CC51D7" w:rsidP="00CC51D7" w:rsidRDefault="00CC51D7" w14:paraId="3C8A1C6C" w14:textId="77777777">
      <w:pPr>
        <w:rPr>
          <w:szCs w:val="24"/>
        </w:rPr>
      </w:pPr>
    </w:p>
    <w:p w:rsidR="00CC51D7" w:rsidP="00CC51D7" w:rsidRDefault="00CC51D7" w14:paraId="19711F0C" w14:textId="77777777">
      <w:pPr>
        <w:rPr>
          <w:szCs w:val="24"/>
        </w:rPr>
      </w:pPr>
      <w:r w:rsidRPr="00E30DDA">
        <w:rPr>
          <w:szCs w:val="24"/>
        </w:rPr>
        <w:t>Total annual burden:</w:t>
      </w:r>
      <w:r w:rsidRPr="00E30DDA">
        <w:rPr>
          <w:szCs w:val="24"/>
        </w:rPr>
        <w:tab/>
      </w:r>
      <w:r w:rsidRPr="00E30DDA">
        <w:rPr>
          <w:szCs w:val="24"/>
        </w:rPr>
        <w:tab/>
      </w:r>
      <w:r w:rsidR="003C5A5D">
        <w:rPr>
          <w:szCs w:val="24"/>
        </w:rPr>
        <w:tab/>
      </w:r>
      <w:r w:rsidR="003621E8">
        <w:rPr>
          <w:szCs w:val="24"/>
        </w:rPr>
        <w:t>1</w:t>
      </w:r>
      <w:r w:rsidR="008A668E">
        <w:rPr>
          <w:szCs w:val="24"/>
        </w:rPr>
        <w:t>87</w:t>
      </w:r>
      <w:r w:rsidR="003621E8">
        <w:rPr>
          <w:szCs w:val="24"/>
        </w:rPr>
        <w:t>,</w:t>
      </w:r>
      <w:r w:rsidR="008A668E">
        <w:rPr>
          <w:szCs w:val="24"/>
        </w:rPr>
        <w:t>032</w:t>
      </w:r>
      <w:r w:rsidRPr="00E30DDA">
        <w:rPr>
          <w:szCs w:val="24"/>
        </w:rPr>
        <w:t xml:space="preserve"> hours</w:t>
      </w:r>
    </w:p>
    <w:p w:rsidR="00AA4ADD" w:rsidP="00CC51D7" w:rsidRDefault="00AA4ADD" w14:paraId="23C0D199" w14:textId="77777777">
      <w:pPr>
        <w:rPr>
          <w:szCs w:val="24"/>
        </w:rPr>
      </w:pPr>
    </w:p>
    <w:p w:rsidR="00CC51D7" w:rsidP="00CC51D7" w:rsidRDefault="00E178D6" w14:paraId="3735A3F0" w14:textId="77777777">
      <w:pPr>
        <w:rPr>
          <w:szCs w:val="24"/>
        </w:rPr>
      </w:pPr>
      <w:r>
        <w:rPr>
          <w:szCs w:val="24"/>
        </w:rPr>
        <w:t>Average burden:</w:t>
      </w:r>
    </w:p>
    <w:p w:rsidR="00E178D6" w:rsidP="00CC51D7" w:rsidRDefault="00E178D6" w14:paraId="1FDF015C" w14:textId="77777777">
      <w:pPr>
        <w:rPr>
          <w:szCs w:val="24"/>
        </w:rPr>
      </w:pPr>
      <w:r>
        <w:rPr>
          <w:szCs w:val="24"/>
        </w:rPr>
        <w:tab/>
        <w:t>Per collection (hour):</w:t>
      </w:r>
      <w:r w:rsidR="003C5A5D">
        <w:rPr>
          <w:szCs w:val="24"/>
        </w:rPr>
        <w:tab/>
      </w:r>
      <w:r w:rsidR="003C5A5D">
        <w:rPr>
          <w:szCs w:val="24"/>
        </w:rPr>
        <w:tab/>
      </w:r>
      <w:r w:rsidR="008F5026">
        <w:rPr>
          <w:szCs w:val="24"/>
        </w:rPr>
        <w:t>2</w:t>
      </w:r>
    </w:p>
    <w:p w:rsidR="00E178D6" w:rsidP="00CC51D7" w:rsidRDefault="003C5A5D" w14:paraId="4943F1B9" w14:textId="77777777">
      <w:pPr>
        <w:rPr>
          <w:szCs w:val="24"/>
        </w:rPr>
      </w:pPr>
      <w:r>
        <w:rPr>
          <w:szCs w:val="24"/>
        </w:rPr>
        <w:lastRenderedPageBreak/>
        <w:tab/>
        <w:t>Per respondent (hour):</w:t>
      </w:r>
      <w:r>
        <w:rPr>
          <w:szCs w:val="24"/>
        </w:rPr>
        <w:tab/>
      </w:r>
      <w:r>
        <w:rPr>
          <w:szCs w:val="24"/>
        </w:rPr>
        <w:tab/>
      </w:r>
      <w:r w:rsidR="00FB658A">
        <w:rPr>
          <w:szCs w:val="24"/>
        </w:rPr>
        <w:t>1.</w:t>
      </w:r>
      <w:r w:rsidR="00D04810">
        <w:rPr>
          <w:szCs w:val="24"/>
        </w:rPr>
        <w:t>9</w:t>
      </w:r>
      <w:r w:rsidR="00FB658A">
        <w:rPr>
          <w:szCs w:val="24"/>
        </w:rPr>
        <w:t>9</w:t>
      </w:r>
    </w:p>
    <w:p w:rsidR="00CC51D7" w:rsidP="00CC51D7" w:rsidRDefault="00CC51D7" w14:paraId="4E9D351A" w14:textId="77777777">
      <w:pPr>
        <w:rPr>
          <w:szCs w:val="24"/>
        </w:rPr>
      </w:pPr>
    </w:p>
    <w:p w:rsidR="003C5A5D" w:rsidP="00CC51D7" w:rsidRDefault="003C5A5D" w14:paraId="000AF9B2" w14:textId="77777777">
      <w:pPr>
        <w:rPr>
          <w:szCs w:val="24"/>
        </w:rPr>
      </w:pPr>
    </w:p>
    <w:p w:rsidR="00846434" w:rsidP="00846434" w:rsidRDefault="00846434" w14:paraId="4019CD93" w14:textId="77777777">
      <w:pPr>
        <w:rPr>
          <w:noProof/>
        </w:rPr>
      </w:pPr>
      <w:r>
        <w:rPr>
          <w:noProof/>
        </w:rPr>
        <w:t>Burden dollars:</w:t>
      </w:r>
    </w:p>
    <w:p w:rsidR="00846434" w:rsidP="00846434" w:rsidRDefault="00846434" w14:paraId="38F044D0" w14:textId="77777777">
      <w:pPr>
        <w:rPr>
          <w:noProof/>
        </w:rPr>
      </w:pPr>
    </w:p>
    <w:tbl>
      <w:tblPr>
        <w:tblW w:w="0" w:type="auto"/>
        <w:tblInd w:w="720" w:type="dxa"/>
        <w:tblLook w:val="04A0" w:firstRow="1" w:lastRow="0" w:firstColumn="1" w:lastColumn="0" w:noHBand="0" w:noVBand="1"/>
      </w:tblPr>
      <w:tblGrid>
        <w:gridCol w:w="4428"/>
        <w:gridCol w:w="1416"/>
      </w:tblGrid>
      <w:tr w:rsidR="00846434" w:rsidTr="002018A7" w14:paraId="39471CFF" w14:textId="77777777">
        <w:tc>
          <w:tcPr>
            <w:tcW w:w="4428" w:type="dxa"/>
            <w:shd w:val="clear" w:color="auto" w:fill="auto"/>
          </w:tcPr>
          <w:p w:rsidRPr="00DE19AE" w:rsidR="00846434" w:rsidP="002018A7" w:rsidRDefault="00846434" w14:paraId="748CC0D1" w14:textId="77777777">
            <w:pPr>
              <w:spacing w:line="480" w:lineRule="auto"/>
              <w:rPr>
                <w:rFonts w:eastAsia="SimSun"/>
                <w:noProof/>
              </w:rPr>
            </w:pPr>
            <w:r w:rsidRPr="00DE19AE">
              <w:rPr>
                <w:rFonts w:eastAsia="SimSun"/>
                <w:noProof/>
              </w:rPr>
              <w:t>Estimate hourly wage ($/hour):</w:t>
            </w:r>
            <w:r w:rsidRPr="00DE19AE">
              <w:rPr>
                <w:rStyle w:val="FootnoteReference"/>
                <w:rFonts w:eastAsia="SimSun"/>
                <w:noProof/>
                <w:vertAlign w:val="superscript"/>
              </w:rPr>
              <w:footnoteReference w:id="3"/>
            </w:r>
          </w:p>
        </w:tc>
        <w:tc>
          <w:tcPr>
            <w:tcW w:w="1080" w:type="dxa"/>
            <w:shd w:val="clear" w:color="auto" w:fill="auto"/>
          </w:tcPr>
          <w:p w:rsidRPr="00DE19AE" w:rsidR="00846434" w:rsidP="002018A7" w:rsidRDefault="00846434" w14:paraId="56CE0949" w14:textId="77777777">
            <w:pPr>
              <w:spacing w:line="480" w:lineRule="auto"/>
              <w:jc w:val="right"/>
              <w:rPr>
                <w:rFonts w:eastAsia="SimSun"/>
                <w:noProof/>
              </w:rPr>
            </w:pPr>
            <w:r w:rsidRPr="00DE19AE">
              <w:rPr>
                <w:rFonts w:eastAsia="SimSun"/>
                <w:noProof/>
              </w:rPr>
              <w:t>$</w:t>
            </w:r>
            <w:r w:rsidR="00C61DF6">
              <w:rPr>
                <w:rFonts w:eastAsia="SimSun"/>
                <w:noProof/>
              </w:rPr>
              <w:t>61.81</w:t>
            </w:r>
          </w:p>
        </w:tc>
      </w:tr>
      <w:tr w:rsidRPr="0005421C" w:rsidR="00846434" w:rsidTr="002018A7" w14:paraId="49A56D60" w14:textId="77777777">
        <w:tc>
          <w:tcPr>
            <w:tcW w:w="4428" w:type="dxa"/>
            <w:shd w:val="clear" w:color="auto" w:fill="auto"/>
          </w:tcPr>
          <w:p w:rsidRPr="00DE19AE" w:rsidR="00846434" w:rsidP="002018A7" w:rsidRDefault="00846434" w14:paraId="7830368E" w14:textId="77777777">
            <w:pPr>
              <w:spacing w:line="480" w:lineRule="auto"/>
              <w:rPr>
                <w:rFonts w:eastAsia="SimSun"/>
                <w:noProof/>
              </w:rPr>
            </w:pPr>
            <w:r w:rsidRPr="00DE19AE">
              <w:rPr>
                <w:rFonts w:eastAsia="SimSun"/>
                <w:noProof/>
              </w:rPr>
              <w:t>Load for benefits (percent of labor rate):</w:t>
            </w:r>
            <w:r w:rsidRPr="00DE19AE">
              <w:rPr>
                <w:rStyle w:val="FootnoteReference"/>
                <w:rFonts w:eastAsia="SimSun"/>
                <w:noProof/>
                <w:vertAlign w:val="superscript"/>
              </w:rPr>
              <w:footnoteReference w:id="4"/>
            </w:r>
          </w:p>
        </w:tc>
        <w:tc>
          <w:tcPr>
            <w:tcW w:w="1080" w:type="dxa"/>
            <w:shd w:val="clear" w:color="auto" w:fill="auto"/>
          </w:tcPr>
          <w:p w:rsidRPr="00DE19AE" w:rsidR="00846434" w:rsidP="002018A7" w:rsidRDefault="00481AC3" w14:paraId="6CA9D035" w14:textId="77777777">
            <w:pPr>
              <w:spacing w:line="480" w:lineRule="auto"/>
              <w:jc w:val="right"/>
              <w:rPr>
                <w:rFonts w:eastAsia="SimSun"/>
                <w:noProof/>
              </w:rPr>
            </w:pPr>
            <w:r>
              <w:rPr>
                <w:rFonts w:eastAsia="SimSun"/>
                <w:noProof/>
              </w:rPr>
              <w:t>4</w:t>
            </w:r>
            <w:r w:rsidR="00F750CF">
              <w:rPr>
                <w:rFonts w:eastAsia="SimSun"/>
                <w:noProof/>
              </w:rPr>
              <w:t>1.8</w:t>
            </w:r>
            <w:r w:rsidRPr="00DE19AE" w:rsidR="00846434">
              <w:rPr>
                <w:rFonts w:eastAsia="SimSun"/>
                <w:noProof/>
              </w:rPr>
              <w:t>%</w:t>
            </w:r>
          </w:p>
        </w:tc>
      </w:tr>
      <w:tr w:rsidRPr="0005421C" w:rsidR="00846434" w:rsidTr="002018A7" w14:paraId="3D5D9E6F" w14:textId="77777777">
        <w:tc>
          <w:tcPr>
            <w:tcW w:w="4428" w:type="dxa"/>
            <w:shd w:val="clear" w:color="auto" w:fill="auto"/>
          </w:tcPr>
          <w:p w:rsidRPr="00DE19AE" w:rsidR="00846434" w:rsidP="002018A7" w:rsidRDefault="00846434" w14:paraId="6A61D9E8" w14:textId="77777777">
            <w:pPr>
              <w:spacing w:line="480" w:lineRule="auto"/>
              <w:rPr>
                <w:rFonts w:eastAsia="SimSun"/>
                <w:noProof/>
              </w:rPr>
            </w:pPr>
            <w:r w:rsidRPr="00DE19AE">
              <w:rPr>
                <w:rFonts w:eastAsia="SimSun"/>
                <w:noProof/>
              </w:rPr>
              <w:t>Loaded labor rate ($/hour):</w:t>
            </w:r>
            <w:r w:rsidRPr="00DE19AE">
              <w:rPr>
                <w:rStyle w:val="FootnoteReference"/>
                <w:rFonts w:eastAsia="SimSun"/>
                <w:noProof/>
                <w:vertAlign w:val="superscript"/>
              </w:rPr>
              <w:footnoteReference w:id="5"/>
            </w:r>
          </w:p>
        </w:tc>
        <w:tc>
          <w:tcPr>
            <w:tcW w:w="1080" w:type="dxa"/>
            <w:shd w:val="clear" w:color="auto" w:fill="auto"/>
          </w:tcPr>
          <w:p w:rsidRPr="00DE19AE" w:rsidR="00846434" w:rsidP="002018A7" w:rsidRDefault="00846434" w14:paraId="46F197E9" w14:textId="77777777">
            <w:pPr>
              <w:spacing w:line="480" w:lineRule="auto"/>
              <w:jc w:val="right"/>
              <w:rPr>
                <w:rFonts w:eastAsia="SimSun"/>
                <w:noProof/>
              </w:rPr>
            </w:pPr>
            <w:r w:rsidRPr="00DE19AE">
              <w:rPr>
                <w:rFonts w:eastAsia="SimSun"/>
                <w:noProof/>
              </w:rPr>
              <w:t>$8</w:t>
            </w:r>
            <w:r w:rsidR="000F5F43">
              <w:rPr>
                <w:rFonts w:eastAsia="SimSun"/>
                <w:noProof/>
              </w:rPr>
              <w:t>7.65</w:t>
            </w:r>
          </w:p>
        </w:tc>
      </w:tr>
      <w:tr w:rsidR="00846434" w:rsidTr="002018A7" w14:paraId="42A1D62F" w14:textId="77777777">
        <w:tc>
          <w:tcPr>
            <w:tcW w:w="4428" w:type="dxa"/>
            <w:shd w:val="clear" w:color="auto" w:fill="auto"/>
          </w:tcPr>
          <w:p w:rsidRPr="00DE19AE" w:rsidR="00846434" w:rsidP="002018A7" w:rsidRDefault="00846434" w14:paraId="4B93EB87" w14:textId="77777777">
            <w:pPr>
              <w:spacing w:line="480" w:lineRule="auto"/>
              <w:rPr>
                <w:rFonts w:eastAsia="SimSun"/>
                <w:noProof/>
              </w:rPr>
            </w:pPr>
            <w:r w:rsidRPr="00DE19AE">
              <w:rPr>
                <w:rFonts w:eastAsia="SimSun"/>
                <w:noProof/>
              </w:rPr>
              <w:t>Total annual burden dollar:</w:t>
            </w:r>
          </w:p>
        </w:tc>
        <w:tc>
          <w:tcPr>
            <w:tcW w:w="1080" w:type="dxa"/>
            <w:shd w:val="clear" w:color="auto" w:fill="auto"/>
          </w:tcPr>
          <w:p w:rsidRPr="00DE19AE" w:rsidR="00846434" w:rsidP="002018A7" w:rsidRDefault="00846434" w14:paraId="04BF86C5" w14:textId="77777777">
            <w:pPr>
              <w:spacing w:line="480" w:lineRule="auto"/>
              <w:jc w:val="right"/>
              <w:rPr>
                <w:rFonts w:eastAsia="SimSun"/>
                <w:noProof/>
              </w:rPr>
            </w:pPr>
            <w:r w:rsidRPr="00DE19AE">
              <w:rPr>
                <w:rFonts w:eastAsia="SimSun"/>
                <w:noProof/>
              </w:rPr>
              <w:t>$</w:t>
            </w:r>
            <w:r w:rsidR="00305254">
              <w:rPr>
                <w:rFonts w:eastAsia="SimSun"/>
                <w:noProof/>
              </w:rPr>
              <w:t>1</w:t>
            </w:r>
            <w:r w:rsidR="003D7AEC">
              <w:rPr>
                <w:rFonts w:eastAsia="SimSun"/>
                <w:noProof/>
              </w:rPr>
              <w:t>6</w:t>
            </w:r>
            <w:r w:rsidR="00305254">
              <w:rPr>
                <w:rFonts w:eastAsia="SimSun"/>
                <w:noProof/>
              </w:rPr>
              <w:t>,</w:t>
            </w:r>
            <w:r w:rsidR="003D7AEC">
              <w:rPr>
                <w:rFonts w:eastAsia="SimSun"/>
                <w:noProof/>
              </w:rPr>
              <w:t>3</w:t>
            </w:r>
            <w:r w:rsidR="00305254">
              <w:rPr>
                <w:rFonts w:eastAsia="SimSun"/>
                <w:noProof/>
              </w:rPr>
              <w:t>9</w:t>
            </w:r>
            <w:r w:rsidR="003D7AEC">
              <w:rPr>
                <w:rFonts w:eastAsia="SimSun"/>
                <w:noProof/>
              </w:rPr>
              <w:t>3</w:t>
            </w:r>
            <w:r w:rsidR="00305254">
              <w:rPr>
                <w:rFonts w:eastAsia="SimSun"/>
                <w:noProof/>
              </w:rPr>
              <w:t>,</w:t>
            </w:r>
            <w:r w:rsidR="003D7AEC">
              <w:rPr>
                <w:rFonts w:eastAsia="SimSun"/>
                <w:noProof/>
              </w:rPr>
              <w:t>355</w:t>
            </w:r>
          </w:p>
        </w:tc>
      </w:tr>
      <w:tr w:rsidR="00846434" w:rsidTr="002018A7" w14:paraId="2BD5D932" w14:textId="77777777">
        <w:tc>
          <w:tcPr>
            <w:tcW w:w="4428" w:type="dxa"/>
            <w:shd w:val="clear" w:color="auto" w:fill="auto"/>
          </w:tcPr>
          <w:p w:rsidRPr="00DE19AE" w:rsidR="00846434" w:rsidP="002018A7" w:rsidRDefault="00846434" w14:paraId="55A29FC4" w14:textId="77777777">
            <w:pPr>
              <w:spacing w:line="480" w:lineRule="auto"/>
              <w:rPr>
                <w:rFonts w:eastAsia="SimSun"/>
                <w:noProof/>
              </w:rPr>
            </w:pPr>
            <w:r w:rsidRPr="00DE19AE">
              <w:rPr>
                <w:rFonts w:eastAsia="SimSun"/>
                <w:noProof/>
              </w:rPr>
              <w:t>Average burden dollars per collection:</w:t>
            </w:r>
          </w:p>
        </w:tc>
        <w:tc>
          <w:tcPr>
            <w:tcW w:w="1080" w:type="dxa"/>
            <w:shd w:val="clear" w:color="auto" w:fill="auto"/>
          </w:tcPr>
          <w:p w:rsidRPr="00DE19AE" w:rsidR="00846434" w:rsidP="002018A7" w:rsidRDefault="00846434" w14:paraId="5AD8021C" w14:textId="77777777">
            <w:pPr>
              <w:spacing w:line="480" w:lineRule="auto"/>
              <w:jc w:val="right"/>
              <w:rPr>
                <w:rFonts w:eastAsia="SimSun"/>
                <w:noProof/>
              </w:rPr>
            </w:pPr>
            <w:r w:rsidRPr="00DE19AE">
              <w:rPr>
                <w:rFonts w:eastAsia="SimSun"/>
                <w:noProof/>
              </w:rPr>
              <w:t>$</w:t>
            </w:r>
            <w:r w:rsidR="0039235E">
              <w:rPr>
                <w:rFonts w:eastAsia="SimSun"/>
                <w:noProof/>
              </w:rPr>
              <w:t>175.30</w:t>
            </w:r>
          </w:p>
        </w:tc>
      </w:tr>
    </w:tbl>
    <w:p w:rsidR="00AD05C6" w:rsidP="0014087C" w:rsidRDefault="00AD05C6" w14:paraId="45FA11A7" w14:textId="77777777">
      <w:r>
        <w:t xml:space="preserve">13.  </w:t>
      </w:r>
      <w:r w:rsidRPr="00987033" w:rsidR="004A5143">
        <w:rPr>
          <w:u w:val="single"/>
        </w:rPr>
        <w:t>Estimate of Cost Burden</w:t>
      </w:r>
      <w:r w:rsidRPr="00AD05C6" w:rsidR="004A5143">
        <w:rPr>
          <w:u w:val="single"/>
        </w:rPr>
        <w:t>:</w:t>
      </w:r>
    </w:p>
    <w:p w:rsidRPr="0074630A" w:rsidR="00AA4ADD" w:rsidP="0014087C" w:rsidRDefault="00AA4ADD" w14:paraId="2584203E" w14:textId="77777777"/>
    <w:p w:rsidR="001E3E31" w:rsidP="00CC51D7" w:rsidRDefault="001E3E31" w14:paraId="58D5A591" w14:textId="77777777">
      <w:r>
        <w:t>Respondents are not estimated to incur any additional start-up cost or capital expenditure as a result of this information collection.  However, respondents are expected to incur shipping costs.</w:t>
      </w:r>
    </w:p>
    <w:p w:rsidR="001E3E31" w:rsidP="00CC51D7" w:rsidRDefault="001E3E31" w14:paraId="173D8A9D" w14:textId="77777777"/>
    <w:p w:rsidR="001249E0" w:rsidP="00CC51D7" w:rsidRDefault="001249E0" w14:paraId="2EFB61D5" w14:textId="77777777">
      <w:r>
        <w:t>The application packages are signed, notarized, and mailed to DEA.  Assuming the cost of notarizing the package is nominal,</w:t>
      </w:r>
      <w:r w:rsidR="0038137D">
        <w:t xml:space="preserve"> the estimated cost burden is $</w:t>
      </w:r>
      <w:r w:rsidR="00A3113E">
        <w:t>11.13</w:t>
      </w:r>
      <w:r>
        <w:t xml:space="preserve"> per package (based on FedEx One Rate, Envelope, Zone </w:t>
      </w:r>
      <w:r w:rsidR="00921852">
        <w:t>5</w:t>
      </w:r>
      <w:r>
        <w:t xml:space="preserve">, National, 3 days).  While a package may contain multiple forms for batch applications, a conservative estimate of one package per form </w:t>
      </w:r>
      <w:r w:rsidR="0078506F">
        <w:t>is used in this analysis</w:t>
      </w:r>
      <w:r>
        <w:t>.</w:t>
      </w:r>
    </w:p>
    <w:p w:rsidR="001249E0" w:rsidP="00CC51D7" w:rsidRDefault="001249E0" w14:paraId="7CE4F613" w14:textId="77777777"/>
    <w:p w:rsidR="00CC51D7" w:rsidP="00CC51D7" w:rsidRDefault="00CC51D7" w14:paraId="76C144F7" w14:textId="77777777">
      <w:r w:rsidRPr="00AA4ADD">
        <w:t>Estimated</w:t>
      </w:r>
      <w:r w:rsidR="001E3E31">
        <w:t xml:space="preserve"> annual</w:t>
      </w:r>
      <w:r w:rsidRPr="00AA4ADD">
        <w:t xml:space="preserve"> cost burden:</w:t>
      </w:r>
      <w:r w:rsidRPr="00AA4ADD">
        <w:tab/>
        <w:t>$</w:t>
      </w:r>
      <w:r w:rsidR="00B5074A">
        <w:t>1,040,833</w:t>
      </w:r>
      <w:r w:rsidR="001249E0">
        <w:t>.</w:t>
      </w:r>
    </w:p>
    <w:p w:rsidRPr="0074630A" w:rsidR="00B167B8" w:rsidP="0014087C" w:rsidRDefault="00B167B8" w14:paraId="6F7FA08D" w14:textId="77777777"/>
    <w:p w:rsidR="00B167B8" w:rsidP="0014087C" w:rsidRDefault="00B167B8" w14:paraId="0E3F45ED" w14:textId="77777777">
      <w:pPr>
        <w:rPr>
          <w:u w:val="single"/>
        </w:rPr>
      </w:pPr>
      <w:r w:rsidRPr="0074630A">
        <w:t xml:space="preserve">14. </w:t>
      </w:r>
      <w:r w:rsidR="00AD05C6">
        <w:t xml:space="preserve"> </w:t>
      </w:r>
      <w:r w:rsidRPr="00987033" w:rsidR="004A5143">
        <w:rPr>
          <w:u w:val="single"/>
        </w:rPr>
        <w:t>Estimated Annualized Cost to Federal Government:</w:t>
      </w:r>
    </w:p>
    <w:p w:rsidRPr="008929A7" w:rsidR="00BA2435" w:rsidP="00BA2435" w:rsidRDefault="00BA2435" w14:paraId="2C6A3C96" w14:textId="77777777">
      <w:pPr>
        <w:rPr>
          <w:color w:val="000000"/>
        </w:rPr>
      </w:pPr>
    </w:p>
    <w:p w:rsidR="00BA2435" w:rsidP="00BA2435" w:rsidRDefault="00BA2435" w14:paraId="02A315C5" w14:textId="77777777">
      <w:pPr>
        <w:rPr>
          <w:color w:val="000000"/>
        </w:rPr>
      </w:pPr>
      <w:r w:rsidRPr="008929A7">
        <w:rPr>
          <w:color w:val="000000"/>
        </w:rPr>
        <w:t>Estimated Annual Labor Cost to Government:</w:t>
      </w:r>
    </w:p>
    <w:p w:rsidR="009012C1" w:rsidP="00CC51D7" w:rsidRDefault="009012C1" w14:paraId="4586E0C9" w14:textId="77777777"/>
    <w:tbl>
      <w:tblPr>
        <w:tblW w:w="8073" w:type="dxa"/>
        <w:tblInd w:w="113" w:type="dxa"/>
        <w:tblLook w:val="04A0" w:firstRow="1" w:lastRow="0" w:firstColumn="1" w:lastColumn="0" w:noHBand="0" w:noVBand="1"/>
      </w:tblPr>
      <w:tblGrid>
        <w:gridCol w:w="2633"/>
        <w:gridCol w:w="928"/>
        <w:gridCol w:w="1566"/>
        <w:gridCol w:w="726"/>
        <w:gridCol w:w="980"/>
        <w:gridCol w:w="1266"/>
      </w:tblGrid>
      <w:tr w:rsidRPr="00D15421" w:rsidR="009012C1" w:rsidTr="0078506F" w14:paraId="29EE7CAB" w14:textId="77777777">
        <w:trPr>
          <w:trHeight w:val="345"/>
        </w:trPr>
        <w:tc>
          <w:tcPr>
            <w:tcW w:w="263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15421" w:rsidR="009012C1" w:rsidP="00074D04" w:rsidRDefault="009012C1" w14:paraId="626A5E07" w14:textId="77777777">
            <w:pPr>
              <w:rPr>
                <w:b/>
                <w:bCs/>
                <w:color w:val="000000"/>
                <w:sz w:val="20"/>
              </w:rPr>
            </w:pPr>
            <w:r w:rsidRPr="00D15421">
              <w:rPr>
                <w:b/>
                <w:bCs/>
                <w:color w:val="000000"/>
                <w:sz w:val="20"/>
              </w:rPr>
              <w:t>Labor Category</w:t>
            </w:r>
          </w:p>
        </w:tc>
        <w:tc>
          <w:tcPr>
            <w:tcW w:w="928" w:type="dxa"/>
            <w:tcBorders>
              <w:top w:val="single" w:color="auto" w:sz="4" w:space="0"/>
              <w:left w:val="nil"/>
              <w:bottom w:val="single" w:color="auto" w:sz="4" w:space="0"/>
              <w:right w:val="single" w:color="auto" w:sz="4" w:space="0"/>
            </w:tcBorders>
            <w:shd w:val="clear" w:color="auto" w:fill="auto"/>
            <w:noWrap/>
            <w:vAlign w:val="bottom"/>
            <w:hideMark/>
          </w:tcPr>
          <w:p w:rsidRPr="00D15421" w:rsidR="009012C1" w:rsidP="00074D04" w:rsidRDefault="009012C1" w14:paraId="25A62FAD" w14:textId="77777777">
            <w:pPr>
              <w:jc w:val="center"/>
              <w:rPr>
                <w:b/>
                <w:bCs/>
                <w:color w:val="000000"/>
                <w:sz w:val="20"/>
              </w:rPr>
            </w:pPr>
            <w:r w:rsidRPr="00D15421">
              <w:rPr>
                <w:b/>
                <w:bCs/>
                <w:color w:val="000000"/>
                <w:sz w:val="20"/>
              </w:rPr>
              <w:t>Number</w:t>
            </w:r>
          </w:p>
        </w:tc>
        <w:tc>
          <w:tcPr>
            <w:tcW w:w="1566" w:type="dxa"/>
            <w:tcBorders>
              <w:top w:val="single" w:color="auto" w:sz="4" w:space="0"/>
              <w:left w:val="nil"/>
              <w:bottom w:val="single" w:color="auto" w:sz="4" w:space="0"/>
              <w:right w:val="single" w:color="auto" w:sz="4" w:space="0"/>
            </w:tcBorders>
            <w:shd w:val="clear" w:color="auto" w:fill="auto"/>
            <w:noWrap/>
            <w:vAlign w:val="bottom"/>
            <w:hideMark/>
          </w:tcPr>
          <w:p w:rsidRPr="00D15421" w:rsidR="009012C1" w:rsidP="00074D04" w:rsidRDefault="009012C1" w14:paraId="737FC05C" w14:textId="77777777">
            <w:pPr>
              <w:jc w:val="center"/>
              <w:rPr>
                <w:b/>
                <w:bCs/>
                <w:color w:val="000000"/>
                <w:sz w:val="20"/>
              </w:rPr>
            </w:pPr>
            <w:r w:rsidRPr="00D15421">
              <w:rPr>
                <w:b/>
                <w:bCs/>
                <w:color w:val="000000"/>
                <w:sz w:val="20"/>
              </w:rPr>
              <w:t xml:space="preserve"> Annual rate </w:t>
            </w:r>
          </w:p>
        </w:tc>
        <w:tc>
          <w:tcPr>
            <w:tcW w:w="700" w:type="dxa"/>
            <w:tcBorders>
              <w:top w:val="single" w:color="auto" w:sz="4" w:space="0"/>
              <w:left w:val="nil"/>
              <w:bottom w:val="single" w:color="auto" w:sz="4" w:space="0"/>
              <w:right w:val="single" w:color="auto" w:sz="4" w:space="0"/>
            </w:tcBorders>
            <w:shd w:val="clear" w:color="auto" w:fill="auto"/>
            <w:noWrap/>
            <w:vAlign w:val="bottom"/>
            <w:hideMark/>
          </w:tcPr>
          <w:p w:rsidRPr="00D15421" w:rsidR="009012C1" w:rsidP="00074D04" w:rsidRDefault="009012C1" w14:paraId="07037253" w14:textId="77777777">
            <w:pPr>
              <w:jc w:val="center"/>
              <w:rPr>
                <w:b/>
                <w:bCs/>
                <w:color w:val="000000"/>
                <w:sz w:val="20"/>
              </w:rPr>
            </w:pPr>
            <w:r w:rsidRPr="00D15421">
              <w:rPr>
                <w:b/>
                <w:bCs/>
                <w:color w:val="000000"/>
                <w:sz w:val="20"/>
              </w:rPr>
              <w:t>Load</w:t>
            </w:r>
            <w:r w:rsidRPr="00FC4E5D">
              <w:rPr>
                <w:rStyle w:val="FootnoteReference"/>
                <w:b/>
                <w:bCs/>
                <w:color w:val="000000"/>
                <w:sz w:val="20"/>
                <w:vertAlign w:val="superscript"/>
              </w:rPr>
              <w:footnoteReference w:id="6"/>
            </w:r>
          </w:p>
        </w:tc>
        <w:tc>
          <w:tcPr>
            <w:tcW w:w="980" w:type="dxa"/>
            <w:tcBorders>
              <w:top w:val="single" w:color="auto" w:sz="4" w:space="0"/>
              <w:left w:val="nil"/>
              <w:bottom w:val="single" w:color="auto" w:sz="4" w:space="0"/>
              <w:right w:val="single" w:color="auto" w:sz="4" w:space="0"/>
            </w:tcBorders>
            <w:shd w:val="clear" w:color="auto" w:fill="auto"/>
            <w:noWrap/>
            <w:vAlign w:val="bottom"/>
            <w:hideMark/>
          </w:tcPr>
          <w:p w:rsidRPr="00D15421" w:rsidR="009012C1" w:rsidP="00074D04" w:rsidRDefault="009012C1" w14:paraId="2A459905" w14:textId="77777777">
            <w:pPr>
              <w:jc w:val="center"/>
              <w:rPr>
                <w:b/>
                <w:bCs/>
                <w:color w:val="000000"/>
                <w:sz w:val="20"/>
              </w:rPr>
            </w:pPr>
            <w:r w:rsidRPr="00D15421">
              <w:rPr>
                <w:b/>
                <w:bCs/>
                <w:color w:val="000000"/>
                <w:sz w:val="20"/>
              </w:rPr>
              <w:t>% of time</w:t>
            </w:r>
          </w:p>
        </w:tc>
        <w:tc>
          <w:tcPr>
            <w:tcW w:w="1266" w:type="dxa"/>
            <w:tcBorders>
              <w:top w:val="single" w:color="auto" w:sz="4" w:space="0"/>
              <w:left w:val="nil"/>
              <w:bottom w:val="single" w:color="auto" w:sz="4" w:space="0"/>
              <w:right w:val="single" w:color="auto" w:sz="4" w:space="0"/>
            </w:tcBorders>
            <w:shd w:val="clear" w:color="auto" w:fill="auto"/>
            <w:noWrap/>
            <w:vAlign w:val="bottom"/>
            <w:hideMark/>
          </w:tcPr>
          <w:p w:rsidRPr="00D15421" w:rsidR="009012C1" w:rsidP="00074D04" w:rsidRDefault="009012C1" w14:paraId="4B0C1781" w14:textId="77777777">
            <w:pPr>
              <w:jc w:val="center"/>
              <w:rPr>
                <w:b/>
                <w:bCs/>
                <w:color w:val="000000"/>
                <w:sz w:val="20"/>
              </w:rPr>
            </w:pPr>
            <w:r w:rsidRPr="00D15421">
              <w:rPr>
                <w:b/>
                <w:bCs/>
                <w:color w:val="000000"/>
                <w:sz w:val="20"/>
              </w:rPr>
              <w:t>Cost</w:t>
            </w:r>
          </w:p>
        </w:tc>
      </w:tr>
      <w:tr w:rsidRPr="00D15421" w:rsidR="009012C1" w:rsidTr="0078506F" w14:paraId="10587CA1" w14:textId="77777777">
        <w:trPr>
          <w:trHeight w:val="300"/>
        </w:trPr>
        <w:tc>
          <w:tcPr>
            <w:tcW w:w="2633" w:type="dxa"/>
            <w:tcBorders>
              <w:top w:val="nil"/>
              <w:left w:val="single" w:color="auto" w:sz="4" w:space="0"/>
              <w:bottom w:val="single" w:color="auto" w:sz="4" w:space="0"/>
              <w:right w:val="single" w:color="auto" w:sz="4" w:space="0"/>
            </w:tcBorders>
            <w:shd w:val="clear" w:color="auto" w:fill="auto"/>
            <w:noWrap/>
            <w:vAlign w:val="bottom"/>
            <w:hideMark/>
          </w:tcPr>
          <w:p w:rsidRPr="00D15421" w:rsidR="009012C1" w:rsidP="00074D04" w:rsidRDefault="009012C1" w14:paraId="3D316691" w14:textId="77777777">
            <w:pPr>
              <w:rPr>
                <w:color w:val="000000"/>
                <w:sz w:val="20"/>
              </w:rPr>
            </w:pPr>
            <w:r w:rsidRPr="009012C1">
              <w:rPr>
                <w:color w:val="000000"/>
                <w:sz w:val="20"/>
              </w:rPr>
              <w:t>Information Technology Specialist – GS-14</w:t>
            </w:r>
          </w:p>
        </w:tc>
        <w:tc>
          <w:tcPr>
            <w:tcW w:w="928" w:type="dxa"/>
            <w:tcBorders>
              <w:top w:val="nil"/>
              <w:left w:val="nil"/>
              <w:bottom w:val="single" w:color="auto" w:sz="4" w:space="0"/>
              <w:right w:val="single" w:color="auto" w:sz="4" w:space="0"/>
            </w:tcBorders>
            <w:shd w:val="clear" w:color="auto" w:fill="auto"/>
            <w:noWrap/>
            <w:vAlign w:val="bottom"/>
            <w:hideMark/>
          </w:tcPr>
          <w:p w:rsidRPr="00D15421" w:rsidR="009012C1" w:rsidP="00074D04" w:rsidRDefault="009012C1" w14:paraId="2B38963A" w14:textId="77777777">
            <w:pPr>
              <w:jc w:val="right"/>
              <w:rPr>
                <w:color w:val="000000"/>
                <w:sz w:val="20"/>
              </w:rPr>
            </w:pPr>
            <w:r w:rsidRPr="00D15421">
              <w:rPr>
                <w:color w:val="000000"/>
                <w:sz w:val="20"/>
              </w:rPr>
              <w:t>1</w:t>
            </w:r>
          </w:p>
        </w:tc>
        <w:tc>
          <w:tcPr>
            <w:tcW w:w="1566" w:type="dxa"/>
            <w:tcBorders>
              <w:top w:val="nil"/>
              <w:left w:val="nil"/>
              <w:bottom w:val="single" w:color="auto" w:sz="4" w:space="0"/>
              <w:right w:val="single" w:color="auto" w:sz="4" w:space="0"/>
            </w:tcBorders>
            <w:shd w:val="clear" w:color="auto" w:fill="auto"/>
            <w:noWrap/>
            <w:vAlign w:val="bottom"/>
            <w:hideMark/>
          </w:tcPr>
          <w:p w:rsidRPr="00D15421" w:rsidR="009012C1" w:rsidP="0078506F" w:rsidRDefault="009012C1" w14:paraId="34E808D6" w14:textId="77777777">
            <w:pPr>
              <w:rPr>
                <w:color w:val="000000"/>
                <w:sz w:val="20"/>
              </w:rPr>
            </w:pPr>
            <w:r w:rsidRPr="00D15421">
              <w:rPr>
                <w:color w:val="000000"/>
                <w:sz w:val="20"/>
              </w:rPr>
              <w:t xml:space="preserve"> $        1</w:t>
            </w:r>
            <w:r w:rsidR="00686C01">
              <w:rPr>
                <w:color w:val="000000"/>
                <w:sz w:val="20"/>
              </w:rPr>
              <w:t>47,272</w:t>
            </w:r>
            <w:r w:rsidRPr="00D15421">
              <w:rPr>
                <w:color w:val="000000"/>
                <w:sz w:val="20"/>
              </w:rPr>
              <w:t xml:space="preserve"> </w:t>
            </w:r>
          </w:p>
        </w:tc>
        <w:tc>
          <w:tcPr>
            <w:tcW w:w="700" w:type="dxa"/>
            <w:tcBorders>
              <w:top w:val="nil"/>
              <w:left w:val="nil"/>
              <w:bottom w:val="single" w:color="auto" w:sz="4" w:space="0"/>
              <w:right w:val="single" w:color="auto" w:sz="4" w:space="0"/>
            </w:tcBorders>
            <w:shd w:val="clear" w:color="auto" w:fill="auto"/>
            <w:noWrap/>
            <w:vAlign w:val="bottom"/>
            <w:hideMark/>
          </w:tcPr>
          <w:p w:rsidRPr="00D15421" w:rsidR="009012C1" w:rsidP="009012C1" w:rsidRDefault="009012C1" w14:paraId="44A7C472" w14:textId="77777777">
            <w:pPr>
              <w:jc w:val="right"/>
              <w:rPr>
                <w:color w:val="000000"/>
                <w:sz w:val="20"/>
              </w:rPr>
            </w:pPr>
            <w:r w:rsidRPr="00D15421">
              <w:rPr>
                <w:color w:val="000000"/>
                <w:sz w:val="20"/>
              </w:rPr>
              <w:t>1.</w:t>
            </w:r>
            <w:r w:rsidR="007E54B0">
              <w:rPr>
                <w:color w:val="000000"/>
                <w:sz w:val="20"/>
              </w:rPr>
              <w:t>61</w:t>
            </w:r>
          </w:p>
        </w:tc>
        <w:tc>
          <w:tcPr>
            <w:tcW w:w="980" w:type="dxa"/>
            <w:tcBorders>
              <w:top w:val="nil"/>
              <w:left w:val="nil"/>
              <w:bottom w:val="single" w:color="auto" w:sz="4" w:space="0"/>
              <w:right w:val="single" w:color="auto" w:sz="4" w:space="0"/>
            </w:tcBorders>
            <w:shd w:val="clear" w:color="auto" w:fill="auto"/>
            <w:noWrap/>
            <w:vAlign w:val="bottom"/>
            <w:hideMark/>
          </w:tcPr>
          <w:p w:rsidRPr="00D15421" w:rsidR="009012C1" w:rsidP="00074D04" w:rsidRDefault="009012C1" w14:paraId="732826EC" w14:textId="77777777">
            <w:pPr>
              <w:jc w:val="right"/>
              <w:rPr>
                <w:color w:val="000000"/>
                <w:sz w:val="20"/>
              </w:rPr>
            </w:pPr>
            <w:r>
              <w:rPr>
                <w:color w:val="000000"/>
                <w:sz w:val="20"/>
              </w:rPr>
              <w:t>100</w:t>
            </w:r>
            <w:r w:rsidRPr="00D15421">
              <w:rPr>
                <w:color w:val="000000"/>
                <w:sz w:val="20"/>
              </w:rPr>
              <w:t>%</w:t>
            </w:r>
          </w:p>
        </w:tc>
        <w:tc>
          <w:tcPr>
            <w:tcW w:w="1266" w:type="dxa"/>
            <w:tcBorders>
              <w:top w:val="nil"/>
              <w:left w:val="nil"/>
              <w:bottom w:val="single" w:color="auto" w:sz="4" w:space="0"/>
              <w:right w:val="single" w:color="auto" w:sz="4" w:space="0"/>
            </w:tcBorders>
            <w:shd w:val="clear" w:color="auto" w:fill="auto"/>
            <w:noWrap/>
            <w:vAlign w:val="bottom"/>
            <w:hideMark/>
          </w:tcPr>
          <w:p w:rsidRPr="00D15421" w:rsidR="009012C1" w:rsidP="0078506F" w:rsidRDefault="009012C1" w14:paraId="666A1FF2" w14:textId="77777777">
            <w:pPr>
              <w:rPr>
                <w:color w:val="000000"/>
                <w:sz w:val="20"/>
              </w:rPr>
            </w:pPr>
            <w:r w:rsidRPr="00D15421">
              <w:rPr>
                <w:color w:val="000000"/>
                <w:sz w:val="20"/>
              </w:rPr>
              <w:t xml:space="preserve"> $     </w:t>
            </w:r>
            <w:r w:rsidR="00F349ED">
              <w:rPr>
                <w:color w:val="000000"/>
                <w:sz w:val="20"/>
              </w:rPr>
              <w:t>237,535</w:t>
            </w:r>
            <w:r w:rsidRPr="00D15421">
              <w:rPr>
                <w:color w:val="000000"/>
                <w:sz w:val="20"/>
              </w:rPr>
              <w:t xml:space="preserve"> </w:t>
            </w:r>
          </w:p>
        </w:tc>
      </w:tr>
      <w:tr w:rsidRPr="00D15421" w:rsidR="009012C1" w:rsidTr="0078506F" w14:paraId="5352F3A2" w14:textId="77777777">
        <w:trPr>
          <w:trHeight w:val="300"/>
        </w:trPr>
        <w:tc>
          <w:tcPr>
            <w:tcW w:w="2633" w:type="dxa"/>
            <w:tcBorders>
              <w:top w:val="nil"/>
              <w:left w:val="single" w:color="auto" w:sz="4" w:space="0"/>
              <w:bottom w:val="single" w:color="auto" w:sz="4" w:space="0"/>
              <w:right w:val="single" w:color="auto" w:sz="4" w:space="0"/>
            </w:tcBorders>
            <w:shd w:val="clear" w:color="auto" w:fill="auto"/>
            <w:noWrap/>
            <w:vAlign w:val="bottom"/>
            <w:hideMark/>
          </w:tcPr>
          <w:p w:rsidRPr="00D15421" w:rsidR="009012C1" w:rsidP="00074D04" w:rsidRDefault="009012C1" w14:paraId="2DB1EDAD" w14:textId="77777777">
            <w:pPr>
              <w:rPr>
                <w:color w:val="000000"/>
                <w:sz w:val="20"/>
              </w:rPr>
            </w:pPr>
            <w:r w:rsidRPr="00D15421">
              <w:rPr>
                <w:color w:val="000000"/>
                <w:sz w:val="20"/>
              </w:rPr>
              <w:t>Total</w:t>
            </w:r>
          </w:p>
        </w:tc>
        <w:tc>
          <w:tcPr>
            <w:tcW w:w="928" w:type="dxa"/>
            <w:tcBorders>
              <w:top w:val="nil"/>
              <w:left w:val="nil"/>
              <w:bottom w:val="single" w:color="auto" w:sz="4" w:space="0"/>
              <w:right w:val="single" w:color="auto" w:sz="4" w:space="0"/>
            </w:tcBorders>
            <w:shd w:val="clear" w:color="auto" w:fill="auto"/>
            <w:noWrap/>
            <w:vAlign w:val="bottom"/>
            <w:hideMark/>
          </w:tcPr>
          <w:p w:rsidRPr="00D15421" w:rsidR="009012C1" w:rsidP="00074D04" w:rsidRDefault="009012C1" w14:paraId="1DF7E0BD" w14:textId="77777777">
            <w:pPr>
              <w:rPr>
                <w:color w:val="000000"/>
                <w:sz w:val="20"/>
              </w:rPr>
            </w:pPr>
            <w:r w:rsidRPr="00D15421">
              <w:rPr>
                <w:color w:val="000000"/>
                <w:sz w:val="20"/>
              </w:rPr>
              <w:t> </w:t>
            </w:r>
          </w:p>
        </w:tc>
        <w:tc>
          <w:tcPr>
            <w:tcW w:w="1566" w:type="dxa"/>
            <w:tcBorders>
              <w:top w:val="nil"/>
              <w:left w:val="nil"/>
              <w:bottom w:val="single" w:color="auto" w:sz="4" w:space="0"/>
              <w:right w:val="single" w:color="auto" w:sz="4" w:space="0"/>
            </w:tcBorders>
            <w:shd w:val="clear" w:color="auto" w:fill="auto"/>
            <w:noWrap/>
            <w:vAlign w:val="bottom"/>
            <w:hideMark/>
          </w:tcPr>
          <w:p w:rsidRPr="00D15421" w:rsidR="009012C1" w:rsidP="00074D04" w:rsidRDefault="009012C1" w14:paraId="497572CC" w14:textId="77777777">
            <w:pPr>
              <w:rPr>
                <w:color w:val="000000"/>
                <w:sz w:val="20"/>
              </w:rPr>
            </w:pPr>
            <w:r w:rsidRPr="00D15421">
              <w:rPr>
                <w:color w:val="000000"/>
                <w:sz w:val="20"/>
              </w:rPr>
              <w:t> </w:t>
            </w:r>
          </w:p>
        </w:tc>
        <w:tc>
          <w:tcPr>
            <w:tcW w:w="700" w:type="dxa"/>
            <w:tcBorders>
              <w:top w:val="nil"/>
              <w:left w:val="nil"/>
              <w:bottom w:val="single" w:color="auto" w:sz="4" w:space="0"/>
              <w:right w:val="single" w:color="auto" w:sz="4" w:space="0"/>
            </w:tcBorders>
            <w:shd w:val="clear" w:color="auto" w:fill="auto"/>
            <w:noWrap/>
            <w:vAlign w:val="bottom"/>
            <w:hideMark/>
          </w:tcPr>
          <w:p w:rsidRPr="00D15421" w:rsidR="009012C1" w:rsidP="00074D04" w:rsidRDefault="009012C1" w14:paraId="39C1E888" w14:textId="77777777">
            <w:pPr>
              <w:rPr>
                <w:color w:val="000000"/>
                <w:sz w:val="20"/>
              </w:rPr>
            </w:pPr>
            <w:r w:rsidRPr="00D15421">
              <w:rPr>
                <w:color w:val="000000"/>
                <w:sz w:val="20"/>
              </w:rPr>
              <w:t> </w:t>
            </w:r>
          </w:p>
        </w:tc>
        <w:tc>
          <w:tcPr>
            <w:tcW w:w="980" w:type="dxa"/>
            <w:tcBorders>
              <w:top w:val="nil"/>
              <w:left w:val="nil"/>
              <w:bottom w:val="single" w:color="auto" w:sz="4" w:space="0"/>
              <w:right w:val="single" w:color="auto" w:sz="4" w:space="0"/>
            </w:tcBorders>
            <w:shd w:val="clear" w:color="auto" w:fill="auto"/>
            <w:noWrap/>
            <w:vAlign w:val="bottom"/>
            <w:hideMark/>
          </w:tcPr>
          <w:p w:rsidRPr="00D15421" w:rsidR="009012C1" w:rsidP="00074D04" w:rsidRDefault="009012C1" w14:paraId="5F027CE0" w14:textId="77777777">
            <w:pPr>
              <w:rPr>
                <w:color w:val="000000"/>
                <w:sz w:val="20"/>
              </w:rPr>
            </w:pPr>
            <w:r w:rsidRPr="00D15421">
              <w:rPr>
                <w:color w:val="000000"/>
                <w:sz w:val="20"/>
              </w:rPr>
              <w:t> </w:t>
            </w:r>
          </w:p>
        </w:tc>
        <w:tc>
          <w:tcPr>
            <w:tcW w:w="1266" w:type="dxa"/>
            <w:tcBorders>
              <w:top w:val="nil"/>
              <w:left w:val="nil"/>
              <w:bottom w:val="single" w:color="auto" w:sz="4" w:space="0"/>
              <w:right w:val="single" w:color="auto" w:sz="4" w:space="0"/>
            </w:tcBorders>
            <w:shd w:val="clear" w:color="auto" w:fill="auto"/>
            <w:noWrap/>
            <w:vAlign w:val="bottom"/>
            <w:hideMark/>
          </w:tcPr>
          <w:p w:rsidRPr="00D15421" w:rsidR="009012C1" w:rsidP="0078506F" w:rsidRDefault="009012C1" w14:paraId="7D7D848C" w14:textId="77777777">
            <w:pPr>
              <w:rPr>
                <w:color w:val="000000"/>
                <w:sz w:val="20"/>
              </w:rPr>
            </w:pPr>
            <w:r w:rsidRPr="00D15421">
              <w:rPr>
                <w:color w:val="000000"/>
                <w:sz w:val="20"/>
              </w:rPr>
              <w:t xml:space="preserve"> $     </w:t>
            </w:r>
            <w:r w:rsidR="00F349ED">
              <w:rPr>
                <w:color w:val="000000"/>
                <w:sz w:val="20"/>
              </w:rPr>
              <w:t>237,535</w:t>
            </w:r>
            <w:r w:rsidR="0078506F">
              <w:rPr>
                <w:color w:val="000000"/>
                <w:sz w:val="20"/>
              </w:rPr>
              <w:t xml:space="preserve"> </w:t>
            </w:r>
          </w:p>
        </w:tc>
      </w:tr>
    </w:tbl>
    <w:p w:rsidR="009012C1" w:rsidP="00CC51D7" w:rsidRDefault="009012C1" w14:paraId="30596299" w14:textId="77777777"/>
    <w:p w:rsidR="003E5E59" w:rsidP="00CC51D7" w:rsidRDefault="00D42CA2" w14:paraId="70284BC4" w14:textId="77777777">
      <w:r>
        <w:rPr>
          <w:color w:val="000000"/>
        </w:rPr>
        <w:lastRenderedPageBreak/>
        <w:t>A</w:t>
      </w:r>
      <w:r w:rsidRPr="00F117FD">
        <w:rPr>
          <w:color w:val="000000"/>
        </w:rPr>
        <w:t>ll costs are recovered from registrants through registration fees, as required by the</w:t>
      </w:r>
      <w:r>
        <w:rPr>
          <w:color w:val="000000"/>
        </w:rPr>
        <w:t xml:space="preserve"> CSA</w:t>
      </w:r>
      <w:r w:rsidRPr="00F117FD">
        <w:rPr>
          <w:color w:val="000000"/>
        </w:rPr>
        <w:t>.</w:t>
      </w:r>
      <w:r>
        <w:rPr>
          <w:color w:val="000000"/>
        </w:rPr>
        <w:t xml:space="preserve">  21 U.S.C. 886a.</w:t>
      </w:r>
    </w:p>
    <w:p w:rsidR="0078506F" w:rsidP="00CC51D7" w:rsidRDefault="0078506F" w14:paraId="54EF8348" w14:textId="77777777"/>
    <w:p w:rsidR="00AD05C6" w:rsidP="0014087C" w:rsidRDefault="00AD05C6" w14:paraId="038C3C59" w14:textId="77777777">
      <w:r>
        <w:t>15</w:t>
      </w:r>
      <w:r w:rsidRPr="00A71604">
        <w:t xml:space="preserve">.  </w:t>
      </w:r>
      <w:r w:rsidRPr="000B4D96" w:rsidR="004A5143">
        <w:rPr>
          <w:u w:val="single"/>
        </w:rPr>
        <w:t>Reasons for Change in Burden</w:t>
      </w:r>
      <w:r w:rsidRPr="00A71604" w:rsidR="004A5143">
        <w:rPr>
          <w:u w:val="single"/>
        </w:rPr>
        <w:t>:</w:t>
      </w:r>
      <w:r w:rsidR="00E67B3E">
        <w:t xml:space="preserve"> </w:t>
      </w:r>
      <w:r w:rsidRPr="0074630A" w:rsidR="004A5143">
        <w:t xml:space="preserve"> </w:t>
      </w:r>
    </w:p>
    <w:p w:rsidR="00AD05C6" w:rsidP="0014087C" w:rsidRDefault="00AD05C6" w14:paraId="35F3D7FB" w14:textId="77777777"/>
    <w:p w:rsidR="00846434" w:rsidP="00846434" w:rsidRDefault="00846434" w14:paraId="66B1941E" w14:textId="77777777">
      <w:r>
        <w:t>Ch</w:t>
      </w:r>
      <w:r w:rsidR="00091502">
        <w:t xml:space="preserve">anges to the annual burden </w:t>
      </w:r>
      <w:r w:rsidR="00D442F1">
        <w:t xml:space="preserve">estimate </w:t>
      </w:r>
      <w:r w:rsidR="00DF101E">
        <w:t xml:space="preserve">are </w:t>
      </w:r>
      <w:r w:rsidR="008C59A0">
        <w:t xml:space="preserve">a result of </w:t>
      </w:r>
      <w:r w:rsidR="00091502">
        <w:t>the</w:t>
      </w:r>
      <w:r>
        <w:t xml:space="preserve"> increase in </w:t>
      </w:r>
      <w:r w:rsidR="00091502">
        <w:t>the number of annual responses</w:t>
      </w:r>
      <w:r w:rsidR="00472AF8">
        <w:t xml:space="preserve"> and due to including renewal</w:t>
      </w:r>
      <w:r w:rsidR="007A6487">
        <w:t xml:space="preserve"> responses</w:t>
      </w:r>
      <w:r w:rsidR="004B0839">
        <w:t xml:space="preserve"> (change in methodology)</w:t>
      </w:r>
      <w:r w:rsidR="00091502">
        <w:t xml:space="preserve">.  </w:t>
      </w:r>
      <w:r w:rsidR="00CE33BC">
        <w:t>Including t</w:t>
      </w:r>
      <w:r w:rsidR="007A6487">
        <w:t xml:space="preserve">he renewal responses </w:t>
      </w:r>
      <w:r w:rsidR="00963D0B">
        <w:t>increased the 2022 annual responses by</w:t>
      </w:r>
      <w:r w:rsidR="007A6487">
        <w:t xml:space="preserve"> </w:t>
      </w:r>
      <w:r w:rsidRPr="007A6487" w:rsidR="007A6487">
        <w:t>62</w:t>
      </w:r>
      <w:r w:rsidR="00963D0B">
        <w:t>,</w:t>
      </w:r>
      <w:r w:rsidRPr="007A6487" w:rsidR="007A6487">
        <w:t>344</w:t>
      </w:r>
      <w:r w:rsidR="007A6487">
        <w:t xml:space="preserve">.  </w:t>
      </w:r>
      <w:r w:rsidR="00C00E49">
        <w:t>There</w:t>
      </w:r>
      <w:r>
        <w:t xml:space="preserve"> have been no statutory or regulatory changes affecting this information collection.  The table below summarizes the changes since the last renewal of this information collection.</w:t>
      </w:r>
    </w:p>
    <w:p w:rsidR="00846434" w:rsidP="00846434" w:rsidRDefault="00846434" w14:paraId="458C3E3B" w14:textId="77777777"/>
    <w:tbl>
      <w:tblPr>
        <w:tblW w:w="6225" w:type="dxa"/>
        <w:tblLayout w:type="fixed"/>
        <w:tblCellMar>
          <w:left w:w="0" w:type="dxa"/>
          <w:right w:w="0" w:type="dxa"/>
        </w:tblCellMar>
        <w:tblLook w:val="04A0" w:firstRow="1" w:lastRow="0" w:firstColumn="1" w:lastColumn="0" w:noHBand="0" w:noVBand="1"/>
      </w:tblPr>
      <w:tblGrid>
        <w:gridCol w:w="2352"/>
        <w:gridCol w:w="1353"/>
        <w:gridCol w:w="1440"/>
        <w:gridCol w:w="1080"/>
      </w:tblGrid>
      <w:tr w:rsidRPr="00C955D1" w:rsidR="00846434" w:rsidTr="00336355" w14:paraId="15322F4F" w14:textId="77777777">
        <w:trPr>
          <w:trHeight w:val="960"/>
        </w:trPr>
        <w:tc>
          <w:tcPr>
            <w:tcW w:w="235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hideMark/>
          </w:tcPr>
          <w:p w:rsidRPr="00C955D1" w:rsidR="00846434" w:rsidP="002018A7" w:rsidRDefault="00846434" w14:paraId="303C3686" w14:textId="77777777">
            <w:pPr>
              <w:rPr>
                <w:color w:val="000000"/>
                <w:sz w:val="20"/>
                <w:szCs w:val="24"/>
              </w:rPr>
            </w:pPr>
          </w:p>
        </w:tc>
        <w:tc>
          <w:tcPr>
            <w:tcW w:w="1353" w:type="dxa"/>
            <w:tcBorders>
              <w:top w:val="single" w:color="auto" w:sz="8" w:space="0"/>
              <w:left w:val="nil"/>
              <w:bottom w:val="single" w:color="auto" w:sz="8" w:space="0"/>
              <w:right w:val="single" w:color="auto" w:sz="8" w:space="0"/>
            </w:tcBorders>
            <w:shd w:val="clear" w:color="auto" w:fill="auto"/>
            <w:tcMar>
              <w:top w:w="15" w:type="dxa"/>
              <w:left w:w="15" w:type="dxa"/>
              <w:bottom w:w="0" w:type="dxa"/>
              <w:right w:w="15" w:type="dxa"/>
            </w:tcMar>
            <w:vAlign w:val="center"/>
            <w:hideMark/>
          </w:tcPr>
          <w:p w:rsidRPr="00C955D1" w:rsidR="00846434" w:rsidP="002018A7" w:rsidRDefault="00A46860" w14:paraId="11048B66" w14:textId="77777777">
            <w:pPr>
              <w:jc w:val="center"/>
              <w:rPr>
                <w:b/>
                <w:bCs/>
                <w:color w:val="000000"/>
                <w:sz w:val="20"/>
                <w:szCs w:val="24"/>
              </w:rPr>
            </w:pPr>
            <w:r w:rsidRPr="00C955D1">
              <w:rPr>
                <w:b/>
                <w:bCs/>
                <w:color w:val="000000"/>
                <w:sz w:val="20"/>
              </w:rPr>
              <w:t>201</w:t>
            </w:r>
            <w:r w:rsidR="006F2DB5">
              <w:rPr>
                <w:b/>
                <w:bCs/>
                <w:color w:val="000000"/>
                <w:sz w:val="20"/>
              </w:rPr>
              <w:t>9</w:t>
            </w:r>
            <w:r w:rsidRPr="00C955D1" w:rsidR="00846434">
              <w:rPr>
                <w:b/>
                <w:bCs/>
                <w:color w:val="000000"/>
                <w:sz w:val="20"/>
              </w:rPr>
              <w:t xml:space="preserve"> Approved Burden</w:t>
            </w:r>
          </w:p>
        </w:tc>
        <w:tc>
          <w:tcPr>
            <w:tcW w:w="1440" w:type="dxa"/>
            <w:tcBorders>
              <w:top w:val="single" w:color="auto" w:sz="8" w:space="0"/>
              <w:left w:val="nil"/>
              <w:bottom w:val="single" w:color="auto" w:sz="8" w:space="0"/>
              <w:right w:val="single" w:color="auto" w:sz="8" w:space="0"/>
            </w:tcBorders>
            <w:shd w:val="clear" w:color="auto" w:fill="auto"/>
            <w:tcMar>
              <w:top w:w="15" w:type="dxa"/>
              <w:left w:w="15" w:type="dxa"/>
              <w:bottom w:w="0" w:type="dxa"/>
              <w:right w:w="15" w:type="dxa"/>
            </w:tcMar>
            <w:vAlign w:val="center"/>
            <w:hideMark/>
          </w:tcPr>
          <w:p w:rsidRPr="00C955D1" w:rsidR="00846434" w:rsidP="002018A7" w:rsidRDefault="00A46860" w14:paraId="76647DED" w14:textId="77777777">
            <w:pPr>
              <w:jc w:val="center"/>
              <w:rPr>
                <w:b/>
                <w:bCs/>
                <w:color w:val="000000"/>
                <w:sz w:val="20"/>
                <w:szCs w:val="24"/>
              </w:rPr>
            </w:pPr>
            <w:r w:rsidRPr="00C955D1">
              <w:rPr>
                <w:b/>
                <w:bCs/>
                <w:color w:val="000000"/>
                <w:sz w:val="20"/>
              </w:rPr>
              <w:t>20</w:t>
            </w:r>
            <w:r w:rsidR="006F2DB5">
              <w:rPr>
                <w:b/>
                <w:bCs/>
                <w:color w:val="000000"/>
                <w:sz w:val="20"/>
              </w:rPr>
              <w:t>22</w:t>
            </w:r>
            <w:r w:rsidRPr="00C955D1" w:rsidR="00846434">
              <w:rPr>
                <w:b/>
                <w:bCs/>
                <w:color w:val="000000"/>
                <w:sz w:val="20"/>
              </w:rPr>
              <w:t xml:space="preserve"> Requested Burden</w:t>
            </w:r>
          </w:p>
        </w:tc>
        <w:tc>
          <w:tcPr>
            <w:tcW w:w="1080" w:type="dxa"/>
            <w:tcBorders>
              <w:top w:val="single" w:color="auto" w:sz="8" w:space="0"/>
              <w:left w:val="nil"/>
              <w:bottom w:val="single" w:color="auto" w:sz="8" w:space="0"/>
              <w:right w:val="single" w:color="auto" w:sz="8" w:space="0"/>
            </w:tcBorders>
            <w:shd w:val="clear" w:color="auto" w:fill="auto"/>
            <w:tcMar>
              <w:top w:w="15" w:type="dxa"/>
              <w:left w:w="15" w:type="dxa"/>
              <w:bottom w:w="0" w:type="dxa"/>
              <w:right w:w="15" w:type="dxa"/>
            </w:tcMar>
            <w:vAlign w:val="center"/>
            <w:hideMark/>
          </w:tcPr>
          <w:p w:rsidRPr="00C955D1" w:rsidR="00846434" w:rsidP="002018A7" w:rsidRDefault="00846434" w14:paraId="083FDDF2" w14:textId="77777777">
            <w:pPr>
              <w:jc w:val="center"/>
              <w:rPr>
                <w:b/>
                <w:bCs/>
                <w:color w:val="000000"/>
                <w:sz w:val="20"/>
                <w:szCs w:val="24"/>
              </w:rPr>
            </w:pPr>
            <w:r w:rsidRPr="00C955D1">
              <w:rPr>
                <w:b/>
                <w:bCs/>
                <w:color w:val="000000"/>
                <w:sz w:val="20"/>
              </w:rPr>
              <w:t>Difference</w:t>
            </w:r>
          </w:p>
        </w:tc>
      </w:tr>
      <w:tr w:rsidRPr="00C955D1" w:rsidR="00A46860" w:rsidTr="00336355" w14:paraId="110F6AEB" w14:textId="77777777">
        <w:trPr>
          <w:trHeight w:val="330"/>
        </w:trPr>
        <w:tc>
          <w:tcPr>
            <w:tcW w:w="2352" w:type="dxa"/>
            <w:tcBorders>
              <w:top w:val="nil"/>
              <w:left w:val="single" w:color="auto" w:sz="8" w:space="0"/>
              <w:bottom w:val="single" w:color="auto" w:sz="8" w:space="0"/>
              <w:right w:val="single" w:color="auto" w:sz="8" w:space="0"/>
            </w:tcBorders>
            <w:shd w:val="clear" w:color="auto" w:fill="auto"/>
            <w:tcMar>
              <w:top w:w="15" w:type="dxa"/>
              <w:left w:w="58" w:type="dxa"/>
              <w:bottom w:w="0" w:type="dxa"/>
              <w:right w:w="58" w:type="dxa"/>
            </w:tcMar>
            <w:vAlign w:val="center"/>
            <w:hideMark/>
          </w:tcPr>
          <w:p w:rsidRPr="00C955D1" w:rsidR="00A46860" w:rsidP="002018A7" w:rsidRDefault="00A46860" w14:paraId="414DAB7D" w14:textId="77777777">
            <w:pPr>
              <w:rPr>
                <w:color w:val="000000"/>
                <w:sz w:val="20"/>
                <w:szCs w:val="24"/>
              </w:rPr>
            </w:pPr>
            <w:r w:rsidRPr="00C955D1">
              <w:rPr>
                <w:color w:val="000000"/>
                <w:sz w:val="20"/>
              </w:rPr>
              <w:t>Annual responses</w:t>
            </w:r>
          </w:p>
        </w:tc>
        <w:tc>
          <w:tcPr>
            <w:tcW w:w="1353" w:type="dxa"/>
            <w:tcBorders>
              <w:top w:val="nil"/>
              <w:left w:val="nil"/>
              <w:bottom w:val="single" w:color="auto" w:sz="8" w:space="0"/>
              <w:right w:val="single" w:color="auto" w:sz="8" w:space="0"/>
            </w:tcBorders>
            <w:shd w:val="clear" w:color="auto" w:fill="auto"/>
            <w:tcMar>
              <w:top w:w="15" w:type="dxa"/>
              <w:left w:w="58" w:type="dxa"/>
              <w:bottom w:w="0" w:type="dxa"/>
              <w:right w:w="58" w:type="dxa"/>
            </w:tcMar>
            <w:vAlign w:val="center"/>
            <w:hideMark/>
          </w:tcPr>
          <w:p w:rsidRPr="00C955D1" w:rsidR="00A46860" w:rsidP="0078506F" w:rsidRDefault="00F51E51" w14:paraId="5BB8A051" w14:textId="77777777">
            <w:pPr>
              <w:jc w:val="right"/>
              <w:rPr>
                <w:color w:val="000000"/>
                <w:sz w:val="20"/>
                <w:szCs w:val="24"/>
              </w:rPr>
            </w:pPr>
            <w:r w:rsidRPr="00C955D1">
              <w:rPr>
                <w:color w:val="000000"/>
                <w:sz w:val="20"/>
              </w:rPr>
              <w:t>26,959</w:t>
            </w:r>
          </w:p>
        </w:tc>
        <w:tc>
          <w:tcPr>
            <w:tcW w:w="1440" w:type="dxa"/>
            <w:tcBorders>
              <w:top w:val="nil"/>
              <w:left w:val="nil"/>
              <w:bottom w:val="single" w:color="auto" w:sz="8" w:space="0"/>
              <w:right w:val="single" w:color="auto" w:sz="8" w:space="0"/>
            </w:tcBorders>
            <w:shd w:val="clear" w:color="auto" w:fill="auto"/>
            <w:noWrap/>
            <w:tcMar>
              <w:top w:w="15" w:type="dxa"/>
              <w:left w:w="58" w:type="dxa"/>
              <w:bottom w:w="0" w:type="dxa"/>
              <w:right w:w="58" w:type="dxa"/>
            </w:tcMar>
            <w:vAlign w:val="center"/>
            <w:hideMark/>
          </w:tcPr>
          <w:p w:rsidRPr="00C955D1" w:rsidR="00A46860" w:rsidRDefault="00C73F12" w14:paraId="54EB2F52" w14:textId="77777777">
            <w:pPr>
              <w:jc w:val="right"/>
              <w:rPr>
                <w:color w:val="000000"/>
                <w:sz w:val="20"/>
                <w:szCs w:val="24"/>
              </w:rPr>
            </w:pPr>
            <w:r>
              <w:rPr>
                <w:color w:val="000000"/>
                <w:sz w:val="20"/>
              </w:rPr>
              <w:t>93,516</w:t>
            </w:r>
          </w:p>
        </w:tc>
        <w:tc>
          <w:tcPr>
            <w:tcW w:w="1080" w:type="dxa"/>
            <w:tcBorders>
              <w:top w:val="nil"/>
              <w:left w:val="nil"/>
              <w:bottom w:val="single" w:color="auto" w:sz="8" w:space="0"/>
              <w:right w:val="single" w:color="auto" w:sz="8" w:space="0"/>
            </w:tcBorders>
            <w:shd w:val="clear" w:color="auto" w:fill="auto"/>
            <w:tcMar>
              <w:top w:w="15" w:type="dxa"/>
              <w:left w:w="58" w:type="dxa"/>
              <w:bottom w:w="0" w:type="dxa"/>
              <w:right w:w="58" w:type="dxa"/>
            </w:tcMar>
            <w:vAlign w:val="center"/>
            <w:hideMark/>
          </w:tcPr>
          <w:p w:rsidRPr="00C955D1" w:rsidR="00A46860" w:rsidRDefault="008F5026" w14:paraId="5D834C35" w14:textId="77777777">
            <w:pPr>
              <w:jc w:val="right"/>
              <w:rPr>
                <w:color w:val="000000"/>
                <w:sz w:val="20"/>
                <w:szCs w:val="24"/>
              </w:rPr>
            </w:pPr>
            <w:r>
              <w:rPr>
                <w:color w:val="000000"/>
                <w:sz w:val="20"/>
              </w:rPr>
              <w:t>66,557</w:t>
            </w:r>
          </w:p>
        </w:tc>
      </w:tr>
      <w:tr w:rsidRPr="00C955D1" w:rsidR="00A46860" w:rsidTr="00336355" w14:paraId="0F063A67" w14:textId="77777777">
        <w:trPr>
          <w:trHeight w:val="330"/>
        </w:trPr>
        <w:tc>
          <w:tcPr>
            <w:tcW w:w="2352" w:type="dxa"/>
            <w:tcBorders>
              <w:top w:val="nil"/>
              <w:left w:val="single" w:color="auto" w:sz="8" w:space="0"/>
              <w:bottom w:val="single" w:color="auto" w:sz="8" w:space="0"/>
              <w:right w:val="single" w:color="auto" w:sz="8" w:space="0"/>
            </w:tcBorders>
            <w:shd w:val="clear" w:color="auto" w:fill="auto"/>
            <w:tcMar>
              <w:top w:w="15" w:type="dxa"/>
              <w:left w:w="58" w:type="dxa"/>
              <w:bottom w:w="0" w:type="dxa"/>
              <w:right w:w="58" w:type="dxa"/>
            </w:tcMar>
            <w:vAlign w:val="center"/>
            <w:hideMark/>
          </w:tcPr>
          <w:p w:rsidRPr="00C955D1" w:rsidR="00A46860" w:rsidP="002018A7" w:rsidRDefault="00A46860" w14:paraId="17856ECC" w14:textId="77777777">
            <w:pPr>
              <w:rPr>
                <w:color w:val="000000"/>
                <w:sz w:val="20"/>
                <w:szCs w:val="24"/>
              </w:rPr>
            </w:pPr>
            <w:r w:rsidRPr="00C955D1">
              <w:rPr>
                <w:color w:val="000000"/>
                <w:sz w:val="20"/>
              </w:rPr>
              <w:t>Annual burden hours</w:t>
            </w:r>
          </w:p>
        </w:tc>
        <w:tc>
          <w:tcPr>
            <w:tcW w:w="1353" w:type="dxa"/>
            <w:tcBorders>
              <w:top w:val="nil"/>
              <w:left w:val="nil"/>
              <w:bottom w:val="single" w:color="auto" w:sz="8" w:space="0"/>
              <w:right w:val="single" w:color="auto" w:sz="8" w:space="0"/>
            </w:tcBorders>
            <w:shd w:val="clear" w:color="auto" w:fill="auto"/>
            <w:tcMar>
              <w:top w:w="15" w:type="dxa"/>
              <w:left w:w="58" w:type="dxa"/>
              <w:bottom w:w="0" w:type="dxa"/>
              <w:right w:w="58" w:type="dxa"/>
            </w:tcMar>
            <w:vAlign w:val="center"/>
            <w:hideMark/>
          </w:tcPr>
          <w:p w:rsidRPr="00C955D1" w:rsidR="00A46860" w:rsidP="00180ED1" w:rsidRDefault="00F51E51" w14:paraId="74F84F23" w14:textId="77777777">
            <w:pPr>
              <w:jc w:val="right"/>
              <w:rPr>
                <w:color w:val="000000"/>
                <w:sz w:val="20"/>
                <w:szCs w:val="24"/>
              </w:rPr>
            </w:pPr>
            <w:r w:rsidRPr="00C955D1">
              <w:rPr>
                <w:color w:val="000000"/>
                <w:sz w:val="20"/>
              </w:rPr>
              <w:t>40,439</w:t>
            </w:r>
          </w:p>
        </w:tc>
        <w:tc>
          <w:tcPr>
            <w:tcW w:w="1440" w:type="dxa"/>
            <w:tcBorders>
              <w:top w:val="nil"/>
              <w:left w:val="nil"/>
              <w:bottom w:val="single" w:color="auto" w:sz="8" w:space="0"/>
              <w:right w:val="single" w:color="auto" w:sz="8" w:space="0"/>
            </w:tcBorders>
            <w:shd w:val="clear" w:color="auto" w:fill="auto"/>
            <w:tcMar>
              <w:top w:w="15" w:type="dxa"/>
              <w:left w:w="58" w:type="dxa"/>
              <w:bottom w:w="0" w:type="dxa"/>
              <w:right w:w="58" w:type="dxa"/>
            </w:tcMar>
            <w:vAlign w:val="center"/>
            <w:hideMark/>
          </w:tcPr>
          <w:p w:rsidRPr="00C955D1" w:rsidR="00A46860" w:rsidRDefault="00B62402" w14:paraId="7500F968" w14:textId="77777777">
            <w:pPr>
              <w:jc w:val="right"/>
              <w:rPr>
                <w:color w:val="000000"/>
                <w:sz w:val="20"/>
                <w:szCs w:val="24"/>
              </w:rPr>
            </w:pPr>
            <w:r>
              <w:rPr>
                <w:color w:val="000000"/>
                <w:sz w:val="20"/>
              </w:rPr>
              <w:t>1</w:t>
            </w:r>
            <w:r w:rsidR="0008482E">
              <w:rPr>
                <w:color w:val="000000"/>
                <w:sz w:val="20"/>
              </w:rPr>
              <w:t>87</w:t>
            </w:r>
            <w:r>
              <w:rPr>
                <w:color w:val="000000"/>
                <w:sz w:val="20"/>
              </w:rPr>
              <w:t>,</w:t>
            </w:r>
            <w:r w:rsidR="0008482E">
              <w:rPr>
                <w:color w:val="000000"/>
                <w:sz w:val="20"/>
              </w:rPr>
              <w:t>032</w:t>
            </w:r>
          </w:p>
        </w:tc>
        <w:tc>
          <w:tcPr>
            <w:tcW w:w="1080" w:type="dxa"/>
            <w:tcBorders>
              <w:top w:val="nil"/>
              <w:left w:val="nil"/>
              <w:bottom w:val="single" w:color="auto" w:sz="8" w:space="0"/>
              <w:right w:val="single" w:color="auto" w:sz="8" w:space="0"/>
            </w:tcBorders>
            <w:shd w:val="clear" w:color="auto" w:fill="auto"/>
            <w:tcMar>
              <w:top w:w="15" w:type="dxa"/>
              <w:left w:w="58" w:type="dxa"/>
              <w:bottom w:w="0" w:type="dxa"/>
              <w:right w:w="58" w:type="dxa"/>
            </w:tcMar>
            <w:vAlign w:val="center"/>
            <w:hideMark/>
          </w:tcPr>
          <w:p w:rsidRPr="00C955D1" w:rsidR="00A46860" w:rsidP="00C955D1" w:rsidRDefault="00155476" w14:paraId="416D092F" w14:textId="77777777">
            <w:pPr>
              <w:jc w:val="right"/>
              <w:rPr>
                <w:color w:val="000000"/>
                <w:sz w:val="20"/>
                <w:szCs w:val="24"/>
              </w:rPr>
            </w:pPr>
            <w:r>
              <w:rPr>
                <w:color w:val="000000"/>
                <w:sz w:val="20"/>
              </w:rPr>
              <w:t>146,594</w:t>
            </w:r>
          </w:p>
        </w:tc>
      </w:tr>
      <w:tr w:rsidRPr="00C955D1" w:rsidR="00A46860" w:rsidTr="00336355" w14:paraId="5A0C83F2" w14:textId="77777777">
        <w:trPr>
          <w:trHeight w:val="330"/>
        </w:trPr>
        <w:tc>
          <w:tcPr>
            <w:tcW w:w="2352" w:type="dxa"/>
            <w:tcBorders>
              <w:top w:val="nil"/>
              <w:left w:val="single" w:color="auto" w:sz="8" w:space="0"/>
              <w:bottom w:val="single" w:color="auto" w:sz="8" w:space="0"/>
              <w:right w:val="single" w:color="auto" w:sz="8" w:space="0"/>
            </w:tcBorders>
            <w:shd w:val="clear" w:color="auto" w:fill="auto"/>
            <w:tcMar>
              <w:top w:w="15" w:type="dxa"/>
              <w:left w:w="58" w:type="dxa"/>
              <w:bottom w:w="0" w:type="dxa"/>
              <w:right w:w="58" w:type="dxa"/>
            </w:tcMar>
            <w:vAlign w:val="center"/>
            <w:hideMark/>
          </w:tcPr>
          <w:p w:rsidRPr="00C955D1" w:rsidR="00A46860" w:rsidP="002018A7" w:rsidRDefault="00A46860" w14:paraId="7CFB2B39" w14:textId="77777777">
            <w:pPr>
              <w:rPr>
                <w:color w:val="000000"/>
                <w:sz w:val="20"/>
                <w:szCs w:val="24"/>
              </w:rPr>
            </w:pPr>
            <w:r w:rsidRPr="00C955D1">
              <w:rPr>
                <w:color w:val="000000"/>
                <w:sz w:val="20"/>
              </w:rPr>
              <w:t>Annual burden dollars</w:t>
            </w:r>
          </w:p>
        </w:tc>
        <w:tc>
          <w:tcPr>
            <w:tcW w:w="1353" w:type="dxa"/>
            <w:tcBorders>
              <w:top w:val="nil"/>
              <w:left w:val="nil"/>
              <w:bottom w:val="single" w:color="auto" w:sz="8" w:space="0"/>
              <w:right w:val="single" w:color="auto" w:sz="8" w:space="0"/>
            </w:tcBorders>
            <w:shd w:val="clear" w:color="auto" w:fill="auto"/>
            <w:tcMar>
              <w:top w:w="15" w:type="dxa"/>
              <w:left w:w="58" w:type="dxa"/>
              <w:bottom w:w="0" w:type="dxa"/>
              <w:right w:w="58" w:type="dxa"/>
            </w:tcMar>
            <w:vAlign w:val="center"/>
            <w:hideMark/>
          </w:tcPr>
          <w:p w:rsidRPr="00C955D1" w:rsidR="00A46860" w:rsidP="00180ED1" w:rsidRDefault="00F51E51" w14:paraId="4AB6378C" w14:textId="77777777">
            <w:pPr>
              <w:jc w:val="right"/>
              <w:rPr>
                <w:color w:val="000000"/>
                <w:sz w:val="20"/>
                <w:szCs w:val="24"/>
              </w:rPr>
            </w:pPr>
            <w:r>
              <w:rPr>
                <w:color w:val="000000"/>
                <w:sz w:val="20"/>
              </w:rPr>
              <w:t>3,</w:t>
            </w:r>
            <w:r w:rsidR="005B153A">
              <w:rPr>
                <w:color w:val="000000"/>
                <w:sz w:val="20"/>
              </w:rPr>
              <w:t>620</w:t>
            </w:r>
            <w:r>
              <w:rPr>
                <w:color w:val="000000"/>
                <w:sz w:val="20"/>
              </w:rPr>
              <w:t>,</w:t>
            </w:r>
            <w:r w:rsidR="005B153A">
              <w:rPr>
                <w:color w:val="000000"/>
                <w:sz w:val="20"/>
              </w:rPr>
              <w:t>189</w:t>
            </w:r>
          </w:p>
        </w:tc>
        <w:tc>
          <w:tcPr>
            <w:tcW w:w="1440" w:type="dxa"/>
            <w:tcBorders>
              <w:top w:val="nil"/>
              <w:left w:val="nil"/>
              <w:bottom w:val="single" w:color="auto" w:sz="8" w:space="0"/>
              <w:right w:val="single" w:color="auto" w:sz="8" w:space="0"/>
            </w:tcBorders>
            <w:shd w:val="clear" w:color="auto" w:fill="auto"/>
            <w:tcMar>
              <w:top w:w="15" w:type="dxa"/>
              <w:left w:w="58" w:type="dxa"/>
              <w:bottom w:w="0" w:type="dxa"/>
              <w:right w:w="58" w:type="dxa"/>
            </w:tcMar>
            <w:vAlign w:val="center"/>
            <w:hideMark/>
          </w:tcPr>
          <w:p w:rsidRPr="00C955D1" w:rsidR="00A46860" w:rsidRDefault="004B0839" w14:paraId="4B7DC9DB" w14:textId="77777777">
            <w:pPr>
              <w:jc w:val="right"/>
              <w:rPr>
                <w:color w:val="000000"/>
                <w:sz w:val="20"/>
                <w:szCs w:val="24"/>
              </w:rPr>
            </w:pPr>
            <w:r>
              <w:rPr>
                <w:color w:val="000000"/>
                <w:sz w:val="20"/>
              </w:rPr>
              <w:t>16,393,355</w:t>
            </w:r>
          </w:p>
        </w:tc>
        <w:tc>
          <w:tcPr>
            <w:tcW w:w="1080" w:type="dxa"/>
            <w:tcBorders>
              <w:top w:val="nil"/>
              <w:left w:val="nil"/>
              <w:bottom w:val="single" w:color="auto" w:sz="8" w:space="0"/>
              <w:right w:val="single" w:color="auto" w:sz="8" w:space="0"/>
            </w:tcBorders>
            <w:shd w:val="clear" w:color="auto" w:fill="auto"/>
            <w:tcMar>
              <w:top w:w="15" w:type="dxa"/>
              <w:left w:w="58" w:type="dxa"/>
              <w:bottom w:w="0" w:type="dxa"/>
              <w:right w:w="58" w:type="dxa"/>
            </w:tcMar>
            <w:vAlign w:val="center"/>
            <w:hideMark/>
          </w:tcPr>
          <w:p w:rsidRPr="00C955D1" w:rsidR="00A46860" w:rsidRDefault="004B0839" w14:paraId="33B5A1CA" w14:textId="77777777">
            <w:pPr>
              <w:jc w:val="right"/>
              <w:rPr>
                <w:color w:val="000000"/>
                <w:sz w:val="20"/>
                <w:szCs w:val="24"/>
              </w:rPr>
            </w:pPr>
            <w:r>
              <w:rPr>
                <w:color w:val="000000"/>
                <w:sz w:val="20"/>
              </w:rPr>
              <w:t>12,773,166</w:t>
            </w:r>
          </w:p>
        </w:tc>
      </w:tr>
    </w:tbl>
    <w:p w:rsidRPr="0074630A" w:rsidR="0030712D" w:rsidP="00435949" w:rsidRDefault="0030712D" w14:paraId="2D2EB248" w14:textId="77777777">
      <w:pPr>
        <w:tabs>
          <w:tab w:val="left" w:pos="3633"/>
        </w:tabs>
      </w:pPr>
    </w:p>
    <w:p w:rsidR="00AD05C6" w:rsidP="0014087C" w:rsidRDefault="00AD05C6" w14:paraId="737A460D" w14:textId="77777777">
      <w:r>
        <w:t xml:space="preserve">16.  </w:t>
      </w:r>
      <w:r w:rsidRPr="00AD05C6" w:rsidR="004A5143">
        <w:rPr>
          <w:u w:val="single"/>
        </w:rPr>
        <w:t>Plans for Publication:</w:t>
      </w:r>
    </w:p>
    <w:p w:rsidR="00AD05C6" w:rsidP="0014087C" w:rsidRDefault="00AD05C6" w14:paraId="34DE4F05" w14:textId="77777777"/>
    <w:p w:rsidRPr="0074630A" w:rsidR="00B167B8" w:rsidP="0014087C" w:rsidRDefault="00B86DE5" w14:paraId="4F8A34AE" w14:textId="77777777">
      <w:r>
        <w:t>DEA will not publish the results of the information collected</w:t>
      </w:r>
      <w:r w:rsidRPr="0074630A" w:rsidR="00B167B8">
        <w:t>.</w:t>
      </w:r>
    </w:p>
    <w:p w:rsidR="00B167B8" w:rsidP="0014087C" w:rsidRDefault="00B167B8" w14:paraId="0413C417" w14:textId="77777777"/>
    <w:p w:rsidR="00AD05C6" w:rsidP="0014087C" w:rsidRDefault="00B167B8" w14:paraId="055667C6" w14:textId="77777777">
      <w:r w:rsidRPr="0074630A">
        <w:t xml:space="preserve">17. </w:t>
      </w:r>
      <w:r w:rsidR="00AD05C6">
        <w:t xml:space="preserve"> </w:t>
      </w:r>
      <w:r w:rsidRPr="00AD05C6" w:rsidR="004A5143">
        <w:rPr>
          <w:u w:val="single"/>
        </w:rPr>
        <w:t>Expiration Date Approval:</w:t>
      </w:r>
    </w:p>
    <w:p w:rsidR="00AD05C6" w:rsidP="0014087C" w:rsidRDefault="00AD05C6" w14:paraId="5ED7B9FF" w14:textId="77777777"/>
    <w:p w:rsidR="00B51333" w:rsidP="0014087C" w:rsidRDefault="00120EDA" w14:paraId="150745C7" w14:textId="77777777">
      <w:r>
        <w:t>DEA does not use a form for this information collection</w:t>
      </w:r>
      <w:r w:rsidRPr="0074630A" w:rsidR="00B51333">
        <w:t>.</w:t>
      </w:r>
      <w:r>
        <w:t xml:space="preserve">  Therefore, this question is not applicable.</w:t>
      </w:r>
    </w:p>
    <w:p w:rsidR="00CC51D7" w:rsidP="0014087C" w:rsidRDefault="00CC51D7" w14:paraId="530CAA79" w14:textId="77777777"/>
    <w:p w:rsidR="00AD05C6" w:rsidP="0014087C" w:rsidRDefault="00B167B8" w14:paraId="27F4D33A" w14:textId="77777777">
      <w:r w:rsidRPr="0074630A">
        <w:t xml:space="preserve">18. </w:t>
      </w:r>
      <w:r w:rsidR="00AD05C6">
        <w:t xml:space="preserve"> </w:t>
      </w:r>
      <w:r w:rsidRPr="00AD05C6" w:rsidR="00085B2F">
        <w:rPr>
          <w:u w:val="single"/>
        </w:rPr>
        <w:t>Exceptions to the Certification Statement:</w:t>
      </w:r>
    </w:p>
    <w:p w:rsidR="00AD05C6" w:rsidP="0014087C" w:rsidRDefault="00AD05C6" w14:paraId="765827CB" w14:textId="77777777"/>
    <w:p w:rsidR="0030712D" w:rsidP="0014087C" w:rsidRDefault="00120EDA" w14:paraId="2EFB7AC7" w14:textId="77777777">
      <w:r>
        <w:t>DEA is not seeking an exception to the certification statement “Certification for Paperwork Reduction Act Submissions” for this collection of information</w:t>
      </w:r>
      <w:r w:rsidRPr="0074630A" w:rsidR="00B167B8">
        <w:t>.</w:t>
      </w:r>
    </w:p>
    <w:p w:rsidR="000B4D96" w:rsidP="00CC51D7" w:rsidRDefault="000B4D96" w14:paraId="00A1EAA8" w14:textId="77777777"/>
    <w:p w:rsidRPr="00B86DE5" w:rsidR="00B86DE5" w:rsidP="0014087C" w:rsidRDefault="0030712D" w14:paraId="5EB3D1A6" w14:textId="77777777">
      <w:pPr>
        <w:rPr>
          <w:b/>
        </w:rPr>
      </w:pPr>
      <w:r w:rsidRPr="00B86DE5">
        <w:rPr>
          <w:b/>
        </w:rPr>
        <w:t>P</w:t>
      </w:r>
      <w:r w:rsidRPr="00B86DE5" w:rsidR="00B86DE5">
        <w:rPr>
          <w:b/>
        </w:rPr>
        <w:t xml:space="preserve">art B. </w:t>
      </w:r>
      <w:r w:rsidRPr="00B86DE5" w:rsidR="008B3F36">
        <w:rPr>
          <w:b/>
        </w:rPr>
        <w:t xml:space="preserve">Statistical </w:t>
      </w:r>
      <w:r w:rsidRPr="00B86DE5" w:rsidR="0096571E">
        <w:rPr>
          <w:b/>
        </w:rPr>
        <w:t>Methods:</w:t>
      </w:r>
    </w:p>
    <w:p w:rsidR="00B86DE5" w:rsidP="0014087C" w:rsidRDefault="00B86DE5" w14:paraId="337EA400" w14:textId="77777777"/>
    <w:p w:rsidR="0030712D" w:rsidP="0014087C" w:rsidRDefault="00B86DE5" w14:paraId="1C665903" w14:textId="77777777">
      <w:r>
        <w:t>DEA</w:t>
      </w:r>
      <w:r w:rsidRPr="0074630A" w:rsidR="0030712D">
        <w:t xml:space="preserve"> does not employ statistical methods in this information collection.</w:t>
      </w:r>
    </w:p>
    <w:sectPr w:rsidR="0030712D">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EE123" w14:textId="77777777" w:rsidR="008C7FE8" w:rsidRDefault="008C7FE8" w:rsidP="00AA4ADD">
      <w:r>
        <w:separator/>
      </w:r>
    </w:p>
  </w:endnote>
  <w:endnote w:type="continuationSeparator" w:id="0">
    <w:p w14:paraId="0FFD2A51" w14:textId="77777777" w:rsidR="008C7FE8" w:rsidRDefault="008C7FE8" w:rsidP="00AA4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186BB" w14:textId="77777777" w:rsidR="008C7FE8" w:rsidRDefault="008C7FE8" w:rsidP="00AA4ADD">
      <w:r>
        <w:separator/>
      </w:r>
    </w:p>
  </w:footnote>
  <w:footnote w:type="continuationSeparator" w:id="0">
    <w:p w14:paraId="7153406D" w14:textId="77777777" w:rsidR="008C7FE8" w:rsidRDefault="008C7FE8" w:rsidP="00AA4ADD">
      <w:r>
        <w:continuationSeparator/>
      </w:r>
    </w:p>
  </w:footnote>
  <w:footnote w:id="1">
    <w:p w14:paraId="444A51A4" w14:textId="77777777" w:rsidR="00B40CB4" w:rsidRPr="00D34495" w:rsidRDefault="00B40CB4" w:rsidP="00B40CB4">
      <w:pPr>
        <w:pStyle w:val="FootnoteText"/>
        <w:rPr>
          <w:rFonts w:ascii="Times New Roman" w:hAnsi="Times New Roman"/>
        </w:rPr>
      </w:pPr>
      <w:r w:rsidRPr="00D34495">
        <w:rPr>
          <w:rStyle w:val="FootnoteReference"/>
          <w:rFonts w:ascii="Times New Roman" w:hAnsi="Times New Roman"/>
          <w:vertAlign w:val="superscript"/>
        </w:rPr>
        <w:footnoteRef/>
      </w:r>
      <w:r w:rsidRPr="00D34495">
        <w:rPr>
          <w:rFonts w:ascii="Times New Roman" w:hAnsi="Times New Roman"/>
        </w:rPr>
        <w:t xml:space="preserve"> </w:t>
      </w:r>
      <w:r w:rsidRPr="003C7C96">
        <w:rPr>
          <w:rFonts w:ascii="Times New Roman" w:hAnsi="Times New Roman"/>
        </w:rPr>
        <w:t>Calculated by dividing the number of responses (93,516) by the number of respondents (94,011).</w:t>
      </w:r>
    </w:p>
  </w:footnote>
  <w:footnote w:id="2">
    <w:p w14:paraId="722AD937" w14:textId="77777777" w:rsidR="00E44121" w:rsidRPr="00D34495" w:rsidRDefault="00E44121" w:rsidP="00E44121">
      <w:pPr>
        <w:pStyle w:val="FootnoteText"/>
        <w:rPr>
          <w:rFonts w:ascii="Times New Roman" w:hAnsi="Times New Roman"/>
        </w:rPr>
      </w:pPr>
      <w:r w:rsidRPr="00D34495">
        <w:rPr>
          <w:rStyle w:val="FootnoteReference"/>
          <w:rFonts w:ascii="Times New Roman" w:hAnsi="Times New Roman"/>
          <w:vertAlign w:val="superscript"/>
        </w:rPr>
        <w:footnoteRef/>
      </w:r>
      <w:r w:rsidRPr="00D34495">
        <w:rPr>
          <w:rFonts w:ascii="Times New Roman" w:hAnsi="Times New Roman"/>
        </w:rPr>
        <w:t xml:space="preserve"> </w:t>
      </w:r>
      <w:r w:rsidR="000D0426" w:rsidRPr="003C7C96">
        <w:rPr>
          <w:rFonts w:ascii="Times New Roman" w:hAnsi="Times New Roman"/>
        </w:rPr>
        <w:t>Responses can either be new applications or renewals.</w:t>
      </w:r>
      <w:r w:rsidR="00306985">
        <w:rPr>
          <w:rFonts w:ascii="Times New Roman" w:hAnsi="Times New Roman"/>
        </w:rPr>
        <w:t xml:space="preserve"> </w:t>
      </w:r>
      <w:r w:rsidR="000D0426" w:rsidRPr="003C7C96">
        <w:rPr>
          <w:rFonts w:ascii="Times New Roman" w:hAnsi="Times New Roman"/>
        </w:rPr>
        <w:t xml:space="preserve"> There are 31,172 new applications and they take </w:t>
      </w:r>
      <w:r w:rsidR="00E43A8C">
        <w:rPr>
          <w:rFonts w:ascii="Times New Roman" w:hAnsi="Times New Roman"/>
        </w:rPr>
        <w:t xml:space="preserve">3.00 </w:t>
      </w:r>
      <w:r w:rsidR="000D0426" w:rsidRPr="003C7C96">
        <w:rPr>
          <w:rFonts w:ascii="Times New Roman" w:hAnsi="Times New Roman"/>
        </w:rPr>
        <w:t xml:space="preserve">hours.  There are 62,344 renewals and they take </w:t>
      </w:r>
      <w:r w:rsidR="00E43A8C">
        <w:rPr>
          <w:rFonts w:ascii="Times New Roman" w:hAnsi="Times New Roman"/>
        </w:rPr>
        <w:t>1</w:t>
      </w:r>
      <w:r w:rsidR="000D0426" w:rsidRPr="003C7C96">
        <w:rPr>
          <w:rFonts w:ascii="Times New Roman" w:hAnsi="Times New Roman"/>
        </w:rPr>
        <w:t>.5</w:t>
      </w:r>
      <w:r w:rsidR="00E43A8C">
        <w:rPr>
          <w:rFonts w:ascii="Times New Roman" w:hAnsi="Times New Roman"/>
        </w:rPr>
        <w:t>0</w:t>
      </w:r>
      <w:r w:rsidR="000D0426" w:rsidRPr="003C7C96">
        <w:rPr>
          <w:rFonts w:ascii="Times New Roman" w:hAnsi="Times New Roman"/>
        </w:rPr>
        <w:t xml:space="preserve"> hours.  Burden per response is a weighted average of new and renewal applications. </w:t>
      </w:r>
      <w:r w:rsidR="00306985">
        <w:rPr>
          <w:rFonts w:ascii="Times New Roman" w:hAnsi="Times New Roman"/>
        </w:rPr>
        <w:t xml:space="preserve"> </w:t>
      </w:r>
      <w:r w:rsidR="000D0426" w:rsidRPr="003C7C96">
        <w:rPr>
          <w:rFonts w:ascii="Times New Roman" w:hAnsi="Times New Roman"/>
        </w:rPr>
        <w:t>New applications represent 33 percent of applications (31,172</w:t>
      </w:r>
      <w:r w:rsidR="004B0839">
        <w:rPr>
          <w:rFonts w:ascii="Times New Roman" w:hAnsi="Times New Roman"/>
        </w:rPr>
        <w:t xml:space="preserve"> </w:t>
      </w:r>
      <w:r w:rsidR="000D0426" w:rsidRPr="003C7C96">
        <w:rPr>
          <w:rFonts w:ascii="Times New Roman" w:hAnsi="Times New Roman"/>
        </w:rPr>
        <w:t>/</w:t>
      </w:r>
      <w:r w:rsidR="004B0839">
        <w:rPr>
          <w:rFonts w:ascii="Times New Roman" w:hAnsi="Times New Roman"/>
        </w:rPr>
        <w:t xml:space="preserve"> </w:t>
      </w:r>
      <w:r w:rsidR="000D0426" w:rsidRPr="003C7C96">
        <w:rPr>
          <w:rFonts w:ascii="Times New Roman" w:hAnsi="Times New Roman"/>
        </w:rPr>
        <w:t xml:space="preserve">93,516 = </w:t>
      </w:r>
      <w:r w:rsidR="004B0839">
        <w:rPr>
          <w:rFonts w:ascii="Times New Roman" w:hAnsi="Times New Roman"/>
        </w:rPr>
        <w:t>0</w:t>
      </w:r>
      <w:r w:rsidR="000D0426" w:rsidRPr="003C7C96">
        <w:rPr>
          <w:rFonts w:ascii="Times New Roman" w:hAnsi="Times New Roman"/>
        </w:rPr>
        <w:t>.33) and renewals represent 67 percent of applications (62,344</w:t>
      </w:r>
      <w:r w:rsidR="004B0839">
        <w:rPr>
          <w:rFonts w:ascii="Times New Roman" w:hAnsi="Times New Roman"/>
        </w:rPr>
        <w:t xml:space="preserve"> </w:t>
      </w:r>
      <w:r w:rsidR="000D0426" w:rsidRPr="003C7C96">
        <w:rPr>
          <w:rFonts w:ascii="Times New Roman" w:hAnsi="Times New Roman"/>
        </w:rPr>
        <w:t>/</w:t>
      </w:r>
      <w:r w:rsidR="004B0839">
        <w:rPr>
          <w:rFonts w:ascii="Times New Roman" w:hAnsi="Times New Roman"/>
        </w:rPr>
        <w:t xml:space="preserve"> </w:t>
      </w:r>
      <w:r w:rsidR="000D0426" w:rsidRPr="003C7C96">
        <w:rPr>
          <w:rFonts w:ascii="Times New Roman" w:hAnsi="Times New Roman"/>
        </w:rPr>
        <w:t xml:space="preserve">93,516 = </w:t>
      </w:r>
      <w:r w:rsidR="004B0839">
        <w:rPr>
          <w:rFonts w:ascii="Times New Roman" w:hAnsi="Times New Roman"/>
        </w:rPr>
        <w:t>0</w:t>
      </w:r>
      <w:r w:rsidR="000D0426" w:rsidRPr="003C7C96">
        <w:rPr>
          <w:rFonts w:ascii="Times New Roman" w:hAnsi="Times New Roman"/>
        </w:rPr>
        <w:t>.67). The weighted average is then 0.75 (</w:t>
      </w:r>
      <w:r w:rsidR="004B0839">
        <w:rPr>
          <w:rFonts w:ascii="Times New Roman" w:hAnsi="Times New Roman"/>
        </w:rPr>
        <w:t>[0</w:t>
      </w:r>
      <w:r w:rsidR="000D0426" w:rsidRPr="003C7C96">
        <w:rPr>
          <w:rFonts w:ascii="Times New Roman" w:hAnsi="Times New Roman"/>
        </w:rPr>
        <w:t>.33</w:t>
      </w:r>
      <w:r w:rsidR="004B0839">
        <w:rPr>
          <w:rFonts w:ascii="Times New Roman" w:hAnsi="Times New Roman"/>
        </w:rPr>
        <w:t xml:space="preserve"> x </w:t>
      </w:r>
      <w:r w:rsidR="00A31FA7">
        <w:rPr>
          <w:rFonts w:ascii="Times New Roman" w:hAnsi="Times New Roman"/>
        </w:rPr>
        <w:t>3</w:t>
      </w:r>
      <w:r w:rsidR="000D0426" w:rsidRPr="003C7C96">
        <w:rPr>
          <w:rFonts w:ascii="Times New Roman" w:hAnsi="Times New Roman"/>
        </w:rPr>
        <w:t>.</w:t>
      </w:r>
      <w:r w:rsidR="00A31FA7">
        <w:rPr>
          <w:rFonts w:ascii="Times New Roman" w:hAnsi="Times New Roman"/>
        </w:rPr>
        <w:t>00</w:t>
      </w:r>
      <w:r w:rsidR="004B0839">
        <w:rPr>
          <w:rFonts w:ascii="Times New Roman" w:hAnsi="Times New Roman"/>
        </w:rPr>
        <w:t xml:space="preserve">] </w:t>
      </w:r>
      <w:r w:rsidR="000D0426" w:rsidRPr="003C7C96">
        <w:rPr>
          <w:rFonts w:ascii="Times New Roman" w:hAnsi="Times New Roman"/>
        </w:rPr>
        <w:t>+</w:t>
      </w:r>
      <w:r w:rsidR="004B0839">
        <w:rPr>
          <w:rFonts w:ascii="Times New Roman" w:hAnsi="Times New Roman"/>
        </w:rPr>
        <w:t xml:space="preserve"> [0</w:t>
      </w:r>
      <w:r w:rsidR="000D0426" w:rsidRPr="003C7C96">
        <w:rPr>
          <w:rFonts w:ascii="Times New Roman" w:hAnsi="Times New Roman"/>
        </w:rPr>
        <w:t>.67</w:t>
      </w:r>
      <w:r w:rsidR="004B0839">
        <w:rPr>
          <w:rFonts w:ascii="Times New Roman" w:hAnsi="Times New Roman"/>
        </w:rPr>
        <w:t xml:space="preserve"> x </w:t>
      </w:r>
      <w:r w:rsidR="00A31FA7">
        <w:rPr>
          <w:rFonts w:ascii="Times New Roman" w:hAnsi="Times New Roman"/>
        </w:rPr>
        <w:t>1.50</w:t>
      </w:r>
      <w:r w:rsidR="004B0839">
        <w:rPr>
          <w:rFonts w:ascii="Times New Roman" w:hAnsi="Times New Roman"/>
        </w:rPr>
        <w:t>]</w:t>
      </w:r>
      <w:r w:rsidR="000D0426" w:rsidRPr="003C7C96">
        <w:rPr>
          <w:rFonts w:ascii="Times New Roman" w:hAnsi="Times New Roman"/>
        </w:rPr>
        <w:t xml:space="preserve"> = </w:t>
      </w:r>
      <w:r w:rsidR="00A31FA7">
        <w:rPr>
          <w:rFonts w:ascii="Times New Roman" w:hAnsi="Times New Roman"/>
        </w:rPr>
        <w:t>2</w:t>
      </w:r>
      <w:r w:rsidR="000D0426" w:rsidRPr="003C7C96">
        <w:rPr>
          <w:rFonts w:ascii="Times New Roman" w:hAnsi="Times New Roman"/>
        </w:rPr>
        <w:t>.</w:t>
      </w:r>
      <w:r w:rsidR="00A31FA7">
        <w:rPr>
          <w:rFonts w:ascii="Times New Roman" w:hAnsi="Times New Roman"/>
        </w:rPr>
        <w:t>00</w:t>
      </w:r>
      <w:r w:rsidR="000D0426" w:rsidRPr="003C7C96">
        <w:rPr>
          <w:rFonts w:ascii="Times New Roman" w:hAnsi="Times New Roman"/>
        </w:rPr>
        <w:t>).</w:t>
      </w:r>
    </w:p>
  </w:footnote>
  <w:footnote w:id="3">
    <w:p w14:paraId="70DC0E9C" w14:textId="77777777" w:rsidR="00846434" w:rsidRPr="00D34495" w:rsidRDefault="00846434" w:rsidP="00846434">
      <w:pPr>
        <w:pStyle w:val="FootnoteText"/>
        <w:rPr>
          <w:rFonts w:ascii="Times New Roman" w:hAnsi="Times New Roman"/>
        </w:rPr>
      </w:pPr>
      <w:r w:rsidRPr="00D34495">
        <w:rPr>
          <w:rStyle w:val="FootnoteReference"/>
          <w:rFonts w:ascii="Times New Roman" w:hAnsi="Times New Roman"/>
          <w:vertAlign w:val="superscript"/>
        </w:rPr>
        <w:footnoteRef/>
      </w:r>
      <w:r w:rsidRPr="00D34495">
        <w:rPr>
          <w:rFonts w:ascii="Times New Roman" w:hAnsi="Times New Roman"/>
        </w:rPr>
        <w:t xml:space="preserve"> </w:t>
      </w:r>
      <w:r>
        <w:rPr>
          <w:rFonts w:ascii="Times New Roman" w:hAnsi="Times New Roman"/>
        </w:rPr>
        <w:t xml:space="preserve">Hourly median wage, </w:t>
      </w:r>
      <w:r w:rsidRPr="00D34495">
        <w:rPr>
          <w:rFonts w:ascii="Times New Roman" w:hAnsi="Times New Roman"/>
        </w:rPr>
        <w:t>Bureau of Labor Statistics, Occupational an</w:t>
      </w:r>
      <w:r w:rsidR="00481AC3">
        <w:rPr>
          <w:rFonts w:ascii="Times New Roman" w:hAnsi="Times New Roman"/>
        </w:rPr>
        <w:t>d Employment and Wages, May 20</w:t>
      </w:r>
      <w:r w:rsidR="00945E90">
        <w:rPr>
          <w:rFonts w:ascii="Times New Roman" w:hAnsi="Times New Roman"/>
        </w:rPr>
        <w:t>21</w:t>
      </w:r>
      <w:r w:rsidRPr="00D34495">
        <w:rPr>
          <w:rFonts w:ascii="Times New Roman" w:hAnsi="Times New Roman"/>
        </w:rPr>
        <w:t xml:space="preserve">, </w:t>
      </w:r>
      <w:r>
        <w:rPr>
          <w:rFonts w:ascii="Times New Roman" w:hAnsi="Times New Roman"/>
        </w:rPr>
        <w:t xml:space="preserve">29-1051 Pharmacists </w:t>
      </w:r>
      <w:r w:rsidRPr="00D34495">
        <w:rPr>
          <w:rFonts w:ascii="Times New Roman" w:hAnsi="Times New Roman"/>
        </w:rPr>
        <w:t>(http://www.bls.gov/oes/current/oes).</w:t>
      </w:r>
    </w:p>
  </w:footnote>
  <w:footnote w:id="4">
    <w:p w14:paraId="45296BC9" w14:textId="77777777" w:rsidR="00846434" w:rsidRPr="007B3740" w:rsidRDefault="00846434" w:rsidP="00846434">
      <w:pPr>
        <w:pStyle w:val="FootnoteText"/>
        <w:rPr>
          <w:rFonts w:ascii="Times New Roman" w:hAnsi="Times New Roman"/>
        </w:rPr>
      </w:pPr>
      <w:r w:rsidRPr="007B3740">
        <w:rPr>
          <w:rStyle w:val="FootnoteReference"/>
          <w:rFonts w:ascii="Times New Roman" w:hAnsi="Times New Roman"/>
          <w:vertAlign w:val="superscript"/>
        </w:rPr>
        <w:footnoteRef/>
      </w:r>
      <w:r w:rsidRPr="007B3740">
        <w:rPr>
          <w:rFonts w:ascii="Times New Roman" w:hAnsi="Times New Roman"/>
        </w:rPr>
        <w:t xml:space="preserve"> Bureau of Labor Statistics, “Employer Costs for Employee Compensation – </w:t>
      </w:r>
      <w:r w:rsidR="00E0280D">
        <w:rPr>
          <w:rFonts w:ascii="Times New Roman" w:hAnsi="Times New Roman"/>
        </w:rPr>
        <w:t>December</w:t>
      </w:r>
      <w:r w:rsidRPr="007B3740">
        <w:rPr>
          <w:rFonts w:ascii="Times New Roman" w:hAnsi="Times New Roman"/>
        </w:rPr>
        <w:t xml:space="preserve"> 20</w:t>
      </w:r>
      <w:r w:rsidR="00E0280D">
        <w:rPr>
          <w:rFonts w:ascii="Times New Roman" w:hAnsi="Times New Roman"/>
        </w:rPr>
        <w:t>21</w:t>
      </w:r>
      <w:r w:rsidRPr="007B3740">
        <w:rPr>
          <w:rFonts w:ascii="Times New Roman" w:hAnsi="Times New Roman"/>
        </w:rPr>
        <w:t xml:space="preserve">” </w:t>
      </w:r>
      <w:r>
        <w:rPr>
          <w:rFonts w:ascii="Times New Roman" w:hAnsi="Times New Roman"/>
        </w:rPr>
        <w:t xml:space="preserve">(ECEC) </w:t>
      </w:r>
      <w:r w:rsidRPr="007B3740">
        <w:rPr>
          <w:rFonts w:ascii="Times New Roman" w:hAnsi="Times New Roman"/>
        </w:rPr>
        <w:t xml:space="preserve">reports that </w:t>
      </w:r>
      <w:r>
        <w:rPr>
          <w:rFonts w:ascii="Times New Roman" w:hAnsi="Times New Roman"/>
        </w:rPr>
        <w:t xml:space="preserve">average </w:t>
      </w:r>
      <w:r w:rsidRPr="007B3740">
        <w:rPr>
          <w:rFonts w:ascii="Times New Roman" w:hAnsi="Times New Roman"/>
        </w:rPr>
        <w:t>benef</w:t>
      </w:r>
      <w:r w:rsidR="00487570">
        <w:rPr>
          <w:rFonts w:ascii="Times New Roman" w:hAnsi="Times New Roman"/>
        </w:rPr>
        <w:t xml:space="preserve">its for private industry is </w:t>
      </w:r>
      <w:r w:rsidR="00004724">
        <w:rPr>
          <w:rFonts w:ascii="Times New Roman" w:hAnsi="Times New Roman"/>
        </w:rPr>
        <w:t>29.5</w:t>
      </w:r>
      <w:r w:rsidRPr="007B3740">
        <w:rPr>
          <w:rFonts w:ascii="Times New Roman" w:hAnsi="Times New Roman"/>
        </w:rPr>
        <w:t xml:space="preserve">% </w:t>
      </w:r>
      <w:r w:rsidR="00487570">
        <w:rPr>
          <w:rFonts w:ascii="Times New Roman" w:hAnsi="Times New Roman"/>
        </w:rPr>
        <w:t xml:space="preserve">of total compensation.  The </w:t>
      </w:r>
      <w:r w:rsidR="00004724">
        <w:rPr>
          <w:rFonts w:ascii="Times New Roman" w:hAnsi="Times New Roman"/>
        </w:rPr>
        <w:t>29.5</w:t>
      </w:r>
      <w:r w:rsidRPr="007B3740">
        <w:rPr>
          <w:rFonts w:ascii="Times New Roman" w:hAnsi="Times New Roman"/>
        </w:rPr>
        <w:t>% of total com</w:t>
      </w:r>
      <w:r w:rsidR="00751EE9">
        <w:rPr>
          <w:rFonts w:ascii="Times New Roman" w:hAnsi="Times New Roman"/>
        </w:rPr>
        <w:t>pensation equates to 4</w:t>
      </w:r>
      <w:r w:rsidR="00004724">
        <w:rPr>
          <w:rFonts w:ascii="Times New Roman" w:hAnsi="Times New Roman"/>
        </w:rPr>
        <w:t>1.8</w:t>
      </w:r>
      <w:r w:rsidR="00487570">
        <w:rPr>
          <w:rFonts w:ascii="Times New Roman" w:hAnsi="Times New Roman"/>
        </w:rPr>
        <w:t>% (</w:t>
      </w:r>
      <w:r w:rsidR="00004724">
        <w:rPr>
          <w:rFonts w:ascii="Times New Roman" w:hAnsi="Times New Roman"/>
        </w:rPr>
        <w:t>29.5</w:t>
      </w:r>
      <w:r w:rsidR="00487570">
        <w:rPr>
          <w:rFonts w:ascii="Times New Roman" w:hAnsi="Times New Roman"/>
        </w:rPr>
        <w:t xml:space="preserve">% / </w:t>
      </w:r>
      <w:r w:rsidR="00004724">
        <w:rPr>
          <w:rFonts w:ascii="Times New Roman" w:hAnsi="Times New Roman"/>
        </w:rPr>
        <w:t>70.5</w:t>
      </w:r>
      <w:r w:rsidRPr="007B3740">
        <w:rPr>
          <w:rFonts w:ascii="Times New Roman" w:hAnsi="Times New Roman"/>
        </w:rPr>
        <w:t>%) load on wages and salaries.</w:t>
      </w:r>
    </w:p>
  </w:footnote>
  <w:footnote w:id="5">
    <w:p w14:paraId="6118D443" w14:textId="77777777" w:rsidR="00846434" w:rsidRPr="007B3740" w:rsidRDefault="00846434" w:rsidP="00846434">
      <w:pPr>
        <w:pStyle w:val="FootnoteText"/>
        <w:rPr>
          <w:rFonts w:ascii="Times New Roman" w:hAnsi="Times New Roman"/>
        </w:rPr>
      </w:pPr>
      <w:r w:rsidRPr="007B3740">
        <w:rPr>
          <w:rStyle w:val="FootnoteReference"/>
          <w:rFonts w:ascii="Times New Roman" w:hAnsi="Times New Roman"/>
          <w:vertAlign w:val="superscript"/>
        </w:rPr>
        <w:footnoteRef/>
      </w:r>
      <w:r w:rsidR="00751EE9">
        <w:rPr>
          <w:rFonts w:ascii="Times New Roman" w:hAnsi="Times New Roman"/>
        </w:rPr>
        <w:t xml:space="preserve"> $</w:t>
      </w:r>
      <w:r w:rsidR="009902C3">
        <w:rPr>
          <w:rFonts w:ascii="Times New Roman" w:hAnsi="Times New Roman"/>
        </w:rPr>
        <w:t>61.81</w:t>
      </w:r>
      <w:r w:rsidR="00751EE9">
        <w:rPr>
          <w:rFonts w:ascii="Times New Roman" w:hAnsi="Times New Roman"/>
        </w:rPr>
        <w:t xml:space="preserve"> x (1 + 0.</w:t>
      </w:r>
      <w:r w:rsidR="009902C3">
        <w:rPr>
          <w:rFonts w:ascii="Times New Roman" w:hAnsi="Times New Roman"/>
        </w:rPr>
        <w:t>418</w:t>
      </w:r>
      <w:r w:rsidR="00751EE9">
        <w:rPr>
          <w:rFonts w:ascii="Times New Roman" w:hAnsi="Times New Roman"/>
        </w:rPr>
        <w:t>) = $8</w:t>
      </w:r>
      <w:r w:rsidR="009902C3">
        <w:rPr>
          <w:rFonts w:ascii="Times New Roman" w:hAnsi="Times New Roman"/>
        </w:rPr>
        <w:t>7.65</w:t>
      </w:r>
      <w:r>
        <w:rPr>
          <w:rFonts w:ascii="Times New Roman" w:hAnsi="Times New Roman"/>
        </w:rPr>
        <w:t>.</w:t>
      </w:r>
    </w:p>
  </w:footnote>
  <w:footnote w:id="6">
    <w:p w14:paraId="1093EACE" w14:textId="77777777" w:rsidR="009012C1" w:rsidRPr="00FC4E5D" w:rsidRDefault="009012C1" w:rsidP="009012C1">
      <w:pPr>
        <w:pStyle w:val="FootnoteText"/>
        <w:rPr>
          <w:rFonts w:ascii="Times New Roman" w:hAnsi="Times New Roman"/>
        </w:rPr>
      </w:pPr>
      <w:r w:rsidRPr="00FC4E5D">
        <w:rPr>
          <w:rStyle w:val="FootnoteReference"/>
          <w:rFonts w:ascii="Times New Roman" w:hAnsi="Times New Roman"/>
          <w:vertAlign w:val="superscript"/>
        </w:rPr>
        <w:footnoteRef/>
      </w:r>
      <w:r w:rsidRPr="00FC4E5D">
        <w:rPr>
          <w:rFonts w:ascii="Times New Roman" w:hAnsi="Times New Roman"/>
        </w:rPr>
        <w:t xml:space="preserve"> </w:t>
      </w:r>
      <w:r>
        <w:rPr>
          <w:rFonts w:ascii="Times New Roman" w:hAnsi="Times New Roman"/>
        </w:rPr>
        <w:t xml:space="preserve">Government salary figures include </w:t>
      </w:r>
      <w:r w:rsidR="007E54B0">
        <w:rPr>
          <w:rFonts w:ascii="Times New Roman" w:hAnsi="Times New Roman"/>
        </w:rPr>
        <w:t>61</w:t>
      </w:r>
      <w:r>
        <w:rPr>
          <w:rFonts w:ascii="Times New Roman" w:hAnsi="Times New Roman"/>
        </w:rPr>
        <w:t>% load for benefits based on the ECEC for “State and local government” (adjusted for paid leave).  The ECEC does not include figures for the Federal Government</w:t>
      </w:r>
      <w:r w:rsidRPr="00FC4E5D">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Courier New" w:hAnsi="Courier New"/>
        <w:sz w:val="24"/>
      </w:rPr>
    </w:lvl>
  </w:abstractNum>
  <w:abstractNum w:abstractNumId="1" w15:restartNumberingAfterBreak="0">
    <w:nsid w:val="01F301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9D253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6E94A62"/>
    <w:multiLevelType w:val="singleLevel"/>
    <w:tmpl w:val="BAD039E4"/>
    <w:lvl w:ilvl="0">
      <w:start w:val="1"/>
      <w:numFmt w:val="bullet"/>
      <w:pStyle w:val="bullet1"/>
      <w:lvlText w:val=""/>
      <w:lvlJc w:val="left"/>
      <w:pPr>
        <w:tabs>
          <w:tab w:val="num" w:pos="360"/>
        </w:tabs>
        <w:ind w:left="360" w:hanging="360"/>
      </w:pPr>
      <w:rPr>
        <w:rFonts w:ascii="Symbol" w:hAnsi="Symbol" w:hint="default"/>
      </w:rPr>
    </w:lvl>
  </w:abstractNum>
  <w:abstractNum w:abstractNumId="4" w15:restartNumberingAfterBreak="0">
    <w:nsid w:val="13E26F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C8853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0C840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15125A9"/>
    <w:multiLevelType w:val="singleLevel"/>
    <w:tmpl w:val="0CFC905C"/>
    <w:lvl w:ilvl="0">
      <w:start w:val="1"/>
      <w:numFmt w:val="bullet"/>
      <w:lvlText w:val="•"/>
      <w:lvlJc w:val="left"/>
      <w:pPr>
        <w:tabs>
          <w:tab w:val="num" w:pos="1080"/>
        </w:tabs>
        <w:ind w:left="1080" w:hanging="360"/>
      </w:pPr>
      <w:rPr>
        <w:rFonts w:ascii="Times New Roman" w:hAnsi="Times New Roman" w:hint="default"/>
        <w:sz w:val="24"/>
      </w:rPr>
    </w:lvl>
  </w:abstractNum>
  <w:abstractNum w:abstractNumId="8" w15:restartNumberingAfterBreak="0">
    <w:nsid w:val="342C3C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5A526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F1428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17C6A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1567CF"/>
    <w:multiLevelType w:val="hybridMultilevel"/>
    <w:tmpl w:val="EC7047F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C441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E985D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A45440B"/>
    <w:multiLevelType w:val="hybridMultilevel"/>
    <w:tmpl w:val="E1A2B3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13865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31F7792"/>
    <w:multiLevelType w:val="hybridMultilevel"/>
    <w:tmpl w:val="BC408B2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AB278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C202BF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3"/>
  </w:num>
  <w:num w:numId="3">
    <w:abstractNumId w:val="8"/>
  </w:num>
  <w:num w:numId="4">
    <w:abstractNumId w:val="10"/>
  </w:num>
  <w:num w:numId="5">
    <w:abstractNumId w:val="9"/>
  </w:num>
  <w:num w:numId="6">
    <w:abstractNumId w:val="11"/>
  </w:num>
  <w:num w:numId="7">
    <w:abstractNumId w:val="5"/>
  </w:num>
  <w:num w:numId="8">
    <w:abstractNumId w:val="4"/>
  </w:num>
  <w:num w:numId="9">
    <w:abstractNumId w:val="14"/>
  </w:num>
  <w:num w:numId="10">
    <w:abstractNumId w:val="18"/>
  </w:num>
  <w:num w:numId="11">
    <w:abstractNumId w:val="6"/>
  </w:num>
  <w:num w:numId="12">
    <w:abstractNumId w:val="19"/>
  </w:num>
  <w:num w:numId="13">
    <w:abstractNumId w:val="16"/>
  </w:num>
  <w:num w:numId="14">
    <w:abstractNumId w:val="2"/>
  </w:num>
  <w:num w:numId="15">
    <w:abstractNumId w:val="15"/>
  </w:num>
  <w:num w:numId="16">
    <w:abstractNumId w:val="12"/>
  </w:num>
  <w:num w:numId="17">
    <w:abstractNumId w:val="17"/>
  </w:num>
  <w:num w:numId="18">
    <w:abstractNumId w:val="0"/>
    <w:lvlOverride w:ilvl="0">
      <w:startOverride w:val="1"/>
      <w:lvl w:ilvl="0">
        <w:start w:val="1"/>
        <w:numFmt w:val="decimal"/>
        <w:pStyle w:val="1"/>
        <w:lvlText w:val="%1."/>
        <w:lvlJc w:val="left"/>
      </w:lvl>
    </w:lvlOverride>
  </w:num>
  <w:num w:numId="19">
    <w:abstractNumId w:val="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8"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2D3"/>
    <w:rsid w:val="00004724"/>
    <w:rsid w:val="000168E8"/>
    <w:rsid w:val="0002276E"/>
    <w:rsid w:val="00057006"/>
    <w:rsid w:val="000628D7"/>
    <w:rsid w:val="00074D04"/>
    <w:rsid w:val="0008482E"/>
    <w:rsid w:val="00085B2F"/>
    <w:rsid w:val="00091502"/>
    <w:rsid w:val="000A521F"/>
    <w:rsid w:val="000B4D96"/>
    <w:rsid w:val="000D0426"/>
    <w:rsid w:val="000D7FF3"/>
    <w:rsid w:val="000F5F43"/>
    <w:rsid w:val="000F671E"/>
    <w:rsid w:val="001025D8"/>
    <w:rsid w:val="00107884"/>
    <w:rsid w:val="00120217"/>
    <w:rsid w:val="00120EDA"/>
    <w:rsid w:val="00122DB9"/>
    <w:rsid w:val="001249E0"/>
    <w:rsid w:val="001334E1"/>
    <w:rsid w:val="0013390A"/>
    <w:rsid w:val="00134639"/>
    <w:rsid w:val="0014087C"/>
    <w:rsid w:val="00155476"/>
    <w:rsid w:val="00180ED1"/>
    <w:rsid w:val="00192707"/>
    <w:rsid w:val="001B1E30"/>
    <w:rsid w:val="001C1A37"/>
    <w:rsid w:val="001E07DF"/>
    <w:rsid w:val="001E31D0"/>
    <w:rsid w:val="001E3E31"/>
    <w:rsid w:val="001E5D26"/>
    <w:rsid w:val="001F5B45"/>
    <w:rsid w:val="002018A7"/>
    <w:rsid w:val="00210B2E"/>
    <w:rsid w:val="002142D3"/>
    <w:rsid w:val="00225630"/>
    <w:rsid w:val="00293AEC"/>
    <w:rsid w:val="002B567C"/>
    <w:rsid w:val="002C1827"/>
    <w:rsid w:val="002C4A62"/>
    <w:rsid w:val="002C5E09"/>
    <w:rsid w:val="00300F3B"/>
    <w:rsid w:val="00301EBF"/>
    <w:rsid w:val="00305254"/>
    <w:rsid w:val="00306985"/>
    <w:rsid w:val="0030712D"/>
    <w:rsid w:val="0031090F"/>
    <w:rsid w:val="00336355"/>
    <w:rsid w:val="003621E8"/>
    <w:rsid w:val="003657AF"/>
    <w:rsid w:val="0038137D"/>
    <w:rsid w:val="00387A0D"/>
    <w:rsid w:val="0039235E"/>
    <w:rsid w:val="00397B6A"/>
    <w:rsid w:val="003B32B3"/>
    <w:rsid w:val="003C2094"/>
    <w:rsid w:val="003C5A5D"/>
    <w:rsid w:val="003C7C96"/>
    <w:rsid w:val="003D7AEC"/>
    <w:rsid w:val="003E5E59"/>
    <w:rsid w:val="003F6669"/>
    <w:rsid w:val="004015C1"/>
    <w:rsid w:val="00435949"/>
    <w:rsid w:val="00441611"/>
    <w:rsid w:val="00456DF8"/>
    <w:rsid w:val="00463E85"/>
    <w:rsid w:val="00472AF8"/>
    <w:rsid w:val="00473437"/>
    <w:rsid w:val="00476DBA"/>
    <w:rsid w:val="00481AC3"/>
    <w:rsid w:val="00487570"/>
    <w:rsid w:val="00492378"/>
    <w:rsid w:val="00494364"/>
    <w:rsid w:val="004958B9"/>
    <w:rsid w:val="004A4DDC"/>
    <w:rsid w:val="004A5143"/>
    <w:rsid w:val="004A6BCE"/>
    <w:rsid w:val="004B0839"/>
    <w:rsid w:val="004B6E4B"/>
    <w:rsid w:val="004B7499"/>
    <w:rsid w:val="004C469E"/>
    <w:rsid w:val="004D12A0"/>
    <w:rsid w:val="004D5430"/>
    <w:rsid w:val="00506819"/>
    <w:rsid w:val="00512ABD"/>
    <w:rsid w:val="00523A8F"/>
    <w:rsid w:val="00523D1C"/>
    <w:rsid w:val="00531833"/>
    <w:rsid w:val="00536EB5"/>
    <w:rsid w:val="0054107A"/>
    <w:rsid w:val="00545BE0"/>
    <w:rsid w:val="00556CD6"/>
    <w:rsid w:val="00557B39"/>
    <w:rsid w:val="005634C4"/>
    <w:rsid w:val="00564BBD"/>
    <w:rsid w:val="00565FC5"/>
    <w:rsid w:val="00583F7D"/>
    <w:rsid w:val="005B153A"/>
    <w:rsid w:val="005D0820"/>
    <w:rsid w:val="005E78D0"/>
    <w:rsid w:val="00605BD8"/>
    <w:rsid w:val="00615EE9"/>
    <w:rsid w:val="00631D8E"/>
    <w:rsid w:val="00633782"/>
    <w:rsid w:val="00643892"/>
    <w:rsid w:val="00645905"/>
    <w:rsid w:val="006507AE"/>
    <w:rsid w:val="00670104"/>
    <w:rsid w:val="00670716"/>
    <w:rsid w:val="00671FBA"/>
    <w:rsid w:val="00672166"/>
    <w:rsid w:val="00683C9B"/>
    <w:rsid w:val="00686C01"/>
    <w:rsid w:val="006A6B45"/>
    <w:rsid w:val="006D1A21"/>
    <w:rsid w:val="006D68CF"/>
    <w:rsid w:val="006F2DB5"/>
    <w:rsid w:val="00700434"/>
    <w:rsid w:val="00713367"/>
    <w:rsid w:val="00720FAA"/>
    <w:rsid w:val="00731C3F"/>
    <w:rsid w:val="007320BE"/>
    <w:rsid w:val="0074630A"/>
    <w:rsid w:val="00750B55"/>
    <w:rsid w:val="00751EE9"/>
    <w:rsid w:val="0076551B"/>
    <w:rsid w:val="00765E44"/>
    <w:rsid w:val="00766BEE"/>
    <w:rsid w:val="0077668D"/>
    <w:rsid w:val="00782531"/>
    <w:rsid w:val="0078506F"/>
    <w:rsid w:val="00793DB6"/>
    <w:rsid w:val="007A634B"/>
    <w:rsid w:val="007A6487"/>
    <w:rsid w:val="007B2059"/>
    <w:rsid w:val="007C3078"/>
    <w:rsid w:val="007D62A3"/>
    <w:rsid w:val="007E54B0"/>
    <w:rsid w:val="007F49C7"/>
    <w:rsid w:val="00810D78"/>
    <w:rsid w:val="00837A1C"/>
    <w:rsid w:val="0084081D"/>
    <w:rsid w:val="00846434"/>
    <w:rsid w:val="008525FC"/>
    <w:rsid w:val="00856689"/>
    <w:rsid w:val="008778E8"/>
    <w:rsid w:val="0088629A"/>
    <w:rsid w:val="008A10AF"/>
    <w:rsid w:val="008A1879"/>
    <w:rsid w:val="008A5675"/>
    <w:rsid w:val="008A668E"/>
    <w:rsid w:val="008B3F36"/>
    <w:rsid w:val="008C3CAA"/>
    <w:rsid w:val="008C59A0"/>
    <w:rsid w:val="008C7FE8"/>
    <w:rsid w:val="008E226C"/>
    <w:rsid w:val="008E38A7"/>
    <w:rsid w:val="008F5026"/>
    <w:rsid w:val="008F5DBF"/>
    <w:rsid w:val="009012C1"/>
    <w:rsid w:val="00921852"/>
    <w:rsid w:val="009237A3"/>
    <w:rsid w:val="0093156D"/>
    <w:rsid w:val="009321F7"/>
    <w:rsid w:val="009446A0"/>
    <w:rsid w:val="00945E90"/>
    <w:rsid w:val="00951FFD"/>
    <w:rsid w:val="009628D3"/>
    <w:rsid w:val="00963D0B"/>
    <w:rsid w:val="0096571E"/>
    <w:rsid w:val="0096755D"/>
    <w:rsid w:val="00970FA5"/>
    <w:rsid w:val="00987033"/>
    <w:rsid w:val="009902C3"/>
    <w:rsid w:val="00992926"/>
    <w:rsid w:val="00992DCE"/>
    <w:rsid w:val="009B7B08"/>
    <w:rsid w:val="009E467E"/>
    <w:rsid w:val="009F2148"/>
    <w:rsid w:val="009F3D85"/>
    <w:rsid w:val="00A10DE8"/>
    <w:rsid w:val="00A11B48"/>
    <w:rsid w:val="00A25EB5"/>
    <w:rsid w:val="00A27952"/>
    <w:rsid w:val="00A3113E"/>
    <w:rsid w:val="00A31FA7"/>
    <w:rsid w:val="00A445E3"/>
    <w:rsid w:val="00A46860"/>
    <w:rsid w:val="00A62675"/>
    <w:rsid w:val="00A71604"/>
    <w:rsid w:val="00A73186"/>
    <w:rsid w:val="00A874CE"/>
    <w:rsid w:val="00A92C57"/>
    <w:rsid w:val="00AA3B95"/>
    <w:rsid w:val="00AA4ADD"/>
    <w:rsid w:val="00AB11AD"/>
    <w:rsid w:val="00AB52D7"/>
    <w:rsid w:val="00AC0A1C"/>
    <w:rsid w:val="00AD05C6"/>
    <w:rsid w:val="00AE128D"/>
    <w:rsid w:val="00AE2626"/>
    <w:rsid w:val="00B167B8"/>
    <w:rsid w:val="00B17FAA"/>
    <w:rsid w:val="00B243A1"/>
    <w:rsid w:val="00B300D0"/>
    <w:rsid w:val="00B33080"/>
    <w:rsid w:val="00B33265"/>
    <w:rsid w:val="00B40CB4"/>
    <w:rsid w:val="00B5074A"/>
    <w:rsid w:val="00B51333"/>
    <w:rsid w:val="00B62402"/>
    <w:rsid w:val="00B77401"/>
    <w:rsid w:val="00B779DC"/>
    <w:rsid w:val="00B86DE5"/>
    <w:rsid w:val="00BA2435"/>
    <w:rsid w:val="00BA290D"/>
    <w:rsid w:val="00BD0767"/>
    <w:rsid w:val="00BD6505"/>
    <w:rsid w:val="00BE3CFA"/>
    <w:rsid w:val="00BF0738"/>
    <w:rsid w:val="00BF28C7"/>
    <w:rsid w:val="00BF47BC"/>
    <w:rsid w:val="00C00E49"/>
    <w:rsid w:val="00C42B66"/>
    <w:rsid w:val="00C61DF6"/>
    <w:rsid w:val="00C73F12"/>
    <w:rsid w:val="00C955D1"/>
    <w:rsid w:val="00CA3BDB"/>
    <w:rsid w:val="00CA5549"/>
    <w:rsid w:val="00CC4684"/>
    <w:rsid w:val="00CC51D7"/>
    <w:rsid w:val="00CC5A5A"/>
    <w:rsid w:val="00CD642D"/>
    <w:rsid w:val="00CE115A"/>
    <w:rsid w:val="00CE33BC"/>
    <w:rsid w:val="00CF7EA5"/>
    <w:rsid w:val="00D034DC"/>
    <w:rsid w:val="00D04810"/>
    <w:rsid w:val="00D42CA2"/>
    <w:rsid w:val="00D43C28"/>
    <w:rsid w:val="00D442F1"/>
    <w:rsid w:val="00D52488"/>
    <w:rsid w:val="00D66AC5"/>
    <w:rsid w:val="00D97CDA"/>
    <w:rsid w:val="00DD2C49"/>
    <w:rsid w:val="00DD349E"/>
    <w:rsid w:val="00DF101E"/>
    <w:rsid w:val="00DF41E1"/>
    <w:rsid w:val="00DF5CAA"/>
    <w:rsid w:val="00E006C4"/>
    <w:rsid w:val="00E0280D"/>
    <w:rsid w:val="00E10C25"/>
    <w:rsid w:val="00E10C55"/>
    <w:rsid w:val="00E178D6"/>
    <w:rsid w:val="00E2391A"/>
    <w:rsid w:val="00E333BF"/>
    <w:rsid w:val="00E43A8C"/>
    <w:rsid w:val="00E44121"/>
    <w:rsid w:val="00E45099"/>
    <w:rsid w:val="00E451DF"/>
    <w:rsid w:val="00E5600F"/>
    <w:rsid w:val="00E62D5C"/>
    <w:rsid w:val="00E67B3E"/>
    <w:rsid w:val="00EC2BED"/>
    <w:rsid w:val="00ED05D7"/>
    <w:rsid w:val="00ED400F"/>
    <w:rsid w:val="00F26011"/>
    <w:rsid w:val="00F2797D"/>
    <w:rsid w:val="00F349ED"/>
    <w:rsid w:val="00F51E51"/>
    <w:rsid w:val="00F63CFC"/>
    <w:rsid w:val="00F6471E"/>
    <w:rsid w:val="00F64E37"/>
    <w:rsid w:val="00F750CF"/>
    <w:rsid w:val="00FA21F7"/>
    <w:rsid w:val="00FA64EA"/>
    <w:rsid w:val="00FB0D25"/>
    <w:rsid w:val="00FB13B3"/>
    <w:rsid w:val="00FB658A"/>
    <w:rsid w:val="00FE1F5C"/>
    <w:rsid w:val="00FE36EC"/>
    <w:rsid w:val="00FF1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FCDAB99"/>
  <w15:chartTrackingRefBased/>
  <w15:docId w15:val="{A71BE58E-BBBC-4F9D-AACB-B13ACC8AF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1">
    <w:name w:val="heading 1"/>
    <w:basedOn w:val="Normal"/>
    <w:next w:val="Normal"/>
    <w:link w:val="Heading1Char"/>
    <w:qFormat/>
    <w:rsid w:val="00CC51D7"/>
    <w:pPr>
      <w:keepNex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7320BE"/>
    <w:rPr>
      <w:rFonts w:ascii="Tahoma" w:hAnsi="Tahoma"/>
      <w:sz w:val="16"/>
      <w:szCs w:val="16"/>
    </w:rPr>
  </w:style>
  <w:style w:type="paragraph" w:customStyle="1" w:styleId="1">
    <w:name w:val="1"/>
    <w:aliases w:val="2,3"/>
    <w:basedOn w:val="Normal"/>
    <w:rsid w:val="009F2148"/>
    <w:pPr>
      <w:numPr>
        <w:numId w:val="18"/>
      </w:numPr>
      <w:ind w:left="720" w:hanging="720"/>
    </w:pPr>
    <w:rPr>
      <w:snapToGrid w:val="0"/>
    </w:rPr>
  </w:style>
  <w:style w:type="character" w:customStyle="1" w:styleId="Heading1Char">
    <w:name w:val="Heading 1 Char"/>
    <w:link w:val="Heading1"/>
    <w:rsid w:val="00CC51D7"/>
    <w:rPr>
      <w:b/>
      <w:sz w:val="24"/>
    </w:rPr>
  </w:style>
  <w:style w:type="paragraph" w:customStyle="1" w:styleId="bullet1">
    <w:name w:val="bullet1"/>
    <w:basedOn w:val="ListBullet"/>
    <w:rsid w:val="00CC51D7"/>
    <w:pPr>
      <w:numPr>
        <w:numId w:val="20"/>
      </w:numPr>
      <w:ind w:left="1080"/>
      <w:contextualSpacing w:val="0"/>
    </w:pPr>
  </w:style>
  <w:style w:type="paragraph" w:styleId="ListBullet">
    <w:name w:val="List Bullet"/>
    <w:basedOn w:val="Normal"/>
    <w:uiPriority w:val="99"/>
    <w:semiHidden/>
    <w:unhideWhenUsed/>
    <w:rsid w:val="00CC51D7"/>
    <w:pPr>
      <w:numPr>
        <w:numId w:val="19"/>
      </w:numPr>
      <w:contextualSpacing/>
    </w:pPr>
  </w:style>
  <w:style w:type="paragraph" w:styleId="NoSpacing">
    <w:name w:val="No Spacing"/>
    <w:uiPriority w:val="1"/>
    <w:qFormat/>
    <w:rsid w:val="009F3D85"/>
    <w:rPr>
      <w:sz w:val="24"/>
    </w:rPr>
  </w:style>
  <w:style w:type="paragraph" w:styleId="Header">
    <w:name w:val="header"/>
    <w:basedOn w:val="Normal"/>
    <w:link w:val="HeaderChar"/>
    <w:uiPriority w:val="99"/>
    <w:unhideWhenUsed/>
    <w:rsid w:val="00AA4ADD"/>
    <w:pPr>
      <w:tabs>
        <w:tab w:val="center" w:pos="4680"/>
        <w:tab w:val="right" w:pos="9360"/>
      </w:tabs>
    </w:pPr>
  </w:style>
  <w:style w:type="character" w:customStyle="1" w:styleId="HeaderChar">
    <w:name w:val="Header Char"/>
    <w:link w:val="Header"/>
    <w:uiPriority w:val="99"/>
    <w:rsid w:val="00AA4ADD"/>
    <w:rPr>
      <w:sz w:val="24"/>
    </w:rPr>
  </w:style>
  <w:style w:type="paragraph" w:styleId="Footer">
    <w:name w:val="footer"/>
    <w:basedOn w:val="Normal"/>
    <w:link w:val="FooterChar"/>
    <w:uiPriority w:val="99"/>
    <w:unhideWhenUsed/>
    <w:rsid w:val="00AA4ADD"/>
    <w:pPr>
      <w:tabs>
        <w:tab w:val="center" w:pos="4680"/>
        <w:tab w:val="right" w:pos="9360"/>
      </w:tabs>
    </w:pPr>
  </w:style>
  <w:style w:type="character" w:customStyle="1" w:styleId="FooterChar">
    <w:name w:val="Footer Char"/>
    <w:link w:val="Footer"/>
    <w:uiPriority w:val="99"/>
    <w:rsid w:val="00AA4ADD"/>
    <w:rPr>
      <w:sz w:val="24"/>
    </w:rPr>
  </w:style>
  <w:style w:type="character" w:styleId="CommentReference">
    <w:name w:val="annotation reference"/>
    <w:uiPriority w:val="99"/>
    <w:semiHidden/>
    <w:unhideWhenUsed/>
    <w:rsid w:val="000168E8"/>
    <w:rPr>
      <w:sz w:val="16"/>
      <w:szCs w:val="16"/>
    </w:rPr>
  </w:style>
  <w:style w:type="paragraph" w:styleId="CommentText">
    <w:name w:val="annotation text"/>
    <w:basedOn w:val="Normal"/>
    <w:link w:val="CommentTextChar"/>
    <w:uiPriority w:val="99"/>
    <w:semiHidden/>
    <w:unhideWhenUsed/>
    <w:rsid w:val="000168E8"/>
    <w:rPr>
      <w:sz w:val="20"/>
    </w:rPr>
  </w:style>
  <w:style w:type="character" w:customStyle="1" w:styleId="CommentTextChar">
    <w:name w:val="Comment Text Char"/>
    <w:basedOn w:val="DefaultParagraphFont"/>
    <w:link w:val="CommentText"/>
    <w:uiPriority w:val="99"/>
    <w:semiHidden/>
    <w:rsid w:val="000168E8"/>
  </w:style>
  <w:style w:type="paragraph" w:styleId="CommentSubject">
    <w:name w:val="annotation subject"/>
    <w:basedOn w:val="CommentText"/>
    <w:next w:val="CommentText"/>
    <w:link w:val="CommentSubjectChar"/>
    <w:uiPriority w:val="99"/>
    <w:semiHidden/>
    <w:unhideWhenUsed/>
    <w:rsid w:val="000168E8"/>
    <w:rPr>
      <w:b/>
      <w:bCs/>
    </w:rPr>
  </w:style>
  <w:style w:type="character" w:customStyle="1" w:styleId="CommentSubjectChar">
    <w:name w:val="Comment Subject Char"/>
    <w:link w:val="CommentSubject"/>
    <w:uiPriority w:val="99"/>
    <w:semiHidden/>
    <w:rsid w:val="000168E8"/>
    <w:rPr>
      <w:b/>
      <w:bCs/>
    </w:rPr>
  </w:style>
  <w:style w:type="paragraph" w:styleId="FootnoteText">
    <w:name w:val="footnote text"/>
    <w:basedOn w:val="Normal"/>
    <w:link w:val="FootnoteTextChar"/>
    <w:uiPriority w:val="99"/>
    <w:semiHidden/>
    <w:unhideWhenUsed/>
    <w:rsid w:val="00846434"/>
    <w:rPr>
      <w:rFonts w:ascii="Cambria" w:eastAsia="Calibri" w:hAnsi="Cambria"/>
      <w:sz w:val="20"/>
    </w:rPr>
  </w:style>
  <w:style w:type="character" w:customStyle="1" w:styleId="FootnoteTextChar">
    <w:name w:val="Footnote Text Char"/>
    <w:link w:val="FootnoteText"/>
    <w:uiPriority w:val="99"/>
    <w:semiHidden/>
    <w:rsid w:val="00846434"/>
    <w:rPr>
      <w:rFonts w:ascii="Cambria" w:eastAsia="Calibri" w:hAnsi="Cambria"/>
    </w:rPr>
  </w:style>
  <w:style w:type="character" w:styleId="FootnoteReference">
    <w:name w:val="footnote reference"/>
    <w:semiHidden/>
    <w:unhideWhenUsed/>
    <w:rsid w:val="00846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91403">
      <w:bodyDiv w:val="1"/>
      <w:marLeft w:val="0"/>
      <w:marRight w:val="0"/>
      <w:marTop w:val="0"/>
      <w:marBottom w:val="0"/>
      <w:divBdr>
        <w:top w:val="none" w:sz="0" w:space="0" w:color="auto"/>
        <w:left w:val="none" w:sz="0" w:space="0" w:color="auto"/>
        <w:bottom w:val="none" w:sz="0" w:space="0" w:color="auto"/>
        <w:right w:val="none" w:sz="0" w:space="0" w:color="auto"/>
      </w:divBdr>
    </w:div>
    <w:div w:id="637104208">
      <w:bodyDiv w:val="1"/>
      <w:marLeft w:val="0"/>
      <w:marRight w:val="0"/>
      <w:marTop w:val="0"/>
      <w:marBottom w:val="0"/>
      <w:divBdr>
        <w:top w:val="none" w:sz="0" w:space="0" w:color="auto"/>
        <w:left w:val="none" w:sz="0" w:space="0" w:color="auto"/>
        <w:bottom w:val="none" w:sz="0" w:space="0" w:color="auto"/>
        <w:right w:val="none" w:sz="0" w:space="0" w:color="auto"/>
      </w:divBdr>
    </w:div>
    <w:div w:id="70340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D08035B467DA41A1DD2A04B3EC14BB" ma:contentTypeVersion="2" ma:contentTypeDescription="Create a new document." ma:contentTypeScope="" ma:versionID="d0bef64abee424df7e9dfbfb3a29a1fd">
  <xsd:schema xmlns:xsd="http://www.w3.org/2001/XMLSchema" xmlns:xs="http://www.w3.org/2001/XMLSchema" xmlns:p="http://schemas.microsoft.com/office/2006/metadata/properties" xmlns:ns2="c2287735-bcfa-44b1-b621-4f7c9c60dacc" targetNamespace="http://schemas.microsoft.com/office/2006/metadata/properties" ma:root="true" ma:fieldsID="38faf990d6e55ff9d8500dfaac598176" ns2:_="">
    <xsd:import namespace="c2287735-bcfa-44b1-b621-4f7c9c60dac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87735-bcfa-44b1-b621-4f7c9c60da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94A16-198D-48C1-9929-8C033B1DF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87735-bcfa-44b1-b621-4f7c9c60d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F50FB5-68F7-46D5-9CAA-675E4D75F2F6}">
  <ds:schemaRefs>
    <ds:schemaRef ds:uri="http://schemas.microsoft.com/sharepoint/v3/contenttype/forms"/>
  </ds:schemaRefs>
</ds:datastoreItem>
</file>

<file path=customXml/itemProps3.xml><?xml version="1.0" encoding="utf-8"?>
<ds:datastoreItem xmlns:ds="http://schemas.openxmlformats.org/officeDocument/2006/customXml" ds:itemID="{EA3D8708-3420-497C-B96D-CC0C6DF95E0A}">
  <ds:schemaRefs>
    <ds:schemaRef ds:uri="http://schemas.openxmlformats.org/package/2006/metadata/core-properties"/>
    <ds:schemaRef ds:uri="http://www.w3.org/XML/1998/namespace"/>
    <ds:schemaRef ds:uri="http://purl.org/dc/dcmitype/"/>
    <ds:schemaRef ds:uri="http://schemas.microsoft.com/office/infopath/2007/PartnerControls"/>
    <ds:schemaRef ds:uri="http://schemas.microsoft.com/office/2006/documentManagement/types"/>
    <ds:schemaRef ds:uri="c2287735-bcfa-44b1-b621-4f7c9c60dacc"/>
    <ds:schemaRef ds:uri="http://schemas.microsoft.com/office/2006/metadata/properties"/>
    <ds:schemaRef ds:uri="http://purl.org/dc/terms/"/>
    <ds:schemaRef ds:uri="http://purl.org/dc/elements/1.1/"/>
  </ds:schemaRefs>
</ds:datastoreItem>
</file>

<file path=customXml/itemProps4.xml><?xml version="1.0" encoding="utf-8"?>
<ds:datastoreItem xmlns:ds="http://schemas.openxmlformats.org/officeDocument/2006/customXml" ds:itemID="{C6424930-5F36-4995-8E92-71957778D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1379</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Firebird User</dc:creator>
  <cp:keywords/>
  <cp:lastModifiedBy>Moore, Alana J</cp:lastModifiedBy>
  <cp:revision>2</cp:revision>
  <cp:lastPrinted>2016-02-05T16:23:00Z</cp:lastPrinted>
  <dcterms:created xsi:type="dcterms:W3CDTF">2022-07-29T17:27:00Z</dcterms:created>
  <dcterms:modified xsi:type="dcterms:W3CDTF">2022-07-29T17:27:00Z</dcterms:modified>
</cp:coreProperties>
</file>