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33727" w:rsidR="003614ED" w:rsidP="003614ED" w:rsidRDefault="003614ED" w14:paraId="20FE146C" w14:textId="77777777">
      <w:pPr>
        <w:widowControl/>
        <w:kinsoku w:val="0"/>
        <w:overflowPunct w:val="0"/>
        <w:rPr>
          <w:rFonts w:ascii="Times New Roman" w:hAnsi="Times New Roman"/>
        </w:rPr>
      </w:pPr>
      <w:r w:rsidRPr="00E33727">
        <w:rPr>
          <w:rFonts w:ascii="Times New Roman" w:hAnsi="Times New Roman"/>
          <w:b/>
          <w:bCs/>
        </w:rPr>
        <w:t>B</w:t>
      </w:r>
      <w:r w:rsidRPr="00E33727">
        <w:rPr>
          <w:rFonts w:ascii="Times New Roman" w:hAnsi="Times New Roman"/>
        </w:rPr>
        <w:t>.</w:t>
      </w:r>
      <w:r w:rsidRPr="00E33727">
        <w:rPr>
          <w:rFonts w:ascii="Times New Roman" w:hAnsi="Times New Roman"/>
        </w:rPr>
        <w:tab/>
      </w:r>
      <w:r w:rsidRPr="00E33727">
        <w:rPr>
          <w:rFonts w:ascii="Times New Roman" w:hAnsi="Times New Roman"/>
          <w:b/>
        </w:rPr>
        <w:t xml:space="preserve">Collection of Information Employing </w:t>
      </w:r>
      <w:r w:rsidRPr="00E33727">
        <w:rPr>
          <w:rFonts w:ascii="Times New Roman" w:hAnsi="Times New Roman"/>
          <w:b/>
          <w:bCs/>
        </w:rPr>
        <w:t>Statistical Methods</w:t>
      </w:r>
    </w:p>
    <w:p w:rsidRPr="00E33727" w:rsidR="003614ED" w:rsidP="003614ED" w:rsidRDefault="003614ED" w14:paraId="4E62407C" w14:textId="77777777">
      <w:pPr>
        <w:widowControl/>
        <w:kinsoku w:val="0"/>
        <w:overflowPunct w:val="0"/>
        <w:rPr>
          <w:rFonts w:ascii="Times New Roman" w:hAnsi="Times New Roman"/>
        </w:rPr>
      </w:pPr>
    </w:p>
    <w:p w:rsidRPr="00306FF5" w:rsidR="003614ED" w:rsidP="00306FF5" w:rsidRDefault="003614ED" w14:paraId="2A50B94D" w14:textId="7E9BFD10">
      <w:pPr>
        <w:pStyle w:val="ListParagraph"/>
        <w:numPr>
          <w:ilvl w:val="0"/>
          <w:numId w:val="3"/>
        </w:numPr>
        <w:kinsoku w:val="0"/>
        <w:overflowPunct w:val="0"/>
        <w:ind w:hanging="720"/>
        <w:rPr>
          <w:rFonts w:ascii="Times New Roman" w:hAnsi="Times New Roman"/>
          <w:u w:val="single"/>
        </w:rPr>
      </w:pPr>
      <w:r w:rsidRPr="00306FF5">
        <w:rPr>
          <w:rFonts w:ascii="Times New Roman" w:hAnsi="Times New Roman"/>
          <w:u w:val="single"/>
        </w:rPr>
        <w:t>Universe and Respondent Selection</w:t>
      </w:r>
    </w:p>
    <w:p w:rsidRPr="00E33727" w:rsidR="003614ED" w:rsidP="003614ED" w:rsidRDefault="003614ED" w14:paraId="75E19A28" w14:textId="77777777">
      <w:pPr>
        <w:kinsoku w:val="0"/>
        <w:overflowPunct w:val="0"/>
        <w:rPr>
          <w:rFonts w:ascii="Times New Roman" w:hAnsi="Times New Roman"/>
        </w:rPr>
      </w:pPr>
    </w:p>
    <w:p w:rsidRPr="00E33727" w:rsidR="003614ED" w:rsidP="003614ED" w:rsidRDefault="003614ED" w14:paraId="6AE3F2E7" w14:textId="75FB91D4">
      <w:pPr>
        <w:kinsoku w:val="0"/>
        <w:overflowPunct w:val="0"/>
        <w:rPr>
          <w:rFonts w:ascii="Times New Roman" w:hAnsi="Times New Roman"/>
        </w:rPr>
      </w:pPr>
      <w:r w:rsidRPr="00E33727">
        <w:rPr>
          <w:rFonts w:ascii="Times New Roman" w:hAnsi="Times New Roman"/>
        </w:rPr>
        <w:t xml:space="preserve">1.1 </w:t>
      </w:r>
      <w:r w:rsidR="00A73BF5">
        <w:rPr>
          <w:rFonts w:ascii="Times New Roman" w:hAnsi="Times New Roman"/>
        </w:rPr>
        <w:t xml:space="preserve">Facility </w:t>
      </w:r>
      <w:r w:rsidR="005E18E2">
        <w:rPr>
          <w:rFonts w:ascii="Times New Roman" w:hAnsi="Times New Roman"/>
        </w:rPr>
        <w:t>Sample Frame</w:t>
      </w:r>
    </w:p>
    <w:p w:rsidRPr="00E33727" w:rsidR="003614ED" w:rsidP="003614ED" w:rsidRDefault="003614ED" w14:paraId="45EA8A38" w14:textId="77777777">
      <w:pPr>
        <w:kinsoku w:val="0"/>
        <w:overflowPunct w:val="0"/>
        <w:rPr>
          <w:rFonts w:ascii="Times New Roman" w:hAnsi="Times New Roman"/>
        </w:rPr>
      </w:pPr>
    </w:p>
    <w:p w:rsidR="00317AA7" w:rsidP="00812FC9" w:rsidRDefault="00BD7E6D" w14:paraId="3D719F20" w14:textId="49A5F7B7">
      <w:pPr>
        <w:kinsoku w:val="0"/>
        <w:overflowPunct w:val="0"/>
        <w:ind w:left="720"/>
        <w:rPr>
          <w:rFonts w:ascii="Times New Roman" w:hAnsi="Times New Roman"/>
        </w:rPr>
      </w:pPr>
      <w:r w:rsidRPr="00A73BF5">
        <w:rPr>
          <w:rFonts w:ascii="Times New Roman" w:hAnsi="Times New Roman"/>
        </w:rPr>
        <w:t xml:space="preserve">The </w:t>
      </w:r>
      <w:r w:rsidR="00317AA7">
        <w:rPr>
          <w:rFonts w:ascii="Times New Roman" w:hAnsi="Times New Roman"/>
        </w:rPr>
        <w:t xml:space="preserve">facility </w:t>
      </w:r>
      <w:r w:rsidRPr="00A73BF5">
        <w:rPr>
          <w:rFonts w:ascii="Times New Roman" w:hAnsi="Times New Roman"/>
        </w:rPr>
        <w:t xml:space="preserve">frame for the NIS-4 Jails </w:t>
      </w:r>
      <w:r w:rsidR="00317AA7">
        <w:rPr>
          <w:rFonts w:ascii="Times New Roman" w:hAnsi="Times New Roman"/>
        </w:rPr>
        <w:t>is</w:t>
      </w:r>
      <w:r w:rsidR="00A73BF5">
        <w:rPr>
          <w:rFonts w:ascii="Times New Roman" w:hAnsi="Times New Roman"/>
        </w:rPr>
        <w:t xml:space="preserve"> based </w:t>
      </w:r>
      <w:r w:rsidR="0020423E">
        <w:rPr>
          <w:rFonts w:ascii="Times New Roman" w:hAnsi="Times New Roman"/>
        </w:rPr>
        <w:t xml:space="preserve">on </w:t>
      </w:r>
      <w:r w:rsidR="00A73BF5">
        <w:rPr>
          <w:rFonts w:ascii="Times New Roman" w:hAnsi="Times New Roman"/>
        </w:rPr>
        <w:t xml:space="preserve">the </w:t>
      </w:r>
      <w:r w:rsidR="004D7448">
        <w:rPr>
          <w:rFonts w:ascii="Times New Roman" w:hAnsi="Times New Roman"/>
        </w:rPr>
        <w:t xml:space="preserve">2019 </w:t>
      </w:r>
      <w:r w:rsidR="00A73BF5">
        <w:rPr>
          <w:rFonts w:ascii="Times New Roman" w:hAnsi="Times New Roman"/>
        </w:rPr>
        <w:t xml:space="preserve">Census of Jails file. </w:t>
      </w:r>
      <w:r w:rsidR="008A42C0">
        <w:rPr>
          <w:rFonts w:ascii="Times New Roman" w:hAnsi="Times New Roman"/>
        </w:rPr>
        <w:t xml:space="preserve">U.S. </w:t>
      </w:r>
      <w:r w:rsidR="005C20F5">
        <w:rPr>
          <w:rFonts w:ascii="Times New Roman" w:hAnsi="Times New Roman"/>
        </w:rPr>
        <w:t xml:space="preserve">Immigration and </w:t>
      </w:r>
      <w:r w:rsidR="00317AA7">
        <w:rPr>
          <w:rFonts w:ascii="Times New Roman" w:hAnsi="Times New Roman"/>
        </w:rPr>
        <w:t>C</w:t>
      </w:r>
      <w:r w:rsidR="005C20F5">
        <w:rPr>
          <w:rFonts w:ascii="Times New Roman" w:hAnsi="Times New Roman"/>
        </w:rPr>
        <w:t>ustom</w:t>
      </w:r>
      <w:r w:rsidR="00CF7F1D">
        <w:rPr>
          <w:rFonts w:ascii="Times New Roman" w:hAnsi="Times New Roman"/>
        </w:rPr>
        <w:t>s</w:t>
      </w:r>
      <w:r w:rsidR="005C20F5">
        <w:rPr>
          <w:rFonts w:ascii="Times New Roman" w:hAnsi="Times New Roman"/>
        </w:rPr>
        <w:t xml:space="preserve"> Enforcement (ICE)</w:t>
      </w:r>
      <w:r w:rsidR="00317AA7">
        <w:rPr>
          <w:rFonts w:ascii="Times New Roman" w:hAnsi="Times New Roman"/>
        </w:rPr>
        <w:t>, tribal, and military facilities</w:t>
      </w:r>
      <w:r w:rsidR="005A5C6B">
        <w:rPr>
          <w:rFonts w:ascii="Times New Roman" w:hAnsi="Times New Roman"/>
        </w:rPr>
        <w:t>, and those in Alaska and Hawaii are</w:t>
      </w:r>
      <w:r w:rsidR="00812FC9">
        <w:rPr>
          <w:rFonts w:ascii="Times New Roman" w:hAnsi="Times New Roman"/>
        </w:rPr>
        <w:t xml:space="preserve"> not included. </w:t>
      </w:r>
      <w:r w:rsidR="00500CB2">
        <w:rPr>
          <w:rFonts w:ascii="Times New Roman" w:hAnsi="Times New Roman"/>
        </w:rPr>
        <w:t xml:space="preserve">Facilities with five or fewer inmates are also excluded due to confidentiality and cost concerns. </w:t>
      </w:r>
      <w:r w:rsidR="00A73BF5">
        <w:rPr>
          <w:rFonts w:ascii="Times New Roman" w:hAnsi="Times New Roman"/>
        </w:rPr>
        <w:t xml:space="preserve">The frame </w:t>
      </w:r>
      <w:r w:rsidR="0062767F">
        <w:rPr>
          <w:rFonts w:ascii="Times New Roman" w:hAnsi="Times New Roman"/>
        </w:rPr>
        <w:t>incorporate</w:t>
      </w:r>
      <w:r w:rsidR="00B57027">
        <w:rPr>
          <w:rFonts w:ascii="Times New Roman" w:hAnsi="Times New Roman"/>
        </w:rPr>
        <w:t>s</w:t>
      </w:r>
      <w:r w:rsidR="00A73BF5">
        <w:rPr>
          <w:rFonts w:ascii="Times New Roman" w:hAnsi="Times New Roman"/>
        </w:rPr>
        <w:t xml:space="preserve"> </w:t>
      </w:r>
      <w:r w:rsidR="00DA22CF">
        <w:rPr>
          <w:rFonts w:ascii="Times New Roman" w:hAnsi="Times New Roman"/>
        </w:rPr>
        <w:t xml:space="preserve">facility-level information on </w:t>
      </w:r>
      <w:r w:rsidR="00711BBD">
        <w:rPr>
          <w:rFonts w:ascii="Times New Roman" w:hAnsi="Times New Roman"/>
        </w:rPr>
        <w:t xml:space="preserve">variables such as </w:t>
      </w:r>
      <w:r w:rsidR="00DA22CF">
        <w:rPr>
          <w:rFonts w:ascii="Times New Roman" w:hAnsi="Times New Roman"/>
        </w:rPr>
        <w:t>number of confined and non</w:t>
      </w:r>
      <w:r w:rsidR="004066C8">
        <w:rPr>
          <w:rFonts w:ascii="Times New Roman" w:hAnsi="Times New Roman"/>
        </w:rPr>
        <w:t>-</w:t>
      </w:r>
      <w:r w:rsidR="00DA22CF">
        <w:rPr>
          <w:rFonts w:ascii="Times New Roman" w:hAnsi="Times New Roman"/>
        </w:rPr>
        <w:t xml:space="preserve">confined inmates, number of inmates by sex and adult or juvenile status, </w:t>
      </w:r>
      <w:r w:rsidR="006B5B88">
        <w:rPr>
          <w:rFonts w:ascii="Times New Roman" w:hAnsi="Times New Roman"/>
        </w:rPr>
        <w:t xml:space="preserve">and </w:t>
      </w:r>
      <w:r w:rsidR="00DA22CF">
        <w:rPr>
          <w:rFonts w:ascii="Times New Roman" w:hAnsi="Times New Roman"/>
        </w:rPr>
        <w:t>average daily population.</w:t>
      </w:r>
    </w:p>
    <w:p w:rsidR="00812FC9" w:rsidP="00812FC9" w:rsidRDefault="00812FC9" w14:paraId="44141909" w14:textId="52114A95">
      <w:pPr>
        <w:kinsoku w:val="0"/>
        <w:overflowPunct w:val="0"/>
        <w:ind w:left="720"/>
        <w:rPr>
          <w:rFonts w:ascii="Times New Roman" w:hAnsi="Times New Roman"/>
        </w:rPr>
      </w:pPr>
    </w:p>
    <w:p w:rsidRPr="0060376E" w:rsidR="00804BD9" w:rsidP="009E40DC" w:rsidRDefault="00B57027" w14:paraId="40E61921" w14:textId="61496E36">
      <w:pPr>
        <w:kinsoku w:val="0"/>
        <w:overflowPunct w:val="0"/>
        <w:ind w:left="720"/>
        <w:rPr>
          <w:rFonts w:ascii="Times New Roman" w:hAnsi="Times New Roman"/>
        </w:rPr>
      </w:pPr>
      <w:r>
        <w:rPr>
          <w:rFonts w:ascii="Times New Roman" w:hAnsi="Times New Roman"/>
        </w:rPr>
        <w:t>The use of a</w:t>
      </w:r>
      <w:r w:rsidR="00804BD9">
        <w:rPr>
          <w:rFonts w:ascii="Times New Roman" w:hAnsi="Times New Roman"/>
        </w:rPr>
        <w:t xml:space="preserve"> two-</w:t>
      </w:r>
      <w:r w:rsidRPr="002D7DE6" w:rsidR="00804BD9">
        <w:rPr>
          <w:rFonts w:ascii="Times New Roman" w:hAnsi="Times New Roman"/>
        </w:rPr>
        <w:t>stage sampling process allow</w:t>
      </w:r>
      <w:r w:rsidR="004D0580">
        <w:rPr>
          <w:rFonts w:ascii="Times New Roman" w:hAnsi="Times New Roman"/>
        </w:rPr>
        <w:t>s</w:t>
      </w:r>
      <w:r w:rsidRPr="002D7DE6" w:rsidR="00804BD9">
        <w:rPr>
          <w:rFonts w:ascii="Times New Roman" w:hAnsi="Times New Roman"/>
        </w:rPr>
        <w:t xml:space="preserve"> for nationa</w:t>
      </w:r>
      <w:r w:rsidR="00804BD9">
        <w:rPr>
          <w:rFonts w:ascii="Times New Roman" w:hAnsi="Times New Roman"/>
        </w:rPr>
        <w:t>lly representative and facility-</w:t>
      </w:r>
      <w:r w:rsidRPr="002D7DE6" w:rsidR="00804BD9">
        <w:rPr>
          <w:rFonts w:ascii="Times New Roman" w:hAnsi="Times New Roman"/>
        </w:rPr>
        <w:t xml:space="preserve">level estimates. </w:t>
      </w:r>
      <w:r w:rsidR="00804BD9">
        <w:rPr>
          <w:rFonts w:ascii="Times New Roman" w:hAnsi="Times New Roman"/>
        </w:rPr>
        <w:t xml:space="preserve">The first-stage jails sample will be nationally representative and selected with Probability Proportionate to Size (PPS). </w:t>
      </w:r>
      <w:r w:rsidR="004360ED">
        <w:rPr>
          <w:rFonts w:ascii="Times New Roman" w:hAnsi="Times New Roman"/>
        </w:rPr>
        <w:t xml:space="preserve">The target </w:t>
      </w:r>
      <w:r w:rsidR="00804BD9">
        <w:rPr>
          <w:rFonts w:ascii="Times New Roman" w:hAnsi="Times New Roman"/>
        </w:rPr>
        <w:t xml:space="preserve">sample size </w:t>
      </w:r>
      <w:r w:rsidR="004360ED">
        <w:rPr>
          <w:rFonts w:ascii="Times New Roman" w:hAnsi="Times New Roman"/>
        </w:rPr>
        <w:t>is</w:t>
      </w:r>
      <w:r w:rsidR="00804BD9">
        <w:rPr>
          <w:rFonts w:ascii="Times New Roman" w:hAnsi="Times New Roman"/>
        </w:rPr>
        <w:t xml:space="preserve"> </w:t>
      </w:r>
      <w:r w:rsidR="004F739A">
        <w:rPr>
          <w:rFonts w:ascii="Times New Roman" w:hAnsi="Times New Roman"/>
        </w:rPr>
        <w:t>290</w:t>
      </w:r>
      <w:r w:rsidR="004D7448">
        <w:rPr>
          <w:rFonts w:ascii="Times New Roman" w:hAnsi="Times New Roman"/>
        </w:rPr>
        <w:t xml:space="preserve"> </w:t>
      </w:r>
      <w:r w:rsidR="00804BD9">
        <w:rPr>
          <w:rFonts w:ascii="Times New Roman" w:hAnsi="Times New Roman"/>
        </w:rPr>
        <w:t xml:space="preserve">jails (after nonresponse). </w:t>
      </w:r>
      <w:r w:rsidRPr="009E40DC" w:rsidR="009E40DC">
        <w:rPr>
          <w:rFonts w:ascii="Times New Roman" w:hAnsi="Times New Roman"/>
        </w:rPr>
        <w:t xml:space="preserve">The sample design will be a ‘Root 0.9 Design’: assigning probabilities proportional to the nine-tenths root of inmate size (with Daily Population on the last day of June or a proxy for that, as given on the 2019 Census of Jails). </w:t>
      </w:r>
      <w:r w:rsidR="00804BD9">
        <w:rPr>
          <w:rFonts w:ascii="Times New Roman" w:hAnsi="Times New Roman"/>
        </w:rPr>
        <w:t xml:space="preserve">The second-stage sample will be of inmates (age 16 and older) within each sampled facility. </w:t>
      </w:r>
      <w:r w:rsidR="005A5C6B">
        <w:rPr>
          <w:rFonts w:ascii="Times New Roman" w:hAnsi="Times New Roman"/>
        </w:rPr>
        <w:t xml:space="preserve">Female </w:t>
      </w:r>
      <w:r w:rsidR="00804BD9">
        <w:rPr>
          <w:rFonts w:ascii="Times New Roman" w:hAnsi="Times New Roman"/>
        </w:rPr>
        <w:t xml:space="preserve">inmates </w:t>
      </w:r>
      <w:r w:rsidR="004360ED">
        <w:rPr>
          <w:rFonts w:ascii="Times New Roman" w:hAnsi="Times New Roman"/>
        </w:rPr>
        <w:t xml:space="preserve">will be sampled </w:t>
      </w:r>
      <w:r w:rsidR="00804BD9">
        <w:rPr>
          <w:rFonts w:ascii="Times New Roman" w:hAnsi="Times New Roman"/>
        </w:rPr>
        <w:t xml:space="preserve">at a </w:t>
      </w:r>
      <w:r w:rsidR="004D7448">
        <w:rPr>
          <w:rFonts w:ascii="Times New Roman" w:hAnsi="Times New Roman"/>
        </w:rPr>
        <w:t>35</w:t>
      </w:r>
      <w:r w:rsidR="00804BD9">
        <w:rPr>
          <w:rFonts w:ascii="Times New Roman" w:hAnsi="Times New Roman"/>
        </w:rPr>
        <w:t xml:space="preserve">% higher level to allow for a meaningful analysis by gender. </w:t>
      </w:r>
      <w:r w:rsidR="00447318">
        <w:rPr>
          <w:rFonts w:ascii="Times New Roman" w:hAnsi="Times New Roman"/>
        </w:rPr>
        <w:t xml:space="preserve">Eligible inmates of a particular gender within a particular facility will have an equal chance of selection. </w:t>
      </w:r>
      <w:r w:rsidR="004360ED">
        <w:rPr>
          <w:rFonts w:ascii="Times New Roman" w:hAnsi="Times New Roman"/>
        </w:rPr>
        <w:t>F</w:t>
      </w:r>
      <w:r w:rsidRPr="0060376E" w:rsidR="00804BD9">
        <w:rPr>
          <w:rFonts w:ascii="Times New Roman" w:hAnsi="Times New Roman"/>
        </w:rPr>
        <w:t xml:space="preserve">inite population corrections </w:t>
      </w:r>
      <w:r w:rsidR="004360ED">
        <w:rPr>
          <w:rFonts w:ascii="Times New Roman" w:hAnsi="Times New Roman"/>
        </w:rPr>
        <w:t xml:space="preserve">will be used </w:t>
      </w:r>
      <w:r w:rsidRPr="0060376E" w:rsidR="00804BD9">
        <w:rPr>
          <w:rFonts w:ascii="Times New Roman" w:hAnsi="Times New Roman"/>
        </w:rPr>
        <w:t xml:space="preserve">at the first stage </w:t>
      </w:r>
      <w:r w:rsidR="002E6603">
        <w:rPr>
          <w:rFonts w:ascii="Times New Roman" w:hAnsi="Times New Roman"/>
        </w:rPr>
        <w:t>and second stage</w:t>
      </w:r>
      <w:r w:rsidRPr="0060376E" w:rsidR="00804BD9">
        <w:rPr>
          <w:rFonts w:ascii="Times New Roman" w:hAnsi="Times New Roman"/>
        </w:rPr>
        <w:t>; this will reduce the measured variance of the estimates and could allow for a slightly smaller final jail sample size.</w:t>
      </w:r>
    </w:p>
    <w:p w:rsidRPr="0060376E" w:rsidR="00812FC9" w:rsidP="0060376E" w:rsidRDefault="00812FC9" w14:paraId="7C670793" w14:textId="4882BAD1">
      <w:pPr>
        <w:kinsoku w:val="0"/>
        <w:overflowPunct w:val="0"/>
        <w:ind w:left="720"/>
        <w:rPr>
          <w:rFonts w:ascii="Times New Roman" w:hAnsi="Times New Roman"/>
        </w:rPr>
      </w:pPr>
    </w:p>
    <w:p w:rsidR="003F74B7" w:rsidP="002C62B1" w:rsidRDefault="0060376E" w14:paraId="56654DEB" w14:textId="6B0CEECE">
      <w:pPr>
        <w:pStyle w:val="L1-FlLSp12"/>
        <w:tabs>
          <w:tab w:val="clear" w:pos="1152"/>
        </w:tabs>
        <w:spacing w:line="240" w:lineRule="auto"/>
        <w:ind w:left="720"/>
        <w:rPr>
          <w:rFonts w:ascii="Times New Roman" w:hAnsi="Times New Roman"/>
        </w:rPr>
      </w:pPr>
      <w:r w:rsidRPr="0060376E">
        <w:rPr>
          <w:rFonts w:ascii="Times New Roman" w:hAnsi="Times New Roman"/>
        </w:rPr>
        <w:t xml:space="preserve">The initial measure of size is proportional to the jail measure of size for most jails and is proportional to </w:t>
      </w:r>
      <w:r w:rsidR="004D7448">
        <w:rPr>
          <w:rFonts w:ascii="Times New Roman" w:hAnsi="Times New Roman"/>
        </w:rPr>
        <w:t>1.35</w:t>
      </w:r>
      <w:r w:rsidRPr="0060376E">
        <w:rPr>
          <w:rFonts w:ascii="Times New Roman" w:hAnsi="Times New Roman"/>
        </w:rPr>
        <w:t xml:space="preserve"> times the jail measure of size for </w:t>
      </w:r>
      <w:r w:rsidR="00CA265E">
        <w:rPr>
          <w:rFonts w:ascii="Times New Roman" w:hAnsi="Times New Roman"/>
        </w:rPr>
        <w:t>“</w:t>
      </w:r>
      <w:r w:rsidRPr="0060376E">
        <w:rPr>
          <w:rFonts w:ascii="Times New Roman" w:hAnsi="Times New Roman"/>
        </w:rPr>
        <w:t>majority-women</w:t>
      </w:r>
      <w:r w:rsidR="00CA265E">
        <w:rPr>
          <w:rFonts w:ascii="Times New Roman" w:hAnsi="Times New Roman"/>
        </w:rPr>
        <w:t>”</w:t>
      </w:r>
      <w:r w:rsidRPr="0060376E">
        <w:rPr>
          <w:rFonts w:ascii="Times New Roman" w:hAnsi="Times New Roman"/>
        </w:rPr>
        <w:t xml:space="preserve"> jails (jails with 50% or more women)</w:t>
      </w:r>
      <w:r w:rsidR="004D0580">
        <w:rPr>
          <w:rFonts w:ascii="Times New Roman" w:hAnsi="Times New Roman"/>
        </w:rPr>
        <w:t>.</w:t>
      </w:r>
      <w:r w:rsidRPr="0060376E">
        <w:rPr>
          <w:rFonts w:ascii="Times New Roman" w:hAnsi="Times New Roman"/>
        </w:rPr>
        <w:t xml:space="preserve"> Table 1 presents the </w:t>
      </w:r>
      <w:r w:rsidR="0012490D">
        <w:rPr>
          <w:rFonts w:ascii="Times New Roman" w:hAnsi="Times New Roman"/>
        </w:rPr>
        <w:t>4</w:t>
      </w:r>
      <w:r w:rsidR="003F74B7">
        <w:rPr>
          <w:rFonts w:ascii="Times New Roman" w:hAnsi="Times New Roman"/>
        </w:rPr>
        <w:t>7</w:t>
      </w:r>
      <w:r w:rsidR="0012490D">
        <w:rPr>
          <w:rFonts w:ascii="Times New Roman" w:hAnsi="Times New Roman"/>
        </w:rPr>
        <w:t xml:space="preserve"> </w:t>
      </w:r>
      <w:r w:rsidRPr="0060376E">
        <w:rPr>
          <w:rFonts w:ascii="Times New Roman" w:hAnsi="Times New Roman"/>
        </w:rPr>
        <w:t xml:space="preserve">jails on the preliminary frame, which are </w:t>
      </w:r>
      <w:r w:rsidR="00CA265E">
        <w:rPr>
          <w:rFonts w:ascii="Times New Roman" w:hAnsi="Times New Roman"/>
        </w:rPr>
        <w:t>“</w:t>
      </w:r>
      <w:r w:rsidRPr="0060376E">
        <w:rPr>
          <w:rFonts w:ascii="Times New Roman" w:hAnsi="Times New Roman"/>
        </w:rPr>
        <w:t>majority-women</w:t>
      </w:r>
      <w:r w:rsidR="00CA265E">
        <w:rPr>
          <w:rFonts w:ascii="Times New Roman" w:hAnsi="Times New Roman"/>
        </w:rPr>
        <w:t>”</w:t>
      </w:r>
      <w:r w:rsidRPr="0060376E">
        <w:rPr>
          <w:rFonts w:ascii="Times New Roman" w:hAnsi="Times New Roman"/>
        </w:rPr>
        <w:t xml:space="preserve"> and have received measures of size enhanced by </w:t>
      </w:r>
      <w:r w:rsidR="004D7448">
        <w:rPr>
          <w:rFonts w:ascii="Times New Roman" w:hAnsi="Times New Roman"/>
        </w:rPr>
        <w:t>35</w:t>
      </w:r>
      <w:r w:rsidRPr="0060376E">
        <w:rPr>
          <w:rFonts w:ascii="Times New Roman" w:hAnsi="Times New Roman"/>
        </w:rPr>
        <w:t xml:space="preserve">%. </w:t>
      </w:r>
      <w:r w:rsidR="004360ED">
        <w:rPr>
          <w:rFonts w:ascii="Times New Roman" w:hAnsi="Times New Roman"/>
        </w:rPr>
        <w:t>T</w:t>
      </w:r>
      <w:r w:rsidRPr="0060376E">
        <w:rPr>
          <w:rFonts w:ascii="Times New Roman" w:hAnsi="Times New Roman"/>
        </w:rPr>
        <w:t xml:space="preserve">he aggregated expected sample size is based on the final expected measure of size, including adjustments for states and large counties (see below). </w:t>
      </w:r>
      <w:r w:rsidR="00F858D8">
        <w:rPr>
          <w:rFonts w:ascii="Times New Roman" w:hAnsi="Times New Roman"/>
        </w:rPr>
        <w:t>These numbers are reasonable approximations of the final frame.</w:t>
      </w:r>
    </w:p>
    <w:p w:rsidR="00C5018F" w:rsidP="002C62B1" w:rsidRDefault="00C5018F" w14:paraId="3167C01D" w14:textId="77777777">
      <w:pPr>
        <w:pStyle w:val="L1-FlLSp12"/>
        <w:tabs>
          <w:tab w:val="clear" w:pos="1152"/>
        </w:tabs>
        <w:spacing w:line="240" w:lineRule="auto"/>
        <w:ind w:left="720"/>
        <w:rPr>
          <w:rFonts w:ascii="Times New Roman" w:hAnsi="Times New Roman"/>
        </w:rPr>
      </w:pPr>
    </w:p>
    <w:p w:rsidRPr="0060376E" w:rsidR="0060376E" w:rsidP="00CA265E" w:rsidRDefault="0060376E" w14:paraId="78BD2A70" w14:textId="7ED663ED">
      <w:pPr>
        <w:pStyle w:val="L1-FlLSp12"/>
        <w:keepNext/>
        <w:widowControl w:val="0"/>
        <w:tabs>
          <w:tab w:val="clear" w:pos="1152"/>
        </w:tabs>
        <w:spacing w:line="240" w:lineRule="auto"/>
        <w:rPr>
          <w:rFonts w:ascii="Times New Roman" w:hAnsi="Times New Roman"/>
        </w:rPr>
      </w:pPr>
      <w:r>
        <w:rPr>
          <w:rFonts w:ascii="Times New Roman" w:hAnsi="Times New Roman"/>
        </w:rPr>
        <w:t>Table 1. Jail frame counts and e</w:t>
      </w:r>
      <w:r w:rsidRPr="0060376E">
        <w:rPr>
          <w:rFonts w:ascii="Times New Roman" w:hAnsi="Times New Roman"/>
        </w:rPr>
        <w:t xml:space="preserve">xpected </w:t>
      </w:r>
      <w:r w:rsidR="00AB3862">
        <w:rPr>
          <w:rFonts w:ascii="Times New Roman" w:hAnsi="Times New Roman"/>
        </w:rPr>
        <w:t>measure of size</w:t>
      </w:r>
      <w:r w:rsidRPr="0060376E">
        <w:rPr>
          <w:rFonts w:ascii="Times New Roman" w:hAnsi="Times New Roman"/>
        </w:rPr>
        <w:t xml:space="preserve"> by majority-women s</w:t>
      </w:r>
      <w:r>
        <w:rPr>
          <w:rFonts w:ascii="Times New Roman" w:hAnsi="Times New Roman"/>
        </w:rPr>
        <w:t>tatus</w:t>
      </w:r>
    </w:p>
    <w:p w:rsidRPr="0060376E" w:rsidR="0060376E" w:rsidP="0060376E" w:rsidRDefault="0060376E" w14:paraId="0C11FA42" w14:textId="77777777">
      <w:pPr>
        <w:pStyle w:val="L1-FlLSp12"/>
        <w:keepNext/>
        <w:widowControl w:val="0"/>
        <w:tabs>
          <w:tab w:val="clear" w:pos="1152"/>
        </w:tabs>
        <w:spacing w:line="240" w:lineRule="auto"/>
        <w:ind w:left="720"/>
        <w:rPr>
          <w:rFonts w:ascii="Times New Roman" w:hAnsi="Times New Roman"/>
        </w:rPr>
      </w:pPr>
    </w:p>
    <w:tbl>
      <w:tblPr>
        <w:tblW w:w="5000" w:type="pct"/>
        <w:jc w:val="center"/>
        <w:tblLook w:val="04A0" w:firstRow="1" w:lastRow="0" w:firstColumn="1" w:lastColumn="0" w:noHBand="0" w:noVBand="1"/>
      </w:tblPr>
      <w:tblGrid>
        <w:gridCol w:w="5816"/>
        <w:gridCol w:w="1509"/>
        <w:gridCol w:w="2035"/>
      </w:tblGrid>
      <w:tr w:rsidRPr="00183B09" w:rsidR="0060376E" w:rsidTr="00183B09" w14:paraId="2FC27B20" w14:textId="77777777">
        <w:trPr>
          <w:trHeight w:val="512"/>
          <w:jc w:val="center"/>
        </w:trPr>
        <w:tc>
          <w:tcPr>
            <w:tcW w:w="4300" w:type="dxa"/>
            <w:tcBorders>
              <w:top w:val="single" w:color="auto" w:sz="4" w:space="0"/>
              <w:bottom w:val="nil"/>
              <w:right w:val="single" w:color="auto" w:sz="4" w:space="0"/>
            </w:tcBorders>
            <w:shd w:val="clear" w:color="auto" w:fill="auto"/>
            <w:vAlign w:val="bottom"/>
            <w:hideMark/>
          </w:tcPr>
          <w:p w:rsidRPr="00183B09" w:rsidR="0060376E" w:rsidP="009E5D85" w:rsidRDefault="00CF7A00" w14:paraId="28BA7B49" w14:textId="3D204A0A">
            <w:pPr>
              <w:keepNext/>
              <w:rPr>
                <w:rFonts w:ascii="Times New Roman" w:hAnsi="Times New Roman"/>
                <w:color w:val="000000"/>
              </w:rPr>
            </w:pPr>
            <w:r w:rsidRPr="00183B09">
              <w:rPr>
                <w:rFonts w:ascii="Times New Roman" w:hAnsi="Times New Roman"/>
                <w:color w:val="000000"/>
              </w:rPr>
              <w:t>Jails by</w:t>
            </w:r>
            <w:r w:rsidRPr="00183B09" w:rsidR="009E5D85">
              <w:rPr>
                <w:rFonts w:ascii="Times New Roman" w:hAnsi="Times New Roman"/>
                <w:color w:val="000000"/>
              </w:rPr>
              <w:t xml:space="preserve"> women-</w:t>
            </w:r>
            <w:r w:rsidRPr="00183B09">
              <w:rPr>
                <w:rFonts w:ascii="Times New Roman" w:hAnsi="Times New Roman"/>
                <w:color w:val="000000"/>
              </w:rPr>
              <w:t>majority s</w:t>
            </w:r>
            <w:r w:rsidRPr="00183B09" w:rsidR="0060376E">
              <w:rPr>
                <w:rFonts w:ascii="Times New Roman" w:hAnsi="Times New Roman"/>
                <w:color w:val="000000"/>
              </w:rPr>
              <w:t>tatus</w:t>
            </w:r>
          </w:p>
        </w:tc>
        <w:tc>
          <w:tcPr>
            <w:tcW w:w="1116" w:type="dxa"/>
            <w:tcBorders>
              <w:top w:val="single" w:color="auto" w:sz="4" w:space="0"/>
              <w:left w:val="nil"/>
              <w:bottom w:val="nil"/>
              <w:right w:val="single" w:color="auto" w:sz="4" w:space="0"/>
            </w:tcBorders>
            <w:shd w:val="clear" w:color="auto" w:fill="auto"/>
            <w:vAlign w:val="bottom"/>
            <w:hideMark/>
          </w:tcPr>
          <w:p w:rsidRPr="00183B09" w:rsidR="0060376E" w:rsidP="0060376E" w:rsidRDefault="0060376E" w14:paraId="15187A09" w14:textId="0E3F7C9D">
            <w:pPr>
              <w:keepNext/>
              <w:jc w:val="right"/>
              <w:rPr>
                <w:rFonts w:ascii="Times New Roman" w:hAnsi="Times New Roman"/>
                <w:color w:val="000000"/>
              </w:rPr>
            </w:pPr>
            <w:bookmarkStart w:name="RANGE!B1:C4" w:id="0"/>
            <w:r w:rsidRPr="00183B09">
              <w:rPr>
                <w:rFonts w:ascii="Times New Roman" w:hAnsi="Times New Roman"/>
                <w:color w:val="000000"/>
              </w:rPr>
              <w:t>Number of jails</w:t>
            </w:r>
            <w:bookmarkEnd w:id="0"/>
          </w:p>
        </w:tc>
        <w:tc>
          <w:tcPr>
            <w:tcW w:w="1505" w:type="dxa"/>
            <w:tcBorders>
              <w:top w:val="single" w:color="auto" w:sz="4" w:space="0"/>
              <w:left w:val="nil"/>
              <w:bottom w:val="nil"/>
            </w:tcBorders>
            <w:shd w:val="clear" w:color="auto" w:fill="auto"/>
            <w:vAlign w:val="bottom"/>
            <w:hideMark/>
          </w:tcPr>
          <w:p w:rsidRPr="00183B09" w:rsidR="0060376E" w:rsidP="0060376E" w:rsidRDefault="0060376E" w14:paraId="670E6EED" w14:textId="77777777">
            <w:pPr>
              <w:keepNext/>
              <w:jc w:val="right"/>
              <w:rPr>
                <w:rFonts w:ascii="Times New Roman" w:hAnsi="Times New Roman"/>
                <w:color w:val="000000"/>
              </w:rPr>
            </w:pPr>
            <w:r w:rsidRPr="00183B09">
              <w:rPr>
                <w:rFonts w:ascii="Times New Roman" w:hAnsi="Times New Roman"/>
                <w:color w:val="000000"/>
              </w:rPr>
              <w:t>Expected (final) sample size</w:t>
            </w:r>
          </w:p>
        </w:tc>
      </w:tr>
      <w:tr w:rsidRPr="00183B09" w:rsidR="0060376E" w:rsidTr="00183B09" w14:paraId="4E58639F" w14:textId="77777777">
        <w:trPr>
          <w:trHeight w:val="259" w:hRule="exact"/>
          <w:jc w:val="center"/>
        </w:trPr>
        <w:tc>
          <w:tcPr>
            <w:tcW w:w="4300" w:type="dxa"/>
            <w:tcBorders>
              <w:top w:val="single" w:color="auto" w:sz="4" w:space="0"/>
              <w:bottom w:val="nil"/>
              <w:right w:val="single" w:color="auto" w:sz="4" w:space="0"/>
            </w:tcBorders>
            <w:shd w:val="clear" w:color="auto" w:fill="auto"/>
            <w:noWrap/>
            <w:vAlign w:val="bottom"/>
            <w:hideMark/>
          </w:tcPr>
          <w:p w:rsidRPr="00183B09" w:rsidR="0060376E" w:rsidP="0060376E" w:rsidRDefault="0060376E" w14:paraId="52FA4C39" w14:textId="1A92E1D2">
            <w:pPr>
              <w:keepNext/>
              <w:rPr>
                <w:rFonts w:ascii="Times New Roman" w:hAnsi="Times New Roman"/>
                <w:color w:val="000000"/>
              </w:rPr>
            </w:pPr>
            <w:r w:rsidRPr="00183B09">
              <w:rPr>
                <w:rFonts w:ascii="Times New Roman" w:hAnsi="Times New Roman"/>
                <w:color w:val="000000"/>
              </w:rPr>
              <w:t>No</w:t>
            </w:r>
            <w:r w:rsidR="00F904A7">
              <w:rPr>
                <w:rFonts w:ascii="Times New Roman" w:hAnsi="Times New Roman"/>
                <w:color w:val="000000"/>
              </w:rPr>
              <w:t>n-</w:t>
            </w:r>
            <w:r w:rsidRPr="00183B09" w:rsidR="009E5D85">
              <w:rPr>
                <w:rFonts w:ascii="Times New Roman" w:hAnsi="Times New Roman"/>
                <w:color w:val="000000"/>
              </w:rPr>
              <w:t>women</w:t>
            </w:r>
            <w:r w:rsidRPr="00183B09">
              <w:rPr>
                <w:rFonts w:ascii="Times New Roman" w:hAnsi="Times New Roman"/>
                <w:color w:val="000000"/>
              </w:rPr>
              <w:t xml:space="preserve"> majority</w:t>
            </w:r>
          </w:p>
        </w:tc>
        <w:tc>
          <w:tcPr>
            <w:tcW w:w="1116" w:type="dxa"/>
            <w:tcBorders>
              <w:top w:val="single" w:color="auto" w:sz="4" w:space="0"/>
              <w:left w:val="nil"/>
              <w:bottom w:val="nil"/>
              <w:right w:val="single" w:color="auto" w:sz="4" w:space="0"/>
            </w:tcBorders>
            <w:shd w:val="clear" w:color="auto" w:fill="auto"/>
            <w:noWrap/>
            <w:vAlign w:val="bottom"/>
            <w:hideMark/>
          </w:tcPr>
          <w:p w:rsidRPr="00183B09" w:rsidR="0060376E" w:rsidP="0060376E" w:rsidRDefault="003F74B7" w14:paraId="674AF920" w14:textId="1885054A">
            <w:pPr>
              <w:keepNext/>
              <w:jc w:val="right"/>
              <w:rPr>
                <w:rFonts w:ascii="Times New Roman" w:hAnsi="Times New Roman"/>
                <w:color w:val="000000"/>
              </w:rPr>
            </w:pPr>
            <w:r w:rsidRPr="00183B09">
              <w:rPr>
                <w:rFonts w:ascii="Times New Roman" w:hAnsi="Times New Roman"/>
                <w:color w:val="000000"/>
              </w:rPr>
              <w:t>2,84</w:t>
            </w:r>
            <w:r w:rsidRPr="00183B09" w:rsidR="004F739A">
              <w:rPr>
                <w:rFonts w:ascii="Times New Roman" w:hAnsi="Times New Roman"/>
                <w:color w:val="000000"/>
              </w:rPr>
              <w:t>3</w:t>
            </w:r>
          </w:p>
        </w:tc>
        <w:tc>
          <w:tcPr>
            <w:tcW w:w="1505" w:type="dxa"/>
            <w:tcBorders>
              <w:top w:val="single" w:color="auto" w:sz="4" w:space="0"/>
              <w:left w:val="nil"/>
              <w:bottom w:val="nil"/>
            </w:tcBorders>
            <w:shd w:val="clear" w:color="auto" w:fill="auto"/>
            <w:noWrap/>
            <w:vAlign w:val="bottom"/>
            <w:hideMark/>
          </w:tcPr>
          <w:p w:rsidRPr="00183B09" w:rsidR="0060376E" w:rsidP="0060376E" w:rsidRDefault="004F739A" w14:paraId="42443956" w14:textId="4228B92E">
            <w:pPr>
              <w:keepNext/>
              <w:jc w:val="right"/>
              <w:rPr>
                <w:rFonts w:ascii="Times New Roman" w:hAnsi="Times New Roman"/>
                <w:color w:val="000000"/>
              </w:rPr>
            </w:pPr>
            <w:r w:rsidRPr="00183B09">
              <w:rPr>
                <w:rFonts w:ascii="Times New Roman" w:hAnsi="Times New Roman"/>
                <w:color w:val="000000"/>
              </w:rPr>
              <w:t>285.8</w:t>
            </w:r>
          </w:p>
        </w:tc>
      </w:tr>
      <w:tr w:rsidRPr="00183B09" w:rsidR="0060376E" w:rsidTr="00183B09" w14:paraId="724D86A0" w14:textId="77777777">
        <w:trPr>
          <w:trHeight w:val="259" w:hRule="exact"/>
          <w:jc w:val="center"/>
        </w:trPr>
        <w:tc>
          <w:tcPr>
            <w:tcW w:w="4300" w:type="dxa"/>
            <w:tcBorders>
              <w:top w:val="nil"/>
              <w:bottom w:val="single" w:color="auto" w:sz="4" w:space="0"/>
              <w:right w:val="single" w:color="auto" w:sz="4" w:space="0"/>
            </w:tcBorders>
            <w:shd w:val="clear" w:color="auto" w:fill="auto"/>
            <w:noWrap/>
            <w:vAlign w:val="bottom"/>
            <w:hideMark/>
          </w:tcPr>
          <w:p w:rsidRPr="00183B09" w:rsidR="0060376E" w:rsidP="003F74B7" w:rsidRDefault="003F74B7" w14:paraId="2FF29A43" w14:textId="69861497">
            <w:pPr>
              <w:keepNext/>
              <w:rPr>
                <w:rFonts w:ascii="Times New Roman" w:hAnsi="Times New Roman"/>
                <w:color w:val="000000"/>
              </w:rPr>
            </w:pPr>
            <w:r w:rsidRPr="00183B09">
              <w:rPr>
                <w:rFonts w:ascii="Times New Roman" w:hAnsi="Times New Roman"/>
                <w:color w:val="000000"/>
              </w:rPr>
              <w:t xml:space="preserve">Majority </w:t>
            </w:r>
            <w:r w:rsidRPr="00183B09" w:rsidR="009E5D85">
              <w:rPr>
                <w:rFonts w:ascii="Times New Roman" w:hAnsi="Times New Roman"/>
                <w:color w:val="000000"/>
              </w:rPr>
              <w:t>women</w:t>
            </w:r>
          </w:p>
        </w:tc>
        <w:tc>
          <w:tcPr>
            <w:tcW w:w="1116" w:type="dxa"/>
            <w:tcBorders>
              <w:top w:val="nil"/>
              <w:left w:val="nil"/>
              <w:bottom w:val="single" w:color="auto" w:sz="4" w:space="0"/>
              <w:right w:val="single" w:color="auto" w:sz="4" w:space="0"/>
            </w:tcBorders>
            <w:shd w:val="clear" w:color="auto" w:fill="auto"/>
            <w:noWrap/>
            <w:vAlign w:val="bottom"/>
            <w:hideMark/>
          </w:tcPr>
          <w:p w:rsidRPr="00183B09" w:rsidR="0060376E" w:rsidP="0060376E" w:rsidRDefault="003F74B7" w14:paraId="0914CB78" w14:textId="7EEE1596">
            <w:pPr>
              <w:keepNext/>
              <w:jc w:val="right"/>
              <w:rPr>
                <w:rFonts w:ascii="Times New Roman" w:hAnsi="Times New Roman"/>
                <w:color w:val="000000"/>
              </w:rPr>
            </w:pPr>
            <w:r w:rsidRPr="00183B09">
              <w:rPr>
                <w:rFonts w:ascii="Times New Roman" w:hAnsi="Times New Roman"/>
                <w:color w:val="000000"/>
              </w:rPr>
              <w:t>47</w:t>
            </w:r>
          </w:p>
        </w:tc>
        <w:tc>
          <w:tcPr>
            <w:tcW w:w="1505" w:type="dxa"/>
            <w:tcBorders>
              <w:top w:val="nil"/>
              <w:left w:val="nil"/>
              <w:bottom w:val="single" w:color="auto" w:sz="4" w:space="0"/>
            </w:tcBorders>
            <w:shd w:val="clear" w:color="auto" w:fill="auto"/>
            <w:noWrap/>
            <w:vAlign w:val="bottom"/>
            <w:hideMark/>
          </w:tcPr>
          <w:p w:rsidRPr="00183B09" w:rsidR="0060376E" w:rsidP="0060376E" w:rsidRDefault="004F739A" w14:paraId="7DCE66DF" w14:textId="57D0D519">
            <w:pPr>
              <w:keepNext/>
              <w:jc w:val="right"/>
              <w:rPr>
                <w:rFonts w:ascii="Times New Roman" w:hAnsi="Times New Roman"/>
                <w:color w:val="000000"/>
              </w:rPr>
            </w:pPr>
            <w:r w:rsidRPr="00183B09">
              <w:rPr>
                <w:rFonts w:ascii="Times New Roman" w:hAnsi="Times New Roman"/>
                <w:color w:val="000000"/>
              </w:rPr>
              <w:t>4.2</w:t>
            </w:r>
          </w:p>
        </w:tc>
      </w:tr>
      <w:tr w:rsidRPr="00183B09" w:rsidR="0060376E" w:rsidTr="00183B09" w14:paraId="16522FD4" w14:textId="77777777">
        <w:trPr>
          <w:trHeight w:val="300"/>
          <w:jc w:val="center"/>
        </w:trPr>
        <w:tc>
          <w:tcPr>
            <w:tcW w:w="4300" w:type="dxa"/>
            <w:tcBorders>
              <w:top w:val="single" w:color="auto" w:sz="4" w:space="0"/>
              <w:bottom w:val="single" w:color="auto" w:sz="4" w:space="0"/>
              <w:right w:val="single" w:color="auto" w:sz="4" w:space="0"/>
            </w:tcBorders>
            <w:shd w:val="clear" w:color="auto" w:fill="auto"/>
            <w:noWrap/>
            <w:vAlign w:val="bottom"/>
            <w:hideMark/>
          </w:tcPr>
          <w:p w:rsidRPr="00183B09" w:rsidR="0060376E" w:rsidP="0060376E" w:rsidRDefault="0060376E" w14:paraId="1E8A581E" w14:textId="77777777">
            <w:pPr>
              <w:keepNext/>
              <w:rPr>
                <w:rFonts w:ascii="Times New Roman" w:hAnsi="Times New Roman"/>
                <w:color w:val="000000"/>
              </w:rPr>
            </w:pPr>
            <w:r w:rsidRPr="00183B09">
              <w:rPr>
                <w:rFonts w:ascii="Times New Roman" w:hAnsi="Times New Roman"/>
                <w:color w:val="000000"/>
              </w:rPr>
              <w:t>Total</w:t>
            </w:r>
          </w:p>
        </w:tc>
        <w:tc>
          <w:tcPr>
            <w:tcW w:w="1116" w:type="dxa"/>
            <w:tcBorders>
              <w:top w:val="single" w:color="auto" w:sz="4" w:space="0"/>
              <w:left w:val="nil"/>
              <w:bottom w:val="single" w:color="auto" w:sz="4" w:space="0"/>
              <w:right w:val="single" w:color="auto" w:sz="4" w:space="0"/>
            </w:tcBorders>
            <w:shd w:val="clear" w:color="auto" w:fill="auto"/>
            <w:noWrap/>
            <w:vAlign w:val="bottom"/>
            <w:hideMark/>
          </w:tcPr>
          <w:p w:rsidRPr="00183B09" w:rsidR="0060376E" w:rsidP="0060376E" w:rsidRDefault="003F74B7" w14:paraId="3C634772" w14:textId="018BFDAC">
            <w:pPr>
              <w:keepNext/>
              <w:jc w:val="right"/>
              <w:rPr>
                <w:rFonts w:ascii="Times New Roman" w:hAnsi="Times New Roman"/>
                <w:color w:val="000000"/>
              </w:rPr>
            </w:pPr>
            <w:r w:rsidRPr="00183B09">
              <w:rPr>
                <w:rFonts w:ascii="Times New Roman" w:hAnsi="Times New Roman"/>
                <w:color w:val="000000"/>
              </w:rPr>
              <w:t>2,89</w:t>
            </w:r>
            <w:r w:rsidRPr="00183B09" w:rsidR="004F739A">
              <w:rPr>
                <w:rFonts w:ascii="Times New Roman" w:hAnsi="Times New Roman"/>
                <w:color w:val="000000"/>
              </w:rPr>
              <w:t>0</w:t>
            </w:r>
          </w:p>
        </w:tc>
        <w:tc>
          <w:tcPr>
            <w:tcW w:w="1505" w:type="dxa"/>
            <w:tcBorders>
              <w:top w:val="single" w:color="auto" w:sz="4" w:space="0"/>
              <w:left w:val="nil"/>
              <w:bottom w:val="single" w:color="auto" w:sz="4" w:space="0"/>
            </w:tcBorders>
            <w:shd w:val="clear" w:color="auto" w:fill="auto"/>
            <w:noWrap/>
            <w:vAlign w:val="bottom"/>
            <w:hideMark/>
          </w:tcPr>
          <w:p w:rsidRPr="00183B09" w:rsidR="0060376E" w:rsidP="0060376E" w:rsidRDefault="004F739A" w14:paraId="47B8C45E" w14:textId="728F5DF0">
            <w:pPr>
              <w:keepNext/>
              <w:jc w:val="right"/>
              <w:rPr>
                <w:rFonts w:ascii="Times New Roman" w:hAnsi="Times New Roman"/>
                <w:color w:val="000000"/>
              </w:rPr>
            </w:pPr>
            <w:r w:rsidRPr="00183B09">
              <w:rPr>
                <w:rFonts w:ascii="Times New Roman" w:hAnsi="Times New Roman"/>
                <w:color w:val="000000"/>
              </w:rPr>
              <w:t>290</w:t>
            </w:r>
          </w:p>
        </w:tc>
      </w:tr>
    </w:tbl>
    <w:p w:rsidR="0060376E" w:rsidP="0060376E" w:rsidRDefault="0060376E" w14:paraId="6A019E25" w14:textId="77777777">
      <w:pPr>
        <w:pStyle w:val="L1-FlLSp12"/>
      </w:pPr>
      <w:r>
        <w:t xml:space="preserve"> </w:t>
      </w:r>
    </w:p>
    <w:p w:rsidR="00BD7E6D" w:rsidP="0060376E" w:rsidRDefault="00971649" w14:paraId="51C55B63" w14:textId="70BE2304">
      <w:pPr>
        <w:kinsoku w:val="0"/>
        <w:overflowPunct w:val="0"/>
        <w:ind w:left="630"/>
        <w:rPr>
          <w:rFonts w:ascii="Times New Roman" w:hAnsi="Times New Roman"/>
        </w:rPr>
      </w:pPr>
      <w:r>
        <w:rPr>
          <w:rFonts w:ascii="Times New Roman" w:hAnsi="Times New Roman"/>
        </w:rPr>
        <w:t>T</w:t>
      </w:r>
      <w:r w:rsidRPr="002D7DE6" w:rsidR="00DA22CF">
        <w:rPr>
          <w:rFonts w:ascii="Times New Roman" w:hAnsi="Times New Roman"/>
        </w:rPr>
        <w:t xml:space="preserve">he universe for the NIS </w:t>
      </w:r>
      <w:r w:rsidR="00711BBD">
        <w:rPr>
          <w:rFonts w:ascii="Times New Roman" w:hAnsi="Times New Roman"/>
        </w:rPr>
        <w:t>comprises</w:t>
      </w:r>
      <w:r w:rsidRPr="002D7DE6" w:rsidR="00DA22CF">
        <w:rPr>
          <w:rFonts w:ascii="Times New Roman" w:hAnsi="Times New Roman"/>
        </w:rPr>
        <w:t xml:space="preserve"> </w:t>
      </w:r>
      <w:r w:rsidR="003F74B7">
        <w:rPr>
          <w:rFonts w:ascii="Times New Roman" w:hAnsi="Times New Roman"/>
        </w:rPr>
        <w:t>2,89</w:t>
      </w:r>
      <w:r w:rsidR="004A5956">
        <w:rPr>
          <w:rFonts w:ascii="Times New Roman" w:hAnsi="Times New Roman"/>
        </w:rPr>
        <w:t>0</w:t>
      </w:r>
      <w:r w:rsidRPr="006640E4" w:rsidR="00DA22CF">
        <w:rPr>
          <w:rFonts w:ascii="Times New Roman" w:hAnsi="Times New Roman"/>
        </w:rPr>
        <w:t xml:space="preserve"> facilities and</w:t>
      </w:r>
      <w:r w:rsidR="000C6C50">
        <w:rPr>
          <w:rFonts w:ascii="Times New Roman" w:hAnsi="Times New Roman"/>
        </w:rPr>
        <w:t xml:space="preserve"> 73</w:t>
      </w:r>
      <w:r w:rsidR="004A5956">
        <w:rPr>
          <w:rFonts w:ascii="Times New Roman" w:hAnsi="Times New Roman"/>
        </w:rPr>
        <w:t>3</w:t>
      </w:r>
      <w:r w:rsidR="000C6C50">
        <w:rPr>
          <w:rFonts w:ascii="Times New Roman" w:hAnsi="Times New Roman"/>
        </w:rPr>
        <w:t>,</w:t>
      </w:r>
      <w:r w:rsidR="004A5956">
        <w:rPr>
          <w:rFonts w:ascii="Times New Roman" w:hAnsi="Times New Roman"/>
        </w:rPr>
        <w:t>871</w:t>
      </w:r>
      <w:r w:rsidR="003F74B7">
        <w:rPr>
          <w:rFonts w:ascii="Times New Roman" w:hAnsi="Times New Roman"/>
        </w:rPr>
        <w:t xml:space="preserve"> </w:t>
      </w:r>
      <w:r w:rsidRPr="006640E4" w:rsidR="00DA22CF">
        <w:rPr>
          <w:rFonts w:ascii="Times New Roman" w:hAnsi="Times New Roman"/>
        </w:rPr>
        <w:t>inmates</w:t>
      </w:r>
      <w:r w:rsidR="004A5956">
        <w:rPr>
          <w:rFonts w:ascii="Times New Roman" w:hAnsi="Times New Roman"/>
        </w:rPr>
        <w:t>, after excluding facilities with less than 6 inmates</w:t>
      </w:r>
      <w:r w:rsidRPr="006640E4" w:rsidR="00DA22CF">
        <w:rPr>
          <w:rFonts w:ascii="Times New Roman" w:hAnsi="Times New Roman"/>
        </w:rPr>
        <w:t>.</w:t>
      </w:r>
      <w:r w:rsidR="00DA22CF">
        <w:rPr>
          <w:rFonts w:ascii="Times New Roman" w:hAnsi="Times New Roman"/>
        </w:rPr>
        <w:t xml:space="preserve"> </w:t>
      </w:r>
      <w:r w:rsidR="00F410B3">
        <w:rPr>
          <w:rFonts w:ascii="Times New Roman" w:hAnsi="Times New Roman"/>
        </w:rPr>
        <w:t xml:space="preserve"> </w:t>
      </w:r>
      <w:r w:rsidR="00BD7E6D">
        <w:rPr>
          <w:rFonts w:ascii="Times New Roman" w:hAnsi="Times New Roman"/>
        </w:rPr>
        <w:t>Two target populations are of interest: (1) all adult inmates held in jails, and (2) all inmates 16 years old or older held in jails. Inmates younger than 16 are ineligible for the NIS.</w:t>
      </w:r>
    </w:p>
    <w:p w:rsidR="0092031B" w:rsidP="003614ED" w:rsidRDefault="0092031B" w14:paraId="01DF31DD" w14:textId="77777777">
      <w:pPr>
        <w:kinsoku w:val="0"/>
        <w:overflowPunct w:val="0"/>
        <w:rPr>
          <w:rFonts w:ascii="Times New Roman" w:hAnsi="Times New Roman"/>
        </w:rPr>
      </w:pPr>
    </w:p>
    <w:p w:rsidR="0074593E" w:rsidP="003614ED" w:rsidRDefault="0074593E" w14:paraId="5A0646D0" w14:textId="77777777">
      <w:pPr>
        <w:kinsoku w:val="0"/>
        <w:overflowPunct w:val="0"/>
        <w:rPr>
          <w:rFonts w:ascii="Times New Roman" w:hAnsi="Times New Roman"/>
        </w:rPr>
      </w:pPr>
    </w:p>
    <w:p w:rsidRPr="002D7DE6" w:rsidR="003614ED" w:rsidP="003614ED" w:rsidRDefault="003614ED" w14:paraId="68147C45" w14:textId="7392990C">
      <w:pPr>
        <w:kinsoku w:val="0"/>
        <w:overflowPunct w:val="0"/>
        <w:rPr>
          <w:rFonts w:ascii="Times New Roman" w:hAnsi="Times New Roman"/>
        </w:rPr>
      </w:pPr>
      <w:r w:rsidRPr="002D7DE6">
        <w:rPr>
          <w:rFonts w:ascii="Times New Roman" w:hAnsi="Times New Roman"/>
        </w:rPr>
        <w:t>1.2 Jail</w:t>
      </w:r>
      <w:r w:rsidR="00971649">
        <w:rPr>
          <w:rFonts w:ascii="Times New Roman" w:hAnsi="Times New Roman"/>
        </w:rPr>
        <w:t xml:space="preserve"> Sample</w:t>
      </w:r>
    </w:p>
    <w:p w:rsidRPr="002D7DE6" w:rsidR="003614ED" w:rsidP="003614ED" w:rsidRDefault="003614ED" w14:paraId="74F0424C" w14:textId="77777777">
      <w:pPr>
        <w:kinsoku w:val="0"/>
        <w:overflowPunct w:val="0"/>
        <w:rPr>
          <w:rFonts w:ascii="Times New Roman" w:hAnsi="Times New Roman"/>
        </w:rPr>
      </w:pPr>
    </w:p>
    <w:p w:rsidRPr="00971649" w:rsidR="007E77CD" w:rsidP="00F858D8" w:rsidRDefault="00FA6653" w14:paraId="4FDE11C8" w14:textId="5E556D5C">
      <w:pPr>
        <w:pStyle w:val="L1-FlLSp12"/>
        <w:tabs>
          <w:tab w:val="clear" w:pos="1152"/>
        </w:tabs>
        <w:spacing w:line="240" w:lineRule="exact"/>
        <w:rPr>
          <w:rFonts w:ascii="Times New Roman" w:hAnsi="Times New Roman"/>
        </w:rPr>
      </w:pPr>
      <w:r>
        <w:rPr>
          <w:rFonts w:ascii="Times New Roman" w:hAnsi="Times New Roman"/>
          <w:u w:val="single"/>
        </w:rPr>
        <w:t>Sample Sizes.</w:t>
      </w:r>
      <w:r>
        <w:rPr>
          <w:rFonts w:ascii="Times New Roman" w:hAnsi="Times New Roman"/>
        </w:rPr>
        <w:t xml:space="preserve"> </w:t>
      </w:r>
      <w:r w:rsidR="00CE2E1E">
        <w:rPr>
          <w:rFonts w:ascii="Times New Roman" w:hAnsi="Times New Roman"/>
        </w:rPr>
        <w:t>E</w:t>
      </w:r>
      <w:r w:rsidRPr="00971649" w:rsidR="00971649">
        <w:rPr>
          <w:rFonts w:ascii="Times New Roman" w:hAnsi="Times New Roman"/>
        </w:rPr>
        <w:t>xpected measures of size</w:t>
      </w:r>
      <w:r w:rsidR="00971649">
        <w:rPr>
          <w:rFonts w:ascii="Times New Roman" w:hAnsi="Times New Roman"/>
        </w:rPr>
        <w:t xml:space="preserve"> </w:t>
      </w:r>
      <w:r w:rsidRPr="00971649" w:rsidR="00971649">
        <w:rPr>
          <w:rFonts w:ascii="Times New Roman" w:hAnsi="Times New Roman"/>
        </w:rPr>
        <w:t xml:space="preserve">proportional to jail </w:t>
      </w:r>
      <w:r w:rsidR="00AB3862">
        <w:rPr>
          <w:rFonts w:ascii="Times New Roman" w:hAnsi="Times New Roman"/>
        </w:rPr>
        <w:t>measures of size</w:t>
      </w:r>
      <w:r w:rsidRPr="00971649" w:rsidR="00971649">
        <w:rPr>
          <w:rFonts w:ascii="Times New Roman" w:hAnsi="Times New Roman"/>
        </w:rPr>
        <w:t xml:space="preserve"> (with adjustment in </w:t>
      </w:r>
      <w:r w:rsidR="00CA265E">
        <w:rPr>
          <w:rFonts w:ascii="Times New Roman" w:hAnsi="Times New Roman"/>
        </w:rPr>
        <w:t>women</w:t>
      </w:r>
      <w:r w:rsidR="00DA7D58">
        <w:rPr>
          <w:rFonts w:ascii="Times New Roman" w:hAnsi="Times New Roman"/>
        </w:rPr>
        <w:t>-</w:t>
      </w:r>
      <w:r w:rsidRPr="00971649" w:rsidR="00971649">
        <w:rPr>
          <w:rFonts w:ascii="Times New Roman" w:hAnsi="Times New Roman"/>
        </w:rPr>
        <w:t xml:space="preserve">majority jails) </w:t>
      </w:r>
      <w:r w:rsidR="00CE2E1E">
        <w:rPr>
          <w:rFonts w:ascii="Times New Roman" w:hAnsi="Times New Roman"/>
        </w:rPr>
        <w:t>will be</w:t>
      </w:r>
      <w:r w:rsidRPr="00971649" w:rsidR="00CE2E1E">
        <w:rPr>
          <w:rFonts w:ascii="Times New Roman" w:hAnsi="Times New Roman"/>
        </w:rPr>
        <w:t xml:space="preserve"> </w:t>
      </w:r>
      <w:r w:rsidRPr="00971649" w:rsidR="00971649">
        <w:rPr>
          <w:rFonts w:ascii="Times New Roman" w:hAnsi="Times New Roman"/>
        </w:rPr>
        <w:t xml:space="preserve">rescaled to aggregate to </w:t>
      </w:r>
      <w:r w:rsidR="004F739A">
        <w:rPr>
          <w:rFonts w:ascii="Times New Roman" w:hAnsi="Times New Roman"/>
        </w:rPr>
        <w:t>290</w:t>
      </w:r>
      <w:r w:rsidRPr="00971649" w:rsidR="004D7448">
        <w:rPr>
          <w:rFonts w:ascii="Times New Roman" w:hAnsi="Times New Roman"/>
        </w:rPr>
        <w:t xml:space="preserve"> </w:t>
      </w:r>
      <w:r w:rsidRPr="00971649" w:rsidR="00971649">
        <w:rPr>
          <w:rFonts w:ascii="Times New Roman" w:hAnsi="Times New Roman"/>
        </w:rPr>
        <w:t>(th</w:t>
      </w:r>
      <w:r w:rsidR="00F858D8">
        <w:rPr>
          <w:rFonts w:ascii="Times New Roman" w:hAnsi="Times New Roman"/>
        </w:rPr>
        <w:t>e final target sample of jails).</w:t>
      </w:r>
      <w:r w:rsidRPr="00971649" w:rsidR="00971649">
        <w:rPr>
          <w:rFonts w:ascii="Times New Roman" w:hAnsi="Times New Roman"/>
        </w:rPr>
        <w:t xml:space="preserve"> </w:t>
      </w:r>
      <w:r w:rsidR="004360ED">
        <w:rPr>
          <w:rFonts w:ascii="Times New Roman" w:hAnsi="Times New Roman"/>
        </w:rPr>
        <w:t>The</w:t>
      </w:r>
      <w:r w:rsidR="00BC04E5">
        <w:rPr>
          <w:rFonts w:ascii="Times New Roman" w:hAnsi="Times New Roman"/>
        </w:rPr>
        <w:t xml:space="preserve"> </w:t>
      </w:r>
      <w:r w:rsidR="00CE2E1E">
        <w:rPr>
          <w:rFonts w:ascii="Times New Roman" w:hAnsi="Times New Roman"/>
        </w:rPr>
        <w:t xml:space="preserve">measures of size of jails in small states </w:t>
      </w:r>
      <w:r w:rsidR="004360ED">
        <w:rPr>
          <w:rFonts w:ascii="Times New Roman" w:hAnsi="Times New Roman"/>
        </w:rPr>
        <w:t xml:space="preserve">will be increased </w:t>
      </w:r>
      <w:r w:rsidR="00CE2E1E">
        <w:rPr>
          <w:rFonts w:ascii="Times New Roman" w:hAnsi="Times New Roman"/>
        </w:rPr>
        <w:t>so that each state with a jail will have at least one jail selected.</w:t>
      </w:r>
      <w:r w:rsidR="00292E05">
        <w:rPr>
          <w:rFonts w:ascii="Times New Roman" w:hAnsi="Times New Roman"/>
        </w:rPr>
        <w:t xml:space="preserve"> These states include </w:t>
      </w:r>
      <w:r w:rsidRPr="00292E05" w:rsidR="00292E05">
        <w:rPr>
          <w:rFonts w:ascii="Times New Roman" w:hAnsi="Times New Roman"/>
        </w:rPr>
        <w:t>M</w:t>
      </w:r>
      <w:r w:rsidR="00292E05">
        <w:rPr>
          <w:rFonts w:ascii="Times New Roman" w:hAnsi="Times New Roman"/>
        </w:rPr>
        <w:t xml:space="preserve">aine, </w:t>
      </w:r>
      <w:r w:rsidRPr="00292E05" w:rsidR="00292E05">
        <w:rPr>
          <w:rFonts w:ascii="Times New Roman" w:hAnsi="Times New Roman"/>
        </w:rPr>
        <w:t>N</w:t>
      </w:r>
      <w:r w:rsidR="00292E05">
        <w:rPr>
          <w:rFonts w:ascii="Times New Roman" w:hAnsi="Times New Roman"/>
        </w:rPr>
        <w:t>orth Dakota, New Hampshire</w:t>
      </w:r>
      <w:r w:rsidR="005307E4">
        <w:rPr>
          <w:rFonts w:ascii="Times New Roman" w:hAnsi="Times New Roman"/>
        </w:rPr>
        <w:t>,</w:t>
      </w:r>
      <w:r w:rsidR="00292E05">
        <w:rPr>
          <w:rFonts w:ascii="Times New Roman" w:hAnsi="Times New Roman"/>
        </w:rPr>
        <w:t xml:space="preserve"> South Dakota, </w:t>
      </w:r>
      <w:r w:rsidR="005307E4">
        <w:rPr>
          <w:rFonts w:ascii="Times New Roman" w:hAnsi="Times New Roman"/>
        </w:rPr>
        <w:t xml:space="preserve">and </w:t>
      </w:r>
      <w:r w:rsidR="00292E05">
        <w:rPr>
          <w:rFonts w:ascii="Times New Roman" w:hAnsi="Times New Roman"/>
        </w:rPr>
        <w:t>Wyoming. The one jail in the District of Columbia will be selected with certainty.</w:t>
      </w:r>
    </w:p>
    <w:p w:rsidR="00971649" w:rsidP="00971649" w:rsidRDefault="00971649" w14:paraId="0470B45A" w14:textId="77777777">
      <w:pPr>
        <w:pStyle w:val="L1-FlLSp12"/>
      </w:pPr>
    </w:p>
    <w:p w:rsidR="00183B09" w:rsidP="00183B09" w:rsidRDefault="00FA6653" w14:paraId="2C1360E4" w14:textId="0E515AD6">
      <w:pPr>
        <w:pStyle w:val="L1-FlLSp12"/>
        <w:spacing w:after="240" w:line="240" w:lineRule="auto"/>
        <w:ind w:left="720"/>
        <w:rPr>
          <w:rFonts w:ascii="Times New Roman" w:hAnsi="Times New Roman"/>
        </w:rPr>
      </w:pPr>
      <w:r w:rsidRPr="00FA6653">
        <w:rPr>
          <w:rFonts w:ascii="Times New Roman" w:hAnsi="Times New Roman"/>
          <w:u w:val="single"/>
        </w:rPr>
        <w:t>Stratification.</w:t>
      </w:r>
      <w:r w:rsidRPr="00FA6653">
        <w:rPr>
          <w:rFonts w:ascii="Times New Roman" w:hAnsi="Times New Roman"/>
        </w:rPr>
        <w:t xml:space="preserve"> A primary implicit </w:t>
      </w:r>
      <w:proofErr w:type="spellStart"/>
      <w:r w:rsidRPr="00FA6653">
        <w:rPr>
          <w:rFonts w:ascii="Times New Roman" w:hAnsi="Times New Roman"/>
        </w:rPr>
        <w:t>stratifier</w:t>
      </w:r>
      <w:proofErr w:type="spellEnd"/>
      <w:r w:rsidRPr="00FA6653">
        <w:rPr>
          <w:rFonts w:ascii="Times New Roman" w:hAnsi="Times New Roman"/>
        </w:rPr>
        <w:t xml:space="preserve"> is jail size. Table </w:t>
      </w:r>
      <w:r w:rsidR="00F858D8">
        <w:rPr>
          <w:rFonts w:ascii="Times New Roman" w:hAnsi="Times New Roman"/>
        </w:rPr>
        <w:t>2</w:t>
      </w:r>
      <w:r w:rsidRPr="00FA6653">
        <w:rPr>
          <w:rFonts w:ascii="Times New Roman" w:hAnsi="Times New Roman"/>
        </w:rPr>
        <w:t xml:space="preserve"> presents one definition of a jail-size stratum, the number of jails in each class, and the aggregated </w:t>
      </w:r>
      <w:r w:rsidR="00AB3862">
        <w:rPr>
          <w:rFonts w:ascii="Times New Roman" w:hAnsi="Times New Roman"/>
        </w:rPr>
        <w:t>measures of size</w:t>
      </w:r>
      <w:r w:rsidRPr="00FA6653">
        <w:rPr>
          <w:rFonts w:ascii="Times New Roman" w:hAnsi="Times New Roman"/>
        </w:rPr>
        <w:t xml:space="preserve">, which are initially proportionate to </w:t>
      </w:r>
      <w:r w:rsidR="006A3713">
        <w:rPr>
          <w:rFonts w:ascii="Times New Roman" w:hAnsi="Times New Roman"/>
        </w:rPr>
        <w:t xml:space="preserve">the </w:t>
      </w:r>
      <w:r w:rsidR="0089376A">
        <w:rPr>
          <w:rFonts w:ascii="Times New Roman" w:hAnsi="Times New Roman"/>
        </w:rPr>
        <w:t>total number of inmates,</w:t>
      </w:r>
      <w:r w:rsidRPr="00FA6653" w:rsidR="0089376A">
        <w:rPr>
          <w:rFonts w:ascii="Times New Roman" w:hAnsi="Times New Roman"/>
        </w:rPr>
        <w:t xml:space="preserve"> </w:t>
      </w:r>
      <w:r w:rsidRPr="00FA6653">
        <w:rPr>
          <w:rFonts w:ascii="Times New Roman" w:hAnsi="Times New Roman"/>
        </w:rPr>
        <w:t xml:space="preserve">but then </w:t>
      </w:r>
      <w:r w:rsidR="0089376A">
        <w:rPr>
          <w:rFonts w:ascii="Times New Roman" w:hAnsi="Times New Roman"/>
        </w:rPr>
        <w:t xml:space="preserve">this measure of size is </w:t>
      </w:r>
      <w:r w:rsidRPr="00FA6653">
        <w:rPr>
          <w:rFonts w:ascii="Times New Roman" w:hAnsi="Times New Roman"/>
        </w:rPr>
        <w:t xml:space="preserve">adjusted for considerations discussed in </w:t>
      </w:r>
      <w:r>
        <w:rPr>
          <w:rFonts w:ascii="Times New Roman" w:hAnsi="Times New Roman"/>
        </w:rPr>
        <w:t>the previous section</w:t>
      </w:r>
      <w:r w:rsidR="00AB3862">
        <w:rPr>
          <w:rFonts w:ascii="Times New Roman" w:hAnsi="Times New Roman"/>
        </w:rPr>
        <w:t>.</w:t>
      </w:r>
    </w:p>
    <w:p w:rsidR="00FA6653" w:rsidP="00FA6653" w:rsidRDefault="00F858D8" w14:paraId="633C3479" w14:textId="0F80D2F7">
      <w:pPr>
        <w:pStyle w:val="L1-FlLSp12"/>
        <w:tabs>
          <w:tab w:val="left" w:pos="1260"/>
        </w:tabs>
        <w:spacing w:line="240" w:lineRule="auto"/>
        <w:ind w:left="720"/>
        <w:rPr>
          <w:rFonts w:ascii="Times New Roman" w:hAnsi="Times New Roman"/>
        </w:rPr>
      </w:pPr>
      <w:r>
        <w:rPr>
          <w:rFonts w:ascii="Times New Roman" w:hAnsi="Times New Roman"/>
        </w:rPr>
        <w:t>Table 2</w:t>
      </w:r>
      <w:r w:rsidR="00FA6653">
        <w:rPr>
          <w:rFonts w:ascii="Times New Roman" w:hAnsi="Times New Roman"/>
        </w:rPr>
        <w:t xml:space="preserve">. </w:t>
      </w:r>
      <w:r w:rsidR="00235F41">
        <w:rPr>
          <w:rFonts w:ascii="Times New Roman" w:hAnsi="Times New Roman"/>
        </w:rPr>
        <w:t>J</w:t>
      </w:r>
      <w:r w:rsidR="00FA6653">
        <w:rPr>
          <w:rFonts w:ascii="Times New Roman" w:hAnsi="Times New Roman"/>
        </w:rPr>
        <w:t xml:space="preserve">ail-size strata with </w:t>
      </w:r>
      <w:r w:rsidR="00AB3862">
        <w:rPr>
          <w:rFonts w:ascii="Times New Roman" w:hAnsi="Times New Roman"/>
        </w:rPr>
        <w:t>measures of size</w:t>
      </w:r>
    </w:p>
    <w:p w:rsidRPr="00FA6653" w:rsidR="0089376A" w:rsidP="00FA6653" w:rsidRDefault="0089376A" w14:paraId="5C2A19C8" w14:textId="77777777">
      <w:pPr>
        <w:pStyle w:val="L1-FlLSp12"/>
        <w:tabs>
          <w:tab w:val="left" w:pos="1260"/>
        </w:tabs>
        <w:spacing w:line="240" w:lineRule="auto"/>
        <w:ind w:left="720"/>
        <w:rPr>
          <w:rFonts w:ascii="Times New Roman" w:hAnsi="Times New Roman"/>
        </w:rPr>
      </w:pPr>
    </w:p>
    <w:tbl>
      <w:tblPr>
        <w:tblW w:w="5000" w:type="pct"/>
        <w:tblInd w:w="864" w:type="dxa"/>
        <w:tblLook w:val="04A0" w:firstRow="1" w:lastRow="0" w:firstColumn="1" w:lastColumn="0" w:noHBand="0" w:noVBand="1"/>
      </w:tblPr>
      <w:tblGrid>
        <w:gridCol w:w="1920"/>
        <w:gridCol w:w="1296"/>
        <w:gridCol w:w="1374"/>
        <w:gridCol w:w="1800"/>
        <w:gridCol w:w="1530"/>
        <w:gridCol w:w="1440"/>
      </w:tblGrid>
      <w:tr w:rsidRPr="000F1A0C" w:rsidR="0089376A" w:rsidTr="00C27BB4" w14:paraId="752FEC47" w14:textId="164ACBB1">
        <w:trPr>
          <w:trHeight w:val="512"/>
        </w:trPr>
        <w:tc>
          <w:tcPr>
            <w:tcW w:w="1920" w:type="dxa"/>
            <w:tcBorders>
              <w:top w:val="single" w:color="auto" w:sz="4" w:space="0"/>
              <w:bottom w:val="single" w:color="auto" w:sz="4" w:space="0"/>
              <w:right w:val="single" w:color="auto" w:sz="4" w:space="0"/>
            </w:tcBorders>
            <w:shd w:val="clear" w:color="auto" w:fill="auto"/>
            <w:vAlign w:val="bottom"/>
            <w:hideMark/>
          </w:tcPr>
          <w:p w:rsidRPr="00FE4E07" w:rsidR="0089376A" w:rsidP="00B228F8" w:rsidRDefault="0089376A" w14:paraId="3800FF27" w14:textId="125017DF">
            <w:pPr>
              <w:rPr>
                <w:rFonts w:ascii="Times New Roman" w:hAnsi="Times New Roman"/>
                <w:color w:val="000000"/>
              </w:rPr>
            </w:pPr>
            <w:bookmarkStart w:name="RANGE!A1:D8" w:id="1"/>
            <w:r w:rsidRPr="00FE4E07">
              <w:rPr>
                <w:rFonts w:ascii="Times New Roman" w:hAnsi="Times New Roman"/>
                <w:color w:val="000000"/>
              </w:rPr>
              <w:t>Jail</w:t>
            </w:r>
            <w:r w:rsidR="00B1056F">
              <w:rPr>
                <w:rFonts w:ascii="Times New Roman" w:hAnsi="Times New Roman"/>
                <w:color w:val="000000"/>
              </w:rPr>
              <w:t>-s</w:t>
            </w:r>
            <w:r w:rsidRPr="00FE4E07">
              <w:rPr>
                <w:rFonts w:ascii="Times New Roman" w:hAnsi="Times New Roman"/>
                <w:color w:val="000000"/>
              </w:rPr>
              <w:t xml:space="preserve">ize </w:t>
            </w:r>
            <w:r w:rsidR="00F904A7">
              <w:rPr>
                <w:rFonts w:ascii="Times New Roman" w:hAnsi="Times New Roman"/>
                <w:color w:val="000000"/>
              </w:rPr>
              <w:t>s</w:t>
            </w:r>
            <w:r w:rsidRPr="00FE4E07">
              <w:rPr>
                <w:rFonts w:ascii="Times New Roman" w:hAnsi="Times New Roman"/>
                <w:color w:val="000000"/>
              </w:rPr>
              <w:t>tratum</w:t>
            </w:r>
            <w:bookmarkEnd w:id="1"/>
          </w:p>
        </w:tc>
        <w:tc>
          <w:tcPr>
            <w:tcW w:w="1296" w:type="dxa"/>
            <w:tcBorders>
              <w:top w:val="single" w:color="auto" w:sz="4" w:space="0"/>
              <w:left w:val="nil"/>
              <w:bottom w:val="nil"/>
              <w:right w:val="single" w:color="auto" w:sz="4" w:space="0"/>
            </w:tcBorders>
            <w:shd w:val="clear" w:color="auto" w:fill="auto"/>
            <w:vAlign w:val="bottom"/>
            <w:hideMark/>
          </w:tcPr>
          <w:p w:rsidRPr="00FE4E07" w:rsidR="0089376A" w:rsidP="00B228F8" w:rsidRDefault="0089376A" w14:paraId="19494799" w14:textId="5AE1BA61">
            <w:pPr>
              <w:jc w:val="right"/>
              <w:rPr>
                <w:rFonts w:ascii="Times New Roman" w:hAnsi="Times New Roman"/>
                <w:color w:val="000000"/>
              </w:rPr>
            </w:pPr>
            <w:r w:rsidRPr="00FE4E07">
              <w:rPr>
                <w:rFonts w:ascii="Times New Roman" w:hAnsi="Times New Roman"/>
                <w:color w:val="000000"/>
              </w:rPr>
              <w:t>Number of frame jails</w:t>
            </w:r>
          </w:p>
        </w:tc>
        <w:tc>
          <w:tcPr>
            <w:tcW w:w="1374" w:type="dxa"/>
            <w:tcBorders>
              <w:top w:val="single" w:color="auto" w:sz="4" w:space="0"/>
              <w:left w:val="nil"/>
              <w:bottom w:val="single" w:color="auto" w:sz="4" w:space="0"/>
              <w:right w:val="single" w:color="auto" w:sz="4" w:space="0"/>
            </w:tcBorders>
            <w:shd w:val="clear" w:color="auto" w:fill="auto"/>
            <w:vAlign w:val="bottom"/>
          </w:tcPr>
          <w:p w:rsidRPr="00FE4E07" w:rsidR="0089376A" w:rsidP="00183B09" w:rsidRDefault="0089376A" w14:paraId="07F52726" w14:textId="04B53317">
            <w:pPr>
              <w:jc w:val="center"/>
              <w:rPr>
                <w:rFonts w:ascii="Times New Roman" w:hAnsi="Times New Roman"/>
                <w:color w:val="000000"/>
              </w:rPr>
            </w:pPr>
            <w:r>
              <w:rPr>
                <w:rFonts w:ascii="Times New Roman" w:hAnsi="Times New Roman"/>
                <w:color w:val="000000"/>
              </w:rPr>
              <w:t>Jails total inmates</w:t>
            </w:r>
          </w:p>
        </w:tc>
        <w:tc>
          <w:tcPr>
            <w:tcW w:w="1800" w:type="dxa"/>
            <w:tcBorders>
              <w:top w:val="single" w:color="auto" w:sz="4" w:space="0"/>
              <w:left w:val="single" w:color="auto" w:sz="4" w:space="0"/>
              <w:bottom w:val="nil"/>
              <w:right w:val="single" w:color="auto" w:sz="4" w:space="0"/>
            </w:tcBorders>
            <w:shd w:val="clear" w:color="auto" w:fill="auto"/>
            <w:vAlign w:val="bottom"/>
            <w:hideMark/>
          </w:tcPr>
          <w:p w:rsidRPr="00FE4E07" w:rsidR="0089376A" w:rsidP="00183B09" w:rsidRDefault="0089376A" w14:paraId="2B4C768D" w14:textId="3EC593AF">
            <w:pPr>
              <w:jc w:val="center"/>
              <w:rPr>
                <w:rFonts w:ascii="Times New Roman" w:hAnsi="Times New Roman"/>
                <w:color w:val="000000"/>
              </w:rPr>
            </w:pPr>
            <w:r w:rsidRPr="00FE4E07">
              <w:rPr>
                <w:rFonts w:ascii="Times New Roman" w:hAnsi="Times New Roman"/>
                <w:color w:val="000000"/>
              </w:rPr>
              <w:t xml:space="preserve">Jails aggregate </w:t>
            </w:r>
            <w:r>
              <w:rPr>
                <w:rFonts w:ascii="Times New Roman" w:hAnsi="Times New Roman"/>
                <w:color w:val="000000"/>
              </w:rPr>
              <w:t xml:space="preserve">adjusted </w:t>
            </w:r>
            <w:r w:rsidRPr="00FE4E07">
              <w:rPr>
                <w:rFonts w:ascii="Times New Roman" w:hAnsi="Times New Roman"/>
                <w:color w:val="000000"/>
              </w:rPr>
              <w:t>measure of size</w:t>
            </w:r>
          </w:p>
        </w:tc>
        <w:tc>
          <w:tcPr>
            <w:tcW w:w="1530" w:type="dxa"/>
            <w:tcBorders>
              <w:top w:val="single" w:color="auto" w:sz="4" w:space="0"/>
              <w:left w:val="nil"/>
              <w:bottom w:val="single" w:color="auto" w:sz="4" w:space="0"/>
              <w:right w:val="single" w:color="auto" w:sz="4" w:space="0"/>
            </w:tcBorders>
            <w:shd w:val="clear" w:color="auto" w:fill="auto"/>
            <w:vAlign w:val="bottom"/>
            <w:hideMark/>
          </w:tcPr>
          <w:p w:rsidRPr="00FE4E07" w:rsidR="0089376A" w:rsidP="00183B09" w:rsidRDefault="0089376A" w14:paraId="2F6CBB04" w14:textId="3FF8061E">
            <w:pPr>
              <w:jc w:val="center"/>
              <w:rPr>
                <w:rFonts w:ascii="Times New Roman" w:hAnsi="Times New Roman"/>
                <w:color w:val="000000"/>
              </w:rPr>
            </w:pPr>
            <w:r w:rsidRPr="00FE4E07">
              <w:rPr>
                <w:rFonts w:ascii="Times New Roman" w:hAnsi="Times New Roman"/>
                <w:color w:val="000000"/>
              </w:rPr>
              <w:t>Jails expected sample size</w:t>
            </w:r>
          </w:p>
        </w:tc>
        <w:tc>
          <w:tcPr>
            <w:tcW w:w="1440" w:type="dxa"/>
            <w:tcBorders>
              <w:top w:val="single" w:color="auto" w:sz="4" w:space="0"/>
              <w:left w:val="single" w:color="auto" w:sz="4" w:space="0"/>
              <w:bottom w:val="single" w:color="auto" w:sz="4" w:space="0"/>
            </w:tcBorders>
            <w:vAlign w:val="bottom"/>
            <w:hideMark/>
          </w:tcPr>
          <w:p w:rsidRPr="00FE4E07" w:rsidR="0089376A" w:rsidP="00183B09" w:rsidRDefault="0089376A" w14:paraId="794F6057" w14:textId="4A41CC50">
            <w:pPr>
              <w:jc w:val="center"/>
              <w:rPr>
                <w:rFonts w:ascii="Times New Roman" w:hAnsi="Times New Roman"/>
                <w:color w:val="000000"/>
              </w:rPr>
            </w:pPr>
            <w:r w:rsidRPr="000F1A0C">
              <w:rPr>
                <w:rFonts w:ascii="Times New Roman" w:hAnsi="Times New Roman"/>
                <w:color w:val="000000"/>
              </w:rPr>
              <w:t>Jails sampling rate</w:t>
            </w:r>
          </w:p>
        </w:tc>
      </w:tr>
      <w:tr w:rsidRPr="00FE4E07" w:rsidR="0089376A" w:rsidTr="00C27BB4" w14:paraId="38DE7DB5" w14:textId="6FE08561">
        <w:trPr>
          <w:trHeight w:val="259" w:hRule="exact"/>
        </w:trPr>
        <w:tc>
          <w:tcPr>
            <w:tcW w:w="1920" w:type="dxa"/>
            <w:tcBorders>
              <w:top w:val="single" w:color="auto" w:sz="4" w:space="0"/>
              <w:bottom w:val="nil"/>
              <w:right w:val="single" w:color="auto" w:sz="4" w:space="0"/>
            </w:tcBorders>
            <w:shd w:val="clear" w:color="auto" w:fill="auto"/>
            <w:noWrap/>
            <w:vAlign w:val="bottom"/>
            <w:hideMark/>
          </w:tcPr>
          <w:p w:rsidRPr="000F1A0C" w:rsidR="0089376A" w:rsidP="0089376A" w:rsidRDefault="0089376A" w14:paraId="4A88579A" w14:textId="7DA4E496">
            <w:r w:rsidRPr="000F1A0C">
              <w:t>2950+</w:t>
            </w:r>
          </w:p>
        </w:tc>
        <w:tc>
          <w:tcPr>
            <w:tcW w:w="1296" w:type="dxa"/>
            <w:tcBorders>
              <w:top w:val="single" w:color="auto" w:sz="4" w:space="0"/>
              <w:left w:val="single" w:color="auto" w:sz="4" w:space="0"/>
              <w:bottom w:val="nil"/>
              <w:right w:val="single" w:color="auto" w:sz="4" w:space="0"/>
            </w:tcBorders>
            <w:shd w:val="clear" w:color="auto" w:fill="auto"/>
            <w:noWrap/>
            <w:vAlign w:val="bottom"/>
            <w:hideMark/>
          </w:tcPr>
          <w:p w:rsidRPr="000F1A0C" w:rsidR="0089376A" w:rsidP="0089376A" w:rsidRDefault="0089376A" w14:paraId="6B9599DE" w14:textId="54FEB7FE">
            <w:pPr>
              <w:jc w:val="right"/>
            </w:pPr>
            <w:r w:rsidRPr="000F1A0C">
              <w:t>11</w:t>
            </w:r>
          </w:p>
        </w:tc>
        <w:tc>
          <w:tcPr>
            <w:tcW w:w="1374" w:type="dxa"/>
            <w:tcBorders>
              <w:top w:val="single" w:color="auto" w:sz="4" w:space="0"/>
              <w:left w:val="single" w:color="auto" w:sz="4" w:space="0"/>
              <w:bottom w:val="nil"/>
              <w:right w:val="single" w:color="auto" w:sz="4" w:space="0"/>
            </w:tcBorders>
            <w:vAlign w:val="bottom"/>
          </w:tcPr>
          <w:p w:rsidRPr="00D83CE5" w:rsidR="0089376A" w:rsidP="0089376A" w:rsidRDefault="0089376A" w14:paraId="0005831C" w14:textId="4A181A77">
            <w:pPr>
              <w:jc w:val="right"/>
            </w:pPr>
            <w:r w:rsidRPr="00D83CE5">
              <w:t>44,770</w:t>
            </w:r>
          </w:p>
        </w:tc>
        <w:tc>
          <w:tcPr>
            <w:tcW w:w="1800" w:type="dxa"/>
            <w:tcBorders>
              <w:top w:val="single" w:color="auto" w:sz="4" w:space="0"/>
              <w:left w:val="single" w:color="auto" w:sz="4" w:space="0"/>
              <w:bottom w:val="nil"/>
              <w:right w:val="single" w:color="auto" w:sz="4" w:space="0"/>
            </w:tcBorders>
            <w:shd w:val="clear" w:color="auto" w:fill="auto"/>
            <w:noWrap/>
            <w:vAlign w:val="bottom"/>
            <w:hideMark/>
          </w:tcPr>
          <w:p w:rsidRPr="000F1A0C" w:rsidR="0089376A" w:rsidP="0089376A" w:rsidRDefault="0089376A" w14:paraId="653CBB34" w14:textId="62EB82CB">
            <w:pPr>
              <w:jc w:val="right"/>
            </w:pPr>
            <w:r w:rsidRPr="000F1A0C">
              <w:t>14,907</w:t>
            </w:r>
          </w:p>
        </w:tc>
        <w:tc>
          <w:tcPr>
            <w:tcW w:w="1530" w:type="dxa"/>
            <w:tcBorders>
              <w:top w:val="single" w:color="auto" w:sz="4" w:space="0"/>
              <w:left w:val="single" w:color="auto" w:sz="4" w:space="0"/>
              <w:bottom w:val="nil"/>
              <w:right w:val="single" w:color="auto" w:sz="4" w:space="0"/>
            </w:tcBorders>
            <w:shd w:val="clear" w:color="auto" w:fill="auto"/>
            <w:noWrap/>
            <w:vAlign w:val="bottom"/>
            <w:hideMark/>
          </w:tcPr>
          <w:p w:rsidRPr="00676BD8" w:rsidR="0089376A" w:rsidP="0089376A" w:rsidRDefault="0089376A" w14:paraId="65E6A6E9" w14:textId="5CE940C4">
            <w:pPr>
              <w:jc w:val="right"/>
            </w:pPr>
            <w:r w:rsidRPr="000F1A0C">
              <w:t>10.4</w:t>
            </w:r>
          </w:p>
        </w:tc>
        <w:tc>
          <w:tcPr>
            <w:tcW w:w="1440" w:type="dxa"/>
            <w:tcBorders>
              <w:top w:val="single" w:color="auto" w:sz="4" w:space="0"/>
              <w:left w:val="single" w:color="auto" w:sz="4" w:space="0"/>
              <w:bottom w:val="nil"/>
            </w:tcBorders>
            <w:shd w:val="clear" w:color="auto" w:fill="auto"/>
            <w:noWrap/>
            <w:vAlign w:val="bottom"/>
            <w:hideMark/>
          </w:tcPr>
          <w:p w:rsidRPr="00676BD8" w:rsidR="0089376A" w:rsidP="0089376A" w:rsidRDefault="0089376A" w14:paraId="5C9E1D7F" w14:textId="7B669057">
            <w:pPr>
              <w:jc w:val="right"/>
            </w:pPr>
            <w:r w:rsidRPr="000F1A0C">
              <w:t>94.1%</w:t>
            </w:r>
          </w:p>
        </w:tc>
      </w:tr>
      <w:tr w:rsidRPr="00FE4E07" w:rsidR="0089376A" w:rsidTr="00C27BB4" w14:paraId="10BCF902" w14:textId="77777777">
        <w:trPr>
          <w:trHeight w:val="259" w:hRule="exact"/>
        </w:trPr>
        <w:tc>
          <w:tcPr>
            <w:tcW w:w="1920" w:type="dxa"/>
            <w:tcBorders>
              <w:top w:val="nil"/>
              <w:bottom w:val="nil"/>
              <w:right w:val="single" w:color="auto" w:sz="4" w:space="0"/>
            </w:tcBorders>
            <w:shd w:val="clear" w:color="auto" w:fill="auto"/>
            <w:noWrap/>
            <w:vAlign w:val="bottom"/>
          </w:tcPr>
          <w:p w:rsidRPr="000401E5" w:rsidR="0089376A" w:rsidP="0089376A" w:rsidRDefault="0089376A" w14:paraId="29F98F0E" w14:textId="39E246AE">
            <w:r w:rsidRPr="000F1A0C">
              <w:t>2500 to 2949</w:t>
            </w:r>
          </w:p>
        </w:tc>
        <w:tc>
          <w:tcPr>
            <w:tcW w:w="1296" w:type="dxa"/>
            <w:tcBorders>
              <w:top w:val="nil"/>
              <w:left w:val="single" w:color="auto" w:sz="4" w:space="0"/>
              <w:bottom w:val="nil"/>
              <w:right w:val="single" w:color="auto" w:sz="4" w:space="0"/>
            </w:tcBorders>
            <w:shd w:val="clear" w:color="auto" w:fill="auto"/>
            <w:noWrap/>
            <w:vAlign w:val="bottom"/>
          </w:tcPr>
          <w:p w:rsidRPr="000401E5" w:rsidR="0089376A" w:rsidP="0089376A" w:rsidRDefault="0089376A" w14:paraId="65F1C76D" w14:textId="443C9B54">
            <w:pPr>
              <w:jc w:val="right"/>
            </w:pPr>
            <w:r w:rsidRPr="000F1A0C">
              <w:t>6</w:t>
            </w:r>
          </w:p>
        </w:tc>
        <w:tc>
          <w:tcPr>
            <w:tcW w:w="1374" w:type="dxa"/>
            <w:tcBorders>
              <w:top w:val="nil"/>
              <w:left w:val="single" w:color="auto" w:sz="4" w:space="0"/>
              <w:bottom w:val="nil"/>
              <w:right w:val="single" w:color="auto" w:sz="4" w:space="0"/>
            </w:tcBorders>
            <w:vAlign w:val="bottom"/>
          </w:tcPr>
          <w:p w:rsidRPr="00D83CE5" w:rsidR="0089376A" w:rsidP="0089376A" w:rsidRDefault="0089376A" w14:paraId="472EE882" w14:textId="19BC1AC7">
            <w:pPr>
              <w:jc w:val="right"/>
            </w:pPr>
            <w:r w:rsidRPr="00D83CE5">
              <w:t>16,083</w:t>
            </w:r>
          </w:p>
        </w:tc>
        <w:tc>
          <w:tcPr>
            <w:tcW w:w="1800" w:type="dxa"/>
            <w:tcBorders>
              <w:top w:val="nil"/>
              <w:left w:val="single" w:color="auto" w:sz="4" w:space="0"/>
              <w:bottom w:val="nil"/>
              <w:right w:val="single" w:color="auto" w:sz="4" w:space="0"/>
            </w:tcBorders>
            <w:shd w:val="clear" w:color="auto" w:fill="auto"/>
            <w:noWrap/>
            <w:vAlign w:val="bottom"/>
          </w:tcPr>
          <w:p w:rsidRPr="000401E5" w:rsidR="0089376A" w:rsidP="0089376A" w:rsidRDefault="0089376A" w14:paraId="077C9B69" w14:textId="6E838915">
            <w:pPr>
              <w:jc w:val="right"/>
            </w:pPr>
            <w:r w:rsidRPr="000F1A0C">
              <w:t>7,303</w:t>
            </w:r>
          </w:p>
        </w:tc>
        <w:tc>
          <w:tcPr>
            <w:tcW w:w="1530" w:type="dxa"/>
            <w:tcBorders>
              <w:top w:val="nil"/>
              <w:left w:val="single" w:color="auto" w:sz="4" w:space="0"/>
              <w:bottom w:val="nil"/>
              <w:right w:val="single" w:color="auto" w:sz="4" w:space="0"/>
            </w:tcBorders>
            <w:shd w:val="clear" w:color="auto" w:fill="auto"/>
            <w:noWrap/>
            <w:vAlign w:val="bottom"/>
          </w:tcPr>
          <w:p w:rsidRPr="000401E5" w:rsidR="0089376A" w:rsidP="0089376A" w:rsidRDefault="0089376A" w14:paraId="5262B375" w14:textId="2EBB11BA">
            <w:pPr>
              <w:jc w:val="right"/>
            </w:pPr>
            <w:r w:rsidRPr="000F1A0C">
              <w:t>5.3</w:t>
            </w:r>
          </w:p>
        </w:tc>
        <w:tc>
          <w:tcPr>
            <w:tcW w:w="1440" w:type="dxa"/>
            <w:tcBorders>
              <w:top w:val="nil"/>
              <w:left w:val="single" w:color="auto" w:sz="4" w:space="0"/>
              <w:bottom w:val="nil"/>
            </w:tcBorders>
            <w:shd w:val="clear" w:color="auto" w:fill="auto"/>
            <w:noWrap/>
            <w:vAlign w:val="bottom"/>
          </w:tcPr>
          <w:p w:rsidRPr="000401E5" w:rsidR="0089376A" w:rsidP="0089376A" w:rsidRDefault="0089376A" w14:paraId="2F8B5EB4" w14:textId="59A3D64C">
            <w:pPr>
              <w:jc w:val="right"/>
            </w:pPr>
            <w:r w:rsidRPr="000F1A0C">
              <w:t>88.2%</w:t>
            </w:r>
          </w:p>
        </w:tc>
      </w:tr>
      <w:tr w:rsidRPr="00FE4E07" w:rsidR="0089376A" w:rsidTr="00C27BB4" w14:paraId="6E9C4145" w14:textId="4779329B">
        <w:trPr>
          <w:trHeight w:val="259" w:hRule="exact"/>
        </w:trPr>
        <w:tc>
          <w:tcPr>
            <w:tcW w:w="1920" w:type="dxa"/>
            <w:tcBorders>
              <w:top w:val="nil"/>
              <w:bottom w:val="nil"/>
              <w:right w:val="single" w:color="auto" w:sz="4" w:space="0"/>
            </w:tcBorders>
            <w:shd w:val="clear" w:color="auto" w:fill="auto"/>
            <w:noWrap/>
            <w:vAlign w:val="bottom"/>
            <w:hideMark/>
          </w:tcPr>
          <w:p w:rsidRPr="00B228F8" w:rsidR="0089376A" w:rsidP="0089376A" w:rsidRDefault="0089376A" w14:paraId="4A896A29" w14:textId="38BE422D">
            <w:r w:rsidRPr="000F1A0C">
              <w:t>1000 to 2499</w:t>
            </w:r>
          </w:p>
        </w:tc>
        <w:tc>
          <w:tcPr>
            <w:tcW w:w="1296" w:type="dxa"/>
            <w:tcBorders>
              <w:top w:val="nil"/>
              <w:left w:val="single" w:color="auto" w:sz="4" w:space="0"/>
              <w:bottom w:val="nil"/>
              <w:right w:val="single" w:color="auto" w:sz="4" w:space="0"/>
            </w:tcBorders>
            <w:shd w:val="clear" w:color="auto" w:fill="auto"/>
            <w:noWrap/>
            <w:vAlign w:val="bottom"/>
            <w:hideMark/>
          </w:tcPr>
          <w:p w:rsidRPr="000F1A0C" w:rsidR="0089376A" w:rsidP="0089376A" w:rsidRDefault="0089376A" w14:paraId="14BA85D5" w14:textId="10D40BD3">
            <w:pPr>
              <w:jc w:val="right"/>
            </w:pPr>
            <w:r w:rsidRPr="000F1A0C">
              <w:t>120</w:t>
            </w:r>
          </w:p>
        </w:tc>
        <w:tc>
          <w:tcPr>
            <w:tcW w:w="1374" w:type="dxa"/>
            <w:tcBorders>
              <w:top w:val="nil"/>
              <w:left w:val="single" w:color="auto" w:sz="4" w:space="0"/>
              <w:bottom w:val="nil"/>
              <w:right w:val="single" w:color="auto" w:sz="4" w:space="0"/>
            </w:tcBorders>
            <w:vAlign w:val="bottom"/>
          </w:tcPr>
          <w:p w:rsidRPr="00D83CE5" w:rsidR="0089376A" w:rsidP="0089376A" w:rsidRDefault="0089376A" w14:paraId="62850472" w14:textId="605C0C13">
            <w:pPr>
              <w:jc w:val="right"/>
            </w:pPr>
            <w:r w:rsidRPr="00D83CE5">
              <w:t>175,878</w:t>
            </w:r>
          </w:p>
        </w:tc>
        <w:tc>
          <w:tcPr>
            <w:tcW w:w="1800" w:type="dxa"/>
            <w:tcBorders>
              <w:top w:val="nil"/>
              <w:left w:val="single" w:color="auto" w:sz="4" w:space="0"/>
              <w:bottom w:val="nil"/>
              <w:right w:val="single" w:color="auto" w:sz="4" w:space="0"/>
            </w:tcBorders>
            <w:shd w:val="clear" w:color="auto" w:fill="auto"/>
            <w:noWrap/>
            <w:vAlign w:val="bottom"/>
            <w:hideMark/>
          </w:tcPr>
          <w:p w:rsidRPr="000F1A0C" w:rsidR="0089376A" w:rsidP="0089376A" w:rsidRDefault="0089376A" w14:paraId="52ACF52C" w14:textId="6D9AB0FE">
            <w:pPr>
              <w:jc w:val="right"/>
            </w:pPr>
            <w:r w:rsidRPr="000F1A0C">
              <w:t>85,194</w:t>
            </w:r>
          </w:p>
        </w:tc>
        <w:tc>
          <w:tcPr>
            <w:tcW w:w="1530" w:type="dxa"/>
            <w:tcBorders>
              <w:top w:val="nil"/>
              <w:left w:val="single" w:color="auto" w:sz="4" w:space="0"/>
              <w:bottom w:val="nil"/>
              <w:right w:val="single" w:color="auto" w:sz="4" w:space="0"/>
            </w:tcBorders>
            <w:shd w:val="clear" w:color="auto" w:fill="auto"/>
            <w:noWrap/>
            <w:vAlign w:val="bottom"/>
            <w:hideMark/>
          </w:tcPr>
          <w:p w:rsidRPr="00676BD8" w:rsidR="0089376A" w:rsidP="0089376A" w:rsidRDefault="0089376A" w14:paraId="50468D0C" w14:textId="096888D5">
            <w:pPr>
              <w:jc w:val="right"/>
            </w:pPr>
            <w:r w:rsidRPr="000F1A0C">
              <w:t>61.7</w:t>
            </w:r>
          </w:p>
        </w:tc>
        <w:tc>
          <w:tcPr>
            <w:tcW w:w="1440" w:type="dxa"/>
            <w:tcBorders>
              <w:top w:val="nil"/>
              <w:left w:val="single" w:color="auto" w:sz="4" w:space="0"/>
              <w:bottom w:val="nil"/>
            </w:tcBorders>
            <w:shd w:val="clear" w:color="auto" w:fill="auto"/>
            <w:noWrap/>
            <w:vAlign w:val="bottom"/>
            <w:hideMark/>
          </w:tcPr>
          <w:p w:rsidRPr="00676BD8" w:rsidR="0089376A" w:rsidP="0089376A" w:rsidRDefault="0089376A" w14:paraId="3D9DED10" w14:textId="0A56031D">
            <w:pPr>
              <w:jc w:val="right"/>
            </w:pPr>
            <w:r w:rsidRPr="000F1A0C">
              <w:t>51.4%</w:t>
            </w:r>
          </w:p>
        </w:tc>
      </w:tr>
      <w:tr w:rsidRPr="00FE4E07" w:rsidR="0089376A" w:rsidTr="00C27BB4" w14:paraId="33262F4E" w14:textId="4B156C99">
        <w:trPr>
          <w:trHeight w:val="259" w:hRule="exact"/>
        </w:trPr>
        <w:tc>
          <w:tcPr>
            <w:tcW w:w="1920" w:type="dxa"/>
            <w:tcBorders>
              <w:top w:val="nil"/>
              <w:bottom w:val="nil"/>
              <w:right w:val="single" w:color="auto" w:sz="4" w:space="0"/>
            </w:tcBorders>
            <w:shd w:val="clear" w:color="auto" w:fill="auto"/>
            <w:noWrap/>
            <w:vAlign w:val="bottom"/>
            <w:hideMark/>
          </w:tcPr>
          <w:p w:rsidRPr="000F1A0C" w:rsidR="0089376A" w:rsidP="0089376A" w:rsidRDefault="0089376A" w14:paraId="7B80F8B0" w14:textId="75FD7E54">
            <w:r w:rsidRPr="000F1A0C">
              <w:t>500 to 999</w:t>
            </w:r>
          </w:p>
        </w:tc>
        <w:tc>
          <w:tcPr>
            <w:tcW w:w="1296" w:type="dxa"/>
            <w:tcBorders>
              <w:top w:val="nil"/>
              <w:left w:val="single" w:color="auto" w:sz="4" w:space="0"/>
              <w:bottom w:val="nil"/>
              <w:right w:val="single" w:color="auto" w:sz="4" w:space="0"/>
            </w:tcBorders>
            <w:shd w:val="clear" w:color="auto" w:fill="auto"/>
            <w:noWrap/>
            <w:vAlign w:val="bottom"/>
            <w:hideMark/>
          </w:tcPr>
          <w:p w:rsidRPr="000F1A0C" w:rsidR="0089376A" w:rsidP="0089376A" w:rsidRDefault="0089376A" w14:paraId="1DD16543" w14:textId="5113EF4A">
            <w:pPr>
              <w:jc w:val="right"/>
            </w:pPr>
            <w:r w:rsidRPr="000F1A0C">
              <w:t>264</w:t>
            </w:r>
          </w:p>
        </w:tc>
        <w:tc>
          <w:tcPr>
            <w:tcW w:w="1374" w:type="dxa"/>
            <w:tcBorders>
              <w:top w:val="nil"/>
              <w:left w:val="single" w:color="auto" w:sz="4" w:space="0"/>
              <w:bottom w:val="nil"/>
              <w:right w:val="single" w:color="auto" w:sz="4" w:space="0"/>
            </w:tcBorders>
            <w:vAlign w:val="bottom"/>
          </w:tcPr>
          <w:p w:rsidRPr="00D83CE5" w:rsidR="0089376A" w:rsidP="0089376A" w:rsidRDefault="0089376A" w14:paraId="7335EADE" w14:textId="46480F31">
            <w:pPr>
              <w:jc w:val="right"/>
            </w:pPr>
            <w:r w:rsidRPr="00D83CE5">
              <w:t>186,724</w:t>
            </w:r>
          </w:p>
        </w:tc>
        <w:tc>
          <w:tcPr>
            <w:tcW w:w="1800" w:type="dxa"/>
            <w:tcBorders>
              <w:top w:val="nil"/>
              <w:left w:val="single" w:color="auto" w:sz="4" w:space="0"/>
              <w:bottom w:val="nil"/>
              <w:right w:val="single" w:color="auto" w:sz="4" w:space="0"/>
            </w:tcBorders>
            <w:shd w:val="clear" w:color="auto" w:fill="auto"/>
            <w:noWrap/>
            <w:vAlign w:val="bottom"/>
            <w:hideMark/>
          </w:tcPr>
          <w:p w:rsidRPr="000F1A0C" w:rsidR="0089376A" w:rsidP="0089376A" w:rsidRDefault="0089376A" w14:paraId="05266F6B" w14:textId="24087324">
            <w:pPr>
              <w:jc w:val="right"/>
            </w:pPr>
            <w:r w:rsidRPr="000F1A0C">
              <w:t>96,858</w:t>
            </w:r>
          </w:p>
        </w:tc>
        <w:tc>
          <w:tcPr>
            <w:tcW w:w="1530" w:type="dxa"/>
            <w:tcBorders>
              <w:top w:val="nil"/>
              <w:left w:val="single" w:color="auto" w:sz="4" w:space="0"/>
              <w:bottom w:val="nil"/>
              <w:right w:val="single" w:color="auto" w:sz="4" w:space="0"/>
            </w:tcBorders>
            <w:shd w:val="clear" w:color="auto" w:fill="auto"/>
            <w:noWrap/>
            <w:vAlign w:val="bottom"/>
            <w:hideMark/>
          </w:tcPr>
          <w:p w:rsidRPr="00676BD8" w:rsidR="0089376A" w:rsidP="0089376A" w:rsidRDefault="0089376A" w14:paraId="2E8D1890" w14:textId="3BEA106E">
            <w:pPr>
              <w:jc w:val="right"/>
            </w:pPr>
            <w:r w:rsidRPr="000F1A0C">
              <w:t>70.2</w:t>
            </w:r>
          </w:p>
        </w:tc>
        <w:tc>
          <w:tcPr>
            <w:tcW w:w="1440" w:type="dxa"/>
            <w:tcBorders>
              <w:top w:val="nil"/>
              <w:left w:val="single" w:color="auto" w:sz="4" w:space="0"/>
              <w:bottom w:val="nil"/>
            </w:tcBorders>
            <w:shd w:val="clear" w:color="auto" w:fill="auto"/>
            <w:noWrap/>
            <w:vAlign w:val="bottom"/>
            <w:hideMark/>
          </w:tcPr>
          <w:p w:rsidRPr="00676BD8" w:rsidR="0089376A" w:rsidP="0089376A" w:rsidRDefault="0089376A" w14:paraId="75F42B18" w14:textId="1D851BE9">
            <w:pPr>
              <w:jc w:val="right"/>
            </w:pPr>
            <w:r w:rsidRPr="00DF037D">
              <w:t>26.6%</w:t>
            </w:r>
          </w:p>
        </w:tc>
      </w:tr>
      <w:tr w:rsidRPr="00FE4E07" w:rsidR="0089376A" w:rsidTr="00C27BB4" w14:paraId="0CFFB8BF" w14:textId="52498701">
        <w:trPr>
          <w:trHeight w:val="259" w:hRule="exact"/>
        </w:trPr>
        <w:tc>
          <w:tcPr>
            <w:tcW w:w="1920" w:type="dxa"/>
            <w:tcBorders>
              <w:top w:val="nil"/>
              <w:bottom w:val="nil"/>
              <w:right w:val="single" w:color="auto" w:sz="4" w:space="0"/>
            </w:tcBorders>
            <w:shd w:val="clear" w:color="auto" w:fill="auto"/>
            <w:noWrap/>
            <w:vAlign w:val="bottom"/>
            <w:hideMark/>
          </w:tcPr>
          <w:p w:rsidRPr="000F1A0C" w:rsidR="0089376A" w:rsidP="0089376A" w:rsidRDefault="0089376A" w14:paraId="5AF19947" w14:textId="18E44F62">
            <w:r w:rsidRPr="000F1A0C">
              <w:t>250 to 499</w:t>
            </w:r>
          </w:p>
        </w:tc>
        <w:tc>
          <w:tcPr>
            <w:tcW w:w="1296" w:type="dxa"/>
            <w:tcBorders>
              <w:top w:val="nil"/>
              <w:left w:val="single" w:color="auto" w:sz="4" w:space="0"/>
              <w:bottom w:val="nil"/>
              <w:right w:val="single" w:color="auto" w:sz="4" w:space="0"/>
            </w:tcBorders>
            <w:shd w:val="clear" w:color="auto" w:fill="auto"/>
            <w:noWrap/>
            <w:vAlign w:val="bottom"/>
            <w:hideMark/>
          </w:tcPr>
          <w:p w:rsidRPr="00DF037D" w:rsidR="0089376A" w:rsidP="0089376A" w:rsidRDefault="0089376A" w14:paraId="01921FC0" w14:textId="28EBFA44">
            <w:pPr>
              <w:jc w:val="right"/>
            </w:pPr>
            <w:r w:rsidRPr="00DF037D">
              <w:t>392</w:t>
            </w:r>
          </w:p>
        </w:tc>
        <w:tc>
          <w:tcPr>
            <w:tcW w:w="1374" w:type="dxa"/>
            <w:tcBorders>
              <w:top w:val="nil"/>
              <w:left w:val="single" w:color="auto" w:sz="4" w:space="0"/>
              <w:bottom w:val="nil"/>
              <w:right w:val="single" w:color="auto" w:sz="4" w:space="0"/>
            </w:tcBorders>
            <w:vAlign w:val="bottom"/>
          </w:tcPr>
          <w:p w:rsidRPr="00D83CE5" w:rsidR="0089376A" w:rsidP="0089376A" w:rsidRDefault="0089376A" w14:paraId="2DA75EEF" w14:textId="557B9FEB">
            <w:pPr>
              <w:jc w:val="right"/>
            </w:pPr>
            <w:r w:rsidRPr="00D83CE5">
              <w:t>137,719</w:t>
            </w:r>
          </w:p>
        </w:tc>
        <w:tc>
          <w:tcPr>
            <w:tcW w:w="1800" w:type="dxa"/>
            <w:tcBorders>
              <w:top w:val="nil"/>
              <w:left w:val="single" w:color="auto" w:sz="4" w:space="0"/>
              <w:bottom w:val="nil"/>
              <w:right w:val="single" w:color="auto" w:sz="4" w:space="0"/>
            </w:tcBorders>
            <w:shd w:val="clear" w:color="auto" w:fill="auto"/>
            <w:noWrap/>
            <w:vAlign w:val="bottom"/>
            <w:hideMark/>
          </w:tcPr>
          <w:p w:rsidRPr="00DF037D" w:rsidR="0089376A" w:rsidP="0089376A" w:rsidRDefault="0089376A" w14:paraId="5DD8ABE4" w14:textId="768028BA">
            <w:pPr>
              <w:jc w:val="right"/>
            </w:pPr>
            <w:r w:rsidRPr="00DF037D">
              <w:t>76,760</w:t>
            </w:r>
          </w:p>
        </w:tc>
        <w:tc>
          <w:tcPr>
            <w:tcW w:w="1530" w:type="dxa"/>
            <w:tcBorders>
              <w:top w:val="nil"/>
              <w:left w:val="single" w:color="auto" w:sz="4" w:space="0"/>
              <w:bottom w:val="nil"/>
              <w:right w:val="single" w:color="auto" w:sz="4" w:space="0"/>
            </w:tcBorders>
            <w:shd w:val="clear" w:color="auto" w:fill="auto"/>
            <w:noWrap/>
            <w:vAlign w:val="bottom"/>
            <w:hideMark/>
          </w:tcPr>
          <w:p w:rsidRPr="00676BD8" w:rsidR="0089376A" w:rsidP="0089376A" w:rsidRDefault="0089376A" w14:paraId="5C472AEF" w14:textId="62FE0036">
            <w:pPr>
              <w:jc w:val="right"/>
            </w:pPr>
            <w:r w:rsidRPr="00DF037D">
              <w:t>55.9</w:t>
            </w:r>
          </w:p>
        </w:tc>
        <w:tc>
          <w:tcPr>
            <w:tcW w:w="1440" w:type="dxa"/>
            <w:tcBorders>
              <w:top w:val="nil"/>
              <w:left w:val="single" w:color="auto" w:sz="4" w:space="0"/>
              <w:bottom w:val="nil"/>
            </w:tcBorders>
            <w:shd w:val="clear" w:color="auto" w:fill="auto"/>
            <w:noWrap/>
            <w:vAlign w:val="bottom"/>
            <w:hideMark/>
          </w:tcPr>
          <w:p w:rsidRPr="00676BD8" w:rsidR="0089376A" w:rsidP="0089376A" w:rsidRDefault="0089376A" w14:paraId="314707B7" w14:textId="455B14BF">
            <w:pPr>
              <w:jc w:val="right"/>
            </w:pPr>
            <w:r w:rsidRPr="000F1A0C">
              <w:t>14.3%</w:t>
            </w:r>
          </w:p>
        </w:tc>
      </w:tr>
      <w:tr w:rsidRPr="00FE4E07" w:rsidR="0089376A" w:rsidTr="00C27BB4" w14:paraId="13A7773E" w14:textId="77777777">
        <w:trPr>
          <w:trHeight w:val="259" w:hRule="exact"/>
        </w:trPr>
        <w:tc>
          <w:tcPr>
            <w:tcW w:w="1920" w:type="dxa"/>
            <w:tcBorders>
              <w:top w:val="nil"/>
              <w:bottom w:val="nil"/>
              <w:right w:val="single" w:color="auto" w:sz="4" w:space="0"/>
            </w:tcBorders>
            <w:shd w:val="clear" w:color="auto" w:fill="auto"/>
            <w:noWrap/>
            <w:vAlign w:val="bottom"/>
          </w:tcPr>
          <w:p w:rsidRPr="00DF037D" w:rsidR="0089376A" w:rsidP="0089376A" w:rsidRDefault="0089376A" w14:paraId="6E9C235F" w14:textId="09C6279D">
            <w:r w:rsidRPr="000F1A0C">
              <w:t>175 to 249</w:t>
            </w:r>
          </w:p>
        </w:tc>
        <w:tc>
          <w:tcPr>
            <w:tcW w:w="1296" w:type="dxa"/>
            <w:tcBorders>
              <w:top w:val="nil"/>
              <w:left w:val="single" w:color="auto" w:sz="4" w:space="0"/>
              <w:bottom w:val="nil"/>
              <w:right w:val="single" w:color="auto" w:sz="4" w:space="0"/>
            </w:tcBorders>
            <w:shd w:val="clear" w:color="auto" w:fill="auto"/>
            <w:noWrap/>
            <w:vAlign w:val="bottom"/>
          </w:tcPr>
          <w:p w:rsidRPr="00DF037D" w:rsidR="0089376A" w:rsidP="0089376A" w:rsidRDefault="0089376A" w14:paraId="7705E986" w14:textId="4E6DEA63">
            <w:pPr>
              <w:jc w:val="right"/>
            </w:pPr>
            <w:r w:rsidRPr="00DF037D">
              <w:t>263</w:t>
            </w:r>
          </w:p>
        </w:tc>
        <w:tc>
          <w:tcPr>
            <w:tcW w:w="1374" w:type="dxa"/>
            <w:tcBorders>
              <w:top w:val="nil"/>
              <w:left w:val="single" w:color="auto" w:sz="4" w:space="0"/>
              <w:bottom w:val="nil"/>
              <w:right w:val="single" w:color="auto" w:sz="4" w:space="0"/>
            </w:tcBorders>
            <w:vAlign w:val="bottom"/>
          </w:tcPr>
          <w:p w:rsidRPr="00D83CE5" w:rsidR="0089376A" w:rsidP="0089376A" w:rsidRDefault="0089376A" w14:paraId="3C2A461C" w14:textId="02B2E167">
            <w:pPr>
              <w:jc w:val="right"/>
            </w:pPr>
            <w:r w:rsidRPr="00D83CE5">
              <w:t>54,426</w:t>
            </w:r>
          </w:p>
        </w:tc>
        <w:tc>
          <w:tcPr>
            <w:tcW w:w="1800" w:type="dxa"/>
            <w:tcBorders>
              <w:top w:val="nil"/>
              <w:left w:val="single" w:color="auto" w:sz="4" w:space="0"/>
              <w:bottom w:val="nil"/>
              <w:right w:val="single" w:color="auto" w:sz="4" w:space="0"/>
            </w:tcBorders>
            <w:shd w:val="clear" w:color="auto" w:fill="auto"/>
            <w:noWrap/>
            <w:vAlign w:val="bottom"/>
          </w:tcPr>
          <w:p w:rsidRPr="00DF037D" w:rsidR="0089376A" w:rsidP="0089376A" w:rsidRDefault="0089376A" w14:paraId="38DCA25B" w14:textId="08F1B7F1">
            <w:pPr>
              <w:jc w:val="right"/>
            </w:pPr>
            <w:r w:rsidRPr="00DF037D">
              <w:t>32,039</w:t>
            </w:r>
          </w:p>
        </w:tc>
        <w:tc>
          <w:tcPr>
            <w:tcW w:w="1530" w:type="dxa"/>
            <w:tcBorders>
              <w:top w:val="nil"/>
              <w:left w:val="single" w:color="auto" w:sz="4" w:space="0"/>
              <w:bottom w:val="nil"/>
              <w:right w:val="single" w:color="auto" w:sz="4" w:space="0"/>
            </w:tcBorders>
            <w:shd w:val="clear" w:color="auto" w:fill="auto"/>
            <w:noWrap/>
            <w:vAlign w:val="bottom"/>
          </w:tcPr>
          <w:p w:rsidRPr="00676BD8" w:rsidR="0089376A" w:rsidP="0089376A" w:rsidRDefault="0089376A" w14:paraId="034D4D76" w14:textId="76DA356B">
            <w:pPr>
              <w:jc w:val="right"/>
            </w:pPr>
            <w:r w:rsidRPr="000F1A0C">
              <w:t>23.4</w:t>
            </w:r>
          </w:p>
        </w:tc>
        <w:tc>
          <w:tcPr>
            <w:tcW w:w="1440" w:type="dxa"/>
            <w:tcBorders>
              <w:top w:val="nil"/>
              <w:left w:val="single" w:color="auto" w:sz="4" w:space="0"/>
              <w:bottom w:val="nil"/>
            </w:tcBorders>
            <w:shd w:val="clear" w:color="auto" w:fill="auto"/>
            <w:noWrap/>
            <w:vAlign w:val="bottom"/>
          </w:tcPr>
          <w:p w:rsidRPr="00676BD8" w:rsidR="0089376A" w:rsidP="0089376A" w:rsidRDefault="0089376A" w14:paraId="47A15785" w14:textId="2C403DC9">
            <w:pPr>
              <w:jc w:val="right"/>
            </w:pPr>
            <w:r w:rsidRPr="00DF037D">
              <w:t>8.9%</w:t>
            </w:r>
          </w:p>
        </w:tc>
      </w:tr>
      <w:tr w:rsidRPr="00FE4E07" w:rsidR="0089376A" w:rsidTr="00C27BB4" w14:paraId="338DAD95" w14:textId="77777777">
        <w:trPr>
          <w:trHeight w:val="259" w:hRule="exact"/>
        </w:trPr>
        <w:tc>
          <w:tcPr>
            <w:tcW w:w="1920" w:type="dxa"/>
            <w:tcBorders>
              <w:top w:val="nil"/>
              <w:bottom w:val="nil"/>
              <w:right w:val="single" w:color="auto" w:sz="4" w:space="0"/>
            </w:tcBorders>
            <w:shd w:val="clear" w:color="auto" w:fill="auto"/>
            <w:noWrap/>
            <w:vAlign w:val="bottom"/>
          </w:tcPr>
          <w:p w:rsidRPr="000401E5" w:rsidR="0089376A" w:rsidP="0089376A" w:rsidRDefault="0089376A" w14:paraId="2BFFE5A9" w14:textId="11EA70AE">
            <w:r w:rsidRPr="00DF037D">
              <w:t>140 to 174</w:t>
            </w:r>
          </w:p>
        </w:tc>
        <w:tc>
          <w:tcPr>
            <w:tcW w:w="1296" w:type="dxa"/>
            <w:tcBorders>
              <w:top w:val="nil"/>
              <w:left w:val="single" w:color="auto" w:sz="4" w:space="0"/>
              <w:bottom w:val="nil"/>
              <w:right w:val="single" w:color="auto" w:sz="4" w:space="0"/>
            </w:tcBorders>
            <w:shd w:val="clear" w:color="auto" w:fill="auto"/>
            <w:noWrap/>
            <w:vAlign w:val="bottom"/>
          </w:tcPr>
          <w:p w:rsidRPr="000401E5" w:rsidR="0089376A" w:rsidP="0089376A" w:rsidRDefault="0089376A" w14:paraId="131A3C85" w14:textId="0912C699">
            <w:pPr>
              <w:jc w:val="right"/>
            </w:pPr>
            <w:r w:rsidRPr="00DF037D">
              <w:t>177</w:t>
            </w:r>
          </w:p>
        </w:tc>
        <w:tc>
          <w:tcPr>
            <w:tcW w:w="1374" w:type="dxa"/>
            <w:tcBorders>
              <w:top w:val="nil"/>
              <w:left w:val="single" w:color="auto" w:sz="4" w:space="0"/>
              <w:bottom w:val="nil"/>
              <w:right w:val="single" w:color="auto" w:sz="4" w:space="0"/>
            </w:tcBorders>
            <w:vAlign w:val="bottom"/>
          </w:tcPr>
          <w:p w:rsidRPr="00D83CE5" w:rsidR="0089376A" w:rsidP="0089376A" w:rsidRDefault="0089376A" w14:paraId="21A9BC02" w14:textId="237DD688">
            <w:pPr>
              <w:jc w:val="right"/>
            </w:pPr>
            <w:r w:rsidRPr="00D83CE5">
              <w:t>27,564</w:t>
            </w:r>
          </w:p>
        </w:tc>
        <w:tc>
          <w:tcPr>
            <w:tcW w:w="1800" w:type="dxa"/>
            <w:tcBorders>
              <w:top w:val="nil"/>
              <w:left w:val="single" w:color="auto" w:sz="4" w:space="0"/>
              <w:bottom w:val="nil"/>
              <w:right w:val="single" w:color="auto" w:sz="4" w:space="0"/>
            </w:tcBorders>
            <w:shd w:val="clear" w:color="auto" w:fill="auto"/>
            <w:noWrap/>
            <w:vAlign w:val="bottom"/>
          </w:tcPr>
          <w:p w:rsidRPr="000401E5" w:rsidR="0089376A" w:rsidP="0089376A" w:rsidRDefault="0089376A" w14:paraId="70906FAA" w14:textId="3CD0646F">
            <w:pPr>
              <w:jc w:val="right"/>
            </w:pPr>
            <w:r w:rsidRPr="00DF037D">
              <w:t>16,635</w:t>
            </w:r>
          </w:p>
        </w:tc>
        <w:tc>
          <w:tcPr>
            <w:tcW w:w="1530" w:type="dxa"/>
            <w:tcBorders>
              <w:top w:val="nil"/>
              <w:left w:val="single" w:color="auto" w:sz="4" w:space="0"/>
              <w:bottom w:val="nil"/>
              <w:right w:val="single" w:color="auto" w:sz="4" w:space="0"/>
            </w:tcBorders>
            <w:shd w:val="clear" w:color="auto" w:fill="auto"/>
            <w:noWrap/>
            <w:vAlign w:val="bottom"/>
          </w:tcPr>
          <w:p w:rsidRPr="000401E5" w:rsidR="0089376A" w:rsidP="0089376A" w:rsidRDefault="0089376A" w14:paraId="7018B32F" w14:textId="5C4E774E">
            <w:pPr>
              <w:jc w:val="right"/>
            </w:pPr>
            <w:r w:rsidRPr="000F1A0C">
              <w:t>12.3</w:t>
            </w:r>
          </w:p>
        </w:tc>
        <w:tc>
          <w:tcPr>
            <w:tcW w:w="1440" w:type="dxa"/>
            <w:tcBorders>
              <w:top w:val="nil"/>
              <w:left w:val="single" w:color="auto" w:sz="4" w:space="0"/>
              <w:bottom w:val="nil"/>
            </w:tcBorders>
            <w:shd w:val="clear" w:color="auto" w:fill="auto"/>
            <w:noWrap/>
            <w:vAlign w:val="bottom"/>
          </w:tcPr>
          <w:p w:rsidRPr="000401E5" w:rsidR="0089376A" w:rsidP="0089376A" w:rsidRDefault="0089376A" w14:paraId="7E9EF799" w14:textId="4943DDC0">
            <w:pPr>
              <w:jc w:val="right"/>
            </w:pPr>
            <w:r w:rsidRPr="00DF037D">
              <w:t>6.9%</w:t>
            </w:r>
          </w:p>
        </w:tc>
      </w:tr>
      <w:tr w:rsidRPr="00FE4E07" w:rsidR="0089376A" w:rsidTr="00C27BB4" w14:paraId="2FE4E698" w14:textId="0BC3BFA4">
        <w:trPr>
          <w:trHeight w:val="259" w:hRule="exact"/>
        </w:trPr>
        <w:tc>
          <w:tcPr>
            <w:tcW w:w="1920" w:type="dxa"/>
            <w:tcBorders>
              <w:top w:val="nil"/>
              <w:bottom w:val="nil"/>
              <w:right w:val="single" w:color="auto" w:sz="4" w:space="0"/>
            </w:tcBorders>
            <w:shd w:val="clear" w:color="auto" w:fill="auto"/>
            <w:noWrap/>
            <w:vAlign w:val="bottom"/>
            <w:hideMark/>
          </w:tcPr>
          <w:p w:rsidRPr="00DF037D" w:rsidR="0089376A" w:rsidP="0089376A" w:rsidRDefault="0089376A" w14:paraId="495F32E1" w14:textId="69F170FD">
            <w:r w:rsidRPr="00DF037D">
              <w:t>100 to 139</w:t>
            </w:r>
          </w:p>
        </w:tc>
        <w:tc>
          <w:tcPr>
            <w:tcW w:w="1296" w:type="dxa"/>
            <w:tcBorders>
              <w:top w:val="nil"/>
              <w:left w:val="single" w:color="auto" w:sz="4" w:space="0"/>
              <w:bottom w:val="nil"/>
              <w:right w:val="single" w:color="auto" w:sz="4" w:space="0"/>
            </w:tcBorders>
            <w:shd w:val="clear" w:color="auto" w:fill="auto"/>
            <w:noWrap/>
            <w:vAlign w:val="bottom"/>
            <w:hideMark/>
          </w:tcPr>
          <w:p w:rsidRPr="00DF037D" w:rsidR="0089376A" w:rsidP="0089376A" w:rsidRDefault="0089376A" w14:paraId="642FC41E" w14:textId="2C674258">
            <w:pPr>
              <w:jc w:val="right"/>
            </w:pPr>
            <w:r w:rsidRPr="000F1A0C">
              <w:t>270</w:t>
            </w:r>
          </w:p>
        </w:tc>
        <w:tc>
          <w:tcPr>
            <w:tcW w:w="1374" w:type="dxa"/>
            <w:tcBorders>
              <w:top w:val="nil"/>
              <w:left w:val="single" w:color="auto" w:sz="4" w:space="0"/>
              <w:bottom w:val="nil"/>
              <w:right w:val="single" w:color="auto" w:sz="4" w:space="0"/>
            </w:tcBorders>
            <w:vAlign w:val="bottom"/>
          </w:tcPr>
          <w:p w:rsidRPr="00D83CE5" w:rsidR="0089376A" w:rsidP="0089376A" w:rsidRDefault="0089376A" w14:paraId="6430BB43" w14:textId="2D9BD608">
            <w:pPr>
              <w:jc w:val="right"/>
            </w:pPr>
            <w:r w:rsidRPr="00D83CE5">
              <w:t>32,109</w:t>
            </w:r>
          </w:p>
        </w:tc>
        <w:tc>
          <w:tcPr>
            <w:tcW w:w="1800" w:type="dxa"/>
            <w:tcBorders>
              <w:top w:val="nil"/>
              <w:left w:val="single" w:color="auto" w:sz="4" w:space="0"/>
              <w:bottom w:val="nil"/>
              <w:right w:val="single" w:color="auto" w:sz="4" w:space="0"/>
            </w:tcBorders>
            <w:shd w:val="clear" w:color="auto" w:fill="auto"/>
            <w:noWrap/>
            <w:vAlign w:val="bottom"/>
            <w:hideMark/>
          </w:tcPr>
          <w:p w:rsidRPr="00DF037D" w:rsidR="0089376A" w:rsidP="0089376A" w:rsidRDefault="0089376A" w14:paraId="17839FB2" w14:textId="079E6FB9">
            <w:pPr>
              <w:jc w:val="right"/>
            </w:pPr>
            <w:r w:rsidRPr="00DF037D">
              <w:t>21,767</w:t>
            </w:r>
          </w:p>
        </w:tc>
        <w:tc>
          <w:tcPr>
            <w:tcW w:w="1530" w:type="dxa"/>
            <w:tcBorders>
              <w:top w:val="nil"/>
              <w:left w:val="single" w:color="auto" w:sz="4" w:space="0"/>
              <w:bottom w:val="nil"/>
              <w:right w:val="single" w:color="auto" w:sz="4" w:space="0"/>
            </w:tcBorders>
            <w:shd w:val="clear" w:color="auto" w:fill="auto"/>
            <w:noWrap/>
            <w:vAlign w:val="bottom"/>
            <w:hideMark/>
          </w:tcPr>
          <w:p w:rsidRPr="00676BD8" w:rsidR="0089376A" w:rsidP="0089376A" w:rsidRDefault="0089376A" w14:paraId="2F923F9D" w14:textId="2A8244FB">
            <w:pPr>
              <w:jc w:val="right"/>
            </w:pPr>
            <w:r w:rsidRPr="000F1A0C">
              <w:t>15.9</w:t>
            </w:r>
          </w:p>
        </w:tc>
        <w:tc>
          <w:tcPr>
            <w:tcW w:w="1440" w:type="dxa"/>
            <w:tcBorders>
              <w:top w:val="nil"/>
              <w:left w:val="single" w:color="auto" w:sz="4" w:space="0"/>
              <w:bottom w:val="nil"/>
            </w:tcBorders>
            <w:shd w:val="clear" w:color="auto" w:fill="auto"/>
            <w:noWrap/>
            <w:vAlign w:val="bottom"/>
            <w:hideMark/>
          </w:tcPr>
          <w:p w:rsidRPr="00676BD8" w:rsidR="0089376A" w:rsidP="0089376A" w:rsidRDefault="0089376A" w14:paraId="189F3C9C" w14:textId="629D0C4D">
            <w:pPr>
              <w:jc w:val="right"/>
            </w:pPr>
            <w:r w:rsidRPr="000F1A0C">
              <w:t>5.9%</w:t>
            </w:r>
          </w:p>
        </w:tc>
      </w:tr>
      <w:tr w:rsidRPr="00FE4E07" w:rsidR="0089376A" w:rsidTr="00C27BB4" w14:paraId="55951355" w14:textId="4F4B5164">
        <w:trPr>
          <w:trHeight w:val="259" w:hRule="exact"/>
        </w:trPr>
        <w:tc>
          <w:tcPr>
            <w:tcW w:w="1920" w:type="dxa"/>
            <w:tcBorders>
              <w:top w:val="nil"/>
              <w:bottom w:val="nil"/>
              <w:right w:val="single" w:color="auto" w:sz="4" w:space="0"/>
            </w:tcBorders>
            <w:shd w:val="clear" w:color="auto" w:fill="auto"/>
            <w:noWrap/>
            <w:vAlign w:val="bottom"/>
            <w:hideMark/>
          </w:tcPr>
          <w:p w:rsidRPr="000F1A0C" w:rsidR="0089376A" w:rsidP="0089376A" w:rsidRDefault="0089376A" w14:paraId="7B6F185A" w14:textId="6E889970">
            <w:r w:rsidRPr="000F1A0C">
              <w:t>50 to 99</w:t>
            </w:r>
          </w:p>
        </w:tc>
        <w:tc>
          <w:tcPr>
            <w:tcW w:w="1296" w:type="dxa"/>
            <w:tcBorders>
              <w:top w:val="nil"/>
              <w:left w:val="single" w:color="auto" w:sz="4" w:space="0"/>
              <w:bottom w:val="nil"/>
              <w:right w:val="single" w:color="auto" w:sz="4" w:space="0"/>
            </w:tcBorders>
            <w:shd w:val="clear" w:color="auto" w:fill="auto"/>
            <w:noWrap/>
            <w:vAlign w:val="bottom"/>
            <w:hideMark/>
          </w:tcPr>
          <w:p w:rsidRPr="00DF037D" w:rsidR="0089376A" w:rsidP="0089376A" w:rsidRDefault="0089376A" w14:paraId="70062B4E" w14:textId="66B32B69">
            <w:pPr>
              <w:jc w:val="right"/>
            </w:pPr>
            <w:r w:rsidRPr="00DF037D">
              <w:t>533</w:t>
            </w:r>
          </w:p>
        </w:tc>
        <w:tc>
          <w:tcPr>
            <w:tcW w:w="1374" w:type="dxa"/>
            <w:tcBorders>
              <w:top w:val="nil"/>
              <w:left w:val="single" w:color="auto" w:sz="4" w:space="0"/>
              <w:bottom w:val="nil"/>
              <w:right w:val="single" w:color="auto" w:sz="4" w:space="0"/>
            </w:tcBorders>
            <w:vAlign w:val="bottom"/>
          </w:tcPr>
          <w:p w:rsidRPr="00D83CE5" w:rsidR="0089376A" w:rsidP="0089376A" w:rsidRDefault="0089376A" w14:paraId="01F5D8BB" w14:textId="4E6ECB58">
            <w:pPr>
              <w:jc w:val="right"/>
            </w:pPr>
            <w:r w:rsidRPr="00D83CE5">
              <w:t>38,366</w:t>
            </w:r>
          </w:p>
        </w:tc>
        <w:tc>
          <w:tcPr>
            <w:tcW w:w="1800" w:type="dxa"/>
            <w:tcBorders>
              <w:top w:val="nil"/>
              <w:left w:val="single" w:color="auto" w:sz="4" w:space="0"/>
              <w:bottom w:val="nil"/>
              <w:right w:val="single" w:color="auto" w:sz="4" w:space="0"/>
            </w:tcBorders>
            <w:shd w:val="clear" w:color="auto" w:fill="auto"/>
            <w:noWrap/>
            <w:vAlign w:val="bottom"/>
            <w:hideMark/>
          </w:tcPr>
          <w:p w:rsidRPr="00DF037D" w:rsidR="0089376A" w:rsidP="0089376A" w:rsidRDefault="0089376A" w14:paraId="37B83DDB" w14:textId="3C8CD5E0">
            <w:pPr>
              <w:jc w:val="right"/>
            </w:pPr>
            <w:r w:rsidRPr="00DF037D">
              <w:t>30,116</w:t>
            </w:r>
          </w:p>
        </w:tc>
        <w:tc>
          <w:tcPr>
            <w:tcW w:w="1530" w:type="dxa"/>
            <w:tcBorders>
              <w:top w:val="nil"/>
              <w:left w:val="single" w:color="auto" w:sz="4" w:space="0"/>
              <w:bottom w:val="nil"/>
              <w:right w:val="single" w:color="auto" w:sz="4" w:space="0"/>
            </w:tcBorders>
            <w:shd w:val="clear" w:color="auto" w:fill="auto"/>
            <w:noWrap/>
            <w:vAlign w:val="bottom"/>
            <w:hideMark/>
          </w:tcPr>
          <w:p w:rsidRPr="00676BD8" w:rsidR="0089376A" w:rsidP="0089376A" w:rsidRDefault="0089376A" w14:paraId="3229D167" w14:textId="64C209EB">
            <w:pPr>
              <w:jc w:val="right"/>
            </w:pPr>
            <w:r w:rsidRPr="00DF037D">
              <w:t>22.0</w:t>
            </w:r>
          </w:p>
        </w:tc>
        <w:tc>
          <w:tcPr>
            <w:tcW w:w="1440" w:type="dxa"/>
            <w:tcBorders>
              <w:top w:val="nil"/>
              <w:left w:val="single" w:color="auto" w:sz="4" w:space="0"/>
              <w:bottom w:val="nil"/>
            </w:tcBorders>
            <w:shd w:val="clear" w:color="auto" w:fill="auto"/>
            <w:noWrap/>
            <w:vAlign w:val="bottom"/>
            <w:hideMark/>
          </w:tcPr>
          <w:p w:rsidRPr="00676BD8" w:rsidR="0089376A" w:rsidP="0089376A" w:rsidRDefault="0089376A" w14:paraId="095323E7" w14:textId="03037383">
            <w:pPr>
              <w:jc w:val="right"/>
            </w:pPr>
            <w:r w:rsidRPr="00DF037D">
              <w:t>4.1%</w:t>
            </w:r>
          </w:p>
        </w:tc>
      </w:tr>
      <w:tr w:rsidRPr="00FE4E07" w:rsidR="0089376A" w:rsidTr="00C27BB4" w14:paraId="2884609B" w14:textId="47B3587E">
        <w:trPr>
          <w:trHeight w:val="259" w:hRule="exact"/>
        </w:trPr>
        <w:tc>
          <w:tcPr>
            <w:tcW w:w="1920" w:type="dxa"/>
            <w:tcBorders>
              <w:top w:val="nil"/>
              <w:bottom w:val="single" w:color="auto" w:sz="4" w:space="0"/>
              <w:right w:val="single" w:color="auto" w:sz="4" w:space="0"/>
            </w:tcBorders>
            <w:shd w:val="clear" w:color="auto" w:fill="auto"/>
            <w:noWrap/>
            <w:vAlign w:val="bottom"/>
            <w:hideMark/>
          </w:tcPr>
          <w:p w:rsidRPr="00DF037D" w:rsidR="0089376A" w:rsidP="0089376A" w:rsidRDefault="0089376A" w14:paraId="5313897B" w14:textId="09733D60">
            <w:r w:rsidRPr="000F1A0C">
              <w:t>6 to 49</w:t>
            </w:r>
          </w:p>
        </w:tc>
        <w:tc>
          <w:tcPr>
            <w:tcW w:w="1296" w:type="dxa"/>
            <w:tcBorders>
              <w:top w:val="nil"/>
              <w:left w:val="single" w:color="auto" w:sz="4" w:space="0"/>
              <w:bottom w:val="single" w:color="auto" w:sz="4" w:space="0"/>
              <w:right w:val="single" w:color="auto" w:sz="4" w:space="0"/>
            </w:tcBorders>
            <w:shd w:val="clear" w:color="auto" w:fill="auto"/>
            <w:noWrap/>
            <w:vAlign w:val="bottom"/>
            <w:hideMark/>
          </w:tcPr>
          <w:p w:rsidRPr="000F1A0C" w:rsidR="0089376A" w:rsidP="0089376A" w:rsidRDefault="0089376A" w14:paraId="2F8E1936" w14:textId="77EED685">
            <w:pPr>
              <w:jc w:val="right"/>
            </w:pPr>
            <w:r w:rsidRPr="000F1A0C">
              <w:t>854</w:t>
            </w:r>
          </w:p>
        </w:tc>
        <w:tc>
          <w:tcPr>
            <w:tcW w:w="1374" w:type="dxa"/>
            <w:tcBorders>
              <w:top w:val="nil"/>
              <w:left w:val="single" w:color="auto" w:sz="4" w:space="0"/>
              <w:bottom w:val="single" w:color="auto" w:sz="4" w:space="0"/>
              <w:right w:val="single" w:color="auto" w:sz="4" w:space="0"/>
            </w:tcBorders>
            <w:vAlign w:val="bottom"/>
          </w:tcPr>
          <w:p w:rsidRPr="00D83CE5" w:rsidR="0089376A" w:rsidP="0089376A" w:rsidRDefault="0089376A" w14:paraId="378E92CD" w14:textId="0B7BD207">
            <w:pPr>
              <w:jc w:val="right"/>
            </w:pPr>
            <w:r w:rsidRPr="00D83CE5">
              <w:t>20,232</w:t>
            </w:r>
          </w:p>
        </w:tc>
        <w:tc>
          <w:tcPr>
            <w:tcW w:w="1800" w:type="dxa"/>
            <w:tcBorders>
              <w:top w:val="nil"/>
              <w:left w:val="single" w:color="auto" w:sz="4" w:space="0"/>
              <w:bottom w:val="single" w:color="auto" w:sz="4" w:space="0"/>
              <w:right w:val="single" w:color="auto" w:sz="4" w:space="0"/>
            </w:tcBorders>
            <w:shd w:val="clear" w:color="auto" w:fill="auto"/>
            <w:noWrap/>
            <w:vAlign w:val="bottom"/>
            <w:hideMark/>
          </w:tcPr>
          <w:p w:rsidRPr="000F1A0C" w:rsidR="0089376A" w:rsidP="0089376A" w:rsidRDefault="0089376A" w14:paraId="796A0B2C" w14:textId="4F88360E">
            <w:pPr>
              <w:jc w:val="right"/>
            </w:pPr>
            <w:r w:rsidRPr="000F1A0C">
              <w:t>17,598</w:t>
            </w:r>
          </w:p>
        </w:tc>
        <w:tc>
          <w:tcPr>
            <w:tcW w:w="1530" w:type="dxa"/>
            <w:tcBorders>
              <w:top w:val="nil"/>
              <w:left w:val="single" w:color="auto" w:sz="4" w:space="0"/>
              <w:bottom w:val="single" w:color="auto" w:sz="4" w:space="0"/>
              <w:right w:val="single" w:color="auto" w:sz="4" w:space="0"/>
            </w:tcBorders>
            <w:shd w:val="clear" w:color="auto" w:fill="auto"/>
            <w:noWrap/>
            <w:vAlign w:val="bottom"/>
            <w:hideMark/>
          </w:tcPr>
          <w:p w:rsidRPr="00676BD8" w:rsidR="0089376A" w:rsidP="0089376A" w:rsidRDefault="0089376A" w14:paraId="743BA006" w14:textId="3C1D5997">
            <w:pPr>
              <w:jc w:val="right"/>
            </w:pPr>
            <w:r w:rsidRPr="000F1A0C">
              <w:t>12.9</w:t>
            </w:r>
          </w:p>
        </w:tc>
        <w:tc>
          <w:tcPr>
            <w:tcW w:w="1440" w:type="dxa"/>
            <w:tcBorders>
              <w:top w:val="nil"/>
              <w:left w:val="single" w:color="auto" w:sz="4" w:space="0"/>
              <w:bottom w:val="single" w:color="auto" w:sz="4" w:space="0"/>
            </w:tcBorders>
            <w:shd w:val="clear" w:color="auto" w:fill="auto"/>
            <w:noWrap/>
            <w:vAlign w:val="bottom"/>
            <w:hideMark/>
          </w:tcPr>
          <w:p w:rsidRPr="00676BD8" w:rsidR="0089376A" w:rsidP="0089376A" w:rsidRDefault="0089376A" w14:paraId="2E770EED" w14:textId="4D02D1F2">
            <w:pPr>
              <w:jc w:val="right"/>
            </w:pPr>
            <w:r w:rsidRPr="000F1A0C">
              <w:t>1.5%</w:t>
            </w:r>
          </w:p>
        </w:tc>
      </w:tr>
      <w:tr w:rsidRPr="00FE4E07" w:rsidR="0089376A" w:rsidTr="00C27BB4" w14:paraId="214E6CEE" w14:textId="50E89809">
        <w:trPr>
          <w:trHeight w:val="300"/>
        </w:trPr>
        <w:tc>
          <w:tcPr>
            <w:tcW w:w="1920" w:type="dxa"/>
            <w:tcBorders>
              <w:top w:val="nil"/>
              <w:bottom w:val="single" w:color="auto" w:sz="4" w:space="0"/>
              <w:right w:val="single" w:color="auto" w:sz="4" w:space="0"/>
            </w:tcBorders>
            <w:shd w:val="clear" w:color="auto" w:fill="auto"/>
            <w:noWrap/>
            <w:hideMark/>
          </w:tcPr>
          <w:p w:rsidRPr="00FE4E07" w:rsidR="0089376A" w:rsidP="0089376A" w:rsidRDefault="0089376A" w14:paraId="797AF139" w14:textId="7CE302AF">
            <w:pPr>
              <w:rPr>
                <w:rFonts w:ascii="Times New Roman" w:hAnsi="Times New Roman"/>
                <w:color w:val="000000"/>
              </w:rPr>
            </w:pPr>
            <w:r w:rsidRPr="000401E5">
              <w:t>Total</w:t>
            </w:r>
          </w:p>
        </w:tc>
        <w:tc>
          <w:tcPr>
            <w:tcW w:w="1296" w:type="dxa"/>
            <w:tcBorders>
              <w:top w:val="nil"/>
              <w:left w:val="single" w:color="auto" w:sz="4" w:space="0"/>
              <w:bottom w:val="single" w:color="auto" w:sz="4" w:space="0"/>
              <w:right w:val="single" w:color="auto" w:sz="4" w:space="0"/>
            </w:tcBorders>
            <w:shd w:val="clear" w:color="auto" w:fill="auto"/>
            <w:noWrap/>
            <w:vAlign w:val="bottom"/>
            <w:hideMark/>
          </w:tcPr>
          <w:p w:rsidRPr="000F1A0C" w:rsidR="0089376A" w:rsidP="0089376A" w:rsidRDefault="0089376A" w14:paraId="7C850C84" w14:textId="003D0477">
            <w:pPr>
              <w:jc w:val="right"/>
            </w:pPr>
            <w:r w:rsidRPr="000F1A0C">
              <w:t>2,890</w:t>
            </w:r>
          </w:p>
        </w:tc>
        <w:tc>
          <w:tcPr>
            <w:tcW w:w="1374" w:type="dxa"/>
            <w:tcBorders>
              <w:top w:val="nil"/>
              <w:left w:val="single" w:color="auto" w:sz="4" w:space="0"/>
              <w:bottom w:val="single" w:color="auto" w:sz="4" w:space="0"/>
              <w:right w:val="single" w:color="auto" w:sz="4" w:space="0"/>
            </w:tcBorders>
            <w:vAlign w:val="bottom"/>
          </w:tcPr>
          <w:p w:rsidRPr="00D83CE5" w:rsidR="0089376A" w:rsidP="0089376A" w:rsidRDefault="0089376A" w14:paraId="3FE91F85" w14:textId="28350EF7">
            <w:pPr>
              <w:jc w:val="right"/>
            </w:pPr>
            <w:r w:rsidRPr="00D83CE5">
              <w:t>733,871</w:t>
            </w:r>
          </w:p>
        </w:tc>
        <w:tc>
          <w:tcPr>
            <w:tcW w:w="1800" w:type="dxa"/>
            <w:tcBorders>
              <w:top w:val="nil"/>
              <w:left w:val="single" w:color="auto" w:sz="4" w:space="0"/>
              <w:bottom w:val="single" w:color="auto" w:sz="4" w:space="0"/>
              <w:right w:val="single" w:color="auto" w:sz="4" w:space="0"/>
            </w:tcBorders>
            <w:shd w:val="clear" w:color="auto" w:fill="auto"/>
            <w:noWrap/>
            <w:vAlign w:val="bottom"/>
            <w:hideMark/>
          </w:tcPr>
          <w:p w:rsidRPr="000F1A0C" w:rsidR="0089376A" w:rsidP="0089376A" w:rsidRDefault="0089376A" w14:paraId="173E2B0D" w14:textId="73A29989">
            <w:pPr>
              <w:jc w:val="right"/>
            </w:pPr>
            <w:r w:rsidRPr="000F1A0C">
              <w:t>399,177</w:t>
            </w:r>
          </w:p>
        </w:tc>
        <w:tc>
          <w:tcPr>
            <w:tcW w:w="1530" w:type="dxa"/>
            <w:tcBorders>
              <w:top w:val="nil"/>
              <w:left w:val="single" w:color="auto" w:sz="4" w:space="0"/>
              <w:bottom w:val="single" w:color="auto" w:sz="4" w:space="0"/>
              <w:right w:val="nil"/>
            </w:tcBorders>
            <w:shd w:val="clear" w:color="auto" w:fill="auto"/>
            <w:noWrap/>
            <w:vAlign w:val="bottom"/>
            <w:hideMark/>
          </w:tcPr>
          <w:p w:rsidRPr="00676BD8" w:rsidR="0089376A" w:rsidP="0089376A" w:rsidRDefault="0089376A" w14:paraId="47065861" w14:textId="3296BC99">
            <w:pPr>
              <w:jc w:val="right"/>
            </w:pPr>
            <w:r w:rsidRPr="000F1A0C">
              <w:t>290</w:t>
            </w:r>
          </w:p>
        </w:tc>
        <w:tc>
          <w:tcPr>
            <w:tcW w:w="1440" w:type="dxa"/>
            <w:tcBorders>
              <w:top w:val="single" w:color="auto" w:sz="4" w:space="0"/>
              <w:left w:val="single" w:color="auto" w:sz="4" w:space="0"/>
              <w:bottom w:val="single" w:color="auto" w:sz="4" w:space="0"/>
            </w:tcBorders>
            <w:shd w:val="clear" w:color="auto" w:fill="auto"/>
            <w:noWrap/>
            <w:hideMark/>
          </w:tcPr>
          <w:p w:rsidRPr="00FE4E07" w:rsidR="0089376A" w:rsidP="0089376A" w:rsidRDefault="0089376A" w14:paraId="59796617" w14:textId="077EF971">
            <w:pPr>
              <w:jc w:val="center"/>
              <w:rPr>
                <w:rFonts w:ascii="Times New Roman" w:hAnsi="Times New Roman"/>
                <w:color w:val="000000"/>
              </w:rPr>
            </w:pPr>
          </w:p>
        </w:tc>
      </w:tr>
    </w:tbl>
    <w:p w:rsidR="00DB3F4F" w:rsidP="00183B09" w:rsidRDefault="00DB3F4F" w14:paraId="01BCDB7E" w14:textId="77777777">
      <w:pPr>
        <w:pStyle w:val="L1-FlLSp12"/>
        <w:spacing w:line="240" w:lineRule="auto"/>
        <w:ind w:left="720"/>
        <w:rPr>
          <w:rFonts w:ascii="Times New Roman" w:hAnsi="Times New Roman"/>
        </w:rPr>
      </w:pPr>
    </w:p>
    <w:p w:rsidRPr="00FA6653" w:rsidR="00FA6653" w:rsidP="00183B09" w:rsidRDefault="00FA6653" w14:paraId="1AE86145" w14:textId="68C8FDC8">
      <w:pPr>
        <w:pStyle w:val="L1-FlLSp12"/>
        <w:spacing w:line="240" w:lineRule="auto"/>
        <w:ind w:left="720"/>
        <w:rPr>
          <w:rFonts w:ascii="Times New Roman" w:hAnsi="Times New Roman"/>
        </w:rPr>
      </w:pPr>
      <w:r w:rsidRPr="00FA6653">
        <w:rPr>
          <w:rFonts w:ascii="Times New Roman" w:hAnsi="Times New Roman"/>
        </w:rPr>
        <w:t xml:space="preserve">A second implicit </w:t>
      </w:r>
      <w:proofErr w:type="spellStart"/>
      <w:r w:rsidRPr="00FA6653">
        <w:rPr>
          <w:rFonts w:ascii="Times New Roman" w:hAnsi="Times New Roman"/>
        </w:rPr>
        <w:t>stratifier</w:t>
      </w:r>
      <w:proofErr w:type="spellEnd"/>
      <w:r w:rsidRPr="00FA6653">
        <w:rPr>
          <w:rFonts w:ascii="Times New Roman" w:hAnsi="Times New Roman"/>
        </w:rPr>
        <w:t xml:space="preserve"> is geography: Census region and </w:t>
      </w:r>
      <w:r w:rsidR="004360ED">
        <w:rPr>
          <w:rFonts w:ascii="Times New Roman" w:hAnsi="Times New Roman"/>
        </w:rPr>
        <w:t>s</w:t>
      </w:r>
      <w:r w:rsidRPr="00FA6653">
        <w:rPr>
          <w:rFonts w:ascii="Times New Roman" w:hAnsi="Times New Roman"/>
        </w:rPr>
        <w:t xml:space="preserve">tate. </w:t>
      </w:r>
      <w:r>
        <w:rPr>
          <w:rFonts w:ascii="Times New Roman" w:hAnsi="Times New Roman"/>
        </w:rPr>
        <w:t xml:space="preserve">In addition, states are </w:t>
      </w:r>
      <w:r w:rsidRPr="00FA6653">
        <w:rPr>
          <w:rFonts w:ascii="Times New Roman" w:hAnsi="Times New Roman"/>
        </w:rPr>
        <w:t xml:space="preserve">stratified within Census region by small-state status. </w:t>
      </w:r>
      <w:r w:rsidR="007E4BEA">
        <w:rPr>
          <w:rFonts w:ascii="Times New Roman" w:hAnsi="Times New Roman"/>
        </w:rPr>
        <w:t xml:space="preserve">This guarantees every state </w:t>
      </w:r>
      <w:r w:rsidR="00EF382B">
        <w:rPr>
          <w:rFonts w:ascii="Times New Roman" w:hAnsi="Times New Roman"/>
        </w:rPr>
        <w:t xml:space="preserve">with jails </w:t>
      </w:r>
      <w:r w:rsidR="007E4BEA">
        <w:rPr>
          <w:rFonts w:ascii="Times New Roman" w:hAnsi="Times New Roman"/>
        </w:rPr>
        <w:t>(except AK and HI</w:t>
      </w:r>
      <w:r w:rsidRPr="002F2651" w:rsidR="00E21356">
        <w:rPr>
          <w:vertAlign w:val="superscript"/>
        </w:rPr>
        <w:footnoteReference w:id="2"/>
      </w:r>
      <w:r w:rsidR="007E4BEA">
        <w:rPr>
          <w:rFonts w:ascii="Times New Roman" w:hAnsi="Times New Roman"/>
        </w:rPr>
        <w:t xml:space="preserve">) will have at least one jail sampled. </w:t>
      </w:r>
    </w:p>
    <w:p w:rsidR="00FA6653" w:rsidP="00FA6653" w:rsidRDefault="00FA6653" w14:paraId="6A70515B" w14:textId="7402F57E">
      <w:pPr>
        <w:pStyle w:val="L1-FlLSp12"/>
        <w:spacing w:line="240" w:lineRule="exact"/>
      </w:pPr>
    </w:p>
    <w:p w:rsidRPr="00FA6653" w:rsidR="00FA6653" w:rsidP="00FA6653" w:rsidRDefault="00FA6653" w14:paraId="71EDED31" w14:textId="4002D375">
      <w:pPr>
        <w:pStyle w:val="L1-FlLSp12"/>
        <w:spacing w:line="240" w:lineRule="auto"/>
        <w:ind w:left="720"/>
        <w:rPr>
          <w:rFonts w:ascii="Times New Roman" w:hAnsi="Times New Roman"/>
        </w:rPr>
      </w:pPr>
      <w:r w:rsidRPr="004066C8">
        <w:rPr>
          <w:rFonts w:ascii="Times New Roman" w:hAnsi="Times New Roman"/>
        </w:rPr>
        <w:t xml:space="preserve">A third implicit </w:t>
      </w:r>
      <w:proofErr w:type="spellStart"/>
      <w:r w:rsidRPr="004066C8">
        <w:rPr>
          <w:rFonts w:ascii="Times New Roman" w:hAnsi="Times New Roman"/>
        </w:rPr>
        <w:t>stratifier</w:t>
      </w:r>
      <w:proofErr w:type="spellEnd"/>
      <w:r w:rsidRPr="004066C8">
        <w:rPr>
          <w:rFonts w:ascii="Times New Roman" w:hAnsi="Times New Roman"/>
        </w:rPr>
        <w:t xml:space="preserve"> is public/private status. </w:t>
      </w:r>
      <w:r w:rsidRPr="004066C8" w:rsidR="00BA292A">
        <w:rPr>
          <w:rFonts w:ascii="Times New Roman" w:hAnsi="Times New Roman"/>
        </w:rPr>
        <w:t xml:space="preserve">This information is embedded in an identification number in the </w:t>
      </w:r>
      <w:r w:rsidR="00D065EF">
        <w:rPr>
          <w:rFonts w:ascii="Times New Roman" w:hAnsi="Times New Roman"/>
        </w:rPr>
        <w:t>2019</w:t>
      </w:r>
      <w:r w:rsidRPr="004066C8" w:rsidR="00D065EF">
        <w:rPr>
          <w:rFonts w:ascii="Times New Roman" w:hAnsi="Times New Roman"/>
        </w:rPr>
        <w:t xml:space="preserve"> </w:t>
      </w:r>
      <w:r w:rsidRPr="004066C8" w:rsidR="00BA292A">
        <w:rPr>
          <w:rFonts w:ascii="Times New Roman" w:hAnsi="Times New Roman"/>
        </w:rPr>
        <w:t>Census frame.</w:t>
      </w:r>
      <w:r w:rsidR="007E4BEA">
        <w:rPr>
          <w:rFonts w:ascii="Times New Roman" w:hAnsi="Times New Roman"/>
        </w:rPr>
        <w:t xml:space="preserve"> </w:t>
      </w:r>
    </w:p>
    <w:p w:rsidRPr="00FA6653" w:rsidR="00FA6653" w:rsidP="00FA6653" w:rsidRDefault="00FA6653" w14:paraId="4FB16889" w14:textId="77777777">
      <w:pPr>
        <w:pStyle w:val="L1-FlLSp12"/>
        <w:spacing w:line="240" w:lineRule="auto"/>
        <w:ind w:left="720"/>
        <w:rPr>
          <w:rFonts w:ascii="Times New Roman" w:hAnsi="Times New Roman"/>
        </w:rPr>
      </w:pPr>
    </w:p>
    <w:p w:rsidRPr="00FA6653" w:rsidR="00FA6653" w:rsidP="00FA6653" w:rsidRDefault="00FA6653" w14:paraId="640433CC" w14:textId="2D5ADCBB">
      <w:pPr>
        <w:pStyle w:val="L1-FlLSp12"/>
        <w:spacing w:line="240" w:lineRule="auto"/>
        <w:ind w:left="720"/>
        <w:rPr>
          <w:rFonts w:ascii="Times New Roman" w:hAnsi="Times New Roman"/>
        </w:rPr>
      </w:pPr>
      <w:r w:rsidRPr="00FA6653">
        <w:rPr>
          <w:rFonts w:ascii="Times New Roman" w:hAnsi="Times New Roman"/>
        </w:rPr>
        <w:t xml:space="preserve">A fourth implicit </w:t>
      </w:r>
      <w:proofErr w:type="spellStart"/>
      <w:r w:rsidRPr="00FA6653">
        <w:rPr>
          <w:rFonts w:ascii="Times New Roman" w:hAnsi="Times New Roman"/>
        </w:rPr>
        <w:t>stratifier</w:t>
      </w:r>
      <w:proofErr w:type="spellEnd"/>
      <w:r w:rsidRPr="00FA6653">
        <w:rPr>
          <w:rFonts w:ascii="Times New Roman" w:hAnsi="Times New Roman"/>
        </w:rPr>
        <w:t xml:space="preserve"> is majority w</w:t>
      </w:r>
      <w:r w:rsidR="00BA292A">
        <w:rPr>
          <w:rFonts w:ascii="Times New Roman" w:hAnsi="Times New Roman"/>
        </w:rPr>
        <w:t>omen jails (see Table 1 above).</w:t>
      </w:r>
    </w:p>
    <w:p w:rsidRPr="00FA6653" w:rsidR="00FA6653" w:rsidP="00FA6653" w:rsidRDefault="00FA6653" w14:paraId="104405C2" w14:textId="77777777">
      <w:pPr>
        <w:pStyle w:val="L1-FlLSp12"/>
        <w:spacing w:line="240" w:lineRule="auto"/>
        <w:ind w:left="720"/>
        <w:rPr>
          <w:rFonts w:ascii="Times New Roman" w:hAnsi="Times New Roman"/>
        </w:rPr>
      </w:pPr>
    </w:p>
    <w:p w:rsidRPr="00FA6653" w:rsidR="00FA6653" w:rsidP="00FA6653" w:rsidRDefault="00FA6653" w14:paraId="1C9DA57E" w14:textId="67B5EC79">
      <w:pPr>
        <w:pStyle w:val="L1-FlLSp12"/>
        <w:spacing w:line="240" w:lineRule="auto"/>
        <w:ind w:left="720"/>
        <w:rPr>
          <w:rFonts w:ascii="Times New Roman" w:hAnsi="Times New Roman"/>
        </w:rPr>
      </w:pPr>
      <w:r w:rsidRPr="00FA6653">
        <w:rPr>
          <w:rFonts w:ascii="Times New Roman" w:hAnsi="Times New Roman"/>
        </w:rPr>
        <w:t xml:space="preserve">The hierarchical sort order is given below. The small-state strata within each </w:t>
      </w:r>
      <w:r w:rsidR="004360ED">
        <w:rPr>
          <w:rFonts w:ascii="Times New Roman" w:hAnsi="Times New Roman"/>
        </w:rPr>
        <w:t>c</w:t>
      </w:r>
      <w:r w:rsidRPr="00FA6653">
        <w:rPr>
          <w:rFonts w:ascii="Times New Roman" w:hAnsi="Times New Roman"/>
        </w:rPr>
        <w:t xml:space="preserve">ensus </w:t>
      </w:r>
      <w:r w:rsidR="004360ED">
        <w:rPr>
          <w:rFonts w:ascii="Times New Roman" w:hAnsi="Times New Roman"/>
        </w:rPr>
        <w:t>r</w:t>
      </w:r>
      <w:r w:rsidRPr="00FA6653">
        <w:rPr>
          <w:rFonts w:ascii="Times New Roman" w:hAnsi="Times New Roman"/>
        </w:rPr>
        <w:t>egion (though the South does not have small states) have state</w:t>
      </w:r>
      <w:r w:rsidR="00F16C56">
        <w:rPr>
          <w:rFonts w:ascii="Times New Roman" w:hAnsi="Times New Roman"/>
        </w:rPr>
        <w:t>s</w:t>
      </w:r>
      <w:r w:rsidRPr="00FA6653">
        <w:rPr>
          <w:rFonts w:ascii="Times New Roman" w:hAnsi="Times New Roman"/>
        </w:rPr>
        <w:t xml:space="preserve"> within them as the primary sort variable to guarantee that there is one jail sampled from each of these states. Within the regular state stratum, single state strata are not strictly needed to assure at least </w:t>
      </w:r>
      <w:r w:rsidRPr="00FA6653">
        <w:rPr>
          <w:rFonts w:ascii="Times New Roman" w:hAnsi="Times New Roman"/>
        </w:rPr>
        <w:lastRenderedPageBreak/>
        <w:t>one jail is in the sample for each state, so single state strata can be much lower on</w:t>
      </w:r>
      <w:r w:rsidR="00BA292A">
        <w:rPr>
          <w:rFonts w:ascii="Times New Roman" w:hAnsi="Times New Roman"/>
        </w:rPr>
        <w:t xml:space="preserve"> the stratification hierarchy.</w:t>
      </w:r>
    </w:p>
    <w:p w:rsidRPr="00FA6653" w:rsidR="00FA6653" w:rsidP="00FA6653" w:rsidRDefault="00FA6653" w14:paraId="66E28739" w14:textId="77777777">
      <w:pPr>
        <w:pStyle w:val="L1-FlLSp12"/>
        <w:spacing w:line="240" w:lineRule="auto"/>
        <w:ind w:left="720"/>
        <w:rPr>
          <w:rFonts w:ascii="Times New Roman" w:hAnsi="Times New Roman"/>
        </w:rPr>
      </w:pPr>
    </w:p>
    <w:p w:rsidRPr="005964CE" w:rsidR="003E728E" w:rsidP="003E728E" w:rsidRDefault="003E728E" w14:paraId="359C5C5F" w14:textId="77777777">
      <w:pPr>
        <w:pStyle w:val="L1-FlLSp12"/>
        <w:numPr>
          <w:ilvl w:val="0"/>
          <w:numId w:val="2"/>
        </w:numPr>
        <w:rPr>
          <w:rFonts w:ascii="Times New Roman" w:hAnsi="Times New Roman"/>
        </w:rPr>
      </w:pPr>
      <w:r w:rsidRPr="005964CE">
        <w:rPr>
          <w:rFonts w:ascii="Times New Roman" w:hAnsi="Times New Roman"/>
        </w:rPr>
        <w:t>Census Region (Northeast, Central, South, West);</w:t>
      </w:r>
    </w:p>
    <w:p w:rsidRPr="005964CE" w:rsidR="003E728E" w:rsidP="003E728E" w:rsidRDefault="003E728E" w14:paraId="4A906A13" w14:textId="77777777">
      <w:pPr>
        <w:pStyle w:val="L1-FlLSp12"/>
        <w:numPr>
          <w:ilvl w:val="1"/>
          <w:numId w:val="2"/>
        </w:numPr>
        <w:rPr>
          <w:rFonts w:ascii="Times New Roman" w:hAnsi="Times New Roman"/>
        </w:rPr>
      </w:pPr>
      <w:r w:rsidRPr="005964CE">
        <w:rPr>
          <w:rFonts w:ascii="Times New Roman" w:hAnsi="Times New Roman"/>
        </w:rPr>
        <w:t>Small States (those with expected sample size 1);</w:t>
      </w:r>
    </w:p>
    <w:p w:rsidRPr="005964CE" w:rsidR="003E728E" w:rsidP="003E728E" w:rsidRDefault="003E728E" w14:paraId="21423245" w14:textId="77777777">
      <w:pPr>
        <w:pStyle w:val="L1-FlLSp12"/>
        <w:numPr>
          <w:ilvl w:val="2"/>
          <w:numId w:val="2"/>
        </w:numPr>
        <w:rPr>
          <w:rFonts w:ascii="Times New Roman" w:hAnsi="Times New Roman"/>
        </w:rPr>
      </w:pPr>
      <w:r w:rsidRPr="005964CE">
        <w:rPr>
          <w:rFonts w:ascii="Times New Roman" w:hAnsi="Times New Roman"/>
        </w:rPr>
        <w:t>State;</w:t>
      </w:r>
    </w:p>
    <w:p w:rsidRPr="005964CE" w:rsidR="003E728E" w:rsidP="003E728E" w:rsidRDefault="003E728E" w14:paraId="038F52F8" w14:textId="77777777">
      <w:pPr>
        <w:pStyle w:val="L1-FlLSp12"/>
        <w:numPr>
          <w:ilvl w:val="3"/>
          <w:numId w:val="2"/>
        </w:numPr>
        <w:rPr>
          <w:rFonts w:ascii="Times New Roman" w:hAnsi="Times New Roman"/>
        </w:rPr>
      </w:pPr>
      <w:r w:rsidRPr="005964CE">
        <w:rPr>
          <w:rFonts w:ascii="Times New Roman" w:hAnsi="Times New Roman"/>
        </w:rPr>
        <w:t>County;</w:t>
      </w:r>
    </w:p>
    <w:p w:rsidRPr="005964CE" w:rsidR="003E728E" w:rsidP="003E728E" w:rsidRDefault="003E728E" w14:paraId="2C6E95AA" w14:textId="77777777">
      <w:pPr>
        <w:pStyle w:val="L1-FlLSp12"/>
        <w:numPr>
          <w:ilvl w:val="4"/>
          <w:numId w:val="2"/>
        </w:numPr>
        <w:rPr>
          <w:rFonts w:ascii="Times New Roman" w:hAnsi="Times New Roman"/>
        </w:rPr>
      </w:pPr>
      <w:r w:rsidRPr="005964CE">
        <w:rPr>
          <w:rFonts w:ascii="Times New Roman" w:hAnsi="Times New Roman"/>
        </w:rPr>
        <w:t>Jurisdiction;</w:t>
      </w:r>
    </w:p>
    <w:p w:rsidRPr="005964CE" w:rsidR="003E728E" w:rsidP="003E728E" w:rsidRDefault="003E728E" w14:paraId="29705C9F" w14:textId="77777777">
      <w:pPr>
        <w:pStyle w:val="L1-FlLSp12"/>
        <w:numPr>
          <w:ilvl w:val="5"/>
          <w:numId w:val="2"/>
        </w:numPr>
        <w:rPr>
          <w:rFonts w:ascii="Times New Roman" w:hAnsi="Times New Roman"/>
        </w:rPr>
      </w:pPr>
      <w:r w:rsidRPr="005964CE">
        <w:rPr>
          <w:rFonts w:ascii="Times New Roman" w:hAnsi="Times New Roman"/>
        </w:rPr>
        <w:t>Measure of Size;</w:t>
      </w:r>
    </w:p>
    <w:p w:rsidRPr="005964CE" w:rsidR="003E728E" w:rsidP="003E728E" w:rsidRDefault="003E728E" w14:paraId="569E0CA3" w14:textId="77777777">
      <w:pPr>
        <w:pStyle w:val="L1-FlLSp12"/>
        <w:numPr>
          <w:ilvl w:val="1"/>
          <w:numId w:val="2"/>
        </w:numPr>
        <w:rPr>
          <w:rFonts w:ascii="Times New Roman" w:hAnsi="Times New Roman"/>
        </w:rPr>
      </w:pPr>
      <w:r w:rsidRPr="005964CE">
        <w:rPr>
          <w:rFonts w:ascii="Times New Roman" w:hAnsi="Times New Roman"/>
        </w:rPr>
        <w:t>Large Jurisdictions (those with expected sample size 1 greater than or equal to 1);</w:t>
      </w:r>
    </w:p>
    <w:p w:rsidRPr="005964CE" w:rsidR="003E728E" w:rsidP="003E728E" w:rsidRDefault="003E728E" w14:paraId="0857B0FF" w14:textId="77777777">
      <w:pPr>
        <w:pStyle w:val="L1-FlLSp12"/>
        <w:numPr>
          <w:ilvl w:val="2"/>
          <w:numId w:val="2"/>
        </w:numPr>
        <w:rPr>
          <w:rFonts w:ascii="Times New Roman" w:hAnsi="Times New Roman"/>
        </w:rPr>
      </w:pPr>
      <w:r w:rsidRPr="005964CE">
        <w:rPr>
          <w:rFonts w:ascii="Times New Roman" w:hAnsi="Times New Roman"/>
        </w:rPr>
        <w:t>State;</w:t>
      </w:r>
    </w:p>
    <w:p w:rsidRPr="005964CE" w:rsidR="003E728E" w:rsidP="003E728E" w:rsidRDefault="003E728E" w14:paraId="272DC9B4" w14:textId="77777777">
      <w:pPr>
        <w:pStyle w:val="L1-FlLSp12"/>
        <w:numPr>
          <w:ilvl w:val="3"/>
          <w:numId w:val="2"/>
        </w:numPr>
        <w:rPr>
          <w:rFonts w:ascii="Times New Roman" w:hAnsi="Times New Roman"/>
        </w:rPr>
      </w:pPr>
      <w:r w:rsidRPr="005964CE">
        <w:rPr>
          <w:rFonts w:ascii="Times New Roman" w:hAnsi="Times New Roman"/>
        </w:rPr>
        <w:t>County;</w:t>
      </w:r>
    </w:p>
    <w:p w:rsidRPr="005964CE" w:rsidR="003E728E" w:rsidP="003E728E" w:rsidRDefault="003E728E" w14:paraId="229FD888" w14:textId="77777777">
      <w:pPr>
        <w:pStyle w:val="L1-FlLSp12"/>
        <w:numPr>
          <w:ilvl w:val="4"/>
          <w:numId w:val="2"/>
        </w:numPr>
        <w:rPr>
          <w:rFonts w:ascii="Times New Roman" w:hAnsi="Times New Roman"/>
        </w:rPr>
      </w:pPr>
      <w:r w:rsidRPr="005964CE">
        <w:rPr>
          <w:rFonts w:ascii="Times New Roman" w:hAnsi="Times New Roman"/>
        </w:rPr>
        <w:t>Jurisdiction;</w:t>
      </w:r>
    </w:p>
    <w:p w:rsidRPr="005964CE" w:rsidR="003E728E" w:rsidP="003E728E" w:rsidRDefault="003E728E" w14:paraId="6942A096" w14:textId="77777777">
      <w:pPr>
        <w:pStyle w:val="L1-FlLSp12"/>
        <w:numPr>
          <w:ilvl w:val="5"/>
          <w:numId w:val="2"/>
        </w:numPr>
        <w:rPr>
          <w:rFonts w:ascii="Times New Roman" w:hAnsi="Times New Roman"/>
        </w:rPr>
      </w:pPr>
      <w:r w:rsidRPr="005964CE">
        <w:rPr>
          <w:rFonts w:ascii="Times New Roman" w:hAnsi="Times New Roman"/>
        </w:rPr>
        <w:t>Measure of Size;</w:t>
      </w:r>
    </w:p>
    <w:p w:rsidRPr="005964CE" w:rsidR="003E728E" w:rsidP="003E728E" w:rsidRDefault="003E728E" w14:paraId="3C1789C3" w14:textId="77777777">
      <w:pPr>
        <w:pStyle w:val="L1-FlLSp12"/>
        <w:numPr>
          <w:ilvl w:val="1"/>
          <w:numId w:val="2"/>
        </w:numPr>
        <w:rPr>
          <w:rFonts w:ascii="Times New Roman" w:hAnsi="Times New Roman"/>
        </w:rPr>
      </w:pPr>
      <w:r w:rsidRPr="005964CE">
        <w:rPr>
          <w:rFonts w:ascii="Times New Roman" w:hAnsi="Times New Roman"/>
        </w:rPr>
        <w:t>Regular States (all other states and smaller jurisdictions);</w:t>
      </w:r>
    </w:p>
    <w:p w:rsidRPr="005964CE" w:rsidR="003E728E" w:rsidP="003E728E" w:rsidRDefault="003E728E" w14:paraId="6E0CCD90" w14:textId="77777777">
      <w:pPr>
        <w:pStyle w:val="L1-FlLSp12"/>
        <w:numPr>
          <w:ilvl w:val="2"/>
          <w:numId w:val="2"/>
        </w:numPr>
        <w:rPr>
          <w:rFonts w:ascii="Times New Roman" w:hAnsi="Times New Roman"/>
        </w:rPr>
      </w:pPr>
      <w:r w:rsidRPr="005964CE">
        <w:rPr>
          <w:rFonts w:ascii="Times New Roman" w:hAnsi="Times New Roman"/>
        </w:rPr>
        <w:t>Jail Size;</w:t>
      </w:r>
    </w:p>
    <w:p w:rsidRPr="005964CE" w:rsidR="003E728E" w:rsidP="003E728E" w:rsidRDefault="003E728E" w14:paraId="7C36F157" w14:textId="40984D53">
      <w:pPr>
        <w:pStyle w:val="L1-FlLSp12"/>
        <w:numPr>
          <w:ilvl w:val="3"/>
          <w:numId w:val="2"/>
        </w:numPr>
        <w:rPr>
          <w:rFonts w:ascii="Times New Roman" w:hAnsi="Times New Roman"/>
        </w:rPr>
      </w:pPr>
      <w:r w:rsidRPr="005964CE">
        <w:rPr>
          <w:rFonts w:ascii="Times New Roman" w:hAnsi="Times New Roman"/>
        </w:rPr>
        <w:t>Majority or Non/Majority Women</w:t>
      </w:r>
      <w:r w:rsidRPr="005964CE" w:rsidR="007E07E0">
        <w:rPr>
          <w:rFonts w:ascii="Times New Roman" w:hAnsi="Times New Roman"/>
        </w:rPr>
        <w:t xml:space="preserve"> </w:t>
      </w:r>
      <w:r w:rsidRPr="005964CE">
        <w:rPr>
          <w:rFonts w:ascii="Times New Roman" w:hAnsi="Times New Roman"/>
        </w:rPr>
        <w:t>Jails;</w:t>
      </w:r>
    </w:p>
    <w:p w:rsidRPr="005964CE" w:rsidR="003E728E" w:rsidP="003E728E" w:rsidRDefault="003E728E" w14:paraId="62D58353" w14:textId="77777777">
      <w:pPr>
        <w:pStyle w:val="L1-FlLSp12"/>
        <w:numPr>
          <w:ilvl w:val="4"/>
          <w:numId w:val="2"/>
        </w:numPr>
        <w:rPr>
          <w:rFonts w:ascii="Times New Roman" w:hAnsi="Times New Roman"/>
        </w:rPr>
      </w:pPr>
      <w:r w:rsidRPr="005964CE">
        <w:rPr>
          <w:rFonts w:ascii="Times New Roman" w:hAnsi="Times New Roman"/>
        </w:rPr>
        <w:t>Public/Private Status;</w:t>
      </w:r>
    </w:p>
    <w:p w:rsidRPr="005964CE" w:rsidR="003E728E" w:rsidP="003E728E" w:rsidRDefault="003E728E" w14:paraId="341BF692" w14:textId="77777777">
      <w:pPr>
        <w:pStyle w:val="L1-FlLSp12"/>
        <w:numPr>
          <w:ilvl w:val="5"/>
          <w:numId w:val="2"/>
        </w:numPr>
        <w:rPr>
          <w:rFonts w:ascii="Times New Roman" w:hAnsi="Times New Roman"/>
        </w:rPr>
      </w:pPr>
      <w:r w:rsidRPr="005964CE">
        <w:rPr>
          <w:rFonts w:ascii="Times New Roman" w:hAnsi="Times New Roman"/>
        </w:rPr>
        <w:t>State;</w:t>
      </w:r>
    </w:p>
    <w:p w:rsidRPr="005964CE" w:rsidR="003E728E" w:rsidP="003E728E" w:rsidRDefault="003E728E" w14:paraId="2FCF1CB3" w14:textId="77777777">
      <w:pPr>
        <w:pStyle w:val="L1-FlLSp12"/>
        <w:numPr>
          <w:ilvl w:val="6"/>
          <w:numId w:val="2"/>
        </w:numPr>
        <w:rPr>
          <w:rFonts w:ascii="Times New Roman" w:hAnsi="Times New Roman"/>
        </w:rPr>
      </w:pPr>
      <w:r w:rsidRPr="005964CE">
        <w:rPr>
          <w:rFonts w:ascii="Times New Roman" w:hAnsi="Times New Roman"/>
        </w:rPr>
        <w:t>County;</w:t>
      </w:r>
    </w:p>
    <w:p w:rsidRPr="005964CE" w:rsidR="003E728E" w:rsidP="003E728E" w:rsidRDefault="003E728E" w14:paraId="378CDAD1" w14:textId="77777777">
      <w:pPr>
        <w:pStyle w:val="L1-FlLSp12"/>
        <w:numPr>
          <w:ilvl w:val="7"/>
          <w:numId w:val="2"/>
        </w:numPr>
        <w:ind w:left="3600"/>
        <w:rPr>
          <w:rFonts w:ascii="Times New Roman" w:hAnsi="Times New Roman"/>
        </w:rPr>
      </w:pPr>
      <w:r w:rsidRPr="005964CE">
        <w:rPr>
          <w:rFonts w:ascii="Times New Roman" w:hAnsi="Times New Roman"/>
        </w:rPr>
        <w:t>Jurisdiction;</w:t>
      </w:r>
    </w:p>
    <w:p w:rsidRPr="005964CE" w:rsidR="003E728E" w:rsidP="003E728E" w:rsidRDefault="003E728E" w14:paraId="31B34AF6" w14:textId="77777777">
      <w:pPr>
        <w:pStyle w:val="L1-FlLSp12"/>
        <w:numPr>
          <w:ilvl w:val="8"/>
          <w:numId w:val="2"/>
        </w:numPr>
        <w:ind w:left="3960"/>
        <w:rPr>
          <w:rFonts w:ascii="Times New Roman" w:hAnsi="Times New Roman"/>
        </w:rPr>
      </w:pPr>
      <w:r w:rsidRPr="005964CE">
        <w:rPr>
          <w:rFonts w:ascii="Times New Roman" w:hAnsi="Times New Roman"/>
        </w:rPr>
        <w:t>Measure of Size;</w:t>
      </w:r>
    </w:p>
    <w:p w:rsidRPr="00FA6653" w:rsidR="00971649" w:rsidP="00FA6653" w:rsidRDefault="00971649" w14:paraId="4E7F5CEC" w14:textId="525A8B9C">
      <w:pPr>
        <w:kinsoku w:val="0"/>
        <w:overflowPunct w:val="0"/>
        <w:ind w:left="720"/>
        <w:rPr>
          <w:rFonts w:ascii="Times New Roman" w:hAnsi="Times New Roman"/>
        </w:rPr>
      </w:pPr>
    </w:p>
    <w:p w:rsidR="0092031B" w:rsidP="00BA292A" w:rsidRDefault="0092031B" w14:paraId="13F5B598" w14:textId="786826E3">
      <w:pPr>
        <w:kinsoku w:val="0"/>
        <w:overflowPunct w:val="0"/>
        <w:ind w:left="720"/>
        <w:rPr>
          <w:rFonts w:ascii="Times New Roman" w:hAnsi="Times New Roman"/>
          <w:u w:val="single"/>
        </w:rPr>
      </w:pPr>
    </w:p>
    <w:p w:rsidR="00875DF0" w:rsidP="00875DF0" w:rsidRDefault="00875DF0" w14:paraId="06AD7E22" w14:textId="25B093A4">
      <w:pPr>
        <w:pStyle w:val="L1-FlLSp12"/>
        <w:spacing w:line="240" w:lineRule="auto"/>
        <w:ind w:left="720"/>
        <w:rPr>
          <w:rFonts w:ascii="Times New Roman" w:hAnsi="Times New Roman"/>
        </w:rPr>
      </w:pPr>
      <w:r>
        <w:rPr>
          <w:rFonts w:ascii="Times New Roman" w:hAnsi="Times New Roman"/>
        </w:rPr>
        <w:t>T</w:t>
      </w:r>
      <w:r w:rsidRPr="00971649">
        <w:rPr>
          <w:rFonts w:ascii="Times New Roman" w:hAnsi="Times New Roman"/>
        </w:rPr>
        <w:t xml:space="preserve">he aggregate </w:t>
      </w:r>
      <w:r>
        <w:rPr>
          <w:rFonts w:ascii="Times New Roman" w:hAnsi="Times New Roman"/>
        </w:rPr>
        <w:t>measures of size</w:t>
      </w:r>
      <w:r w:rsidRPr="00971649">
        <w:rPr>
          <w:rFonts w:ascii="Times New Roman" w:hAnsi="Times New Roman"/>
        </w:rPr>
        <w:t xml:space="preserve"> for counties</w:t>
      </w:r>
      <w:r>
        <w:rPr>
          <w:rFonts w:ascii="Times New Roman" w:hAnsi="Times New Roman"/>
        </w:rPr>
        <w:t>/jurisdictions</w:t>
      </w:r>
      <w:r w:rsidRPr="00971649">
        <w:rPr>
          <w:rFonts w:ascii="Times New Roman" w:hAnsi="Times New Roman"/>
        </w:rPr>
        <w:t xml:space="preserve"> with large aggregate expected sample sizes</w:t>
      </w:r>
      <w:r>
        <w:rPr>
          <w:rFonts w:ascii="Times New Roman" w:hAnsi="Times New Roman"/>
        </w:rPr>
        <w:t xml:space="preserve"> will be adjusted</w:t>
      </w:r>
      <w:r w:rsidRPr="00971649">
        <w:rPr>
          <w:rFonts w:ascii="Times New Roman" w:hAnsi="Times New Roman"/>
        </w:rPr>
        <w:t xml:space="preserve">. </w:t>
      </w:r>
      <w:r w:rsidRPr="0039220C">
        <w:rPr>
          <w:rFonts w:ascii="Times New Roman" w:hAnsi="Times New Roman"/>
        </w:rPr>
        <w:t xml:space="preserve">The largest </w:t>
      </w:r>
      <w:r>
        <w:rPr>
          <w:rFonts w:ascii="Times New Roman" w:hAnsi="Times New Roman"/>
        </w:rPr>
        <w:t>is</w:t>
      </w:r>
      <w:r w:rsidRPr="0039220C">
        <w:rPr>
          <w:rFonts w:ascii="Times New Roman" w:hAnsi="Times New Roman"/>
        </w:rPr>
        <w:t xml:space="preserve"> L</w:t>
      </w:r>
      <w:r>
        <w:rPr>
          <w:rFonts w:ascii="Times New Roman" w:hAnsi="Times New Roman"/>
        </w:rPr>
        <w:t xml:space="preserve">os </w:t>
      </w:r>
      <w:r w:rsidRPr="0039220C">
        <w:rPr>
          <w:rFonts w:ascii="Times New Roman" w:hAnsi="Times New Roman"/>
        </w:rPr>
        <w:t>A</w:t>
      </w:r>
      <w:r>
        <w:rPr>
          <w:rFonts w:ascii="Times New Roman" w:hAnsi="Times New Roman"/>
        </w:rPr>
        <w:t>ngeles</w:t>
      </w:r>
      <w:r w:rsidRPr="0039220C">
        <w:rPr>
          <w:rFonts w:ascii="Times New Roman" w:hAnsi="Times New Roman"/>
        </w:rPr>
        <w:t xml:space="preserve"> County</w:t>
      </w:r>
      <w:r>
        <w:rPr>
          <w:rFonts w:ascii="Times New Roman" w:hAnsi="Times New Roman"/>
        </w:rPr>
        <w:t>, CA,</w:t>
      </w:r>
      <w:r w:rsidRPr="0039220C">
        <w:rPr>
          <w:rFonts w:ascii="Times New Roman" w:hAnsi="Times New Roman"/>
        </w:rPr>
        <w:t xml:space="preserve"> with a percentage of the aggregate measure (before small state or large jurisdiction adjustment) of </w:t>
      </w:r>
      <w:r>
        <w:rPr>
          <w:rFonts w:ascii="Times New Roman" w:hAnsi="Times New Roman"/>
        </w:rPr>
        <w:t>1.76</w:t>
      </w:r>
      <w:r w:rsidRPr="0039220C">
        <w:rPr>
          <w:rFonts w:ascii="Times New Roman" w:hAnsi="Times New Roman"/>
        </w:rPr>
        <w:t xml:space="preserve">%. This is reduced so that the final aggregated expected </w:t>
      </w:r>
      <w:r>
        <w:rPr>
          <w:rFonts w:ascii="Times New Roman" w:hAnsi="Times New Roman"/>
        </w:rPr>
        <w:t>number of facilities</w:t>
      </w:r>
      <w:r w:rsidRPr="0039220C">
        <w:rPr>
          <w:rFonts w:ascii="Times New Roman" w:hAnsi="Times New Roman"/>
        </w:rPr>
        <w:t xml:space="preserve"> is </w:t>
      </w:r>
      <w:r>
        <w:rPr>
          <w:rFonts w:ascii="Times New Roman" w:hAnsi="Times New Roman"/>
        </w:rPr>
        <w:t>4.0</w:t>
      </w:r>
      <w:r w:rsidRPr="0039220C">
        <w:rPr>
          <w:rFonts w:ascii="Times New Roman" w:hAnsi="Times New Roman"/>
        </w:rPr>
        <w:t xml:space="preserve"> (</w:t>
      </w:r>
      <w:r>
        <w:rPr>
          <w:rFonts w:ascii="Times New Roman" w:hAnsi="Times New Roman"/>
        </w:rPr>
        <w:t>1.38</w:t>
      </w:r>
      <w:r w:rsidRPr="0039220C">
        <w:rPr>
          <w:rFonts w:ascii="Times New Roman" w:hAnsi="Times New Roman"/>
        </w:rPr>
        <w:t xml:space="preserve">% of the </w:t>
      </w:r>
      <w:r>
        <w:rPr>
          <w:rFonts w:ascii="Times New Roman" w:hAnsi="Times New Roman"/>
        </w:rPr>
        <w:t>290</w:t>
      </w:r>
      <w:r w:rsidRPr="0039220C">
        <w:rPr>
          <w:rFonts w:ascii="Times New Roman" w:hAnsi="Times New Roman"/>
        </w:rPr>
        <w:t xml:space="preserve">), and exactly </w:t>
      </w:r>
      <w:r>
        <w:rPr>
          <w:rFonts w:ascii="Times New Roman" w:hAnsi="Times New Roman"/>
        </w:rPr>
        <w:t>four</w:t>
      </w:r>
      <w:r w:rsidRPr="0039220C">
        <w:rPr>
          <w:rFonts w:ascii="Times New Roman" w:hAnsi="Times New Roman"/>
        </w:rPr>
        <w:t xml:space="preserve"> jails will be taken in this jurisdiction. There are </w:t>
      </w:r>
      <w:r>
        <w:rPr>
          <w:rFonts w:ascii="Times New Roman" w:hAnsi="Times New Roman"/>
        </w:rPr>
        <w:t>four</w:t>
      </w:r>
      <w:r w:rsidRPr="0039220C">
        <w:rPr>
          <w:rFonts w:ascii="Times New Roman" w:hAnsi="Times New Roman"/>
        </w:rPr>
        <w:t xml:space="preserve"> jurisdictions with aggregate percentages for the unadjusted measure between </w:t>
      </w:r>
      <w:r>
        <w:rPr>
          <w:rFonts w:ascii="Times New Roman" w:hAnsi="Times New Roman"/>
        </w:rPr>
        <w:t>0.73%</w:t>
      </w:r>
      <w:r w:rsidRPr="0039220C">
        <w:rPr>
          <w:rFonts w:ascii="Times New Roman" w:hAnsi="Times New Roman"/>
        </w:rPr>
        <w:t xml:space="preserve"> and </w:t>
      </w:r>
      <w:r>
        <w:rPr>
          <w:rFonts w:ascii="Times New Roman" w:hAnsi="Times New Roman"/>
        </w:rPr>
        <w:t>0.99%</w:t>
      </w:r>
      <w:r w:rsidRPr="0039220C">
        <w:rPr>
          <w:rFonts w:ascii="Times New Roman" w:hAnsi="Times New Roman"/>
        </w:rPr>
        <w:t xml:space="preserve"> (Harris County TX, </w:t>
      </w:r>
      <w:r>
        <w:rPr>
          <w:rFonts w:ascii="Times New Roman" w:hAnsi="Times New Roman"/>
        </w:rPr>
        <w:t xml:space="preserve">San Diego County, CA, </w:t>
      </w:r>
      <w:r w:rsidRPr="0039220C">
        <w:rPr>
          <w:rFonts w:ascii="Times New Roman" w:hAnsi="Times New Roman"/>
        </w:rPr>
        <w:t xml:space="preserve">Maricopa County, AZ, New York City), and these are adjusted to give </w:t>
      </w:r>
      <w:r>
        <w:rPr>
          <w:rFonts w:ascii="Times New Roman" w:hAnsi="Times New Roman"/>
        </w:rPr>
        <w:t xml:space="preserve">a </w:t>
      </w:r>
      <w:r w:rsidRPr="0039220C">
        <w:rPr>
          <w:rFonts w:ascii="Times New Roman" w:hAnsi="Times New Roman"/>
        </w:rPr>
        <w:t xml:space="preserve">final aggregate expected </w:t>
      </w:r>
      <w:r>
        <w:rPr>
          <w:rFonts w:ascii="Times New Roman" w:hAnsi="Times New Roman"/>
        </w:rPr>
        <w:t>number</w:t>
      </w:r>
      <w:r w:rsidRPr="0039220C">
        <w:rPr>
          <w:rFonts w:ascii="Times New Roman" w:hAnsi="Times New Roman"/>
        </w:rPr>
        <w:t xml:space="preserve"> </w:t>
      </w:r>
      <w:r>
        <w:rPr>
          <w:rFonts w:ascii="Times New Roman" w:hAnsi="Times New Roman"/>
        </w:rPr>
        <w:t xml:space="preserve">of facilities between </w:t>
      </w:r>
      <w:r w:rsidRPr="0039220C">
        <w:rPr>
          <w:rFonts w:ascii="Times New Roman" w:hAnsi="Times New Roman"/>
        </w:rPr>
        <w:t xml:space="preserve">2.0 </w:t>
      </w:r>
      <w:r>
        <w:rPr>
          <w:rFonts w:ascii="Times New Roman" w:hAnsi="Times New Roman"/>
        </w:rPr>
        <w:t xml:space="preserve">and 3.0 </w:t>
      </w:r>
      <w:r w:rsidRPr="0039220C">
        <w:rPr>
          <w:rFonts w:ascii="Times New Roman" w:hAnsi="Times New Roman"/>
        </w:rPr>
        <w:t>(</w:t>
      </w:r>
      <w:r>
        <w:rPr>
          <w:rFonts w:ascii="Times New Roman" w:hAnsi="Times New Roman"/>
        </w:rPr>
        <w:t>0.69</w:t>
      </w:r>
      <w:r w:rsidRPr="0039220C">
        <w:rPr>
          <w:rFonts w:ascii="Times New Roman" w:hAnsi="Times New Roman"/>
        </w:rPr>
        <w:t xml:space="preserve">% </w:t>
      </w:r>
      <w:r>
        <w:rPr>
          <w:rFonts w:ascii="Times New Roman" w:hAnsi="Times New Roman"/>
        </w:rPr>
        <w:t xml:space="preserve">and 1.03% </w:t>
      </w:r>
      <w:r w:rsidRPr="0039220C">
        <w:rPr>
          <w:rFonts w:ascii="Times New Roman" w:hAnsi="Times New Roman"/>
        </w:rPr>
        <w:t xml:space="preserve">of </w:t>
      </w:r>
      <w:r>
        <w:rPr>
          <w:rFonts w:ascii="Times New Roman" w:hAnsi="Times New Roman"/>
        </w:rPr>
        <w:t>290</w:t>
      </w:r>
      <w:r w:rsidRPr="0039220C">
        <w:rPr>
          <w:rFonts w:ascii="Times New Roman" w:hAnsi="Times New Roman"/>
        </w:rPr>
        <w:t>)</w:t>
      </w:r>
      <w:r>
        <w:rPr>
          <w:rFonts w:ascii="Times New Roman" w:hAnsi="Times New Roman"/>
        </w:rPr>
        <w:t>; either</w:t>
      </w:r>
      <w:r w:rsidRPr="0039220C">
        <w:rPr>
          <w:rFonts w:ascii="Times New Roman" w:hAnsi="Times New Roman"/>
        </w:rPr>
        <w:t xml:space="preserve"> two</w:t>
      </w:r>
      <w:r>
        <w:rPr>
          <w:rFonts w:ascii="Times New Roman" w:hAnsi="Times New Roman"/>
        </w:rPr>
        <w:t xml:space="preserve"> or three</w:t>
      </w:r>
      <w:r w:rsidRPr="0039220C">
        <w:rPr>
          <w:rFonts w:ascii="Times New Roman" w:hAnsi="Times New Roman"/>
        </w:rPr>
        <w:t xml:space="preserve"> jails will be taken in these jurisdictions. There are </w:t>
      </w:r>
      <w:r>
        <w:rPr>
          <w:rFonts w:ascii="Times New Roman" w:hAnsi="Times New Roman"/>
        </w:rPr>
        <w:t>11</w:t>
      </w:r>
      <w:r w:rsidRPr="0039220C">
        <w:rPr>
          <w:rFonts w:ascii="Times New Roman" w:hAnsi="Times New Roman"/>
        </w:rPr>
        <w:t xml:space="preserve"> jurisdictions with aggregate percentages of the unadjusted measure between </w:t>
      </w:r>
      <w:r>
        <w:rPr>
          <w:rFonts w:ascii="Times New Roman" w:hAnsi="Times New Roman"/>
        </w:rPr>
        <w:t>0.35%</w:t>
      </w:r>
      <w:r w:rsidRPr="0039220C">
        <w:rPr>
          <w:rFonts w:ascii="Times New Roman" w:hAnsi="Times New Roman"/>
        </w:rPr>
        <w:t xml:space="preserve"> and </w:t>
      </w:r>
      <w:r>
        <w:rPr>
          <w:rFonts w:ascii="Times New Roman" w:hAnsi="Times New Roman"/>
        </w:rPr>
        <w:t>0.67%</w:t>
      </w:r>
      <w:r w:rsidRPr="0039220C">
        <w:rPr>
          <w:rFonts w:ascii="Times New Roman" w:hAnsi="Times New Roman"/>
        </w:rPr>
        <w:t>, and after adjustment</w:t>
      </w:r>
      <w:r w:rsidR="00F904A7">
        <w:rPr>
          <w:rFonts w:ascii="Times New Roman" w:hAnsi="Times New Roman"/>
        </w:rPr>
        <w:t>,</w:t>
      </w:r>
      <w:r w:rsidRPr="0039220C">
        <w:rPr>
          <w:rFonts w:ascii="Times New Roman" w:hAnsi="Times New Roman"/>
        </w:rPr>
        <w:t xml:space="preserve"> these have </w:t>
      </w:r>
      <w:r>
        <w:rPr>
          <w:rFonts w:ascii="Times New Roman" w:hAnsi="Times New Roman"/>
        </w:rPr>
        <w:t xml:space="preserve">a </w:t>
      </w:r>
      <w:r w:rsidRPr="0039220C">
        <w:rPr>
          <w:rFonts w:ascii="Times New Roman" w:hAnsi="Times New Roman"/>
        </w:rPr>
        <w:t xml:space="preserve">final expected </w:t>
      </w:r>
      <w:r>
        <w:rPr>
          <w:rFonts w:ascii="Times New Roman" w:hAnsi="Times New Roman"/>
        </w:rPr>
        <w:t>number of facilities</w:t>
      </w:r>
      <w:r w:rsidRPr="0039220C">
        <w:rPr>
          <w:rFonts w:ascii="Times New Roman" w:hAnsi="Times New Roman"/>
        </w:rPr>
        <w:t xml:space="preserve"> between 1.0 and 2.0 (</w:t>
      </w:r>
      <w:r>
        <w:rPr>
          <w:rFonts w:ascii="Times New Roman" w:hAnsi="Times New Roman"/>
        </w:rPr>
        <w:t>0.345</w:t>
      </w:r>
      <w:r w:rsidRPr="0039220C">
        <w:rPr>
          <w:rFonts w:ascii="Times New Roman" w:hAnsi="Times New Roman"/>
        </w:rPr>
        <w:t xml:space="preserve">% and </w:t>
      </w:r>
      <w:r>
        <w:rPr>
          <w:rFonts w:ascii="Times New Roman" w:hAnsi="Times New Roman"/>
        </w:rPr>
        <w:t>0.69%</w:t>
      </w:r>
      <w:r w:rsidRPr="0039220C">
        <w:rPr>
          <w:rFonts w:ascii="Times New Roman" w:hAnsi="Times New Roman"/>
        </w:rPr>
        <w:t xml:space="preserve"> of </w:t>
      </w:r>
      <w:r>
        <w:rPr>
          <w:rFonts w:ascii="Times New Roman" w:hAnsi="Times New Roman"/>
        </w:rPr>
        <w:t>290</w:t>
      </w:r>
      <w:r w:rsidRPr="0039220C">
        <w:rPr>
          <w:rFonts w:ascii="Times New Roman" w:hAnsi="Times New Roman"/>
        </w:rPr>
        <w:t xml:space="preserve"> respectively), and either one or two jails</w:t>
      </w:r>
      <w:r w:rsidRPr="00676BD8">
        <w:rPr>
          <w:rFonts w:ascii="Times New Roman" w:hAnsi="Times New Roman"/>
          <w:vertAlign w:val="superscript"/>
        </w:rPr>
        <w:footnoteReference w:id="3"/>
      </w:r>
      <w:r w:rsidRPr="0039220C">
        <w:rPr>
          <w:rFonts w:ascii="Times New Roman" w:hAnsi="Times New Roman"/>
        </w:rPr>
        <w:t xml:space="preserve"> will be taken in these jurisdictions.</w:t>
      </w:r>
    </w:p>
    <w:p w:rsidRPr="00971649" w:rsidR="00875DF0" w:rsidP="00875DF0" w:rsidRDefault="00875DF0" w14:paraId="48CC9978" w14:textId="77777777">
      <w:pPr>
        <w:pStyle w:val="L1-FlLSp12"/>
        <w:tabs>
          <w:tab w:val="clear" w:pos="1152"/>
        </w:tabs>
        <w:spacing w:line="240" w:lineRule="auto"/>
        <w:ind w:left="720"/>
        <w:rPr>
          <w:rFonts w:ascii="Times New Roman" w:hAnsi="Times New Roman"/>
        </w:rPr>
      </w:pPr>
    </w:p>
    <w:p w:rsidRPr="00746CB0" w:rsidR="00875DF0" w:rsidP="00875DF0" w:rsidRDefault="00875DF0" w14:paraId="6C28767E" w14:textId="77777777">
      <w:pPr>
        <w:pStyle w:val="L1-FlLSp12"/>
        <w:tabs>
          <w:tab w:val="clear" w:pos="1152"/>
        </w:tabs>
        <w:spacing w:line="240" w:lineRule="auto"/>
        <w:ind w:left="720"/>
        <w:rPr>
          <w:rFonts w:ascii="Times New Roman" w:hAnsi="Times New Roman"/>
        </w:rPr>
      </w:pPr>
      <w:r>
        <w:rPr>
          <w:rFonts w:ascii="Times New Roman" w:hAnsi="Times New Roman"/>
        </w:rPr>
        <w:lastRenderedPageBreak/>
        <w:t>Following all of these reductions and augmentations of measures of size, the remaining jails will be adjusted so that the overall sample size is 290</w:t>
      </w:r>
      <w:r w:rsidRPr="003B4366">
        <w:rPr>
          <w:rFonts w:ascii="Times New Roman" w:hAnsi="Times New Roman"/>
        </w:rPr>
        <w:t>.</w:t>
      </w:r>
      <w:r>
        <w:rPr>
          <w:rFonts w:ascii="Times New Roman" w:hAnsi="Times New Roman"/>
        </w:rPr>
        <w:t xml:space="preserve"> </w:t>
      </w:r>
    </w:p>
    <w:p w:rsidR="00875DF0" w:rsidP="00BA292A" w:rsidRDefault="00875DF0" w14:paraId="4EA8DC42" w14:textId="3F16AB51">
      <w:pPr>
        <w:kinsoku w:val="0"/>
        <w:overflowPunct w:val="0"/>
        <w:ind w:left="720"/>
        <w:rPr>
          <w:rFonts w:ascii="Times New Roman" w:hAnsi="Times New Roman"/>
          <w:u w:val="single"/>
        </w:rPr>
      </w:pPr>
    </w:p>
    <w:p w:rsidR="00875DF0" w:rsidP="00BA292A" w:rsidRDefault="00875DF0" w14:paraId="63B70602" w14:textId="7F6E74C8">
      <w:pPr>
        <w:kinsoku w:val="0"/>
        <w:overflowPunct w:val="0"/>
        <w:ind w:left="720"/>
        <w:rPr>
          <w:rFonts w:ascii="Times New Roman" w:hAnsi="Times New Roman"/>
          <w:u w:val="single"/>
        </w:rPr>
      </w:pPr>
    </w:p>
    <w:p w:rsidR="00971649" w:rsidP="00BA292A" w:rsidRDefault="00BA292A" w14:paraId="5B336F8A" w14:textId="4473BFBD">
      <w:pPr>
        <w:kinsoku w:val="0"/>
        <w:overflowPunct w:val="0"/>
        <w:ind w:left="720"/>
        <w:rPr>
          <w:rFonts w:ascii="Times New Roman" w:hAnsi="Times New Roman"/>
        </w:rPr>
      </w:pPr>
      <w:r>
        <w:rPr>
          <w:rFonts w:ascii="Times New Roman" w:hAnsi="Times New Roman"/>
          <w:u w:val="single"/>
        </w:rPr>
        <w:t>Reserve Sample.</w:t>
      </w:r>
      <w:r>
        <w:rPr>
          <w:rFonts w:ascii="Times New Roman" w:hAnsi="Times New Roman"/>
        </w:rPr>
        <w:t xml:space="preserve"> </w:t>
      </w:r>
      <w:r w:rsidR="004360ED">
        <w:rPr>
          <w:rFonts w:ascii="Times New Roman" w:hAnsi="Times New Roman"/>
        </w:rPr>
        <w:t>A</w:t>
      </w:r>
      <w:r w:rsidRPr="00B96D55">
        <w:rPr>
          <w:rFonts w:ascii="Times New Roman" w:hAnsi="Times New Roman"/>
        </w:rPr>
        <w:t xml:space="preserve"> primary sample of </w:t>
      </w:r>
      <w:r w:rsidR="00402CE5">
        <w:rPr>
          <w:rFonts w:ascii="Times New Roman" w:hAnsi="Times New Roman"/>
        </w:rPr>
        <w:t>290</w:t>
      </w:r>
      <w:r w:rsidRPr="00B96D55" w:rsidR="00402CE5">
        <w:rPr>
          <w:rFonts w:ascii="Times New Roman" w:hAnsi="Times New Roman"/>
        </w:rPr>
        <w:t xml:space="preserve"> </w:t>
      </w:r>
      <w:r w:rsidRPr="00B96D55">
        <w:rPr>
          <w:rFonts w:ascii="Times New Roman" w:hAnsi="Times New Roman"/>
        </w:rPr>
        <w:t xml:space="preserve">jails </w:t>
      </w:r>
      <w:r w:rsidR="004360ED">
        <w:rPr>
          <w:rFonts w:ascii="Times New Roman" w:hAnsi="Times New Roman"/>
        </w:rPr>
        <w:t xml:space="preserve">will be drawn </w:t>
      </w:r>
      <w:r w:rsidRPr="00B96D55">
        <w:rPr>
          <w:rFonts w:ascii="Times New Roman" w:hAnsi="Times New Roman"/>
        </w:rPr>
        <w:t>using the implicit stratification plan</w:t>
      </w:r>
      <w:r w:rsidR="004066C8">
        <w:rPr>
          <w:rFonts w:ascii="Times New Roman" w:hAnsi="Times New Roman"/>
        </w:rPr>
        <w:t>, as</w:t>
      </w:r>
      <w:r w:rsidRPr="00B96D55">
        <w:rPr>
          <w:rFonts w:ascii="Times New Roman" w:hAnsi="Times New Roman"/>
        </w:rPr>
        <w:t xml:space="preserve"> described in the previous section. In addition, </w:t>
      </w:r>
      <w:r w:rsidR="004360ED">
        <w:rPr>
          <w:rFonts w:ascii="Times New Roman" w:hAnsi="Times New Roman"/>
        </w:rPr>
        <w:t xml:space="preserve">a </w:t>
      </w:r>
      <w:r w:rsidR="00BC04E5">
        <w:rPr>
          <w:rFonts w:ascii="Times New Roman" w:hAnsi="Times New Roman"/>
        </w:rPr>
        <w:t xml:space="preserve">paired </w:t>
      </w:r>
      <w:r w:rsidRPr="00B96D55">
        <w:rPr>
          <w:rFonts w:ascii="Times New Roman" w:hAnsi="Times New Roman"/>
        </w:rPr>
        <w:t xml:space="preserve">reserve sample of </w:t>
      </w:r>
      <w:r w:rsidR="00E64DC1">
        <w:rPr>
          <w:rFonts w:ascii="Times New Roman" w:hAnsi="Times New Roman"/>
        </w:rPr>
        <w:t>equal size</w:t>
      </w:r>
      <w:r w:rsidR="004360ED">
        <w:t xml:space="preserve"> will be taken</w:t>
      </w:r>
      <w:r w:rsidR="00235F41">
        <w:rPr>
          <w:rFonts w:ascii="Times New Roman" w:hAnsi="Times New Roman"/>
        </w:rPr>
        <w:t>,</w:t>
      </w:r>
      <w:r w:rsidRPr="00B96D55">
        <w:rPr>
          <w:rFonts w:ascii="Times New Roman" w:hAnsi="Times New Roman"/>
        </w:rPr>
        <w:t xml:space="preserve"> which can be drawn upon when the primary sample jails are not eligible or do not respond (a substitution system for drawing on the reserve sample </w:t>
      </w:r>
      <w:r w:rsidR="004360ED">
        <w:rPr>
          <w:rFonts w:ascii="Times New Roman" w:hAnsi="Times New Roman"/>
        </w:rPr>
        <w:t xml:space="preserve">will be set up </w:t>
      </w:r>
      <w:r w:rsidRPr="00B96D55">
        <w:rPr>
          <w:rFonts w:ascii="Times New Roman" w:hAnsi="Times New Roman"/>
        </w:rPr>
        <w:t xml:space="preserve">as it is needed). The reserve sample can be drawn simply by using a </w:t>
      </w:r>
      <w:r w:rsidR="001316C2">
        <w:rPr>
          <w:rFonts w:ascii="Times New Roman" w:hAnsi="Times New Roman"/>
        </w:rPr>
        <w:t>“</w:t>
      </w:r>
      <w:r w:rsidRPr="00B96D55">
        <w:rPr>
          <w:rFonts w:ascii="Times New Roman" w:hAnsi="Times New Roman"/>
        </w:rPr>
        <w:t>complementary</w:t>
      </w:r>
      <w:r w:rsidR="001316C2">
        <w:rPr>
          <w:rFonts w:ascii="Times New Roman" w:hAnsi="Times New Roman"/>
        </w:rPr>
        <w:t>”</w:t>
      </w:r>
      <w:r w:rsidRPr="00B96D55">
        <w:rPr>
          <w:rFonts w:ascii="Times New Roman" w:hAnsi="Times New Roman"/>
        </w:rPr>
        <w:t xml:space="preserve"> random start (</w:t>
      </w:r>
      <w:r w:rsidR="00C92C17">
        <w:rPr>
          <w:rFonts w:ascii="Times New Roman" w:hAnsi="Times New Roman"/>
        </w:rPr>
        <w:t>i.e.,</w:t>
      </w:r>
      <w:r w:rsidR="00035510">
        <w:rPr>
          <w:rFonts w:ascii="Times New Roman" w:hAnsi="Times New Roman"/>
        </w:rPr>
        <w:t xml:space="preserve"> </w:t>
      </w:r>
      <w:r w:rsidR="002C4DC9">
        <w:rPr>
          <w:rFonts w:ascii="Times New Roman" w:hAnsi="Times New Roman"/>
        </w:rPr>
        <w:t>i</w:t>
      </w:r>
      <w:r w:rsidR="00035510">
        <w:rPr>
          <w:rFonts w:ascii="Times New Roman" w:hAnsi="Times New Roman"/>
        </w:rPr>
        <w:t>f</w:t>
      </w:r>
      <w:r w:rsidRPr="00B96D55">
        <w:rPr>
          <w:rFonts w:ascii="Times New Roman" w:hAnsi="Times New Roman"/>
        </w:rPr>
        <w:t xml:space="preserve"> the random start X is between 0 and </w:t>
      </w:r>
      <w:r w:rsidR="00035510">
        <w:rPr>
          <w:rFonts w:ascii="Times New Roman" w:hAnsi="Times New Roman"/>
        </w:rPr>
        <w:t>0.5</w:t>
      </w:r>
      <w:r w:rsidRPr="00B96D55">
        <w:rPr>
          <w:rFonts w:ascii="Times New Roman" w:hAnsi="Times New Roman"/>
        </w:rPr>
        <w:t>, the complementary random start Y is X+0.5</w:t>
      </w:r>
      <w:r w:rsidR="001316C2">
        <w:rPr>
          <w:rFonts w:ascii="Times New Roman" w:hAnsi="Times New Roman"/>
        </w:rPr>
        <w:t>. I</w:t>
      </w:r>
      <w:r w:rsidR="00035510">
        <w:rPr>
          <w:rFonts w:ascii="Times New Roman" w:hAnsi="Times New Roman"/>
        </w:rPr>
        <w:t>f X is between 0.5 and</w:t>
      </w:r>
      <w:r w:rsidR="001316C2">
        <w:rPr>
          <w:rFonts w:ascii="Times New Roman" w:hAnsi="Times New Roman"/>
        </w:rPr>
        <w:t xml:space="preserve"> </w:t>
      </w:r>
      <w:r w:rsidRPr="00B96D55">
        <w:rPr>
          <w:rFonts w:ascii="Times New Roman" w:hAnsi="Times New Roman"/>
        </w:rPr>
        <w:t>1</w:t>
      </w:r>
      <w:r w:rsidR="001316C2">
        <w:rPr>
          <w:rFonts w:ascii="Times New Roman" w:hAnsi="Times New Roman"/>
        </w:rPr>
        <w:t>,</w:t>
      </w:r>
      <w:r w:rsidR="00035510">
        <w:rPr>
          <w:rFonts w:ascii="Times New Roman" w:hAnsi="Times New Roman"/>
        </w:rPr>
        <w:t xml:space="preserve"> Y is </w:t>
      </w:r>
      <w:r w:rsidR="00CA265E">
        <w:rPr>
          <w:rFonts w:ascii="Times New Roman" w:hAnsi="Times New Roman"/>
        </w:rPr>
        <w:t>X</w:t>
      </w:r>
      <w:r w:rsidR="00035510">
        <w:rPr>
          <w:rFonts w:ascii="Times New Roman" w:hAnsi="Times New Roman"/>
        </w:rPr>
        <w:t>-0.5</w:t>
      </w:r>
      <w:r w:rsidR="001316C2">
        <w:rPr>
          <w:rFonts w:ascii="Times New Roman" w:hAnsi="Times New Roman"/>
        </w:rPr>
        <w:t>)</w:t>
      </w:r>
      <w:r w:rsidRPr="00B96D55">
        <w:rPr>
          <w:rFonts w:ascii="Times New Roman" w:hAnsi="Times New Roman"/>
        </w:rPr>
        <w:t>.</w:t>
      </w:r>
      <w:r w:rsidR="00A91792">
        <w:rPr>
          <w:rFonts w:ascii="Times New Roman" w:hAnsi="Times New Roman"/>
        </w:rPr>
        <w:t xml:space="preserve"> </w:t>
      </w:r>
      <w:r w:rsidR="00EC0BA3">
        <w:rPr>
          <w:rFonts w:ascii="Times New Roman" w:hAnsi="Times New Roman"/>
        </w:rPr>
        <w:t>S</w:t>
      </w:r>
      <w:r w:rsidR="00CA4086">
        <w:rPr>
          <w:rFonts w:ascii="Times New Roman" w:hAnsi="Times New Roman"/>
        </w:rPr>
        <w:t>ampled jails with probabilities higher than 0.5 are their own reserves</w:t>
      </w:r>
      <w:r w:rsidR="00EC0BA3">
        <w:rPr>
          <w:rFonts w:ascii="Times New Roman" w:hAnsi="Times New Roman"/>
        </w:rPr>
        <w:t>, so</w:t>
      </w:r>
      <w:r w:rsidR="00CA4086">
        <w:rPr>
          <w:rFonts w:ascii="Times New Roman" w:hAnsi="Times New Roman"/>
        </w:rPr>
        <w:t xml:space="preserve"> there is no reserve for these </w:t>
      </w:r>
      <w:r w:rsidR="00EC0BA3">
        <w:rPr>
          <w:rFonts w:ascii="Times New Roman" w:hAnsi="Times New Roman"/>
        </w:rPr>
        <w:t xml:space="preserve">15 </w:t>
      </w:r>
      <w:r w:rsidR="00CA4086">
        <w:rPr>
          <w:rFonts w:ascii="Times New Roman" w:hAnsi="Times New Roman"/>
        </w:rPr>
        <w:t>jails</w:t>
      </w:r>
      <w:r w:rsidR="00DB3F4F">
        <w:rPr>
          <w:rFonts w:ascii="Times New Roman" w:hAnsi="Times New Roman"/>
        </w:rPr>
        <w:t>.</w:t>
      </w:r>
      <w:r w:rsidR="00CA4086">
        <w:rPr>
          <w:rFonts w:ascii="Times New Roman" w:hAnsi="Times New Roman"/>
        </w:rPr>
        <w:t xml:space="preserve"> </w:t>
      </w:r>
    </w:p>
    <w:p w:rsidR="00812FC9" w:rsidP="008158EB" w:rsidRDefault="00812FC9" w14:paraId="24679A8B" w14:textId="77777777">
      <w:pPr>
        <w:kinsoku w:val="0"/>
        <w:overflowPunct w:val="0"/>
        <w:rPr>
          <w:rFonts w:ascii="Times New Roman" w:hAnsi="Times New Roman"/>
        </w:rPr>
      </w:pPr>
    </w:p>
    <w:p w:rsidRPr="002D7DE6" w:rsidR="008158EB" w:rsidP="008158EB" w:rsidRDefault="008158EB" w14:paraId="24EB7176" w14:textId="3530D0C6">
      <w:pPr>
        <w:kinsoku w:val="0"/>
        <w:overflowPunct w:val="0"/>
        <w:rPr>
          <w:rFonts w:ascii="Times New Roman" w:hAnsi="Times New Roman"/>
        </w:rPr>
      </w:pPr>
      <w:r w:rsidRPr="002D7DE6">
        <w:rPr>
          <w:rFonts w:ascii="Times New Roman" w:hAnsi="Times New Roman"/>
        </w:rPr>
        <w:t>1.</w:t>
      </w:r>
      <w:r>
        <w:rPr>
          <w:rFonts w:ascii="Times New Roman" w:hAnsi="Times New Roman"/>
        </w:rPr>
        <w:t>3</w:t>
      </w:r>
      <w:r w:rsidRPr="002D7DE6">
        <w:rPr>
          <w:rFonts w:ascii="Times New Roman" w:hAnsi="Times New Roman"/>
        </w:rPr>
        <w:t xml:space="preserve"> </w:t>
      </w:r>
      <w:r>
        <w:rPr>
          <w:rFonts w:ascii="Times New Roman" w:hAnsi="Times New Roman"/>
        </w:rPr>
        <w:t>Inmate</w:t>
      </w:r>
      <w:r w:rsidR="00971649">
        <w:rPr>
          <w:rFonts w:ascii="Times New Roman" w:hAnsi="Times New Roman"/>
        </w:rPr>
        <w:t xml:space="preserve"> Sample</w:t>
      </w:r>
    </w:p>
    <w:p w:rsidR="003614ED" w:rsidP="008158EB" w:rsidRDefault="003614ED" w14:paraId="00516F50" w14:textId="0335C3E5">
      <w:pPr>
        <w:kinsoku w:val="0"/>
        <w:overflowPunct w:val="0"/>
        <w:rPr>
          <w:rFonts w:ascii="Times New Roman" w:hAnsi="Times New Roman"/>
        </w:rPr>
      </w:pPr>
    </w:p>
    <w:p w:rsidR="00CA77A7" w:rsidP="00CA77A7" w:rsidRDefault="00CA77A7" w14:paraId="1E82F9D2" w14:textId="100949F5">
      <w:pPr>
        <w:pStyle w:val="L1-FlLSp12"/>
        <w:spacing w:line="240" w:lineRule="auto"/>
        <w:ind w:left="720"/>
        <w:rPr>
          <w:rFonts w:ascii="Times New Roman" w:hAnsi="Times New Roman"/>
        </w:rPr>
      </w:pPr>
      <w:r w:rsidRPr="00B96D55">
        <w:rPr>
          <w:rFonts w:ascii="Times New Roman" w:hAnsi="Times New Roman"/>
        </w:rPr>
        <w:t>The universe for inmate sampling within each sampled jail consists of all</w:t>
      </w:r>
      <w:r w:rsidR="004066C8">
        <w:rPr>
          <w:rFonts w:ascii="Times New Roman" w:hAnsi="Times New Roman"/>
        </w:rPr>
        <w:t xml:space="preserve"> arraigned</w:t>
      </w:r>
      <w:r w:rsidRPr="00B96D55">
        <w:rPr>
          <w:rFonts w:ascii="Times New Roman" w:hAnsi="Times New Roman"/>
        </w:rPr>
        <w:t xml:space="preserve"> inmates age 16 or older enrolled in the facility during the assigned week of data collection for the facility. An initial list of inmates will be obtained from the facility shortly before the week of data collection (either electronically or by paper). The sample will be a stratified simple random sample from this inmate universe, with strata defined by gender to implement female inmate oversampling</w:t>
      </w:r>
      <w:r w:rsidR="00655028">
        <w:rPr>
          <w:rFonts w:ascii="Times New Roman" w:hAnsi="Times New Roman"/>
        </w:rPr>
        <w:t>.</w:t>
      </w:r>
    </w:p>
    <w:p w:rsidR="008F09FF" w:rsidP="00CA77A7" w:rsidRDefault="008F09FF" w14:paraId="4F67056F" w14:textId="3E484D77">
      <w:pPr>
        <w:pStyle w:val="L1-FlLSp12"/>
        <w:spacing w:line="240" w:lineRule="auto"/>
        <w:ind w:left="720"/>
        <w:rPr>
          <w:rFonts w:ascii="Times New Roman" w:hAnsi="Times New Roman"/>
        </w:rPr>
      </w:pPr>
    </w:p>
    <w:p w:rsidR="00F23BFE" w:rsidP="008F09FF" w:rsidRDefault="008F09FF" w14:paraId="3C969D73" w14:textId="194DE726">
      <w:pPr>
        <w:widowControl/>
        <w:kinsoku w:val="0"/>
        <w:overflowPunct w:val="0"/>
        <w:ind w:left="720"/>
      </w:pPr>
      <w:r>
        <w:t xml:space="preserve">Due to delays in the data collection, inflation concerns, and uncertainty in the final budget, BJS is prepared to decrease the sample if needed. </w:t>
      </w:r>
      <w:r w:rsidRPr="00CA6412">
        <w:t xml:space="preserve">In compliance with PREA, in all scenarios, the first-stage jails sample size remains fixed at 290, as well as the first-stage design. A reduced budget scenario would consequently require a reduction in the inmate sampling rate. </w:t>
      </w:r>
      <w:r>
        <w:t>BJS</w:t>
      </w:r>
      <w:r w:rsidRPr="00CA6412">
        <w:t xml:space="preserve"> anticipate</w:t>
      </w:r>
      <w:r>
        <w:t>s</w:t>
      </w:r>
      <w:r w:rsidRPr="00CA6412">
        <w:t xml:space="preserve"> achieving the reductions in inmate sample size by proportionally reducing the inmate sample sizes for sampled jails for certain jail-size strata. </w:t>
      </w:r>
      <w:r>
        <w:t xml:space="preserve">BJS </w:t>
      </w:r>
      <w:r w:rsidRPr="00CA6412">
        <w:t>will optimize the design when a final budget is confirmed and a final inmate sample size is fixed.</w:t>
      </w:r>
      <w:r>
        <w:t xml:space="preserve"> </w:t>
      </w:r>
      <w:r w:rsidR="00F23BFE">
        <w:t>Table 3</w:t>
      </w:r>
      <w:r w:rsidR="00775C17">
        <w:t xml:space="preserve"> </w:t>
      </w:r>
      <w:r w:rsidR="00F23BFE">
        <w:t>shows upper and lower bounds for the sampling. The burden estimates are based on the upper bounds.</w:t>
      </w:r>
    </w:p>
    <w:p w:rsidR="00F23BFE" w:rsidP="00CA265E" w:rsidRDefault="00677AB8" w14:paraId="136EA0B7" w14:textId="6BDF08E6">
      <w:pPr>
        <w:widowControl/>
        <w:tabs>
          <w:tab w:val="left" w:pos="7830"/>
        </w:tabs>
        <w:kinsoku w:val="0"/>
        <w:overflowPunct w:val="0"/>
        <w:ind w:left="720"/>
      </w:pPr>
      <w:r>
        <w:tab/>
      </w:r>
    </w:p>
    <w:p w:rsidR="00CA265E" w:rsidRDefault="00CA265E" w14:paraId="18198E72" w14:textId="77777777">
      <w:pPr>
        <w:widowControl/>
        <w:autoSpaceDE/>
        <w:autoSpaceDN/>
        <w:adjustRightInd/>
        <w:spacing w:after="200" w:line="276" w:lineRule="auto"/>
        <w:rPr>
          <w:rFonts w:ascii="Times New Roman" w:hAnsi="Times New Roman"/>
          <w:szCs w:val="20"/>
        </w:rPr>
      </w:pPr>
      <w:r>
        <w:rPr>
          <w:rFonts w:ascii="Times New Roman" w:hAnsi="Times New Roman"/>
        </w:rPr>
        <w:br w:type="page"/>
      </w:r>
    </w:p>
    <w:p w:rsidRPr="00AE6759" w:rsidR="00F23BFE" w:rsidP="00F23BFE" w:rsidRDefault="00F23BFE" w14:paraId="21C43D3F" w14:textId="4B585DF6">
      <w:pPr>
        <w:pStyle w:val="L1-FlLSp12"/>
        <w:spacing w:line="240" w:lineRule="auto"/>
        <w:rPr>
          <w:rFonts w:ascii="Times New Roman" w:hAnsi="Times New Roman"/>
        </w:rPr>
      </w:pPr>
      <w:r w:rsidRPr="00AE6759">
        <w:rPr>
          <w:rFonts w:ascii="Times New Roman" w:hAnsi="Times New Roman"/>
        </w:rPr>
        <w:lastRenderedPageBreak/>
        <w:t xml:space="preserve">Table </w:t>
      </w:r>
      <w:r>
        <w:rPr>
          <w:rFonts w:ascii="Times New Roman" w:hAnsi="Times New Roman"/>
        </w:rPr>
        <w:t>3</w:t>
      </w:r>
      <w:r w:rsidRPr="00AE6759">
        <w:rPr>
          <w:rFonts w:ascii="Times New Roman" w:hAnsi="Times New Roman"/>
        </w:rPr>
        <w:t xml:space="preserve">. </w:t>
      </w:r>
      <w:r>
        <w:rPr>
          <w:rFonts w:ascii="Times New Roman" w:hAnsi="Times New Roman"/>
        </w:rPr>
        <w:t>Proposed sample d</w:t>
      </w:r>
      <w:r w:rsidRPr="00AE6759">
        <w:rPr>
          <w:rFonts w:ascii="Times New Roman" w:hAnsi="Times New Roman"/>
        </w:rPr>
        <w:t xml:space="preserve">esign </w:t>
      </w:r>
    </w:p>
    <w:p w:rsidR="008F09FF" w:rsidP="003241C5" w:rsidRDefault="008F09FF" w14:paraId="5F73EF65" w14:textId="71B3CCA0">
      <w:pPr>
        <w:widowControl/>
        <w:kinsoku w:val="0"/>
        <w:overflowPunct w:val="0"/>
      </w:pPr>
    </w:p>
    <w:p w:rsidR="00F23BFE" w:rsidP="008F09FF" w:rsidRDefault="00F23BFE" w14:paraId="19BE1954" w14:textId="77777777">
      <w:pPr>
        <w:widowControl/>
        <w:kinsoku w:val="0"/>
        <w:overflowPunct w:val="0"/>
        <w:ind w:left="720"/>
      </w:pPr>
    </w:p>
    <w:tbl>
      <w:tblPr>
        <w:tblW w:w="9260" w:type="dxa"/>
        <w:tblLook w:val="04A0" w:firstRow="1" w:lastRow="0" w:firstColumn="1" w:lastColumn="0" w:noHBand="0" w:noVBand="1"/>
      </w:tblPr>
      <w:tblGrid>
        <w:gridCol w:w="1580"/>
        <w:gridCol w:w="960"/>
        <w:gridCol w:w="1035"/>
        <w:gridCol w:w="960"/>
        <w:gridCol w:w="960"/>
        <w:gridCol w:w="960"/>
        <w:gridCol w:w="960"/>
        <w:gridCol w:w="960"/>
        <w:gridCol w:w="960"/>
      </w:tblGrid>
      <w:tr w:rsidRPr="003318E2" w:rsidR="003318E2" w:rsidTr="00795212" w14:paraId="32BD274C" w14:textId="77777777">
        <w:trPr>
          <w:trHeight w:val="1520"/>
        </w:trPr>
        <w:tc>
          <w:tcPr>
            <w:tcW w:w="1580" w:type="dxa"/>
            <w:tcBorders>
              <w:top w:val="single" w:color="auto" w:sz="4" w:space="0"/>
              <w:left w:val="nil"/>
              <w:bottom w:val="nil"/>
              <w:right w:val="nil"/>
            </w:tcBorders>
            <w:shd w:val="clear" w:color="auto" w:fill="auto"/>
            <w:vAlign w:val="center"/>
            <w:hideMark/>
          </w:tcPr>
          <w:p w:rsidRPr="003318E2" w:rsidR="003318E2" w:rsidP="00795212" w:rsidRDefault="003318E2" w14:paraId="19B06F7D" w14:textId="278F9BCA">
            <w:pPr>
              <w:rPr>
                <w:rFonts w:ascii="Times New Roman" w:hAnsi="Times New Roman"/>
                <w:color w:val="000000"/>
                <w:sz w:val="22"/>
                <w:szCs w:val="22"/>
              </w:rPr>
            </w:pPr>
            <w:r w:rsidRPr="003318E2">
              <w:rPr>
                <w:rFonts w:ascii="Times New Roman" w:hAnsi="Times New Roman"/>
                <w:color w:val="000000"/>
                <w:sz w:val="22"/>
                <w:szCs w:val="22"/>
              </w:rPr>
              <w:t>Jail</w:t>
            </w:r>
            <w:r w:rsidR="00A2744E">
              <w:rPr>
                <w:rFonts w:ascii="Times New Roman" w:hAnsi="Times New Roman"/>
                <w:color w:val="000000"/>
                <w:sz w:val="22"/>
                <w:szCs w:val="22"/>
              </w:rPr>
              <w:t>-</w:t>
            </w:r>
            <w:r w:rsidRPr="003318E2">
              <w:rPr>
                <w:rFonts w:ascii="Times New Roman" w:hAnsi="Times New Roman"/>
                <w:color w:val="000000"/>
                <w:sz w:val="22"/>
                <w:szCs w:val="22"/>
              </w:rPr>
              <w:t>size stratum</w:t>
            </w:r>
          </w:p>
        </w:tc>
        <w:tc>
          <w:tcPr>
            <w:tcW w:w="960" w:type="dxa"/>
            <w:tcBorders>
              <w:top w:val="single" w:color="auto" w:sz="4" w:space="0"/>
              <w:left w:val="single" w:color="auto" w:sz="4" w:space="0"/>
              <w:bottom w:val="nil"/>
              <w:right w:val="single" w:color="auto" w:sz="4" w:space="0"/>
            </w:tcBorders>
            <w:shd w:val="clear" w:color="auto" w:fill="auto"/>
            <w:vAlign w:val="center"/>
            <w:hideMark/>
          </w:tcPr>
          <w:p w:rsidRPr="003318E2" w:rsidR="003318E2" w:rsidP="00795212" w:rsidRDefault="003318E2" w14:paraId="20B1C81B" w14:textId="77777777">
            <w:pPr>
              <w:jc w:val="right"/>
              <w:rPr>
                <w:rFonts w:ascii="Times New Roman" w:hAnsi="Times New Roman"/>
                <w:color w:val="000000"/>
                <w:sz w:val="22"/>
                <w:szCs w:val="22"/>
              </w:rPr>
            </w:pPr>
            <w:r w:rsidRPr="003318E2">
              <w:rPr>
                <w:rFonts w:ascii="Times New Roman" w:hAnsi="Times New Roman"/>
                <w:color w:val="000000"/>
                <w:sz w:val="22"/>
                <w:szCs w:val="22"/>
              </w:rPr>
              <w:t>Frame count</w:t>
            </w:r>
          </w:p>
        </w:tc>
        <w:tc>
          <w:tcPr>
            <w:tcW w:w="960" w:type="dxa"/>
            <w:tcBorders>
              <w:top w:val="single" w:color="auto" w:sz="4" w:space="0"/>
              <w:left w:val="nil"/>
              <w:bottom w:val="nil"/>
              <w:right w:val="single" w:color="auto" w:sz="4" w:space="0"/>
            </w:tcBorders>
            <w:shd w:val="clear" w:color="auto" w:fill="auto"/>
            <w:vAlign w:val="center"/>
            <w:hideMark/>
          </w:tcPr>
          <w:p w:rsidRPr="003318E2" w:rsidR="003318E2" w:rsidP="00795212" w:rsidRDefault="003318E2" w14:paraId="5F568867" w14:textId="77777777">
            <w:pPr>
              <w:jc w:val="right"/>
              <w:rPr>
                <w:rFonts w:ascii="Times New Roman" w:hAnsi="Times New Roman"/>
                <w:color w:val="000000"/>
                <w:sz w:val="22"/>
                <w:szCs w:val="22"/>
              </w:rPr>
            </w:pPr>
            <w:r w:rsidRPr="003318E2">
              <w:rPr>
                <w:rFonts w:ascii="Times New Roman" w:hAnsi="Times New Roman"/>
                <w:color w:val="000000"/>
                <w:sz w:val="22"/>
                <w:szCs w:val="22"/>
              </w:rPr>
              <w:t>Expected jails sample size</w:t>
            </w:r>
          </w:p>
        </w:tc>
        <w:tc>
          <w:tcPr>
            <w:tcW w:w="960" w:type="dxa"/>
            <w:tcBorders>
              <w:top w:val="single" w:color="auto" w:sz="4" w:space="0"/>
              <w:left w:val="nil"/>
              <w:bottom w:val="nil"/>
              <w:right w:val="single" w:color="auto" w:sz="4" w:space="0"/>
            </w:tcBorders>
            <w:shd w:val="clear" w:color="auto" w:fill="auto"/>
            <w:vAlign w:val="center"/>
            <w:hideMark/>
          </w:tcPr>
          <w:p w:rsidRPr="003318E2" w:rsidR="003318E2" w:rsidP="00795212" w:rsidRDefault="003318E2" w14:paraId="15BBB408" w14:textId="77777777">
            <w:pPr>
              <w:jc w:val="right"/>
              <w:rPr>
                <w:rFonts w:ascii="Times New Roman" w:hAnsi="Times New Roman"/>
                <w:color w:val="000000"/>
                <w:sz w:val="22"/>
                <w:szCs w:val="22"/>
              </w:rPr>
            </w:pPr>
            <w:r w:rsidRPr="003318E2">
              <w:rPr>
                <w:rFonts w:ascii="Times New Roman" w:hAnsi="Times New Roman"/>
                <w:color w:val="000000"/>
                <w:sz w:val="22"/>
                <w:szCs w:val="22"/>
              </w:rPr>
              <w:t>Total  inmates</w:t>
            </w:r>
          </w:p>
        </w:tc>
        <w:tc>
          <w:tcPr>
            <w:tcW w:w="960" w:type="dxa"/>
            <w:tcBorders>
              <w:top w:val="single" w:color="auto" w:sz="4" w:space="0"/>
              <w:left w:val="nil"/>
              <w:bottom w:val="nil"/>
              <w:right w:val="nil"/>
            </w:tcBorders>
            <w:shd w:val="clear" w:color="auto" w:fill="auto"/>
            <w:vAlign w:val="center"/>
            <w:hideMark/>
          </w:tcPr>
          <w:p w:rsidRPr="003318E2" w:rsidR="003318E2" w:rsidP="00795212" w:rsidRDefault="003318E2" w14:paraId="5CF65DDD" w14:textId="77777777">
            <w:pPr>
              <w:jc w:val="right"/>
              <w:rPr>
                <w:rFonts w:ascii="Times New Roman" w:hAnsi="Times New Roman"/>
                <w:color w:val="000000"/>
                <w:sz w:val="22"/>
                <w:szCs w:val="22"/>
              </w:rPr>
            </w:pPr>
            <w:r w:rsidRPr="003318E2">
              <w:rPr>
                <w:rFonts w:ascii="Times New Roman" w:hAnsi="Times New Roman"/>
                <w:color w:val="000000"/>
                <w:sz w:val="22"/>
                <w:szCs w:val="22"/>
              </w:rPr>
              <w:t>Second-stage sample rate (stratum lower bound)</w:t>
            </w:r>
          </w:p>
        </w:tc>
        <w:tc>
          <w:tcPr>
            <w:tcW w:w="960" w:type="dxa"/>
            <w:tcBorders>
              <w:top w:val="single" w:color="auto" w:sz="4" w:space="0"/>
              <w:left w:val="nil"/>
              <w:bottom w:val="nil"/>
              <w:right w:val="nil"/>
            </w:tcBorders>
            <w:shd w:val="clear" w:color="auto" w:fill="auto"/>
            <w:vAlign w:val="center"/>
            <w:hideMark/>
          </w:tcPr>
          <w:p w:rsidRPr="003318E2" w:rsidR="003318E2" w:rsidP="00795212" w:rsidRDefault="003318E2" w14:paraId="727BC1A5" w14:textId="77777777">
            <w:pPr>
              <w:jc w:val="right"/>
              <w:rPr>
                <w:rFonts w:ascii="Times New Roman" w:hAnsi="Times New Roman"/>
                <w:color w:val="000000"/>
                <w:sz w:val="22"/>
                <w:szCs w:val="22"/>
              </w:rPr>
            </w:pPr>
            <w:r w:rsidRPr="003318E2">
              <w:rPr>
                <w:rFonts w:ascii="Times New Roman" w:hAnsi="Times New Roman"/>
                <w:color w:val="000000"/>
                <w:sz w:val="22"/>
                <w:szCs w:val="22"/>
              </w:rPr>
              <w:t>Second-stage sample rate (stratum upper bound)</w:t>
            </w:r>
          </w:p>
        </w:tc>
        <w:tc>
          <w:tcPr>
            <w:tcW w:w="960" w:type="dxa"/>
            <w:tcBorders>
              <w:top w:val="single" w:color="auto" w:sz="4" w:space="0"/>
              <w:left w:val="single" w:color="auto" w:sz="4" w:space="0"/>
              <w:bottom w:val="nil"/>
              <w:right w:val="single" w:color="auto" w:sz="4" w:space="0"/>
            </w:tcBorders>
            <w:shd w:val="clear" w:color="auto" w:fill="auto"/>
            <w:vAlign w:val="center"/>
            <w:hideMark/>
          </w:tcPr>
          <w:p w:rsidRPr="003318E2" w:rsidR="003318E2" w:rsidP="00795212" w:rsidRDefault="003318E2" w14:paraId="10C0D965" w14:textId="77777777">
            <w:pPr>
              <w:jc w:val="right"/>
              <w:rPr>
                <w:rFonts w:ascii="Times New Roman" w:hAnsi="Times New Roman"/>
                <w:color w:val="000000"/>
                <w:sz w:val="22"/>
                <w:szCs w:val="22"/>
              </w:rPr>
            </w:pPr>
            <w:r w:rsidRPr="003318E2">
              <w:rPr>
                <w:rFonts w:ascii="Times New Roman" w:hAnsi="Times New Roman"/>
                <w:color w:val="000000"/>
                <w:sz w:val="22"/>
                <w:szCs w:val="22"/>
              </w:rPr>
              <w:t>Total sampled inmates</w:t>
            </w:r>
          </w:p>
        </w:tc>
        <w:tc>
          <w:tcPr>
            <w:tcW w:w="960" w:type="dxa"/>
            <w:tcBorders>
              <w:top w:val="single" w:color="auto" w:sz="4" w:space="0"/>
              <w:left w:val="nil"/>
              <w:bottom w:val="nil"/>
              <w:right w:val="single" w:color="auto" w:sz="4" w:space="0"/>
            </w:tcBorders>
            <w:shd w:val="clear" w:color="auto" w:fill="auto"/>
            <w:vAlign w:val="center"/>
            <w:hideMark/>
          </w:tcPr>
          <w:p w:rsidRPr="003318E2" w:rsidR="003318E2" w:rsidP="00795212" w:rsidRDefault="003318E2" w14:paraId="5160B44F" w14:textId="77777777">
            <w:pPr>
              <w:jc w:val="right"/>
              <w:rPr>
                <w:rFonts w:ascii="Times New Roman" w:hAnsi="Times New Roman"/>
                <w:color w:val="000000"/>
                <w:sz w:val="22"/>
                <w:szCs w:val="22"/>
              </w:rPr>
            </w:pPr>
            <w:r w:rsidRPr="003318E2">
              <w:rPr>
                <w:rFonts w:ascii="Times New Roman" w:hAnsi="Times New Roman"/>
                <w:color w:val="000000"/>
                <w:sz w:val="22"/>
                <w:szCs w:val="22"/>
              </w:rPr>
              <w:t>Mean sampled inmates per sampled jail</w:t>
            </w:r>
          </w:p>
        </w:tc>
        <w:tc>
          <w:tcPr>
            <w:tcW w:w="960" w:type="dxa"/>
            <w:tcBorders>
              <w:top w:val="single" w:color="auto" w:sz="4" w:space="0"/>
              <w:left w:val="nil"/>
              <w:bottom w:val="nil"/>
              <w:right w:val="nil"/>
            </w:tcBorders>
            <w:shd w:val="clear" w:color="auto" w:fill="auto"/>
            <w:vAlign w:val="center"/>
            <w:hideMark/>
          </w:tcPr>
          <w:p w:rsidRPr="003318E2" w:rsidR="003318E2" w:rsidP="00795212" w:rsidRDefault="003318E2" w14:paraId="05F21285" w14:textId="77777777">
            <w:pPr>
              <w:jc w:val="right"/>
              <w:rPr>
                <w:rFonts w:ascii="Times New Roman" w:hAnsi="Times New Roman"/>
                <w:color w:val="000000"/>
                <w:sz w:val="22"/>
                <w:szCs w:val="22"/>
              </w:rPr>
            </w:pPr>
            <w:r w:rsidRPr="003318E2">
              <w:rPr>
                <w:rFonts w:ascii="Times New Roman" w:hAnsi="Times New Roman"/>
                <w:color w:val="000000"/>
                <w:sz w:val="22"/>
                <w:szCs w:val="22"/>
              </w:rPr>
              <w:t>Percent inmates sampled</w:t>
            </w:r>
          </w:p>
        </w:tc>
      </w:tr>
      <w:tr w:rsidRPr="003318E2" w:rsidR="003318E2" w:rsidTr="00795212" w14:paraId="673586E2" w14:textId="77777777">
        <w:trPr>
          <w:trHeight w:val="259" w:hRule="exact"/>
        </w:trPr>
        <w:tc>
          <w:tcPr>
            <w:tcW w:w="1580" w:type="dxa"/>
            <w:tcBorders>
              <w:top w:val="single" w:color="auto" w:sz="4" w:space="0"/>
              <w:left w:val="nil"/>
              <w:bottom w:val="nil"/>
              <w:right w:val="nil"/>
            </w:tcBorders>
            <w:shd w:val="clear" w:color="auto" w:fill="auto"/>
            <w:noWrap/>
            <w:vAlign w:val="center"/>
            <w:hideMark/>
          </w:tcPr>
          <w:p w:rsidRPr="003318E2" w:rsidR="003318E2" w:rsidP="00795212" w:rsidRDefault="003318E2" w14:paraId="1D99642E" w14:textId="1B6D5B38">
            <w:pPr>
              <w:rPr>
                <w:rFonts w:ascii="Times New Roman" w:hAnsi="Times New Roman"/>
                <w:color w:val="000000"/>
                <w:sz w:val="22"/>
                <w:szCs w:val="22"/>
              </w:rPr>
            </w:pPr>
            <w:r w:rsidRPr="003318E2">
              <w:rPr>
                <w:rFonts w:ascii="Times New Roman" w:hAnsi="Times New Roman"/>
                <w:color w:val="000000"/>
                <w:sz w:val="22"/>
                <w:szCs w:val="22"/>
              </w:rPr>
              <w:t>2</w:t>
            </w:r>
            <w:r w:rsidR="00B5422E">
              <w:rPr>
                <w:rFonts w:ascii="Times New Roman" w:hAnsi="Times New Roman"/>
                <w:color w:val="000000"/>
                <w:sz w:val="22"/>
                <w:szCs w:val="22"/>
              </w:rPr>
              <w:t>,</w:t>
            </w:r>
            <w:r w:rsidRPr="003318E2">
              <w:rPr>
                <w:rFonts w:ascii="Times New Roman" w:hAnsi="Times New Roman"/>
                <w:color w:val="000000"/>
                <w:sz w:val="22"/>
                <w:szCs w:val="22"/>
              </w:rPr>
              <w:t>950+</w:t>
            </w:r>
          </w:p>
        </w:tc>
        <w:tc>
          <w:tcPr>
            <w:tcW w:w="960" w:type="dxa"/>
            <w:tcBorders>
              <w:top w:val="single" w:color="auto" w:sz="4" w:space="0"/>
              <w:left w:val="single" w:color="auto" w:sz="4" w:space="0"/>
              <w:bottom w:val="nil"/>
              <w:right w:val="single" w:color="auto" w:sz="4" w:space="0"/>
            </w:tcBorders>
            <w:shd w:val="clear" w:color="auto" w:fill="auto"/>
            <w:noWrap/>
            <w:vAlign w:val="center"/>
            <w:hideMark/>
          </w:tcPr>
          <w:p w:rsidRPr="003318E2" w:rsidR="003318E2" w:rsidP="00795212" w:rsidRDefault="003318E2" w14:paraId="20A4FCD3" w14:textId="77777777">
            <w:pPr>
              <w:jc w:val="right"/>
              <w:rPr>
                <w:rFonts w:ascii="Times New Roman" w:hAnsi="Times New Roman"/>
                <w:color w:val="000000"/>
                <w:sz w:val="22"/>
                <w:szCs w:val="22"/>
              </w:rPr>
            </w:pPr>
            <w:r w:rsidRPr="003318E2">
              <w:rPr>
                <w:rFonts w:ascii="Times New Roman" w:hAnsi="Times New Roman"/>
                <w:color w:val="000000"/>
                <w:sz w:val="22"/>
                <w:szCs w:val="22"/>
              </w:rPr>
              <w:t>11</w:t>
            </w:r>
          </w:p>
        </w:tc>
        <w:tc>
          <w:tcPr>
            <w:tcW w:w="960" w:type="dxa"/>
            <w:tcBorders>
              <w:top w:val="single" w:color="auto" w:sz="4" w:space="0"/>
              <w:left w:val="nil"/>
              <w:bottom w:val="nil"/>
              <w:right w:val="single" w:color="auto" w:sz="4" w:space="0"/>
            </w:tcBorders>
            <w:shd w:val="clear" w:color="auto" w:fill="auto"/>
            <w:noWrap/>
            <w:vAlign w:val="center"/>
            <w:hideMark/>
          </w:tcPr>
          <w:p w:rsidRPr="003318E2" w:rsidR="003318E2" w:rsidP="00795212" w:rsidRDefault="003318E2" w14:paraId="7483E265" w14:textId="77777777">
            <w:pPr>
              <w:jc w:val="right"/>
              <w:rPr>
                <w:rFonts w:ascii="Times New Roman" w:hAnsi="Times New Roman"/>
                <w:color w:val="000000"/>
                <w:sz w:val="22"/>
                <w:szCs w:val="22"/>
              </w:rPr>
            </w:pPr>
            <w:r w:rsidRPr="003318E2">
              <w:rPr>
                <w:rFonts w:ascii="Times New Roman" w:hAnsi="Times New Roman"/>
                <w:color w:val="000000"/>
                <w:sz w:val="22"/>
                <w:szCs w:val="22"/>
              </w:rPr>
              <w:t>10.4</w:t>
            </w:r>
          </w:p>
        </w:tc>
        <w:tc>
          <w:tcPr>
            <w:tcW w:w="960" w:type="dxa"/>
            <w:tcBorders>
              <w:top w:val="single" w:color="auto" w:sz="4" w:space="0"/>
              <w:left w:val="nil"/>
              <w:bottom w:val="nil"/>
              <w:right w:val="single" w:color="auto" w:sz="4" w:space="0"/>
            </w:tcBorders>
            <w:shd w:val="clear" w:color="auto" w:fill="auto"/>
            <w:noWrap/>
            <w:vAlign w:val="center"/>
            <w:hideMark/>
          </w:tcPr>
          <w:p w:rsidRPr="003318E2" w:rsidR="003318E2" w:rsidP="00795212" w:rsidRDefault="003318E2" w14:paraId="0291424B" w14:textId="77777777">
            <w:pPr>
              <w:jc w:val="right"/>
              <w:rPr>
                <w:rFonts w:ascii="Times New Roman" w:hAnsi="Times New Roman"/>
                <w:color w:val="000000"/>
                <w:sz w:val="22"/>
                <w:szCs w:val="22"/>
              </w:rPr>
            </w:pPr>
            <w:r w:rsidRPr="003318E2">
              <w:rPr>
                <w:rFonts w:ascii="Times New Roman" w:hAnsi="Times New Roman"/>
                <w:color w:val="000000"/>
                <w:sz w:val="22"/>
                <w:szCs w:val="22"/>
              </w:rPr>
              <w:t>44,770</w:t>
            </w:r>
          </w:p>
        </w:tc>
        <w:tc>
          <w:tcPr>
            <w:tcW w:w="960" w:type="dxa"/>
            <w:tcBorders>
              <w:top w:val="single" w:color="auto" w:sz="4" w:space="0"/>
              <w:left w:val="nil"/>
              <w:bottom w:val="nil"/>
              <w:right w:val="nil"/>
            </w:tcBorders>
            <w:shd w:val="clear" w:color="auto" w:fill="auto"/>
            <w:noWrap/>
            <w:vAlign w:val="center"/>
            <w:hideMark/>
          </w:tcPr>
          <w:p w:rsidRPr="003318E2" w:rsidR="003318E2" w:rsidP="00795212" w:rsidRDefault="003318E2" w14:paraId="19A8E5A1" w14:textId="77777777">
            <w:pPr>
              <w:jc w:val="right"/>
              <w:rPr>
                <w:rFonts w:ascii="Times New Roman" w:hAnsi="Times New Roman"/>
                <w:color w:val="000000"/>
                <w:sz w:val="22"/>
                <w:szCs w:val="22"/>
              </w:rPr>
            </w:pPr>
            <w:r w:rsidRPr="003318E2">
              <w:rPr>
                <w:rFonts w:ascii="Times New Roman" w:hAnsi="Times New Roman"/>
                <w:color w:val="000000"/>
                <w:sz w:val="22"/>
                <w:szCs w:val="22"/>
              </w:rPr>
              <w:t>10.51%</w:t>
            </w:r>
          </w:p>
        </w:tc>
        <w:tc>
          <w:tcPr>
            <w:tcW w:w="960" w:type="dxa"/>
            <w:tcBorders>
              <w:top w:val="single" w:color="auto" w:sz="4" w:space="0"/>
              <w:left w:val="nil"/>
              <w:bottom w:val="nil"/>
              <w:right w:val="nil"/>
            </w:tcBorders>
            <w:shd w:val="clear" w:color="auto" w:fill="auto"/>
            <w:noWrap/>
            <w:vAlign w:val="center"/>
            <w:hideMark/>
          </w:tcPr>
          <w:p w:rsidRPr="003318E2" w:rsidR="003318E2" w:rsidP="00795212" w:rsidRDefault="003318E2" w14:paraId="7F7E15AC" w14:textId="77777777">
            <w:pPr>
              <w:jc w:val="right"/>
              <w:rPr>
                <w:rFonts w:ascii="Times New Roman" w:hAnsi="Times New Roman"/>
                <w:color w:val="000000"/>
                <w:sz w:val="22"/>
                <w:szCs w:val="22"/>
              </w:rPr>
            </w:pPr>
            <w:r w:rsidRPr="003318E2">
              <w:rPr>
                <w:rFonts w:ascii="Times New Roman" w:hAnsi="Times New Roman"/>
                <w:color w:val="000000"/>
                <w:sz w:val="22"/>
                <w:szCs w:val="22"/>
              </w:rPr>
              <w:t>10.51%</w:t>
            </w:r>
          </w:p>
        </w:tc>
        <w:tc>
          <w:tcPr>
            <w:tcW w:w="960" w:type="dxa"/>
            <w:tcBorders>
              <w:top w:val="single" w:color="auto" w:sz="4" w:space="0"/>
              <w:left w:val="single" w:color="auto" w:sz="4" w:space="0"/>
              <w:bottom w:val="nil"/>
              <w:right w:val="single" w:color="auto" w:sz="4" w:space="0"/>
            </w:tcBorders>
            <w:shd w:val="clear" w:color="auto" w:fill="auto"/>
            <w:noWrap/>
            <w:vAlign w:val="center"/>
            <w:hideMark/>
          </w:tcPr>
          <w:p w:rsidRPr="003318E2" w:rsidR="003318E2" w:rsidP="00795212" w:rsidRDefault="003318E2" w14:paraId="23126391" w14:textId="77777777">
            <w:pPr>
              <w:jc w:val="right"/>
              <w:rPr>
                <w:rFonts w:ascii="Times New Roman" w:hAnsi="Times New Roman"/>
                <w:color w:val="000000"/>
                <w:sz w:val="22"/>
                <w:szCs w:val="22"/>
              </w:rPr>
            </w:pPr>
            <w:r w:rsidRPr="003318E2">
              <w:rPr>
                <w:rFonts w:ascii="Times New Roman" w:hAnsi="Times New Roman"/>
                <w:color w:val="000000"/>
                <w:sz w:val="22"/>
                <w:szCs w:val="22"/>
              </w:rPr>
              <w:t>4,432</w:t>
            </w:r>
          </w:p>
        </w:tc>
        <w:tc>
          <w:tcPr>
            <w:tcW w:w="960" w:type="dxa"/>
            <w:tcBorders>
              <w:top w:val="single" w:color="auto" w:sz="4" w:space="0"/>
              <w:left w:val="nil"/>
              <w:bottom w:val="nil"/>
              <w:right w:val="single" w:color="auto" w:sz="4" w:space="0"/>
            </w:tcBorders>
            <w:shd w:val="clear" w:color="auto" w:fill="auto"/>
            <w:noWrap/>
            <w:vAlign w:val="center"/>
            <w:hideMark/>
          </w:tcPr>
          <w:p w:rsidRPr="003318E2" w:rsidR="003318E2" w:rsidP="00795212" w:rsidRDefault="003318E2" w14:paraId="138283BA" w14:textId="77777777">
            <w:pPr>
              <w:jc w:val="right"/>
              <w:rPr>
                <w:rFonts w:ascii="Times New Roman" w:hAnsi="Times New Roman"/>
                <w:color w:val="000000"/>
                <w:sz w:val="22"/>
                <w:szCs w:val="22"/>
              </w:rPr>
            </w:pPr>
            <w:r w:rsidRPr="003318E2">
              <w:rPr>
                <w:rFonts w:ascii="Times New Roman" w:hAnsi="Times New Roman"/>
                <w:color w:val="000000"/>
                <w:sz w:val="22"/>
                <w:szCs w:val="22"/>
              </w:rPr>
              <w:t>428.0</w:t>
            </w:r>
          </w:p>
        </w:tc>
        <w:tc>
          <w:tcPr>
            <w:tcW w:w="960" w:type="dxa"/>
            <w:tcBorders>
              <w:top w:val="single" w:color="auto" w:sz="4" w:space="0"/>
              <w:left w:val="nil"/>
              <w:bottom w:val="nil"/>
              <w:right w:val="nil"/>
            </w:tcBorders>
            <w:shd w:val="clear" w:color="auto" w:fill="auto"/>
            <w:noWrap/>
            <w:vAlign w:val="center"/>
            <w:hideMark/>
          </w:tcPr>
          <w:p w:rsidRPr="003318E2" w:rsidR="003318E2" w:rsidP="00795212" w:rsidRDefault="003318E2" w14:paraId="11042614" w14:textId="77777777">
            <w:pPr>
              <w:jc w:val="right"/>
              <w:rPr>
                <w:rFonts w:ascii="Times New Roman" w:hAnsi="Times New Roman"/>
                <w:color w:val="000000"/>
                <w:sz w:val="22"/>
                <w:szCs w:val="22"/>
              </w:rPr>
            </w:pPr>
            <w:r w:rsidRPr="003318E2">
              <w:rPr>
                <w:rFonts w:ascii="Times New Roman" w:hAnsi="Times New Roman"/>
                <w:color w:val="000000"/>
                <w:sz w:val="22"/>
                <w:szCs w:val="22"/>
              </w:rPr>
              <w:t>9.90%</w:t>
            </w:r>
          </w:p>
        </w:tc>
      </w:tr>
      <w:tr w:rsidRPr="003318E2" w:rsidR="003318E2" w:rsidTr="00795212" w14:paraId="42357594" w14:textId="77777777">
        <w:trPr>
          <w:trHeight w:val="259" w:hRule="exact"/>
        </w:trPr>
        <w:tc>
          <w:tcPr>
            <w:tcW w:w="1580" w:type="dxa"/>
            <w:tcBorders>
              <w:top w:val="nil"/>
              <w:left w:val="nil"/>
              <w:bottom w:val="nil"/>
              <w:right w:val="nil"/>
            </w:tcBorders>
            <w:shd w:val="clear" w:color="auto" w:fill="auto"/>
            <w:noWrap/>
            <w:vAlign w:val="center"/>
            <w:hideMark/>
          </w:tcPr>
          <w:p w:rsidRPr="003318E2" w:rsidR="003318E2" w:rsidP="00795212" w:rsidRDefault="003318E2" w14:paraId="0B848018" w14:textId="3D97C650">
            <w:pPr>
              <w:rPr>
                <w:rFonts w:ascii="Times New Roman" w:hAnsi="Times New Roman"/>
                <w:color w:val="000000"/>
                <w:sz w:val="22"/>
                <w:szCs w:val="22"/>
              </w:rPr>
            </w:pPr>
            <w:r w:rsidRPr="003318E2">
              <w:rPr>
                <w:rFonts w:ascii="Times New Roman" w:hAnsi="Times New Roman"/>
                <w:color w:val="000000"/>
                <w:sz w:val="22"/>
                <w:szCs w:val="22"/>
              </w:rPr>
              <w:t>2</w:t>
            </w:r>
            <w:r w:rsidR="00B5422E">
              <w:rPr>
                <w:rFonts w:ascii="Times New Roman" w:hAnsi="Times New Roman"/>
                <w:color w:val="000000"/>
                <w:sz w:val="22"/>
                <w:szCs w:val="22"/>
              </w:rPr>
              <w:t>,</w:t>
            </w:r>
            <w:r w:rsidRPr="003318E2">
              <w:rPr>
                <w:rFonts w:ascii="Times New Roman" w:hAnsi="Times New Roman"/>
                <w:color w:val="000000"/>
                <w:sz w:val="22"/>
                <w:szCs w:val="22"/>
              </w:rPr>
              <w:t>500 to 2</w:t>
            </w:r>
            <w:r w:rsidR="00B5422E">
              <w:rPr>
                <w:rFonts w:ascii="Times New Roman" w:hAnsi="Times New Roman"/>
                <w:color w:val="000000"/>
                <w:sz w:val="22"/>
                <w:szCs w:val="22"/>
              </w:rPr>
              <w:t>,</w:t>
            </w:r>
            <w:r w:rsidRPr="003318E2">
              <w:rPr>
                <w:rFonts w:ascii="Times New Roman" w:hAnsi="Times New Roman"/>
                <w:color w:val="000000"/>
                <w:sz w:val="22"/>
                <w:szCs w:val="22"/>
              </w:rPr>
              <w:t>949</w:t>
            </w:r>
          </w:p>
        </w:tc>
        <w:tc>
          <w:tcPr>
            <w:tcW w:w="960" w:type="dxa"/>
            <w:tcBorders>
              <w:top w:val="nil"/>
              <w:left w:val="single" w:color="auto" w:sz="4" w:space="0"/>
              <w:bottom w:val="nil"/>
              <w:right w:val="single" w:color="auto" w:sz="4" w:space="0"/>
            </w:tcBorders>
            <w:shd w:val="clear" w:color="auto" w:fill="auto"/>
            <w:noWrap/>
            <w:vAlign w:val="center"/>
            <w:hideMark/>
          </w:tcPr>
          <w:p w:rsidRPr="003318E2" w:rsidR="003318E2" w:rsidP="00795212" w:rsidRDefault="003318E2" w14:paraId="7532D316" w14:textId="77777777">
            <w:pPr>
              <w:jc w:val="right"/>
              <w:rPr>
                <w:rFonts w:ascii="Times New Roman" w:hAnsi="Times New Roman"/>
                <w:color w:val="000000"/>
                <w:sz w:val="22"/>
                <w:szCs w:val="22"/>
              </w:rPr>
            </w:pPr>
            <w:r w:rsidRPr="003318E2">
              <w:rPr>
                <w:rFonts w:ascii="Times New Roman" w:hAnsi="Times New Roman"/>
                <w:color w:val="000000"/>
                <w:sz w:val="22"/>
                <w:szCs w:val="22"/>
              </w:rPr>
              <w:t>6</w:t>
            </w:r>
          </w:p>
        </w:tc>
        <w:tc>
          <w:tcPr>
            <w:tcW w:w="960" w:type="dxa"/>
            <w:tcBorders>
              <w:top w:val="nil"/>
              <w:left w:val="nil"/>
              <w:bottom w:val="nil"/>
              <w:right w:val="single" w:color="auto" w:sz="4" w:space="0"/>
            </w:tcBorders>
            <w:shd w:val="clear" w:color="auto" w:fill="auto"/>
            <w:noWrap/>
            <w:vAlign w:val="center"/>
            <w:hideMark/>
          </w:tcPr>
          <w:p w:rsidRPr="003318E2" w:rsidR="003318E2" w:rsidP="00795212" w:rsidRDefault="003318E2" w14:paraId="39D8DFF0" w14:textId="77777777">
            <w:pPr>
              <w:jc w:val="right"/>
              <w:rPr>
                <w:rFonts w:ascii="Times New Roman" w:hAnsi="Times New Roman"/>
                <w:color w:val="000000"/>
                <w:sz w:val="22"/>
                <w:szCs w:val="22"/>
              </w:rPr>
            </w:pPr>
            <w:r w:rsidRPr="003318E2">
              <w:rPr>
                <w:rFonts w:ascii="Times New Roman" w:hAnsi="Times New Roman"/>
                <w:color w:val="000000"/>
                <w:sz w:val="22"/>
                <w:szCs w:val="22"/>
              </w:rPr>
              <w:t>5.3</w:t>
            </w:r>
          </w:p>
        </w:tc>
        <w:tc>
          <w:tcPr>
            <w:tcW w:w="960" w:type="dxa"/>
            <w:tcBorders>
              <w:top w:val="nil"/>
              <w:left w:val="nil"/>
              <w:bottom w:val="nil"/>
              <w:right w:val="single" w:color="auto" w:sz="4" w:space="0"/>
            </w:tcBorders>
            <w:shd w:val="clear" w:color="auto" w:fill="auto"/>
            <w:noWrap/>
            <w:vAlign w:val="center"/>
            <w:hideMark/>
          </w:tcPr>
          <w:p w:rsidRPr="003318E2" w:rsidR="003318E2" w:rsidP="00795212" w:rsidRDefault="003318E2" w14:paraId="5013D839" w14:textId="77777777">
            <w:pPr>
              <w:jc w:val="right"/>
              <w:rPr>
                <w:rFonts w:ascii="Times New Roman" w:hAnsi="Times New Roman"/>
                <w:color w:val="000000"/>
                <w:sz w:val="22"/>
                <w:szCs w:val="22"/>
              </w:rPr>
            </w:pPr>
            <w:r w:rsidRPr="003318E2">
              <w:rPr>
                <w:rFonts w:ascii="Times New Roman" w:hAnsi="Times New Roman"/>
                <w:color w:val="000000"/>
                <w:sz w:val="22"/>
                <w:szCs w:val="22"/>
              </w:rPr>
              <w:t>16,083</w:t>
            </w:r>
          </w:p>
        </w:tc>
        <w:tc>
          <w:tcPr>
            <w:tcW w:w="960" w:type="dxa"/>
            <w:tcBorders>
              <w:top w:val="nil"/>
              <w:left w:val="nil"/>
              <w:bottom w:val="nil"/>
              <w:right w:val="nil"/>
            </w:tcBorders>
            <w:shd w:val="clear" w:color="auto" w:fill="auto"/>
            <w:noWrap/>
            <w:vAlign w:val="center"/>
            <w:hideMark/>
          </w:tcPr>
          <w:p w:rsidRPr="003318E2" w:rsidR="003318E2" w:rsidP="00795212" w:rsidRDefault="003318E2" w14:paraId="245ADAF9" w14:textId="77777777">
            <w:pPr>
              <w:jc w:val="right"/>
              <w:rPr>
                <w:rFonts w:ascii="Times New Roman" w:hAnsi="Times New Roman"/>
                <w:color w:val="000000"/>
                <w:sz w:val="22"/>
                <w:szCs w:val="22"/>
              </w:rPr>
            </w:pPr>
            <w:r w:rsidRPr="003318E2">
              <w:rPr>
                <w:rFonts w:ascii="Times New Roman" w:hAnsi="Times New Roman"/>
                <w:color w:val="000000"/>
                <w:sz w:val="22"/>
                <w:szCs w:val="22"/>
              </w:rPr>
              <w:t>10.73%</w:t>
            </w:r>
          </w:p>
        </w:tc>
        <w:tc>
          <w:tcPr>
            <w:tcW w:w="960" w:type="dxa"/>
            <w:tcBorders>
              <w:top w:val="nil"/>
              <w:left w:val="nil"/>
              <w:bottom w:val="nil"/>
              <w:right w:val="nil"/>
            </w:tcBorders>
            <w:shd w:val="clear" w:color="auto" w:fill="auto"/>
            <w:noWrap/>
            <w:vAlign w:val="center"/>
            <w:hideMark/>
          </w:tcPr>
          <w:p w:rsidRPr="003318E2" w:rsidR="003318E2" w:rsidP="00795212" w:rsidRDefault="003318E2" w14:paraId="4C8F5B3F" w14:textId="77777777">
            <w:pPr>
              <w:jc w:val="right"/>
              <w:rPr>
                <w:rFonts w:ascii="Times New Roman" w:hAnsi="Times New Roman"/>
                <w:color w:val="000000"/>
                <w:sz w:val="22"/>
                <w:szCs w:val="22"/>
              </w:rPr>
            </w:pPr>
            <w:r w:rsidRPr="003318E2">
              <w:rPr>
                <w:rFonts w:ascii="Times New Roman" w:hAnsi="Times New Roman"/>
                <w:color w:val="000000"/>
                <w:sz w:val="22"/>
                <w:szCs w:val="22"/>
              </w:rPr>
              <w:t>12.09%</w:t>
            </w:r>
          </w:p>
        </w:tc>
        <w:tc>
          <w:tcPr>
            <w:tcW w:w="960" w:type="dxa"/>
            <w:tcBorders>
              <w:top w:val="nil"/>
              <w:left w:val="single" w:color="auto" w:sz="4" w:space="0"/>
              <w:bottom w:val="nil"/>
              <w:right w:val="single" w:color="auto" w:sz="4" w:space="0"/>
            </w:tcBorders>
            <w:shd w:val="clear" w:color="auto" w:fill="auto"/>
            <w:noWrap/>
            <w:vAlign w:val="center"/>
            <w:hideMark/>
          </w:tcPr>
          <w:p w:rsidRPr="003318E2" w:rsidR="003318E2" w:rsidP="00795212" w:rsidRDefault="003318E2" w14:paraId="32AC6318" w14:textId="77777777">
            <w:pPr>
              <w:jc w:val="right"/>
              <w:rPr>
                <w:rFonts w:ascii="Times New Roman" w:hAnsi="Times New Roman"/>
                <w:color w:val="000000"/>
                <w:sz w:val="22"/>
                <w:szCs w:val="22"/>
              </w:rPr>
            </w:pPr>
            <w:r w:rsidRPr="003318E2">
              <w:rPr>
                <w:rFonts w:ascii="Times New Roman" w:hAnsi="Times New Roman"/>
                <w:color w:val="000000"/>
                <w:sz w:val="22"/>
                <w:szCs w:val="22"/>
              </w:rPr>
              <w:t>1,625</w:t>
            </w:r>
          </w:p>
        </w:tc>
        <w:tc>
          <w:tcPr>
            <w:tcW w:w="960" w:type="dxa"/>
            <w:tcBorders>
              <w:top w:val="nil"/>
              <w:left w:val="nil"/>
              <w:bottom w:val="nil"/>
              <w:right w:val="single" w:color="auto" w:sz="4" w:space="0"/>
            </w:tcBorders>
            <w:shd w:val="clear" w:color="auto" w:fill="auto"/>
            <w:noWrap/>
            <w:vAlign w:val="center"/>
            <w:hideMark/>
          </w:tcPr>
          <w:p w:rsidRPr="003318E2" w:rsidR="003318E2" w:rsidP="00795212" w:rsidRDefault="003318E2" w14:paraId="1A625614" w14:textId="77777777">
            <w:pPr>
              <w:jc w:val="right"/>
              <w:rPr>
                <w:rFonts w:ascii="Times New Roman" w:hAnsi="Times New Roman"/>
                <w:color w:val="000000"/>
                <w:sz w:val="22"/>
                <w:szCs w:val="22"/>
              </w:rPr>
            </w:pPr>
            <w:r w:rsidRPr="003318E2">
              <w:rPr>
                <w:rFonts w:ascii="Times New Roman" w:hAnsi="Times New Roman"/>
                <w:color w:val="000000"/>
                <w:sz w:val="22"/>
                <w:szCs w:val="22"/>
              </w:rPr>
              <w:t>307.0</w:t>
            </w:r>
          </w:p>
        </w:tc>
        <w:tc>
          <w:tcPr>
            <w:tcW w:w="960" w:type="dxa"/>
            <w:tcBorders>
              <w:top w:val="nil"/>
              <w:left w:val="nil"/>
              <w:bottom w:val="nil"/>
              <w:right w:val="nil"/>
            </w:tcBorders>
            <w:shd w:val="clear" w:color="auto" w:fill="auto"/>
            <w:noWrap/>
            <w:vAlign w:val="center"/>
            <w:hideMark/>
          </w:tcPr>
          <w:p w:rsidRPr="003318E2" w:rsidR="003318E2" w:rsidP="00795212" w:rsidRDefault="003318E2" w14:paraId="498D063F" w14:textId="77777777">
            <w:pPr>
              <w:jc w:val="right"/>
              <w:rPr>
                <w:rFonts w:ascii="Times New Roman" w:hAnsi="Times New Roman"/>
                <w:color w:val="000000"/>
                <w:sz w:val="22"/>
                <w:szCs w:val="22"/>
              </w:rPr>
            </w:pPr>
            <w:r w:rsidRPr="003318E2">
              <w:rPr>
                <w:rFonts w:ascii="Times New Roman" w:hAnsi="Times New Roman"/>
                <w:color w:val="000000"/>
                <w:sz w:val="22"/>
                <w:szCs w:val="22"/>
              </w:rPr>
              <w:t>10.11%</w:t>
            </w:r>
          </w:p>
        </w:tc>
      </w:tr>
      <w:tr w:rsidRPr="003318E2" w:rsidR="003318E2" w:rsidTr="00795212" w14:paraId="7C2DC2DD" w14:textId="77777777">
        <w:trPr>
          <w:trHeight w:val="259" w:hRule="exact"/>
        </w:trPr>
        <w:tc>
          <w:tcPr>
            <w:tcW w:w="1580" w:type="dxa"/>
            <w:tcBorders>
              <w:top w:val="nil"/>
              <w:left w:val="nil"/>
              <w:bottom w:val="nil"/>
              <w:right w:val="nil"/>
            </w:tcBorders>
            <w:shd w:val="clear" w:color="auto" w:fill="auto"/>
            <w:noWrap/>
            <w:vAlign w:val="center"/>
            <w:hideMark/>
          </w:tcPr>
          <w:p w:rsidRPr="003318E2" w:rsidR="003318E2" w:rsidP="00795212" w:rsidRDefault="003318E2" w14:paraId="17EC8EAD" w14:textId="474318BA">
            <w:pPr>
              <w:rPr>
                <w:rFonts w:ascii="Times New Roman" w:hAnsi="Times New Roman"/>
                <w:color w:val="000000"/>
                <w:sz w:val="22"/>
                <w:szCs w:val="22"/>
              </w:rPr>
            </w:pPr>
            <w:r w:rsidRPr="003318E2">
              <w:rPr>
                <w:rFonts w:ascii="Times New Roman" w:hAnsi="Times New Roman"/>
                <w:color w:val="000000"/>
                <w:sz w:val="22"/>
                <w:szCs w:val="22"/>
              </w:rPr>
              <w:t>1</w:t>
            </w:r>
            <w:r w:rsidR="00B5422E">
              <w:rPr>
                <w:rFonts w:ascii="Times New Roman" w:hAnsi="Times New Roman"/>
                <w:color w:val="000000"/>
                <w:sz w:val="22"/>
                <w:szCs w:val="22"/>
              </w:rPr>
              <w:t>,</w:t>
            </w:r>
            <w:r w:rsidRPr="003318E2">
              <w:rPr>
                <w:rFonts w:ascii="Times New Roman" w:hAnsi="Times New Roman"/>
                <w:color w:val="000000"/>
                <w:sz w:val="22"/>
                <w:szCs w:val="22"/>
              </w:rPr>
              <w:t>000 to 2</w:t>
            </w:r>
            <w:r w:rsidR="00B5422E">
              <w:rPr>
                <w:rFonts w:ascii="Times New Roman" w:hAnsi="Times New Roman"/>
                <w:color w:val="000000"/>
                <w:sz w:val="22"/>
                <w:szCs w:val="22"/>
              </w:rPr>
              <w:t>,</w:t>
            </w:r>
            <w:r w:rsidRPr="003318E2">
              <w:rPr>
                <w:rFonts w:ascii="Times New Roman" w:hAnsi="Times New Roman"/>
                <w:color w:val="000000"/>
                <w:sz w:val="22"/>
                <w:szCs w:val="22"/>
              </w:rPr>
              <w:t>499</w:t>
            </w:r>
          </w:p>
        </w:tc>
        <w:tc>
          <w:tcPr>
            <w:tcW w:w="960" w:type="dxa"/>
            <w:tcBorders>
              <w:top w:val="nil"/>
              <w:left w:val="single" w:color="auto" w:sz="4" w:space="0"/>
              <w:bottom w:val="nil"/>
              <w:right w:val="single" w:color="auto" w:sz="4" w:space="0"/>
            </w:tcBorders>
            <w:shd w:val="clear" w:color="auto" w:fill="auto"/>
            <w:noWrap/>
            <w:vAlign w:val="center"/>
            <w:hideMark/>
          </w:tcPr>
          <w:p w:rsidRPr="003318E2" w:rsidR="003318E2" w:rsidP="00795212" w:rsidRDefault="003318E2" w14:paraId="692A4981" w14:textId="77777777">
            <w:pPr>
              <w:jc w:val="right"/>
              <w:rPr>
                <w:rFonts w:ascii="Times New Roman" w:hAnsi="Times New Roman"/>
                <w:color w:val="000000"/>
                <w:sz w:val="22"/>
                <w:szCs w:val="22"/>
              </w:rPr>
            </w:pPr>
            <w:r w:rsidRPr="003318E2">
              <w:rPr>
                <w:rFonts w:ascii="Times New Roman" w:hAnsi="Times New Roman"/>
                <w:color w:val="000000"/>
                <w:sz w:val="22"/>
                <w:szCs w:val="22"/>
              </w:rPr>
              <w:t>120</w:t>
            </w:r>
          </w:p>
        </w:tc>
        <w:tc>
          <w:tcPr>
            <w:tcW w:w="960" w:type="dxa"/>
            <w:tcBorders>
              <w:top w:val="nil"/>
              <w:left w:val="nil"/>
              <w:bottom w:val="nil"/>
              <w:right w:val="single" w:color="auto" w:sz="4" w:space="0"/>
            </w:tcBorders>
            <w:shd w:val="clear" w:color="auto" w:fill="auto"/>
            <w:noWrap/>
            <w:vAlign w:val="center"/>
            <w:hideMark/>
          </w:tcPr>
          <w:p w:rsidRPr="003318E2" w:rsidR="003318E2" w:rsidP="00795212" w:rsidRDefault="003318E2" w14:paraId="1652BEB8" w14:textId="77777777">
            <w:pPr>
              <w:jc w:val="right"/>
              <w:rPr>
                <w:rFonts w:ascii="Times New Roman" w:hAnsi="Times New Roman"/>
                <w:color w:val="000000"/>
                <w:sz w:val="22"/>
                <w:szCs w:val="22"/>
              </w:rPr>
            </w:pPr>
            <w:r w:rsidRPr="003318E2">
              <w:rPr>
                <w:rFonts w:ascii="Times New Roman" w:hAnsi="Times New Roman"/>
                <w:color w:val="000000"/>
                <w:sz w:val="22"/>
                <w:szCs w:val="22"/>
              </w:rPr>
              <w:t>61.7</w:t>
            </w:r>
          </w:p>
        </w:tc>
        <w:tc>
          <w:tcPr>
            <w:tcW w:w="960" w:type="dxa"/>
            <w:tcBorders>
              <w:top w:val="nil"/>
              <w:left w:val="nil"/>
              <w:bottom w:val="nil"/>
              <w:right w:val="single" w:color="auto" w:sz="4" w:space="0"/>
            </w:tcBorders>
            <w:shd w:val="clear" w:color="auto" w:fill="auto"/>
            <w:noWrap/>
            <w:vAlign w:val="center"/>
            <w:hideMark/>
          </w:tcPr>
          <w:p w:rsidRPr="003318E2" w:rsidR="003318E2" w:rsidP="00795212" w:rsidRDefault="003318E2" w14:paraId="7F6B5F0C" w14:textId="77777777">
            <w:pPr>
              <w:jc w:val="right"/>
              <w:rPr>
                <w:rFonts w:ascii="Times New Roman" w:hAnsi="Times New Roman"/>
                <w:color w:val="000000"/>
                <w:sz w:val="22"/>
                <w:szCs w:val="22"/>
              </w:rPr>
            </w:pPr>
            <w:r w:rsidRPr="003318E2">
              <w:rPr>
                <w:rFonts w:ascii="Times New Roman" w:hAnsi="Times New Roman"/>
                <w:color w:val="000000"/>
                <w:sz w:val="22"/>
                <w:szCs w:val="22"/>
              </w:rPr>
              <w:t>175,878</w:t>
            </w:r>
          </w:p>
        </w:tc>
        <w:tc>
          <w:tcPr>
            <w:tcW w:w="960" w:type="dxa"/>
            <w:tcBorders>
              <w:top w:val="nil"/>
              <w:left w:val="nil"/>
              <w:bottom w:val="nil"/>
              <w:right w:val="nil"/>
            </w:tcBorders>
            <w:shd w:val="clear" w:color="auto" w:fill="auto"/>
            <w:noWrap/>
            <w:vAlign w:val="center"/>
            <w:hideMark/>
          </w:tcPr>
          <w:p w:rsidRPr="003318E2" w:rsidR="003318E2" w:rsidP="00795212" w:rsidRDefault="003318E2" w14:paraId="552A5721" w14:textId="77777777">
            <w:pPr>
              <w:jc w:val="right"/>
              <w:rPr>
                <w:rFonts w:ascii="Times New Roman" w:hAnsi="Times New Roman"/>
                <w:color w:val="000000"/>
                <w:sz w:val="22"/>
                <w:szCs w:val="22"/>
              </w:rPr>
            </w:pPr>
            <w:r w:rsidRPr="003318E2">
              <w:rPr>
                <w:rFonts w:ascii="Times New Roman" w:hAnsi="Times New Roman"/>
                <w:color w:val="000000"/>
                <w:sz w:val="22"/>
                <w:szCs w:val="22"/>
              </w:rPr>
              <w:t>12.38%</w:t>
            </w:r>
          </w:p>
        </w:tc>
        <w:tc>
          <w:tcPr>
            <w:tcW w:w="960" w:type="dxa"/>
            <w:tcBorders>
              <w:top w:val="nil"/>
              <w:left w:val="nil"/>
              <w:bottom w:val="nil"/>
              <w:right w:val="nil"/>
            </w:tcBorders>
            <w:shd w:val="clear" w:color="auto" w:fill="auto"/>
            <w:noWrap/>
            <w:vAlign w:val="center"/>
            <w:hideMark/>
          </w:tcPr>
          <w:p w:rsidRPr="003318E2" w:rsidR="003318E2" w:rsidP="00795212" w:rsidRDefault="003318E2" w14:paraId="545D6BEC" w14:textId="77777777">
            <w:pPr>
              <w:jc w:val="right"/>
              <w:rPr>
                <w:rFonts w:ascii="Times New Roman" w:hAnsi="Times New Roman"/>
                <w:color w:val="000000"/>
                <w:sz w:val="22"/>
                <w:szCs w:val="22"/>
              </w:rPr>
            </w:pPr>
            <w:r w:rsidRPr="003318E2">
              <w:rPr>
                <w:rFonts w:ascii="Times New Roman" w:hAnsi="Times New Roman"/>
                <w:color w:val="000000"/>
                <w:sz w:val="22"/>
                <w:szCs w:val="22"/>
              </w:rPr>
              <w:t>27.76%</w:t>
            </w:r>
          </w:p>
        </w:tc>
        <w:tc>
          <w:tcPr>
            <w:tcW w:w="960" w:type="dxa"/>
            <w:tcBorders>
              <w:top w:val="nil"/>
              <w:left w:val="single" w:color="auto" w:sz="4" w:space="0"/>
              <w:bottom w:val="nil"/>
              <w:right w:val="single" w:color="auto" w:sz="4" w:space="0"/>
            </w:tcBorders>
            <w:shd w:val="clear" w:color="auto" w:fill="auto"/>
            <w:noWrap/>
            <w:vAlign w:val="center"/>
            <w:hideMark/>
          </w:tcPr>
          <w:p w:rsidRPr="003318E2" w:rsidR="003318E2" w:rsidP="00795212" w:rsidRDefault="003318E2" w14:paraId="1F021BE5" w14:textId="77777777">
            <w:pPr>
              <w:jc w:val="right"/>
              <w:rPr>
                <w:rFonts w:ascii="Times New Roman" w:hAnsi="Times New Roman"/>
                <w:color w:val="000000"/>
                <w:sz w:val="22"/>
                <w:szCs w:val="22"/>
              </w:rPr>
            </w:pPr>
            <w:r w:rsidRPr="003318E2">
              <w:rPr>
                <w:rFonts w:ascii="Times New Roman" w:hAnsi="Times New Roman"/>
                <w:color w:val="000000"/>
                <w:sz w:val="22"/>
                <w:szCs w:val="22"/>
              </w:rPr>
              <w:t>17,873</w:t>
            </w:r>
          </w:p>
        </w:tc>
        <w:tc>
          <w:tcPr>
            <w:tcW w:w="960" w:type="dxa"/>
            <w:tcBorders>
              <w:top w:val="nil"/>
              <w:left w:val="nil"/>
              <w:bottom w:val="nil"/>
              <w:right w:val="single" w:color="auto" w:sz="4" w:space="0"/>
            </w:tcBorders>
            <w:shd w:val="clear" w:color="auto" w:fill="auto"/>
            <w:noWrap/>
            <w:vAlign w:val="center"/>
            <w:hideMark/>
          </w:tcPr>
          <w:p w:rsidRPr="003318E2" w:rsidR="003318E2" w:rsidP="00795212" w:rsidRDefault="003318E2" w14:paraId="2EF4EDE5" w14:textId="77777777">
            <w:pPr>
              <w:jc w:val="right"/>
              <w:rPr>
                <w:rFonts w:ascii="Times New Roman" w:hAnsi="Times New Roman"/>
                <w:color w:val="000000"/>
                <w:sz w:val="22"/>
                <w:szCs w:val="22"/>
              </w:rPr>
            </w:pPr>
            <w:r w:rsidRPr="003318E2">
              <w:rPr>
                <w:rFonts w:ascii="Times New Roman" w:hAnsi="Times New Roman"/>
                <w:color w:val="000000"/>
                <w:sz w:val="22"/>
                <w:szCs w:val="22"/>
              </w:rPr>
              <w:t>289.9</w:t>
            </w:r>
          </w:p>
        </w:tc>
        <w:tc>
          <w:tcPr>
            <w:tcW w:w="960" w:type="dxa"/>
            <w:tcBorders>
              <w:top w:val="nil"/>
              <w:left w:val="nil"/>
              <w:bottom w:val="nil"/>
              <w:right w:val="nil"/>
            </w:tcBorders>
            <w:shd w:val="clear" w:color="auto" w:fill="auto"/>
            <w:noWrap/>
            <w:vAlign w:val="center"/>
            <w:hideMark/>
          </w:tcPr>
          <w:p w:rsidRPr="003318E2" w:rsidR="003318E2" w:rsidP="00795212" w:rsidRDefault="003318E2" w14:paraId="05572B88" w14:textId="77777777">
            <w:pPr>
              <w:jc w:val="right"/>
              <w:rPr>
                <w:rFonts w:ascii="Times New Roman" w:hAnsi="Times New Roman"/>
                <w:color w:val="000000"/>
                <w:sz w:val="22"/>
                <w:szCs w:val="22"/>
              </w:rPr>
            </w:pPr>
            <w:r w:rsidRPr="003318E2">
              <w:rPr>
                <w:rFonts w:ascii="Times New Roman" w:hAnsi="Times New Roman"/>
                <w:color w:val="000000"/>
                <w:sz w:val="22"/>
                <w:szCs w:val="22"/>
              </w:rPr>
              <w:t>10.16%</w:t>
            </w:r>
          </w:p>
        </w:tc>
      </w:tr>
      <w:tr w:rsidRPr="003318E2" w:rsidR="003318E2" w:rsidTr="00795212" w14:paraId="6254A69C" w14:textId="77777777">
        <w:trPr>
          <w:trHeight w:val="259" w:hRule="exact"/>
        </w:trPr>
        <w:tc>
          <w:tcPr>
            <w:tcW w:w="1580" w:type="dxa"/>
            <w:tcBorders>
              <w:top w:val="nil"/>
              <w:left w:val="nil"/>
              <w:bottom w:val="nil"/>
              <w:right w:val="nil"/>
            </w:tcBorders>
            <w:shd w:val="clear" w:color="auto" w:fill="auto"/>
            <w:noWrap/>
            <w:vAlign w:val="center"/>
            <w:hideMark/>
          </w:tcPr>
          <w:p w:rsidRPr="003318E2" w:rsidR="003318E2" w:rsidP="00795212" w:rsidRDefault="003318E2" w14:paraId="02999CEA" w14:textId="75A0D2E3">
            <w:pPr>
              <w:rPr>
                <w:rFonts w:ascii="Times New Roman" w:hAnsi="Times New Roman"/>
                <w:color w:val="000000"/>
                <w:sz w:val="22"/>
                <w:szCs w:val="22"/>
              </w:rPr>
            </w:pPr>
            <w:r w:rsidRPr="003318E2">
              <w:rPr>
                <w:rFonts w:ascii="Times New Roman" w:hAnsi="Times New Roman"/>
                <w:color w:val="000000"/>
                <w:sz w:val="22"/>
                <w:szCs w:val="22"/>
              </w:rPr>
              <w:t>500 to 999</w:t>
            </w:r>
          </w:p>
        </w:tc>
        <w:tc>
          <w:tcPr>
            <w:tcW w:w="960" w:type="dxa"/>
            <w:tcBorders>
              <w:top w:val="nil"/>
              <w:left w:val="single" w:color="auto" w:sz="4" w:space="0"/>
              <w:bottom w:val="nil"/>
              <w:right w:val="single" w:color="auto" w:sz="4" w:space="0"/>
            </w:tcBorders>
            <w:shd w:val="clear" w:color="auto" w:fill="auto"/>
            <w:noWrap/>
            <w:vAlign w:val="center"/>
            <w:hideMark/>
          </w:tcPr>
          <w:p w:rsidRPr="003318E2" w:rsidR="003318E2" w:rsidP="00795212" w:rsidRDefault="003318E2" w14:paraId="5A255D9A" w14:textId="77777777">
            <w:pPr>
              <w:jc w:val="right"/>
              <w:rPr>
                <w:rFonts w:ascii="Times New Roman" w:hAnsi="Times New Roman"/>
                <w:color w:val="000000"/>
                <w:sz w:val="22"/>
                <w:szCs w:val="22"/>
              </w:rPr>
            </w:pPr>
            <w:r w:rsidRPr="003318E2">
              <w:rPr>
                <w:rFonts w:ascii="Times New Roman" w:hAnsi="Times New Roman"/>
                <w:color w:val="000000"/>
                <w:sz w:val="22"/>
                <w:szCs w:val="22"/>
              </w:rPr>
              <w:t>264</w:t>
            </w:r>
          </w:p>
        </w:tc>
        <w:tc>
          <w:tcPr>
            <w:tcW w:w="960" w:type="dxa"/>
            <w:tcBorders>
              <w:top w:val="nil"/>
              <w:left w:val="nil"/>
              <w:bottom w:val="nil"/>
              <w:right w:val="single" w:color="auto" w:sz="4" w:space="0"/>
            </w:tcBorders>
            <w:shd w:val="clear" w:color="auto" w:fill="auto"/>
            <w:noWrap/>
            <w:vAlign w:val="center"/>
            <w:hideMark/>
          </w:tcPr>
          <w:p w:rsidRPr="003318E2" w:rsidR="003318E2" w:rsidP="00795212" w:rsidRDefault="003318E2" w14:paraId="6684B74F" w14:textId="77777777">
            <w:pPr>
              <w:jc w:val="right"/>
              <w:rPr>
                <w:rFonts w:ascii="Times New Roman" w:hAnsi="Times New Roman"/>
                <w:color w:val="000000"/>
                <w:sz w:val="22"/>
                <w:szCs w:val="22"/>
              </w:rPr>
            </w:pPr>
            <w:r w:rsidRPr="003318E2">
              <w:rPr>
                <w:rFonts w:ascii="Times New Roman" w:hAnsi="Times New Roman"/>
                <w:color w:val="000000"/>
                <w:sz w:val="22"/>
                <w:szCs w:val="22"/>
              </w:rPr>
              <w:t>70.2</w:t>
            </w:r>
          </w:p>
        </w:tc>
        <w:tc>
          <w:tcPr>
            <w:tcW w:w="960" w:type="dxa"/>
            <w:tcBorders>
              <w:top w:val="nil"/>
              <w:left w:val="nil"/>
              <w:bottom w:val="nil"/>
              <w:right w:val="single" w:color="auto" w:sz="4" w:space="0"/>
            </w:tcBorders>
            <w:shd w:val="clear" w:color="auto" w:fill="auto"/>
            <w:noWrap/>
            <w:vAlign w:val="center"/>
            <w:hideMark/>
          </w:tcPr>
          <w:p w:rsidRPr="003318E2" w:rsidR="003318E2" w:rsidP="00795212" w:rsidRDefault="003318E2" w14:paraId="0C7944CB" w14:textId="77777777">
            <w:pPr>
              <w:jc w:val="right"/>
              <w:rPr>
                <w:rFonts w:ascii="Times New Roman" w:hAnsi="Times New Roman"/>
                <w:color w:val="000000"/>
                <w:sz w:val="22"/>
                <w:szCs w:val="22"/>
              </w:rPr>
            </w:pPr>
            <w:r w:rsidRPr="003318E2">
              <w:rPr>
                <w:rFonts w:ascii="Times New Roman" w:hAnsi="Times New Roman"/>
                <w:color w:val="000000"/>
                <w:sz w:val="22"/>
                <w:szCs w:val="22"/>
              </w:rPr>
              <w:t>186,724</w:t>
            </w:r>
          </w:p>
        </w:tc>
        <w:tc>
          <w:tcPr>
            <w:tcW w:w="960" w:type="dxa"/>
            <w:tcBorders>
              <w:top w:val="nil"/>
              <w:left w:val="nil"/>
              <w:bottom w:val="nil"/>
              <w:right w:val="nil"/>
            </w:tcBorders>
            <w:shd w:val="clear" w:color="auto" w:fill="auto"/>
            <w:noWrap/>
            <w:vAlign w:val="center"/>
            <w:hideMark/>
          </w:tcPr>
          <w:p w:rsidRPr="003318E2" w:rsidR="003318E2" w:rsidP="00795212" w:rsidRDefault="003318E2" w14:paraId="2350D339" w14:textId="77777777">
            <w:pPr>
              <w:jc w:val="right"/>
              <w:rPr>
                <w:rFonts w:ascii="Times New Roman" w:hAnsi="Times New Roman"/>
                <w:color w:val="000000"/>
                <w:sz w:val="22"/>
                <w:szCs w:val="22"/>
              </w:rPr>
            </w:pPr>
            <w:r w:rsidRPr="003318E2">
              <w:rPr>
                <w:rFonts w:ascii="Times New Roman" w:hAnsi="Times New Roman"/>
                <w:color w:val="000000"/>
                <w:sz w:val="22"/>
                <w:szCs w:val="22"/>
              </w:rPr>
              <w:t>27.84%</w:t>
            </w:r>
          </w:p>
        </w:tc>
        <w:tc>
          <w:tcPr>
            <w:tcW w:w="960" w:type="dxa"/>
            <w:tcBorders>
              <w:top w:val="nil"/>
              <w:left w:val="nil"/>
              <w:bottom w:val="nil"/>
              <w:right w:val="nil"/>
            </w:tcBorders>
            <w:shd w:val="clear" w:color="auto" w:fill="auto"/>
            <w:noWrap/>
            <w:vAlign w:val="center"/>
            <w:hideMark/>
          </w:tcPr>
          <w:p w:rsidRPr="003318E2" w:rsidR="003318E2" w:rsidP="00795212" w:rsidRDefault="003318E2" w14:paraId="6EC40360" w14:textId="77777777">
            <w:pPr>
              <w:jc w:val="right"/>
              <w:rPr>
                <w:rFonts w:ascii="Times New Roman" w:hAnsi="Times New Roman"/>
                <w:color w:val="000000"/>
                <w:sz w:val="22"/>
                <w:szCs w:val="22"/>
              </w:rPr>
            </w:pPr>
            <w:r w:rsidRPr="003318E2">
              <w:rPr>
                <w:rFonts w:ascii="Times New Roman" w:hAnsi="Times New Roman"/>
                <w:color w:val="000000"/>
                <w:sz w:val="22"/>
                <w:szCs w:val="22"/>
              </w:rPr>
              <w:t>51.72%</w:t>
            </w:r>
          </w:p>
        </w:tc>
        <w:tc>
          <w:tcPr>
            <w:tcW w:w="960" w:type="dxa"/>
            <w:tcBorders>
              <w:top w:val="nil"/>
              <w:left w:val="single" w:color="auto" w:sz="4" w:space="0"/>
              <w:bottom w:val="nil"/>
              <w:right w:val="single" w:color="auto" w:sz="4" w:space="0"/>
            </w:tcBorders>
            <w:shd w:val="clear" w:color="auto" w:fill="auto"/>
            <w:noWrap/>
            <w:vAlign w:val="center"/>
            <w:hideMark/>
          </w:tcPr>
          <w:p w:rsidRPr="003318E2" w:rsidR="003318E2" w:rsidP="00795212" w:rsidRDefault="003318E2" w14:paraId="70C279A0" w14:textId="77777777">
            <w:pPr>
              <w:jc w:val="right"/>
              <w:rPr>
                <w:rFonts w:ascii="Times New Roman" w:hAnsi="Times New Roman"/>
                <w:color w:val="000000"/>
                <w:sz w:val="22"/>
                <w:szCs w:val="22"/>
              </w:rPr>
            </w:pPr>
            <w:r w:rsidRPr="003318E2">
              <w:rPr>
                <w:rFonts w:ascii="Times New Roman" w:hAnsi="Times New Roman"/>
                <w:color w:val="000000"/>
                <w:sz w:val="22"/>
                <w:szCs w:val="22"/>
              </w:rPr>
              <w:t>18,904</w:t>
            </w:r>
          </w:p>
        </w:tc>
        <w:tc>
          <w:tcPr>
            <w:tcW w:w="960" w:type="dxa"/>
            <w:tcBorders>
              <w:top w:val="nil"/>
              <w:left w:val="nil"/>
              <w:bottom w:val="nil"/>
              <w:right w:val="single" w:color="auto" w:sz="4" w:space="0"/>
            </w:tcBorders>
            <w:shd w:val="clear" w:color="auto" w:fill="auto"/>
            <w:noWrap/>
            <w:vAlign w:val="center"/>
            <w:hideMark/>
          </w:tcPr>
          <w:p w:rsidRPr="003318E2" w:rsidR="003318E2" w:rsidP="00795212" w:rsidRDefault="003318E2" w14:paraId="6FC0E3C9" w14:textId="77777777">
            <w:pPr>
              <w:jc w:val="right"/>
              <w:rPr>
                <w:rFonts w:ascii="Times New Roman" w:hAnsi="Times New Roman"/>
                <w:color w:val="000000"/>
                <w:sz w:val="22"/>
                <w:szCs w:val="22"/>
              </w:rPr>
            </w:pPr>
            <w:r w:rsidRPr="003318E2">
              <w:rPr>
                <w:rFonts w:ascii="Times New Roman" w:hAnsi="Times New Roman"/>
                <w:color w:val="000000"/>
                <w:sz w:val="22"/>
                <w:szCs w:val="22"/>
              </w:rPr>
              <w:t>269.2</w:t>
            </w:r>
          </w:p>
        </w:tc>
        <w:tc>
          <w:tcPr>
            <w:tcW w:w="960" w:type="dxa"/>
            <w:tcBorders>
              <w:top w:val="nil"/>
              <w:left w:val="nil"/>
              <w:bottom w:val="nil"/>
              <w:right w:val="nil"/>
            </w:tcBorders>
            <w:shd w:val="clear" w:color="auto" w:fill="auto"/>
            <w:noWrap/>
            <w:vAlign w:val="center"/>
            <w:hideMark/>
          </w:tcPr>
          <w:p w:rsidRPr="003318E2" w:rsidR="003318E2" w:rsidP="00795212" w:rsidRDefault="003318E2" w14:paraId="55EF8F2D" w14:textId="77777777">
            <w:pPr>
              <w:jc w:val="right"/>
              <w:rPr>
                <w:rFonts w:ascii="Times New Roman" w:hAnsi="Times New Roman"/>
                <w:color w:val="000000"/>
                <w:sz w:val="22"/>
                <w:szCs w:val="22"/>
              </w:rPr>
            </w:pPr>
            <w:r w:rsidRPr="003318E2">
              <w:rPr>
                <w:rFonts w:ascii="Times New Roman" w:hAnsi="Times New Roman"/>
                <w:color w:val="000000"/>
                <w:sz w:val="22"/>
                <w:szCs w:val="22"/>
              </w:rPr>
              <w:t>10.12%</w:t>
            </w:r>
          </w:p>
        </w:tc>
      </w:tr>
      <w:tr w:rsidRPr="003318E2" w:rsidR="003318E2" w:rsidTr="00795212" w14:paraId="2804DE92" w14:textId="77777777">
        <w:trPr>
          <w:trHeight w:val="259" w:hRule="exact"/>
        </w:trPr>
        <w:tc>
          <w:tcPr>
            <w:tcW w:w="1580" w:type="dxa"/>
            <w:tcBorders>
              <w:top w:val="nil"/>
              <w:left w:val="nil"/>
              <w:bottom w:val="nil"/>
              <w:right w:val="nil"/>
            </w:tcBorders>
            <w:shd w:val="clear" w:color="auto" w:fill="auto"/>
            <w:noWrap/>
            <w:vAlign w:val="center"/>
            <w:hideMark/>
          </w:tcPr>
          <w:p w:rsidRPr="003318E2" w:rsidR="003318E2" w:rsidP="00795212" w:rsidRDefault="003318E2" w14:paraId="648892C6" w14:textId="373C293C">
            <w:pPr>
              <w:rPr>
                <w:rFonts w:ascii="Times New Roman" w:hAnsi="Times New Roman"/>
                <w:color w:val="000000"/>
                <w:sz w:val="22"/>
                <w:szCs w:val="22"/>
              </w:rPr>
            </w:pPr>
            <w:r w:rsidRPr="003318E2">
              <w:rPr>
                <w:rFonts w:ascii="Times New Roman" w:hAnsi="Times New Roman"/>
                <w:color w:val="000000"/>
                <w:sz w:val="22"/>
                <w:szCs w:val="22"/>
              </w:rPr>
              <w:t>250 to 499</w:t>
            </w:r>
          </w:p>
        </w:tc>
        <w:tc>
          <w:tcPr>
            <w:tcW w:w="960" w:type="dxa"/>
            <w:tcBorders>
              <w:top w:val="nil"/>
              <w:left w:val="single" w:color="auto" w:sz="4" w:space="0"/>
              <w:bottom w:val="nil"/>
              <w:right w:val="single" w:color="auto" w:sz="4" w:space="0"/>
            </w:tcBorders>
            <w:shd w:val="clear" w:color="auto" w:fill="auto"/>
            <w:noWrap/>
            <w:vAlign w:val="center"/>
            <w:hideMark/>
          </w:tcPr>
          <w:p w:rsidRPr="003318E2" w:rsidR="003318E2" w:rsidP="00795212" w:rsidRDefault="003318E2" w14:paraId="6673A98B" w14:textId="77777777">
            <w:pPr>
              <w:jc w:val="right"/>
              <w:rPr>
                <w:rFonts w:ascii="Times New Roman" w:hAnsi="Times New Roman"/>
                <w:color w:val="000000"/>
                <w:sz w:val="22"/>
                <w:szCs w:val="22"/>
              </w:rPr>
            </w:pPr>
            <w:r w:rsidRPr="003318E2">
              <w:rPr>
                <w:rFonts w:ascii="Times New Roman" w:hAnsi="Times New Roman"/>
                <w:color w:val="000000"/>
                <w:sz w:val="22"/>
                <w:szCs w:val="22"/>
              </w:rPr>
              <w:t>392</w:t>
            </w:r>
          </w:p>
        </w:tc>
        <w:tc>
          <w:tcPr>
            <w:tcW w:w="960" w:type="dxa"/>
            <w:tcBorders>
              <w:top w:val="nil"/>
              <w:left w:val="nil"/>
              <w:bottom w:val="nil"/>
              <w:right w:val="single" w:color="auto" w:sz="4" w:space="0"/>
            </w:tcBorders>
            <w:shd w:val="clear" w:color="auto" w:fill="auto"/>
            <w:noWrap/>
            <w:vAlign w:val="center"/>
            <w:hideMark/>
          </w:tcPr>
          <w:p w:rsidRPr="003318E2" w:rsidR="003318E2" w:rsidP="00795212" w:rsidRDefault="003318E2" w14:paraId="7E3C1DBF" w14:textId="77777777">
            <w:pPr>
              <w:jc w:val="right"/>
              <w:rPr>
                <w:rFonts w:ascii="Times New Roman" w:hAnsi="Times New Roman"/>
                <w:color w:val="000000"/>
                <w:sz w:val="22"/>
                <w:szCs w:val="22"/>
              </w:rPr>
            </w:pPr>
            <w:r w:rsidRPr="003318E2">
              <w:rPr>
                <w:rFonts w:ascii="Times New Roman" w:hAnsi="Times New Roman"/>
                <w:color w:val="000000"/>
                <w:sz w:val="22"/>
                <w:szCs w:val="22"/>
              </w:rPr>
              <w:t>55.9</w:t>
            </w:r>
          </w:p>
        </w:tc>
        <w:tc>
          <w:tcPr>
            <w:tcW w:w="960" w:type="dxa"/>
            <w:tcBorders>
              <w:top w:val="nil"/>
              <w:left w:val="nil"/>
              <w:bottom w:val="nil"/>
              <w:right w:val="single" w:color="auto" w:sz="4" w:space="0"/>
            </w:tcBorders>
            <w:shd w:val="clear" w:color="auto" w:fill="auto"/>
            <w:noWrap/>
            <w:vAlign w:val="center"/>
            <w:hideMark/>
          </w:tcPr>
          <w:p w:rsidRPr="003318E2" w:rsidR="003318E2" w:rsidP="00795212" w:rsidRDefault="003318E2" w14:paraId="634E29F0" w14:textId="77777777">
            <w:pPr>
              <w:jc w:val="right"/>
              <w:rPr>
                <w:rFonts w:ascii="Times New Roman" w:hAnsi="Times New Roman"/>
                <w:color w:val="000000"/>
                <w:sz w:val="22"/>
                <w:szCs w:val="22"/>
              </w:rPr>
            </w:pPr>
            <w:r w:rsidRPr="003318E2">
              <w:rPr>
                <w:rFonts w:ascii="Times New Roman" w:hAnsi="Times New Roman"/>
                <w:color w:val="000000"/>
                <w:sz w:val="22"/>
                <w:szCs w:val="22"/>
              </w:rPr>
              <w:t>137,719</w:t>
            </w:r>
          </w:p>
        </w:tc>
        <w:tc>
          <w:tcPr>
            <w:tcW w:w="960" w:type="dxa"/>
            <w:tcBorders>
              <w:top w:val="nil"/>
              <w:left w:val="nil"/>
              <w:bottom w:val="nil"/>
              <w:right w:val="nil"/>
            </w:tcBorders>
            <w:shd w:val="clear" w:color="auto" w:fill="auto"/>
            <w:noWrap/>
            <w:vAlign w:val="center"/>
            <w:hideMark/>
          </w:tcPr>
          <w:p w:rsidRPr="003318E2" w:rsidR="003318E2" w:rsidP="00795212" w:rsidRDefault="003318E2" w14:paraId="48ABB846" w14:textId="77777777">
            <w:pPr>
              <w:jc w:val="right"/>
              <w:rPr>
                <w:rFonts w:ascii="Times New Roman" w:hAnsi="Times New Roman"/>
                <w:color w:val="000000"/>
                <w:sz w:val="22"/>
                <w:szCs w:val="22"/>
              </w:rPr>
            </w:pPr>
            <w:r w:rsidRPr="003318E2">
              <w:rPr>
                <w:rFonts w:ascii="Times New Roman" w:hAnsi="Times New Roman"/>
                <w:color w:val="000000"/>
                <w:sz w:val="22"/>
                <w:szCs w:val="22"/>
              </w:rPr>
              <w:t>52.04%</w:t>
            </w:r>
          </w:p>
        </w:tc>
        <w:tc>
          <w:tcPr>
            <w:tcW w:w="960" w:type="dxa"/>
            <w:tcBorders>
              <w:top w:val="nil"/>
              <w:left w:val="nil"/>
              <w:bottom w:val="nil"/>
              <w:right w:val="nil"/>
            </w:tcBorders>
            <w:shd w:val="clear" w:color="auto" w:fill="auto"/>
            <w:noWrap/>
            <w:vAlign w:val="center"/>
            <w:hideMark/>
          </w:tcPr>
          <w:p w:rsidRPr="003318E2" w:rsidR="003318E2" w:rsidP="00795212" w:rsidRDefault="003318E2" w14:paraId="7EC93855" w14:textId="77777777">
            <w:pPr>
              <w:jc w:val="right"/>
              <w:rPr>
                <w:rFonts w:ascii="Times New Roman" w:hAnsi="Times New Roman"/>
                <w:color w:val="000000"/>
                <w:sz w:val="22"/>
                <w:szCs w:val="22"/>
              </w:rPr>
            </w:pPr>
            <w:r w:rsidRPr="003318E2">
              <w:rPr>
                <w:rFonts w:ascii="Times New Roman" w:hAnsi="Times New Roman"/>
                <w:color w:val="000000"/>
                <w:sz w:val="22"/>
                <w:szCs w:val="22"/>
              </w:rPr>
              <w:t>80.00%</w:t>
            </w:r>
          </w:p>
        </w:tc>
        <w:tc>
          <w:tcPr>
            <w:tcW w:w="960" w:type="dxa"/>
            <w:tcBorders>
              <w:top w:val="nil"/>
              <w:left w:val="single" w:color="auto" w:sz="4" w:space="0"/>
              <w:bottom w:val="nil"/>
              <w:right w:val="single" w:color="auto" w:sz="4" w:space="0"/>
            </w:tcBorders>
            <w:shd w:val="clear" w:color="auto" w:fill="auto"/>
            <w:noWrap/>
            <w:vAlign w:val="center"/>
            <w:hideMark/>
          </w:tcPr>
          <w:p w:rsidRPr="003318E2" w:rsidR="003318E2" w:rsidP="00795212" w:rsidRDefault="003318E2" w14:paraId="08830C18" w14:textId="77777777">
            <w:pPr>
              <w:jc w:val="right"/>
              <w:rPr>
                <w:rFonts w:ascii="Times New Roman" w:hAnsi="Times New Roman"/>
                <w:color w:val="000000"/>
                <w:sz w:val="22"/>
                <w:szCs w:val="22"/>
              </w:rPr>
            </w:pPr>
            <w:r w:rsidRPr="003318E2">
              <w:rPr>
                <w:rFonts w:ascii="Times New Roman" w:hAnsi="Times New Roman"/>
                <w:color w:val="000000"/>
                <w:sz w:val="22"/>
                <w:szCs w:val="22"/>
              </w:rPr>
              <w:t>13,941</w:t>
            </w:r>
          </w:p>
        </w:tc>
        <w:tc>
          <w:tcPr>
            <w:tcW w:w="960" w:type="dxa"/>
            <w:tcBorders>
              <w:top w:val="nil"/>
              <w:left w:val="nil"/>
              <w:bottom w:val="nil"/>
              <w:right w:val="single" w:color="auto" w:sz="4" w:space="0"/>
            </w:tcBorders>
            <w:shd w:val="clear" w:color="auto" w:fill="auto"/>
            <w:noWrap/>
            <w:vAlign w:val="center"/>
            <w:hideMark/>
          </w:tcPr>
          <w:p w:rsidRPr="003318E2" w:rsidR="003318E2" w:rsidP="00795212" w:rsidRDefault="003318E2" w14:paraId="2673A7E6" w14:textId="77777777">
            <w:pPr>
              <w:jc w:val="right"/>
              <w:rPr>
                <w:rFonts w:ascii="Times New Roman" w:hAnsi="Times New Roman"/>
                <w:color w:val="000000"/>
                <w:sz w:val="22"/>
                <w:szCs w:val="22"/>
              </w:rPr>
            </w:pPr>
            <w:r w:rsidRPr="003318E2">
              <w:rPr>
                <w:rFonts w:ascii="Times New Roman" w:hAnsi="Times New Roman"/>
                <w:color w:val="000000"/>
                <w:sz w:val="22"/>
                <w:szCs w:val="22"/>
              </w:rPr>
              <w:t>249.2</w:t>
            </w:r>
          </w:p>
        </w:tc>
        <w:tc>
          <w:tcPr>
            <w:tcW w:w="960" w:type="dxa"/>
            <w:tcBorders>
              <w:top w:val="nil"/>
              <w:left w:val="nil"/>
              <w:bottom w:val="nil"/>
              <w:right w:val="nil"/>
            </w:tcBorders>
            <w:shd w:val="clear" w:color="auto" w:fill="auto"/>
            <w:noWrap/>
            <w:vAlign w:val="center"/>
            <w:hideMark/>
          </w:tcPr>
          <w:p w:rsidRPr="003318E2" w:rsidR="003318E2" w:rsidP="00795212" w:rsidRDefault="003318E2" w14:paraId="3DFCD85B" w14:textId="77777777">
            <w:pPr>
              <w:jc w:val="right"/>
              <w:rPr>
                <w:rFonts w:ascii="Times New Roman" w:hAnsi="Times New Roman"/>
                <w:color w:val="000000"/>
                <w:sz w:val="22"/>
                <w:szCs w:val="22"/>
              </w:rPr>
            </w:pPr>
            <w:r w:rsidRPr="003318E2">
              <w:rPr>
                <w:rFonts w:ascii="Times New Roman" w:hAnsi="Times New Roman"/>
                <w:color w:val="000000"/>
                <w:sz w:val="22"/>
                <w:szCs w:val="22"/>
              </w:rPr>
              <w:t>10.12%</w:t>
            </w:r>
          </w:p>
        </w:tc>
      </w:tr>
      <w:tr w:rsidRPr="003318E2" w:rsidR="003318E2" w:rsidTr="00795212" w14:paraId="2BEC7358" w14:textId="77777777">
        <w:trPr>
          <w:trHeight w:val="259" w:hRule="exact"/>
        </w:trPr>
        <w:tc>
          <w:tcPr>
            <w:tcW w:w="1580" w:type="dxa"/>
            <w:tcBorders>
              <w:top w:val="nil"/>
              <w:left w:val="nil"/>
              <w:bottom w:val="nil"/>
              <w:right w:val="nil"/>
            </w:tcBorders>
            <w:shd w:val="clear" w:color="auto" w:fill="auto"/>
            <w:noWrap/>
            <w:vAlign w:val="center"/>
            <w:hideMark/>
          </w:tcPr>
          <w:p w:rsidRPr="003318E2" w:rsidR="003318E2" w:rsidP="00795212" w:rsidRDefault="003318E2" w14:paraId="5DDB53C4" w14:textId="2FB2F8DE">
            <w:pPr>
              <w:rPr>
                <w:rFonts w:ascii="Times New Roman" w:hAnsi="Times New Roman"/>
                <w:color w:val="000000"/>
                <w:sz w:val="22"/>
                <w:szCs w:val="22"/>
              </w:rPr>
            </w:pPr>
            <w:r w:rsidRPr="003318E2">
              <w:rPr>
                <w:rFonts w:ascii="Times New Roman" w:hAnsi="Times New Roman"/>
                <w:color w:val="000000"/>
                <w:sz w:val="22"/>
                <w:szCs w:val="22"/>
              </w:rPr>
              <w:t>175 to 249</w:t>
            </w:r>
          </w:p>
        </w:tc>
        <w:tc>
          <w:tcPr>
            <w:tcW w:w="960" w:type="dxa"/>
            <w:tcBorders>
              <w:top w:val="nil"/>
              <w:left w:val="single" w:color="auto" w:sz="4" w:space="0"/>
              <w:bottom w:val="nil"/>
              <w:right w:val="single" w:color="auto" w:sz="4" w:space="0"/>
            </w:tcBorders>
            <w:shd w:val="clear" w:color="auto" w:fill="auto"/>
            <w:noWrap/>
            <w:vAlign w:val="center"/>
            <w:hideMark/>
          </w:tcPr>
          <w:p w:rsidRPr="003318E2" w:rsidR="003318E2" w:rsidP="00795212" w:rsidRDefault="003318E2" w14:paraId="4229600B" w14:textId="77777777">
            <w:pPr>
              <w:jc w:val="right"/>
              <w:rPr>
                <w:rFonts w:ascii="Times New Roman" w:hAnsi="Times New Roman"/>
                <w:color w:val="000000"/>
                <w:sz w:val="22"/>
                <w:szCs w:val="22"/>
              </w:rPr>
            </w:pPr>
            <w:r w:rsidRPr="003318E2">
              <w:rPr>
                <w:rFonts w:ascii="Times New Roman" w:hAnsi="Times New Roman"/>
                <w:color w:val="000000"/>
                <w:sz w:val="22"/>
                <w:szCs w:val="22"/>
              </w:rPr>
              <w:t>263</w:t>
            </w:r>
          </w:p>
        </w:tc>
        <w:tc>
          <w:tcPr>
            <w:tcW w:w="960" w:type="dxa"/>
            <w:tcBorders>
              <w:top w:val="nil"/>
              <w:left w:val="nil"/>
              <w:bottom w:val="nil"/>
              <w:right w:val="single" w:color="auto" w:sz="4" w:space="0"/>
            </w:tcBorders>
            <w:shd w:val="clear" w:color="auto" w:fill="auto"/>
            <w:noWrap/>
            <w:vAlign w:val="center"/>
            <w:hideMark/>
          </w:tcPr>
          <w:p w:rsidRPr="003318E2" w:rsidR="003318E2" w:rsidP="00795212" w:rsidRDefault="003318E2" w14:paraId="485657AB" w14:textId="77777777">
            <w:pPr>
              <w:jc w:val="right"/>
              <w:rPr>
                <w:rFonts w:ascii="Times New Roman" w:hAnsi="Times New Roman"/>
                <w:color w:val="000000"/>
                <w:sz w:val="22"/>
                <w:szCs w:val="22"/>
              </w:rPr>
            </w:pPr>
            <w:r w:rsidRPr="003318E2">
              <w:rPr>
                <w:rFonts w:ascii="Times New Roman" w:hAnsi="Times New Roman"/>
                <w:color w:val="000000"/>
                <w:sz w:val="22"/>
                <w:szCs w:val="22"/>
              </w:rPr>
              <w:t>23.4</w:t>
            </w:r>
          </w:p>
        </w:tc>
        <w:tc>
          <w:tcPr>
            <w:tcW w:w="960" w:type="dxa"/>
            <w:tcBorders>
              <w:top w:val="nil"/>
              <w:left w:val="nil"/>
              <w:bottom w:val="nil"/>
              <w:right w:val="single" w:color="auto" w:sz="4" w:space="0"/>
            </w:tcBorders>
            <w:shd w:val="clear" w:color="auto" w:fill="auto"/>
            <w:noWrap/>
            <w:vAlign w:val="center"/>
            <w:hideMark/>
          </w:tcPr>
          <w:p w:rsidRPr="003318E2" w:rsidR="003318E2" w:rsidP="00795212" w:rsidRDefault="003318E2" w14:paraId="336E1483" w14:textId="77777777">
            <w:pPr>
              <w:jc w:val="right"/>
              <w:rPr>
                <w:rFonts w:ascii="Times New Roman" w:hAnsi="Times New Roman"/>
                <w:color w:val="000000"/>
                <w:sz w:val="22"/>
                <w:szCs w:val="22"/>
              </w:rPr>
            </w:pPr>
            <w:r w:rsidRPr="003318E2">
              <w:rPr>
                <w:rFonts w:ascii="Times New Roman" w:hAnsi="Times New Roman"/>
                <w:color w:val="000000"/>
                <w:sz w:val="22"/>
                <w:szCs w:val="22"/>
              </w:rPr>
              <w:t>54,426</w:t>
            </w:r>
          </w:p>
        </w:tc>
        <w:tc>
          <w:tcPr>
            <w:tcW w:w="960" w:type="dxa"/>
            <w:tcBorders>
              <w:top w:val="nil"/>
              <w:left w:val="nil"/>
              <w:bottom w:val="nil"/>
              <w:right w:val="nil"/>
            </w:tcBorders>
            <w:shd w:val="clear" w:color="auto" w:fill="auto"/>
            <w:noWrap/>
            <w:vAlign w:val="center"/>
            <w:hideMark/>
          </w:tcPr>
          <w:p w:rsidRPr="003318E2" w:rsidR="003318E2" w:rsidP="00795212" w:rsidRDefault="003318E2" w14:paraId="2115B3D1" w14:textId="77777777">
            <w:pPr>
              <w:jc w:val="right"/>
              <w:rPr>
                <w:rFonts w:ascii="Times New Roman" w:hAnsi="Times New Roman"/>
                <w:color w:val="000000"/>
                <w:sz w:val="22"/>
                <w:szCs w:val="22"/>
              </w:rPr>
            </w:pPr>
            <w:r w:rsidRPr="003318E2">
              <w:rPr>
                <w:rFonts w:ascii="Times New Roman" w:hAnsi="Times New Roman"/>
                <w:color w:val="000000"/>
                <w:sz w:val="22"/>
                <w:szCs w:val="22"/>
              </w:rPr>
              <w:t>80.00%</w:t>
            </w:r>
          </w:p>
        </w:tc>
        <w:tc>
          <w:tcPr>
            <w:tcW w:w="960" w:type="dxa"/>
            <w:tcBorders>
              <w:top w:val="nil"/>
              <w:left w:val="nil"/>
              <w:bottom w:val="nil"/>
              <w:right w:val="nil"/>
            </w:tcBorders>
            <w:shd w:val="clear" w:color="auto" w:fill="auto"/>
            <w:noWrap/>
            <w:vAlign w:val="center"/>
            <w:hideMark/>
          </w:tcPr>
          <w:p w:rsidRPr="003318E2" w:rsidR="003318E2" w:rsidP="00795212" w:rsidRDefault="003318E2" w14:paraId="58A024AD" w14:textId="77777777">
            <w:pPr>
              <w:jc w:val="right"/>
              <w:rPr>
                <w:rFonts w:ascii="Times New Roman" w:hAnsi="Times New Roman"/>
                <w:color w:val="000000"/>
                <w:sz w:val="22"/>
                <w:szCs w:val="22"/>
              </w:rPr>
            </w:pPr>
            <w:r w:rsidRPr="003318E2">
              <w:rPr>
                <w:rFonts w:ascii="Times New Roman" w:hAnsi="Times New Roman"/>
                <w:color w:val="000000"/>
                <w:sz w:val="22"/>
                <w:szCs w:val="22"/>
              </w:rPr>
              <w:t>80.00%</w:t>
            </w:r>
          </w:p>
        </w:tc>
        <w:tc>
          <w:tcPr>
            <w:tcW w:w="960" w:type="dxa"/>
            <w:tcBorders>
              <w:top w:val="nil"/>
              <w:left w:val="single" w:color="auto" w:sz="4" w:space="0"/>
              <w:bottom w:val="nil"/>
              <w:right w:val="single" w:color="auto" w:sz="4" w:space="0"/>
            </w:tcBorders>
            <w:shd w:val="clear" w:color="auto" w:fill="auto"/>
            <w:noWrap/>
            <w:vAlign w:val="center"/>
            <w:hideMark/>
          </w:tcPr>
          <w:p w:rsidRPr="003318E2" w:rsidR="003318E2" w:rsidP="00795212" w:rsidRDefault="003318E2" w14:paraId="12ABF331" w14:textId="77777777">
            <w:pPr>
              <w:jc w:val="right"/>
              <w:rPr>
                <w:rFonts w:ascii="Times New Roman" w:hAnsi="Times New Roman"/>
                <w:color w:val="000000"/>
                <w:sz w:val="22"/>
                <w:szCs w:val="22"/>
              </w:rPr>
            </w:pPr>
            <w:r w:rsidRPr="003318E2">
              <w:rPr>
                <w:rFonts w:ascii="Times New Roman" w:hAnsi="Times New Roman"/>
                <w:color w:val="000000"/>
                <w:sz w:val="22"/>
                <w:szCs w:val="22"/>
              </w:rPr>
              <w:t>3,913</w:t>
            </w:r>
          </w:p>
        </w:tc>
        <w:tc>
          <w:tcPr>
            <w:tcW w:w="960" w:type="dxa"/>
            <w:tcBorders>
              <w:top w:val="nil"/>
              <w:left w:val="nil"/>
              <w:bottom w:val="nil"/>
              <w:right w:val="single" w:color="auto" w:sz="4" w:space="0"/>
            </w:tcBorders>
            <w:shd w:val="clear" w:color="auto" w:fill="auto"/>
            <w:noWrap/>
            <w:vAlign w:val="center"/>
            <w:hideMark/>
          </w:tcPr>
          <w:p w:rsidRPr="003318E2" w:rsidR="003318E2" w:rsidP="00795212" w:rsidRDefault="003318E2" w14:paraId="699D5951" w14:textId="77777777">
            <w:pPr>
              <w:jc w:val="right"/>
              <w:rPr>
                <w:rFonts w:ascii="Times New Roman" w:hAnsi="Times New Roman"/>
                <w:color w:val="000000"/>
                <w:sz w:val="22"/>
                <w:szCs w:val="22"/>
              </w:rPr>
            </w:pPr>
            <w:r w:rsidRPr="003318E2">
              <w:rPr>
                <w:rFonts w:ascii="Times New Roman" w:hAnsi="Times New Roman"/>
                <w:color w:val="000000"/>
                <w:sz w:val="22"/>
                <w:szCs w:val="22"/>
              </w:rPr>
              <w:t>167.2</w:t>
            </w:r>
          </w:p>
        </w:tc>
        <w:tc>
          <w:tcPr>
            <w:tcW w:w="960" w:type="dxa"/>
            <w:tcBorders>
              <w:top w:val="nil"/>
              <w:left w:val="nil"/>
              <w:bottom w:val="nil"/>
              <w:right w:val="nil"/>
            </w:tcBorders>
            <w:shd w:val="clear" w:color="auto" w:fill="auto"/>
            <w:noWrap/>
            <w:vAlign w:val="center"/>
            <w:hideMark/>
          </w:tcPr>
          <w:p w:rsidRPr="003318E2" w:rsidR="003318E2" w:rsidP="00795212" w:rsidRDefault="003318E2" w14:paraId="5478734F" w14:textId="77777777">
            <w:pPr>
              <w:jc w:val="right"/>
              <w:rPr>
                <w:rFonts w:ascii="Times New Roman" w:hAnsi="Times New Roman"/>
                <w:color w:val="000000"/>
                <w:sz w:val="22"/>
                <w:szCs w:val="22"/>
              </w:rPr>
            </w:pPr>
            <w:r w:rsidRPr="003318E2">
              <w:rPr>
                <w:rFonts w:ascii="Times New Roman" w:hAnsi="Times New Roman"/>
                <w:color w:val="000000"/>
                <w:sz w:val="22"/>
                <w:szCs w:val="22"/>
              </w:rPr>
              <w:t>7.19%</w:t>
            </w:r>
          </w:p>
        </w:tc>
      </w:tr>
      <w:tr w:rsidRPr="003318E2" w:rsidR="003318E2" w:rsidTr="00795212" w14:paraId="62CCD818" w14:textId="77777777">
        <w:trPr>
          <w:trHeight w:val="259" w:hRule="exact"/>
        </w:trPr>
        <w:tc>
          <w:tcPr>
            <w:tcW w:w="1580" w:type="dxa"/>
            <w:tcBorders>
              <w:top w:val="nil"/>
              <w:left w:val="nil"/>
              <w:bottom w:val="nil"/>
              <w:right w:val="nil"/>
            </w:tcBorders>
            <w:shd w:val="clear" w:color="auto" w:fill="auto"/>
            <w:noWrap/>
            <w:vAlign w:val="center"/>
            <w:hideMark/>
          </w:tcPr>
          <w:p w:rsidRPr="003318E2" w:rsidR="003318E2" w:rsidP="00795212" w:rsidRDefault="003318E2" w14:paraId="2911C20C" w14:textId="0AEF8232">
            <w:pPr>
              <w:rPr>
                <w:rFonts w:ascii="Times New Roman" w:hAnsi="Times New Roman"/>
                <w:color w:val="000000"/>
                <w:sz w:val="22"/>
                <w:szCs w:val="22"/>
              </w:rPr>
            </w:pPr>
            <w:r w:rsidRPr="003318E2">
              <w:rPr>
                <w:rFonts w:ascii="Times New Roman" w:hAnsi="Times New Roman"/>
                <w:color w:val="000000"/>
                <w:sz w:val="22"/>
                <w:szCs w:val="22"/>
              </w:rPr>
              <w:t>140 to 174</w:t>
            </w:r>
          </w:p>
        </w:tc>
        <w:tc>
          <w:tcPr>
            <w:tcW w:w="960" w:type="dxa"/>
            <w:tcBorders>
              <w:top w:val="nil"/>
              <w:left w:val="single" w:color="auto" w:sz="4" w:space="0"/>
              <w:bottom w:val="nil"/>
              <w:right w:val="single" w:color="auto" w:sz="4" w:space="0"/>
            </w:tcBorders>
            <w:shd w:val="clear" w:color="auto" w:fill="auto"/>
            <w:noWrap/>
            <w:vAlign w:val="center"/>
            <w:hideMark/>
          </w:tcPr>
          <w:p w:rsidRPr="003318E2" w:rsidR="003318E2" w:rsidP="00795212" w:rsidRDefault="003318E2" w14:paraId="294E205A" w14:textId="77777777">
            <w:pPr>
              <w:jc w:val="right"/>
              <w:rPr>
                <w:rFonts w:ascii="Times New Roman" w:hAnsi="Times New Roman"/>
                <w:color w:val="000000"/>
                <w:sz w:val="22"/>
                <w:szCs w:val="22"/>
              </w:rPr>
            </w:pPr>
            <w:r w:rsidRPr="003318E2">
              <w:rPr>
                <w:rFonts w:ascii="Times New Roman" w:hAnsi="Times New Roman"/>
                <w:color w:val="000000"/>
                <w:sz w:val="22"/>
                <w:szCs w:val="22"/>
              </w:rPr>
              <w:t>177</w:t>
            </w:r>
          </w:p>
        </w:tc>
        <w:tc>
          <w:tcPr>
            <w:tcW w:w="960" w:type="dxa"/>
            <w:tcBorders>
              <w:top w:val="nil"/>
              <w:left w:val="nil"/>
              <w:bottom w:val="nil"/>
              <w:right w:val="single" w:color="auto" w:sz="4" w:space="0"/>
            </w:tcBorders>
            <w:shd w:val="clear" w:color="auto" w:fill="auto"/>
            <w:noWrap/>
            <w:vAlign w:val="center"/>
            <w:hideMark/>
          </w:tcPr>
          <w:p w:rsidRPr="003318E2" w:rsidR="003318E2" w:rsidP="00795212" w:rsidRDefault="003318E2" w14:paraId="353BD5F1" w14:textId="77777777">
            <w:pPr>
              <w:jc w:val="right"/>
              <w:rPr>
                <w:rFonts w:ascii="Times New Roman" w:hAnsi="Times New Roman"/>
                <w:color w:val="000000"/>
                <w:sz w:val="22"/>
                <w:szCs w:val="22"/>
              </w:rPr>
            </w:pPr>
            <w:r w:rsidRPr="003318E2">
              <w:rPr>
                <w:rFonts w:ascii="Times New Roman" w:hAnsi="Times New Roman"/>
                <w:color w:val="000000"/>
                <w:sz w:val="22"/>
                <w:szCs w:val="22"/>
              </w:rPr>
              <w:t>12.3</w:t>
            </w:r>
          </w:p>
        </w:tc>
        <w:tc>
          <w:tcPr>
            <w:tcW w:w="960" w:type="dxa"/>
            <w:tcBorders>
              <w:top w:val="nil"/>
              <w:left w:val="nil"/>
              <w:bottom w:val="nil"/>
              <w:right w:val="single" w:color="auto" w:sz="4" w:space="0"/>
            </w:tcBorders>
            <w:shd w:val="clear" w:color="auto" w:fill="auto"/>
            <w:noWrap/>
            <w:vAlign w:val="center"/>
            <w:hideMark/>
          </w:tcPr>
          <w:p w:rsidRPr="003318E2" w:rsidR="003318E2" w:rsidP="00795212" w:rsidRDefault="003318E2" w14:paraId="538B4FB2" w14:textId="77777777">
            <w:pPr>
              <w:jc w:val="right"/>
              <w:rPr>
                <w:rFonts w:ascii="Times New Roman" w:hAnsi="Times New Roman"/>
                <w:color w:val="000000"/>
                <w:sz w:val="22"/>
                <w:szCs w:val="22"/>
              </w:rPr>
            </w:pPr>
            <w:r w:rsidRPr="003318E2">
              <w:rPr>
                <w:rFonts w:ascii="Times New Roman" w:hAnsi="Times New Roman"/>
                <w:color w:val="000000"/>
                <w:sz w:val="22"/>
                <w:szCs w:val="22"/>
              </w:rPr>
              <w:t>27,564</w:t>
            </w:r>
          </w:p>
        </w:tc>
        <w:tc>
          <w:tcPr>
            <w:tcW w:w="960" w:type="dxa"/>
            <w:tcBorders>
              <w:top w:val="nil"/>
              <w:left w:val="nil"/>
              <w:bottom w:val="nil"/>
              <w:right w:val="nil"/>
            </w:tcBorders>
            <w:shd w:val="clear" w:color="auto" w:fill="auto"/>
            <w:noWrap/>
            <w:vAlign w:val="center"/>
            <w:hideMark/>
          </w:tcPr>
          <w:p w:rsidRPr="003318E2" w:rsidR="003318E2" w:rsidP="00795212" w:rsidRDefault="003318E2" w14:paraId="227D5501" w14:textId="77777777">
            <w:pPr>
              <w:jc w:val="right"/>
              <w:rPr>
                <w:rFonts w:ascii="Times New Roman" w:hAnsi="Times New Roman"/>
                <w:color w:val="000000"/>
                <w:sz w:val="22"/>
                <w:szCs w:val="22"/>
              </w:rPr>
            </w:pPr>
            <w:r w:rsidRPr="003318E2">
              <w:rPr>
                <w:rFonts w:ascii="Times New Roman" w:hAnsi="Times New Roman"/>
                <w:color w:val="000000"/>
                <w:sz w:val="22"/>
                <w:szCs w:val="22"/>
              </w:rPr>
              <w:t>80.00%</w:t>
            </w:r>
          </w:p>
        </w:tc>
        <w:tc>
          <w:tcPr>
            <w:tcW w:w="960" w:type="dxa"/>
            <w:tcBorders>
              <w:top w:val="nil"/>
              <w:left w:val="nil"/>
              <w:bottom w:val="nil"/>
              <w:right w:val="nil"/>
            </w:tcBorders>
            <w:shd w:val="clear" w:color="auto" w:fill="auto"/>
            <w:noWrap/>
            <w:vAlign w:val="center"/>
            <w:hideMark/>
          </w:tcPr>
          <w:p w:rsidRPr="003318E2" w:rsidR="003318E2" w:rsidP="00795212" w:rsidRDefault="003318E2" w14:paraId="3D32CC13" w14:textId="77777777">
            <w:pPr>
              <w:jc w:val="right"/>
              <w:rPr>
                <w:rFonts w:ascii="Times New Roman" w:hAnsi="Times New Roman"/>
                <w:color w:val="000000"/>
                <w:sz w:val="22"/>
                <w:szCs w:val="22"/>
              </w:rPr>
            </w:pPr>
            <w:r w:rsidRPr="003318E2">
              <w:rPr>
                <w:rFonts w:ascii="Times New Roman" w:hAnsi="Times New Roman"/>
                <w:color w:val="000000"/>
                <w:sz w:val="22"/>
                <w:szCs w:val="22"/>
              </w:rPr>
              <w:t>80.00%</w:t>
            </w:r>
          </w:p>
        </w:tc>
        <w:tc>
          <w:tcPr>
            <w:tcW w:w="960" w:type="dxa"/>
            <w:tcBorders>
              <w:top w:val="nil"/>
              <w:left w:val="single" w:color="auto" w:sz="4" w:space="0"/>
              <w:bottom w:val="nil"/>
              <w:right w:val="single" w:color="auto" w:sz="4" w:space="0"/>
            </w:tcBorders>
            <w:shd w:val="clear" w:color="auto" w:fill="auto"/>
            <w:noWrap/>
            <w:vAlign w:val="center"/>
            <w:hideMark/>
          </w:tcPr>
          <w:p w:rsidRPr="003318E2" w:rsidR="003318E2" w:rsidP="00795212" w:rsidRDefault="003318E2" w14:paraId="60CBBE08" w14:textId="77777777">
            <w:pPr>
              <w:jc w:val="right"/>
              <w:rPr>
                <w:rFonts w:ascii="Times New Roman" w:hAnsi="Times New Roman"/>
                <w:color w:val="000000"/>
                <w:sz w:val="22"/>
                <w:szCs w:val="22"/>
              </w:rPr>
            </w:pPr>
            <w:r w:rsidRPr="003318E2">
              <w:rPr>
                <w:rFonts w:ascii="Times New Roman" w:hAnsi="Times New Roman"/>
                <w:color w:val="000000"/>
                <w:sz w:val="22"/>
                <w:szCs w:val="22"/>
              </w:rPr>
              <w:t>1,534</w:t>
            </w:r>
          </w:p>
        </w:tc>
        <w:tc>
          <w:tcPr>
            <w:tcW w:w="960" w:type="dxa"/>
            <w:tcBorders>
              <w:top w:val="nil"/>
              <w:left w:val="nil"/>
              <w:bottom w:val="nil"/>
              <w:right w:val="single" w:color="auto" w:sz="4" w:space="0"/>
            </w:tcBorders>
            <w:shd w:val="clear" w:color="auto" w:fill="auto"/>
            <w:noWrap/>
            <w:vAlign w:val="center"/>
            <w:hideMark/>
          </w:tcPr>
          <w:p w:rsidRPr="003318E2" w:rsidR="003318E2" w:rsidP="00795212" w:rsidRDefault="003318E2" w14:paraId="03461D8A" w14:textId="77777777">
            <w:pPr>
              <w:jc w:val="right"/>
              <w:rPr>
                <w:rFonts w:ascii="Times New Roman" w:hAnsi="Times New Roman"/>
                <w:color w:val="000000"/>
                <w:sz w:val="22"/>
                <w:szCs w:val="22"/>
              </w:rPr>
            </w:pPr>
            <w:r w:rsidRPr="003318E2">
              <w:rPr>
                <w:rFonts w:ascii="Times New Roman" w:hAnsi="Times New Roman"/>
                <w:color w:val="000000"/>
                <w:sz w:val="22"/>
                <w:szCs w:val="22"/>
              </w:rPr>
              <w:t>125.2</w:t>
            </w:r>
          </w:p>
        </w:tc>
        <w:tc>
          <w:tcPr>
            <w:tcW w:w="960" w:type="dxa"/>
            <w:tcBorders>
              <w:top w:val="nil"/>
              <w:left w:val="nil"/>
              <w:bottom w:val="nil"/>
              <w:right w:val="nil"/>
            </w:tcBorders>
            <w:shd w:val="clear" w:color="auto" w:fill="auto"/>
            <w:noWrap/>
            <w:vAlign w:val="center"/>
            <w:hideMark/>
          </w:tcPr>
          <w:p w:rsidRPr="003318E2" w:rsidR="003318E2" w:rsidP="00795212" w:rsidRDefault="003318E2" w14:paraId="33E7E870" w14:textId="77777777">
            <w:pPr>
              <w:jc w:val="right"/>
              <w:rPr>
                <w:rFonts w:ascii="Times New Roman" w:hAnsi="Times New Roman"/>
                <w:color w:val="000000"/>
                <w:sz w:val="22"/>
                <w:szCs w:val="22"/>
              </w:rPr>
            </w:pPr>
            <w:r w:rsidRPr="003318E2">
              <w:rPr>
                <w:rFonts w:ascii="Times New Roman" w:hAnsi="Times New Roman"/>
                <w:color w:val="000000"/>
                <w:sz w:val="22"/>
                <w:szCs w:val="22"/>
              </w:rPr>
              <w:t>5.56%</w:t>
            </w:r>
          </w:p>
        </w:tc>
      </w:tr>
      <w:tr w:rsidRPr="003318E2" w:rsidR="003318E2" w:rsidTr="00795212" w14:paraId="7BB44FB8" w14:textId="77777777">
        <w:trPr>
          <w:trHeight w:val="259" w:hRule="exact"/>
        </w:trPr>
        <w:tc>
          <w:tcPr>
            <w:tcW w:w="1580" w:type="dxa"/>
            <w:tcBorders>
              <w:top w:val="nil"/>
              <w:left w:val="nil"/>
              <w:bottom w:val="nil"/>
              <w:right w:val="nil"/>
            </w:tcBorders>
            <w:shd w:val="clear" w:color="auto" w:fill="auto"/>
            <w:noWrap/>
            <w:vAlign w:val="center"/>
          </w:tcPr>
          <w:p w:rsidRPr="003318E2" w:rsidR="003318E2" w:rsidP="00795212" w:rsidRDefault="003318E2" w14:paraId="678B0588" w14:textId="34E3224D">
            <w:pPr>
              <w:rPr>
                <w:rFonts w:ascii="Times New Roman" w:hAnsi="Times New Roman"/>
                <w:color w:val="000000"/>
                <w:sz w:val="22"/>
                <w:szCs w:val="22"/>
              </w:rPr>
            </w:pPr>
            <w:r w:rsidRPr="003318E2">
              <w:rPr>
                <w:rFonts w:ascii="Times New Roman" w:hAnsi="Times New Roman"/>
                <w:color w:val="000000"/>
                <w:sz w:val="22"/>
                <w:szCs w:val="22"/>
              </w:rPr>
              <w:t>100 to 139</w:t>
            </w:r>
          </w:p>
        </w:tc>
        <w:tc>
          <w:tcPr>
            <w:tcW w:w="960" w:type="dxa"/>
            <w:tcBorders>
              <w:top w:val="nil"/>
              <w:left w:val="single" w:color="auto" w:sz="4" w:space="0"/>
              <w:bottom w:val="nil"/>
              <w:right w:val="single" w:color="auto" w:sz="4" w:space="0"/>
            </w:tcBorders>
            <w:shd w:val="clear" w:color="auto" w:fill="auto"/>
            <w:noWrap/>
            <w:vAlign w:val="center"/>
          </w:tcPr>
          <w:p w:rsidRPr="003318E2" w:rsidR="003318E2" w:rsidP="00795212" w:rsidRDefault="003318E2" w14:paraId="5B601310" w14:textId="77777777">
            <w:pPr>
              <w:jc w:val="right"/>
              <w:rPr>
                <w:rFonts w:ascii="Times New Roman" w:hAnsi="Times New Roman"/>
                <w:color w:val="000000"/>
                <w:sz w:val="22"/>
                <w:szCs w:val="22"/>
              </w:rPr>
            </w:pPr>
            <w:r w:rsidRPr="003318E2">
              <w:rPr>
                <w:rFonts w:ascii="Times New Roman" w:hAnsi="Times New Roman"/>
                <w:color w:val="000000"/>
                <w:sz w:val="22"/>
                <w:szCs w:val="22"/>
              </w:rPr>
              <w:t>270</w:t>
            </w:r>
          </w:p>
        </w:tc>
        <w:tc>
          <w:tcPr>
            <w:tcW w:w="960" w:type="dxa"/>
            <w:tcBorders>
              <w:top w:val="nil"/>
              <w:left w:val="nil"/>
              <w:bottom w:val="nil"/>
              <w:right w:val="single" w:color="auto" w:sz="4" w:space="0"/>
            </w:tcBorders>
            <w:shd w:val="clear" w:color="auto" w:fill="auto"/>
            <w:noWrap/>
            <w:vAlign w:val="center"/>
          </w:tcPr>
          <w:p w:rsidRPr="003318E2" w:rsidR="003318E2" w:rsidP="00795212" w:rsidRDefault="003318E2" w14:paraId="0FC832CB" w14:textId="77777777">
            <w:pPr>
              <w:jc w:val="right"/>
              <w:rPr>
                <w:rFonts w:ascii="Times New Roman" w:hAnsi="Times New Roman"/>
                <w:color w:val="000000"/>
                <w:sz w:val="22"/>
                <w:szCs w:val="22"/>
              </w:rPr>
            </w:pPr>
            <w:r w:rsidRPr="003318E2">
              <w:rPr>
                <w:rFonts w:ascii="Times New Roman" w:hAnsi="Times New Roman"/>
                <w:color w:val="000000"/>
                <w:sz w:val="22"/>
                <w:szCs w:val="22"/>
              </w:rPr>
              <w:t>15.9</w:t>
            </w:r>
          </w:p>
        </w:tc>
        <w:tc>
          <w:tcPr>
            <w:tcW w:w="960" w:type="dxa"/>
            <w:tcBorders>
              <w:top w:val="nil"/>
              <w:left w:val="nil"/>
              <w:bottom w:val="nil"/>
              <w:right w:val="single" w:color="auto" w:sz="4" w:space="0"/>
            </w:tcBorders>
            <w:shd w:val="clear" w:color="auto" w:fill="auto"/>
            <w:noWrap/>
            <w:vAlign w:val="center"/>
          </w:tcPr>
          <w:p w:rsidRPr="003318E2" w:rsidR="003318E2" w:rsidP="00795212" w:rsidRDefault="003318E2" w14:paraId="0E515164" w14:textId="77777777">
            <w:pPr>
              <w:jc w:val="right"/>
              <w:rPr>
                <w:rFonts w:ascii="Times New Roman" w:hAnsi="Times New Roman"/>
                <w:color w:val="000000"/>
                <w:sz w:val="22"/>
                <w:szCs w:val="22"/>
              </w:rPr>
            </w:pPr>
            <w:r w:rsidRPr="003318E2">
              <w:rPr>
                <w:rFonts w:ascii="Times New Roman" w:hAnsi="Times New Roman"/>
                <w:color w:val="000000"/>
                <w:sz w:val="22"/>
                <w:szCs w:val="22"/>
              </w:rPr>
              <w:t>32,109</w:t>
            </w:r>
          </w:p>
        </w:tc>
        <w:tc>
          <w:tcPr>
            <w:tcW w:w="960" w:type="dxa"/>
            <w:tcBorders>
              <w:top w:val="nil"/>
              <w:left w:val="nil"/>
              <w:bottom w:val="nil"/>
              <w:right w:val="nil"/>
            </w:tcBorders>
            <w:shd w:val="clear" w:color="auto" w:fill="auto"/>
            <w:noWrap/>
            <w:vAlign w:val="center"/>
          </w:tcPr>
          <w:p w:rsidRPr="003318E2" w:rsidR="003318E2" w:rsidP="00795212" w:rsidRDefault="003318E2" w14:paraId="60AC3348" w14:textId="77777777">
            <w:pPr>
              <w:jc w:val="right"/>
              <w:rPr>
                <w:rFonts w:ascii="Times New Roman" w:hAnsi="Times New Roman"/>
                <w:color w:val="000000"/>
                <w:sz w:val="22"/>
                <w:szCs w:val="22"/>
              </w:rPr>
            </w:pPr>
            <w:r w:rsidRPr="003318E2">
              <w:rPr>
                <w:rFonts w:ascii="Times New Roman" w:hAnsi="Times New Roman"/>
                <w:color w:val="000000"/>
                <w:sz w:val="22"/>
                <w:szCs w:val="22"/>
              </w:rPr>
              <w:t>80.00%</w:t>
            </w:r>
          </w:p>
        </w:tc>
        <w:tc>
          <w:tcPr>
            <w:tcW w:w="960" w:type="dxa"/>
            <w:tcBorders>
              <w:top w:val="nil"/>
              <w:left w:val="nil"/>
              <w:bottom w:val="nil"/>
              <w:right w:val="nil"/>
            </w:tcBorders>
            <w:shd w:val="clear" w:color="auto" w:fill="auto"/>
            <w:noWrap/>
            <w:vAlign w:val="center"/>
          </w:tcPr>
          <w:p w:rsidRPr="003318E2" w:rsidR="003318E2" w:rsidP="00795212" w:rsidRDefault="003318E2" w14:paraId="493835B6" w14:textId="77777777">
            <w:pPr>
              <w:jc w:val="right"/>
              <w:rPr>
                <w:rFonts w:ascii="Times New Roman" w:hAnsi="Times New Roman"/>
                <w:color w:val="000000"/>
                <w:sz w:val="22"/>
                <w:szCs w:val="22"/>
              </w:rPr>
            </w:pPr>
            <w:r w:rsidRPr="003318E2">
              <w:rPr>
                <w:rFonts w:ascii="Times New Roman" w:hAnsi="Times New Roman"/>
                <w:color w:val="000000"/>
                <w:sz w:val="22"/>
                <w:szCs w:val="22"/>
              </w:rPr>
              <w:t>80.00%</w:t>
            </w:r>
          </w:p>
        </w:tc>
        <w:tc>
          <w:tcPr>
            <w:tcW w:w="960" w:type="dxa"/>
            <w:tcBorders>
              <w:top w:val="nil"/>
              <w:left w:val="single" w:color="auto" w:sz="4" w:space="0"/>
              <w:bottom w:val="nil"/>
              <w:right w:val="single" w:color="auto" w:sz="4" w:space="0"/>
            </w:tcBorders>
            <w:shd w:val="clear" w:color="auto" w:fill="auto"/>
            <w:noWrap/>
            <w:vAlign w:val="center"/>
          </w:tcPr>
          <w:p w:rsidRPr="003318E2" w:rsidR="003318E2" w:rsidP="00795212" w:rsidRDefault="003318E2" w14:paraId="0C7157D2" w14:textId="77777777">
            <w:pPr>
              <w:jc w:val="right"/>
              <w:rPr>
                <w:rFonts w:ascii="Times New Roman" w:hAnsi="Times New Roman"/>
                <w:color w:val="000000"/>
                <w:sz w:val="22"/>
                <w:szCs w:val="22"/>
              </w:rPr>
            </w:pPr>
            <w:r w:rsidRPr="003318E2">
              <w:rPr>
                <w:rFonts w:ascii="Times New Roman" w:hAnsi="Times New Roman"/>
                <w:color w:val="000000"/>
                <w:sz w:val="22"/>
                <w:szCs w:val="22"/>
              </w:rPr>
              <w:t>1,518</w:t>
            </w:r>
          </w:p>
        </w:tc>
        <w:tc>
          <w:tcPr>
            <w:tcW w:w="960" w:type="dxa"/>
            <w:tcBorders>
              <w:top w:val="nil"/>
              <w:left w:val="nil"/>
              <w:bottom w:val="nil"/>
              <w:right w:val="single" w:color="auto" w:sz="4" w:space="0"/>
            </w:tcBorders>
            <w:shd w:val="clear" w:color="auto" w:fill="auto"/>
            <w:noWrap/>
            <w:vAlign w:val="center"/>
          </w:tcPr>
          <w:p w:rsidRPr="003318E2" w:rsidR="003318E2" w:rsidP="00795212" w:rsidRDefault="003318E2" w14:paraId="7342B873" w14:textId="77777777">
            <w:pPr>
              <w:jc w:val="right"/>
              <w:rPr>
                <w:rFonts w:ascii="Times New Roman" w:hAnsi="Times New Roman"/>
                <w:color w:val="000000"/>
                <w:sz w:val="22"/>
                <w:szCs w:val="22"/>
              </w:rPr>
            </w:pPr>
            <w:r w:rsidRPr="003318E2">
              <w:rPr>
                <w:rFonts w:ascii="Times New Roman" w:hAnsi="Times New Roman"/>
                <w:color w:val="000000"/>
                <w:sz w:val="22"/>
                <w:szCs w:val="22"/>
              </w:rPr>
              <w:t>95.4</w:t>
            </w:r>
          </w:p>
        </w:tc>
        <w:tc>
          <w:tcPr>
            <w:tcW w:w="960" w:type="dxa"/>
            <w:tcBorders>
              <w:top w:val="nil"/>
              <w:left w:val="nil"/>
              <w:bottom w:val="nil"/>
              <w:right w:val="nil"/>
            </w:tcBorders>
            <w:shd w:val="clear" w:color="auto" w:fill="auto"/>
            <w:noWrap/>
            <w:vAlign w:val="center"/>
          </w:tcPr>
          <w:p w:rsidRPr="003318E2" w:rsidR="003318E2" w:rsidP="00795212" w:rsidRDefault="003318E2" w14:paraId="61AB1793" w14:textId="77777777">
            <w:pPr>
              <w:jc w:val="right"/>
              <w:rPr>
                <w:rFonts w:ascii="Times New Roman" w:hAnsi="Times New Roman"/>
                <w:color w:val="000000"/>
                <w:sz w:val="22"/>
                <w:szCs w:val="22"/>
              </w:rPr>
            </w:pPr>
            <w:r w:rsidRPr="003318E2">
              <w:rPr>
                <w:rFonts w:ascii="Times New Roman" w:hAnsi="Times New Roman"/>
                <w:color w:val="000000"/>
                <w:sz w:val="22"/>
                <w:szCs w:val="22"/>
              </w:rPr>
              <w:t>4.73%</w:t>
            </w:r>
          </w:p>
        </w:tc>
      </w:tr>
      <w:tr w:rsidRPr="003318E2" w:rsidR="003318E2" w:rsidTr="00795212" w14:paraId="7D1BB867" w14:textId="77777777">
        <w:trPr>
          <w:trHeight w:val="259" w:hRule="exact"/>
        </w:trPr>
        <w:tc>
          <w:tcPr>
            <w:tcW w:w="1580" w:type="dxa"/>
            <w:tcBorders>
              <w:top w:val="nil"/>
              <w:left w:val="nil"/>
              <w:bottom w:val="nil"/>
              <w:right w:val="nil"/>
            </w:tcBorders>
            <w:shd w:val="clear" w:color="auto" w:fill="auto"/>
            <w:noWrap/>
            <w:vAlign w:val="center"/>
            <w:hideMark/>
          </w:tcPr>
          <w:p w:rsidRPr="003318E2" w:rsidR="003318E2" w:rsidP="00795212" w:rsidRDefault="003318E2" w14:paraId="4F634692" w14:textId="64CC5438">
            <w:pPr>
              <w:rPr>
                <w:rFonts w:ascii="Times New Roman" w:hAnsi="Times New Roman"/>
                <w:color w:val="000000"/>
                <w:sz w:val="22"/>
                <w:szCs w:val="22"/>
              </w:rPr>
            </w:pPr>
            <w:r w:rsidRPr="003318E2">
              <w:rPr>
                <w:rFonts w:ascii="Times New Roman" w:hAnsi="Times New Roman"/>
                <w:color w:val="000000"/>
                <w:sz w:val="22"/>
                <w:szCs w:val="22"/>
              </w:rPr>
              <w:t>50 to 99</w:t>
            </w:r>
          </w:p>
        </w:tc>
        <w:tc>
          <w:tcPr>
            <w:tcW w:w="960" w:type="dxa"/>
            <w:tcBorders>
              <w:top w:val="nil"/>
              <w:left w:val="single" w:color="auto" w:sz="4" w:space="0"/>
              <w:bottom w:val="nil"/>
              <w:right w:val="single" w:color="auto" w:sz="4" w:space="0"/>
            </w:tcBorders>
            <w:shd w:val="clear" w:color="auto" w:fill="auto"/>
            <w:noWrap/>
            <w:vAlign w:val="center"/>
            <w:hideMark/>
          </w:tcPr>
          <w:p w:rsidRPr="003318E2" w:rsidR="003318E2" w:rsidP="00795212" w:rsidRDefault="003318E2" w14:paraId="2E972B47" w14:textId="77777777">
            <w:pPr>
              <w:jc w:val="right"/>
              <w:rPr>
                <w:rFonts w:ascii="Times New Roman" w:hAnsi="Times New Roman"/>
                <w:color w:val="000000"/>
                <w:sz w:val="22"/>
                <w:szCs w:val="22"/>
              </w:rPr>
            </w:pPr>
            <w:r w:rsidRPr="003318E2">
              <w:rPr>
                <w:rFonts w:ascii="Times New Roman" w:hAnsi="Times New Roman"/>
                <w:color w:val="000000"/>
                <w:sz w:val="22"/>
                <w:szCs w:val="22"/>
              </w:rPr>
              <w:t>533</w:t>
            </w:r>
          </w:p>
        </w:tc>
        <w:tc>
          <w:tcPr>
            <w:tcW w:w="960" w:type="dxa"/>
            <w:tcBorders>
              <w:top w:val="nil"/>
              <w:left w:val="nil"/>
              <w:bottom w:val="nil"/>
              <w:right w:val="single" w:color="auto" w:sz="4" w:space="0"/>
            </w:tcBorders>
            <w:shd w:val="clear" w:color="auto" w:fill="auto"/>
            <w:noWrap/>
            <w:vAlign w:val="center"/>
            <w:hideMark/>
          </w:tcPr>
          <w:p w:rsidRPr="003318E2" w:rsidR="003318E2" w:rsidP="00795212" w:rsidRDefault="003318E2" w14:paraId="78640D45" w14:textId="77777777">
            <w:pPr>
              <w:jc w:val="right"/>
              <w:rPr>
                <w:rFonts w:ascii="Times New Roman" w:hAnsi="Times New Roman"/>
                <w:color w:val="000000"/>
                <w:sz w:val="22"/>
                <w:szCs w:val="22"/>
              </w:rPr>
            </w:pPr>
            <w:r w:rsidRPr="003318E2">
              <w:rPr>
                <w:rFonts w:ascii="Times New Roman" w:hAnsi="Times New Roman"/>
                <w:color w:val="000000"/>
                <w:sz w:val="22"/>
                <w:szCs w:val="22"/>
              </w:rPr>
              <w:t>22.0</w:t>
            </w:r>
          </w:p>
        </w:tc>
        <w:tc>
          <w:tcPr>
            <w:tcW w:w="960" w:type="dxa"/>
            <w:tcBorders>
              <w:top w:val="nil"/>
              <w:left w:val="nil"/>
              <w:bottom w:val="nil"/>
              <w:right w:val="single" w:color="auto" w:sz="4" w:space="0"/>
            </w:tcBorders>
            <w:shd w:val="clear" w:color="auto" w:fill="auto"/>
            <w:noWrap/>
            <w:vAlign w:val="center"/>
            <w:hideMark/>
          </w:tcPr>
          <w:p w:rsidRPr="003318E2" w:rsidR="003318E2" w:rsidP="00795212" w:rsidRDefault="003318E2" w14:paraId="315DFF09" w14:textId="77777777">
            <w:pPr>
              <w:jc w:val="right"/>
              <w:rPr>
                <w:rFonts w:ascii="Times New Roman" w:hAnsi="Times New Roman"/>
                <w:color w:val="000000"/>
                <w:sz w:val="22"/>
                <w:szCs w:val="22"/>
              </w:rPr>
            </w:pPr>
            <w:r w:rsidRPr="003318E2">
              <w:rPr>
                <w:rFonts w:ascii="Times New Roman" w:hAnsi="Times New Roman"/>
                <w:color w:val="000000"/>
                <w:sz w:val="22"/>
                <w:szCs w:val="22"/>
              </w:rPr>
              <w:t>38,366</w:t>
            </w:r>
          </w:p>
        </w:tc>
        <w:tc>
          <w:tcPr>
            <w:tcW w:w="960" w:type="dxa"/>
            <w:tcBorders>
              <w:top w:val="nil"/>
              <w:left w:val="nil"/>
              <w:bottom w:val="nil"/>
              <w:right w:val="nil"/>
            </w:tcBorders>
            <w:shd w:val="clear" w:color="auto" w:fill="auto"/>
            <w:noWrap/>
            <w:vAlign w:val="center"/>
            <w:hideMark/>
          </w:tcPr>
          <w:p w:rsidRPr="003318E2" w:rsidR="003318E2" w:rsidP="00795212" w:rsidRDefault="003318E2" w14:paraId="7E0DD68E" w14:textId="77777777">
            <w:pPr>
              <w:jc w:val="right"/>
              <w:rPr>
                <w:rFonts w:ascii="Times New Roman" w:hAnsi="Times New Roman"/>
                <w:color w:val="000000"/>
                <w:sz w:val="22"/>
                <w:szCs w:val="22"/>
              </w:rPr>
            </w:pPr>
            <w:r w:rsidRPr="003318E2">
              <w:rPr>
                <w:rFonts w:ascii="Times New Roman" w:hAnsi="Times New Roman"/>
                <w:color w:val="000000"/>
                <w:sz w:val="22"/>
                <w:szCs w:val="22"/>
              </w:rPr>
              <w:t>80.00%</w:t>
            </w:r>
          </w:p>
        </w:tc>
        <w:tc>
          <w:tcPr>
            <w:tcW w:w="960" w:type="dxa"/>
            <w:tcBorders>
              <w:top w:val="nil"/>
              <w:left w:val="nil"/>
              <w:bottom w:val="nil"/>
              <w:right w:val="nil"/>
            </w:tcBorders>
            <w:shd w:val="clear" w:color="auto" w:fill="auto"/>
            <w:noWrap/>
            <w:vAlign w:val="center"/>
            <w:hideMark/>
          </w:tcPr>
          <w:p w:rsidRPr="003318E2" w:rsidR="003318E2" w:rsidP="00795212" w:rsidRDefault="003318E2" w14:paraId="73ED0111" w14:textId="77777777">
            <w:pPr>
              <w:jc w:val="right"/>
              <w:rPr>
                <w:rFonts w:ascii="Times New Roman" w:hAnsi="Times New Roman"/>
                <w:color w:val="000000"/>
                <w:sz w:val="22"/>
                <w:szCs w:val="22"/>
              </w:rPr>
            </w:pPr>
            <w:r w:rsidRPr="003318E2">
              <w:rPr>
                <w:rFonts w:ascii="Times New Roman" w:hAnsi="Times New Roman"/>
                <w:color w:val="000000"/>
                <w:sz w:val="22"/>
                <w:szCs w:val="22"/>
              </w:rPr>
              <w:t>80.00%</w:t>
            </w:r>
          </w:p>
        </w:tc>
        <w:tc>
          <w:tcPr>
            <w:tcW w:w="960" w:type="dxa"/>
            <w:tcBorders>
              <w:top w:val="nil"/>
              <w:left w:val="single" w:color="auto" w:sz="4" w:space="0"/>
              <w:bottom w:val="nil"/>
              <w:right w:val="single" w:color="auto" w:sz="4" w:space="0"/>
            </w:tcBorders>
            <w:shd w:val="clear" w:color="auto" w:fill="auto"/>
            <w:noWrap/>
            <w:vAlign w:val="center"/>
            <w:hideMark/>
          </w:tcPr>
          <w:p w:rsidRPr="003318E2" w:rsidR="003318E2" w:rsidP="00795212" w:rsidRDefault="003318E2" w14:paraId="664ED033" w14:textId="77777777">
            <w:pPr>
              <w:jc w:val="right"/>
              <w:rPr>
                <w:rFonts w:ascii="Times New Roman" w:hAnsi="Times New Roman"/>
                <w:color w:val="000000"/>
                <w:sz w:val="22"/>
                <w:szCs w:val="22"/>
              </w:rPr>
            </w:pPr>
            <w:r w:rsidRPr="003318E2">
              <w:rPr>
                <w:rFonts w:ascii="Times New Roman" w:hAnsi="Times New Roman"/>
                <w:color w:val="000000"/>
                <w:sz w:val="22"/>
                <w:szCs w:val="22"/>
              </w:rPr>
              <w:t>1,313</w:t>
            </w:r>
          </w:p>
        </w:tc>
        <w:tc>
          <w:tcPr>
            <w:tcW w:w="960" w:type="dxa"/>
            <w:tcBorders>
              <w:top w:val="nil"/>
              <w:left w:val="nil"/>
              <w:bottom w:val="nil"/>
              <w:right w:val="single" w:color="auto" w:sz="4" w:space="0"/>
            </w:tcBorders>
            <w:shd w:val="clear" w:color="auto" w:fill="auto"/>
            <w:noWrap/>
            <w:vAlign w:val="center"/>
            <w:hideMark/>
          </w:tcPr>
          <w:p w:rsidRPr="003318E2" w:rsidR="003318E2" w:rsidP="00795212" w:rsidRDefault="003318E2" w14:paraId="78962B6F" w14:textId="77777777">
            <w:pPr>
              <w:jc w:val="right"/>
              <w:rPr>
                <w:rFonts w:ascii="Times New Roman" w:hAnsi="Times New Roman"/>
                <w:color w:val="000000"/>
                <w:sz w:val="22"/>
                <w:szCs w:val="22"/>
              </w:rPr>
            </w:pPr>
            <w:r w:rsidRPr="003318E2">
              <w:rPr>
                <w:rFonts w:ascii="Times New Roman" w:hAnsi="Times New Roman"/>
                <w:color w:val="000000"/>
                <w:sz w:val="22"/>
                <w:szCs w:val="22"/>
              </w:rPr>
              <w:t>59.6</w:t>
            </w:r>
          </w:p>
        </w:tc>
        <w:tc>
          <w:tcPr>
            <w:tcW w:w="960" w:type="dxa"/>
            <w:tcBorders>
              <w:top w:val="nil"/>
              <w:left w:val="nil"/>
              <w:bottom w:val="nil"/>
              <w:right w:val="nil"/>
            </w:tcBorders>
            <w:shd w:val="clear" w:color="auto" w:fill="auto"/>
            <w:noWrap/>
            <w:vAlign w:val="center"/>
            <w:hideMark/>
          </w:tcPr>
          <w:p w:rsidRPr="003318E2" w:rsidR="003318E2" w:rsidP="00795212" w:rsidRDefault="003318E2" w14:paraId="340D4BA5" w14:textId="77777777">
            <w:pPr>
              <w:jc w:val="right"/>
              <w:rPr>
                <w:rFonts w:ascii="Times New Roman" w:hAnsi="Times New Roman"/>
                <w:color w:val="000000"/>
                <w:sz w:val="22"/>
                <w:szCs w:val="22"/>
              </w:rPr>
            </w:pPr>
            <w:r w:rsidRPr="003318E2">
              <w:rPr>
                <w:rFonts w:ascii="Times New Roman" w:hAnsi="Times New Roman"/>
                <w:color w:val="000000"/>
                <w:sz w:val="22"/>
                <w:szCs w:val="22"/>
              </w:rPr>
              <w:t>3.42%</w:t>
            </w:r>
          </w:p>
        </w:tc>
      </w:tr>
      <w:tr w:rsidRPr="003318E2" w:rsidR="003318E2" w:rsidTr="00795212" w14:paraId="7F02E02B" w14:textId="77777777">
        <w:trPr>
          <w:trHeight w:val="259" w:hRule="exact"/>
        </w:trPr>
        <w:tc>
          <w:tcPr>
            <w:tcW w:w="1580" w:type="dxa"/>
            <w:tcBorders>
              <w:top w:val="nil"/>
              <w:left w:val="nil"/>
              <w:bottom w:val="single" w:color="auto" w:sz="4" w:space="0"/>
              <w:right w:val="nil"/>
            </w:tcBorders>
            <w:shd w:val="clear" w:color="auto" w:fill="auto"/>
            <w:noWrap/>
            <w:vAlign w:val="center"/>
            <w:hideMark/>
          </w:tcPr>
          <w:p w:rsidRPr="003318E2" w:rsidR="003318E2" w:rsidP="00795212" w:rsidRDefault="003318E2" w14:paraId="2B7E41DA" w14:textId="44D2E6D7">
            <w:pPr>
              <w:rPr>
                <w:rFonts w:ascii="Times New Roman" w:hAnsi="Times New Roman"/>
                <w:color w:val="000000"/>
                <w:sz w:val="22"/>
                <w:szCs w:val="22"/>
              </w:rPr>
            </w:pPr>
            <w:r w:rsidRPr="003318E2">
              <w:rPr>
                <w:rFonts w:ascii="Times New Roman" w:hAnsi="Times New Roman"/>
                <w:color w:val="000000"/>
                <w:sz w:val="22"/>
                <w:szCs w:val="22"/>
              </w:rPr>
              <w:t>6 to 49</w:t>
            </w:r>
          </w:p>
        </w:tc>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3318E2" w:rsidR="003318E2" w:rsidP="00795212" w:rsidRDefault="003318E2" w14:paraId="25B11A8B" w14:textId="77777777">
            <w:pPr>
              <w:jc w:val="right"/>
              <w:rPr>
                <w:rFonts w:ascii="Times New Roman" w:hAnsi="Times New Roman"/>
                <w:color w:val="000000"/>
                <w:sz w:val="22"/>
                <w:szCs w:val="22"/>
              </w:rPr>
            </w:pPr>
            <w:r w:rsidRPr="003318E2">
              <w:rPr>
                <w:rFonts w:ascii="Times New Roman" w:hAnsi="Times New Roman"/>
                <w:color w:val="000000"/>
                <w:sz w:val="22"/>
                <w:szCs w:val="22"/>
              </w:rPr>
              <w:t>854</w:t>
            </w:r>
          </w:p>
        </w:tc>
        <w:tc>
          <w:tcPr>
            <w:tcW w:w="960" w:type="dxa"/>
            <w:tcBorders>
              <w:top w:val="nil"/>
              <w:left w:val="nil"/>
              <w:bottom w:val="single" w:color="auto" w:sz="4" w:space="0"/>
              <w:right w:val="single" w:color="auto" w:sz="4" w:space="0"/>
            </w:tcBorders>
            <w:shd w:val="clear" w:color="auto" w:fill="auto"/>
            <w:noWrap/>
            <w:vAlign w:val="center"/>
            <w:hideMark/>
          </w:tcPr>
          <w:p w:rsidRPr="003318E2" w:rsidR="003318E2" w:rsidP="00795212" w:rsidRDefault="003318E2" w14:paraId="165411E0" w14:textId="77777777">
            <w:pPr>
              <w:jc w:val="right"/>
              <w:rPr>
                <w:rFonts w:ascii="Times New Roman" w:hAnsi="Times New Roman"/>
                <w:color w:val="000000"/>
                <w:sz w:val="22"/>
                <w:szCs w:val="22"/>
              </w:rPr>
            </w:pPr>
            <w:r w:rsidRPr="003318E2">
              <w:rPr>
                <w:rFonts w:ascii="Times New Roman" w:hAnsi="Times New Roman"/>
                <w:color w:val="000000"/>
                <w:sz w:val="22"/>
                <w:szCs w:val="22"/>
              </w:rPr>
              <w:t>12.9</w:t>
            </w:r>
          </w:p>
        </w:tc>
        <w:tc>
          <w:tcPr>
            <w:tcW w:w="960" w:type="dxa"/>
            <w:tcBorders>
              <w:top w:val="nil"/>
              <w:left w:val="nil"/>
              <w:bottom w:val="single" w:color="auto" w:sz="4" w:space="0"/>
              <w:right w:val="single" w:color="auto" w:sz="4" w:space="0"/>
            </w:tcBorders>
            <w:shd w:val="clear" w:color="auto" w:fill="auto"/>
            <w:noWrap/>
            <w:vAlign w:val="center"/>
            <w:hideMark/>
          </w:tcPr>
          <w:p w:rsidRPr="003318E2" w:rsidR="003318E2" w:rsidP="00795212" w:rsidRDefault="003318E2" w14:paraId="323E8DE0" w14:textId="77777777">
            <w:pPr>
              <w:jc w:val="right"/>
              <w:rPr>
                <w:rFonts w:ascii="Times New Roman" w:hAnsi="Times New Roman"/>
                <w:color w:val="000000"/>
                <w:sz w:val="22"/>
                <w:szCs w:val="22"/>
              </w:rPr>
            </w:pPr>
            <w:r w:rsidRPr="003318E2">
              <w:rPr>
                <w:rFonts w:ascii="Times New Roman" w:hAnsi="Times New Roman"/>
                <w:color w:val="000000"/>
                <w:sz w:val="22"/>
                <w:szCs w:val="22"/>
              </w:rPr>
              <w:t>20,232</w:t>
            </w:r>
          </w:p>
        </w:tc>
        <w:tc>
          <w:tcPr>
            <w:tcW w:w="960" w:type="dxa"/>
            <w:tcBorders>
              <w:top w:val="nil"/>
              <w:left w:val="nil"/>
              <w:bottom w:val="single" w:color="auto" w:sz="4" w:space="0"/>
              <w:right w:val="nil"/>
            </w:tcBorders>
            <w:shd w:val="clear" w:color="auto" w:fill="auto"/>
            <w:noWrap/>
            <w:vAlign w:val="center"/>
            <w:hideMark/>
          </w:tcPr>
          <w:p w:rsidRPr="003318E2" w:rsidR="003318E2" w:rsidP="00795212" w:rsidRDefault="003318E2" w14:paraId="24D59980" w14:textId="77777777">
            <w:pPr>
              <w:jc w:val="right"/>
              <w:rPr>
                <w:rFonts w:ascii="Times New Roman" w:hAnsi="Times New Roman"/>
                <w:color w:val="000000"/>
                <w:sz w:val="22"/>
                <w:szCs w:val="22"/>
              </w:rPr>
            </w:pPr>
            <w:r w:rsidRPr="003318E2">
              <w:rPr>
                <w:rFonts w:ascii="Times New Roman" w:hAnsi="Times New Roman"/>
                <w:color w:val="000000"/>
                <w:sz w:val="22"/>
                <w:szCs w:val="22"/>
              </w:rPr>
              <w:t>80.00%</w:t>
            </w:r>
          </w:p>
        </w:tc>
        <w:tc>
          <w:tcPr>
            <w:tcW w:w="960" w:type="dxa"/>
            <w:tcBorders>
              <w:top w:val="nil"/>
              <w:left w:val="nil"/>
              <w:bottom w:val="single" w:color="auto" w:sz="4" w:space="0"/>
              <w:right w:val="nil"/>
            </w:tcBorders>
            <w:shd w:val="clear" w:color="auto" w:fill="auto"/>
            <w:noWrap/>
            <w:vAlign w:val="center"/>
            <w:hideMark/>
          </w:tcPr>
          <w:p w:rsidRPr="003318E2" w:rsidR="003318E2" w:rsidP="00795212" w:rsidRDefault="003318E2" w14:paraId="316E9626" w14:textId="77777777">
            <w:pPr>
              <w:jc w:val="right"/>
              <w:rPr>
                <w:rFonts w:ascii="Times New Roman" w:hAnsi="Times New Roman"/>
                <w:color w:val="000000"/>
                <w:sz w:val="22"/>
                <w:szCs w:val="22"/>
              </w:rPr>
            </w:pPr>
            <w:r w:rsidRPr="003318E2">
              <w:rPr>
                <w:rFonts w:ascii="Times New Roman" w:hAnsi="Times New Roman"/>
                <w:color w:val="000000"/>
                <w:sz w:val="22"/>
                <w:szCs w:val="22"/>
              </w:rPr>
              <w:t>80.00%</w:t>
            </w:r>
          </w:p>
        </w:tc>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3318E2" w:rsidR="003318E2" w:rsidP="00795212" w:rsidRDefault="003318E2" w14:paraId="7A82F0B0" w14:textId="77777777">
            <w:pPr>
              <w:jc w:val="right"/>
              <w:rPr>
                <w:rFonts w:ascii="Times New Roman" w:hAnsi="Times New Roman"/>
                <w:color w:val="000000"/>
                <w:sz w:val="22"/>
                <w:szCs w:val="22"/>
              </w:rPr>
            </w:pPr>
            <w:r w:rsidRPr="003318E2">
              <w:rPr>
                <w:rFonts w:ascii="Times New Roman" w:hAnsi="Times New Roman"/>
                <w:color w:val="000000"/>
                <w:sz w:val="22"/>
                <w:szCs w:val="22"/>
              </w:rPr>
              <w:t>308</w:t>
            </w:r>
          </w:p>
        </w:tc>
        <w:tc>
          <w:tcPr>
            <w:tcW w:w="960" w:type="dxa"/>
            <w:tcBorders>
              <w:top w:val="nil"/>
              <w:left w:val="nil"/>
              <w:bottom w:val="single" w:color="auto" w:sz="4" w:space="0"/>
              <w:right w:val="single" w:color="auto" w:sz="4" w:space="0"/>
            </w:tcBorders>
            <w:shd w:val="clear" w:color="auto" w:fill="auto"/>
            <w:noWrap/>
            <w:vAlign w:val="center"/>
            <w:hideMark/>
          </w:tcPr>
          <w:p w:rsidRPr="003318E2" w:rsidR="003318E2" w:rsidP="00795212" w:rsidRDefault="003318E2" w14:paraId="0C589BAF" w14:textId="77777777">
            <w:pPr>
              <w:jc w:val="right"/>
              <w:rPr>
                <w:rFonts w:ascii="Times New Roman" w:hAnsi="Times New Roman"/>
                <w:color w:val="000000"/>
                <w:sz w:val="22"/>
                <w:szCs w:val="22"/>
              </w:rPr>
            </w:pPr>
            <w:r w:rsidRPr="003318E2">
              <w:rPr>
                <w:rFonts w:ascii="Times New Roman" w:hAnsi="Times New Roman"/>
                <w:color w:val="000000"/>
                <w:sz w:val="22"/>
                <w:szCs w:val="22"/>
              </w:rPr>
              <w:t>23.8</w:t>
            </w:r>
          </w:p>
        </w:tc>
        <w:tc>
          <w:tcPr>
            <w:tcW w:w="960" w:type="dxa"/>
            <w:tcBorders>
              <w:top w:val="nil"/>
              <w:left w:val="nil"/>
              <w:bottom w:val="single" w:color="auto" w:sz="4" w:space="0"/>
              <w:right w:val="nil"/>
            </w:tcBorders>
            <w:shd w:val="clear" w:color="auto" w:fill="auto"/>
            <w:noWrap/>
            <w:vAlign w:val="center"/>
            <w:hideMark/>
          </w:tcPr>
          <w:p w:rsidRPr="003318E2" w:rsidR="003318E2" w:rsidP="00795212" w:rsidRDefault="003318E2" w14:paraId="3E5932E9" w14:textId="77777777">
            <w:pPr>
              <w:jc w:val="right"/>
              <w:rPr>
                <w:rFonts w:ascii="Times New Roman" w:hAnsi="Times New Roman"/>
                <w:color w:val="000000"/>
                <w:sz w:val="22"/>
                <w:szCs w:val="22"/>
              </w:rPr>
            </w:pPr>
            <w:r w:rsidRPr="003318E2">
              <w:rPr>
                <w:rFonts w:ascii="Times New Roman" w:hAnsi="Times New Roman"/>
                <w:color w:val="000000"/>
                <w:sz w:val="22"/>
                <w:szCs w:val="22"/>
              </w:rPr>
              <w:t>1.52%</w:t>
            </w:r>
          </w:p>
        </w:tc>
      </w:tr>
      <w:tr w:rsidRPr="003318E2" w:rsidR="003318E2" w:rsidTr="00795212" w14:paraId="53E44D52" w14:textId="77777777">
        <w:trPr>
          <w:trHeight w:val="259" w:hRule="exact"/>
        </w:trPr>
        <w:tc>
          <w:tcPr>
            <w:tcW w:w="1580" w:type="dxa"/>
            <w:tcBorders>
              <w:top w:val="nil"/>
              <w:left w:val="nil"/>
              <w:bottom w:val="single" w:color="auto" w:sz="4" w:space="0"/>
              <w:right w:val="nil"/>
            </w:tcBorders>
            <w:shd w:val="clear" w:color="auto" w:fill="auto"/>
            <w:noWrap/>
            <w:vAlign w:val="center"/>
            <w:hideMark/>
          </w:tcPr>
          <w:p w:rsidRPr="003318E2" w:rsidR="003318E2" w:rsidP="00795212" w:rsidRDefault="003318E2" w14:paraId="2C5ED56C" w14:textId="77777777">
            <w:pPr>
              <w:rPr>
                <w:rFonts w:ascii="Times New Roman" w:hAnsi="Times New Roman"/>
                <w:color w:val="000000"/>
                <w:sz w:val="22"/>
                <w:szCs w:val="22"/>
              </w:rPr>
            </w:pPr>
            <w:r w:rsidRPr="003318E2">
              <w:rPr>
                <w:rFonts w:ascii="Times New Roman" w:hAnsi="Times New Roman"/>
                <w:color w:val="000000"/>
                <w:sz w:val="22"/>
                <w:szCs w:val="22"/>
              </w:rPr>
              <w:t>Total</w:t>
            </w:r>
          </w:p>
        </w:tc>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3318E2" w:rsidR="003318E2" w:rsidP="00795212" w:rsidRDefault="003318E2" w14:paraId="4D2E5731" w14:textId="77777777">
            <w:pPr>
              <w:jc w:val="right"/>
              <w:rPr>
                <w:rFonts w:ascii="Times New Roman" w:hAnsi="Times New Roman"/>
                <w:color w:val="000000"/>
                <w:sz w:val="22"/>
                <w:szCs w:val="22"/>
              </w:rPr>
            </w:pPr>
            <w:r w:rsidRPr="003318E2">
              <w:rPr>
                <w:rFonts w:ascii="Times New Roman" w:hAnsi="Times New Roman"/>
                <w:color w:val="000000"/>
                <w:sz w:val="22"/>
                <w:szCs w:val="22"/>
              </w:rPr>
              <w:t>2,890</w:t>
            </w:r>
          </w:p>
        </w:tc>
        <w:tc>
          <w:tcPr>
            <w:tcW w:w="960" w:type="dxa"/>
            <w:tcBorders>
              <w:top w:val="nil"/>
              <w:left w:val="nil"/>
              <w:bottom w:val="single" w:color="auto" w:sz="4" w:space="0"/>
              <w:right w:val="single" w:color="auto" w:sz="4" w:space="0"/>
            </w:tcBorders>
            <w:shd w:val="clear" w:color="auto" w:fill="auto"/>
            <w:noWrap/>
            <w:vAlign w:val="center"/>
            <w:hideMark/>
          </w:tcPr>
          <w:p w:rsidRPr="003318E2" w:rsidR="003318E2" w:rsidP="00795212" w:rsidRDefault="003318E2" w14:paraId="05D3CD2B" w14:textId="77777777">
            <w:pPr>
              <w:jc w:val="right"/>
              <w:rPr>
                <w:rFonts w:ascii="Times New Roman" w:hAnsi="Times New Roman"/>
                <w:color w:val="000000"/>
                <w:sz w:val="22"/>
                <w:szCs w:val="22"/>
              </w:rPr>
            </w:pPr>
            <w:r w:rsidRPr="003318E2">
              <w:rPr>
                <w:rFonts w:ascii="Times New Roman" w:hAnsi="Times New Roman"/>
                <w:color w:val="000000"/>
                <w:sz w:val="22"/>
                <w:szCs w:val="22"/>
              </w:rPr>
              <w:t>290.0</w:t>
            </w:r>
          </w:p>
        </w:tc>
        <w:tc>
          <w:tcPr>
            <w:tcW w:w="960" w:type="dxa"/>
            <w:tcBorders>
              <w:top w:val="nil"/>
              <w:left w:val="nil"/>
              <w:bottom w:val="single" w:color="auto" w:sz="4" w:space="0"/>
              <w:right w:val="single" w:color="auto" w:sz="4" w:space="0"/>
            </w:tcBorders>
            <w:shd w:val="clear" w:color="auto" w:fill="auto"/>
            <w:noWrap/>
            <w:vAlign w:val="center"/>
            <w:hideMark/>
          </w:tcPr>
          <w:p w:rsidRPr="003318E2" w:rsidR="003318E2" w:rsidP="00795212" w:rsidRDefault="003318E2" w14:paraId="2972A059" w14:textId="77777777">
            <w:pPr>
              <w:jc w:val="right"/>
              <w:rPr>
                <w:rFonts w:ascii="Times New Roman" w:hAnsi="Times New Roman"/>
                <w:color w:val="000000"/>
                <w:sz w:val="22"/>
                <w:szCs w:val="22"/>
              </w:rPr>
            </w:pPr>
            <w:r w:rsidRPr="003318E2">
              <w:rPr>
                <w:rFonts w:ascii="Times New Roman" w:hAnsi="Times New Roman"/>
                <w:color w:val="000000"/>
                <w:sz w:val="22"/>
                <w:szCs w:val="22"/>
              </w:rPr>
              <w:t>733,871</w:t>
            </w:r>
          </w:p>
        </w:tc>
        <w:tc>
          <w:tcPr>
            <w:tcW w:w="960" w:type="dxa"/>
            <w:tcBorders>
              <w:top w:val="nil"/>
              <w:left w:val="nil"/>
              <w:bottom w:val="single" w:color="auto" w:sz="4" w:space="0"/>
              <w:right w:val="nil"/>
            </w:tcBorders>
            <w:shd w:val="clear" w:color="auto" w:fill="auto"/>
            <w:noWrap/>
            <w:vAlign w:val="center"/>
            <w:hideMark/>
          </w:tcPr>
          <w:p w:rsidRPr="003318E2" w:rsidR="003318E2" w:rsidP="00795212" w:rsidRDefault="003318E2" w14:paraId="2D7E32E0" w14:textId="77777777">
            <w:pPr>
              <w:rPr>
                <w:rFonts w:ascii="Times New Roman" w:hAnsi="Times New Roman"/>
                <w:color w:val="000000"/>
                <w:sz w:val="22"/>
                <w:szCs w:val="22"/>
              </w:rPr>
            </w:pPr>
            <w:r w:rsidRPr="003318E2">
              <w:rPr>
                <w:rFonts w:ascii="Times New Roman" w:hAnsi="Times New Roman"/>
                <w:color w:val="000000"/>
                <w:sz w:val="22"/>
                <w:szCs w:val="22"/>
              </w:rPr>
              <w:t> </w:t>
            </w:r>
          </w:p>
        </w:tc>
        <w:tc>
          <w:tcPr>
            <w:tcW w:w="960" w:type="dxa"/>
            <w:tcBorders>
              <w:top w:val="nil"/>
              <w:left w:val="nil"/>
              <w:bottom w:val="single" w:color="auto" w:sz="4" w:space="0"/>
              <w:right w:val="nil"/>
            </w:tcBorders>
            <w:shd w:val="clear" w:color="auto" w:fill="auto"/>
            <w:noWrap/>
            <w:vAlign w:val="center"/>
            <w:hideMark/>
          </w:tcPr>
          <w:p w:rsidRPr="003318E2" w:rsidR="003318E2" w:rsidP="00795212" w:rsidRDefault="003318E2" w14:paraId="5D728C39" w14:textId="77777777">
            <w:pPr>
              <w:rPr>
                <w:rFonts w:ascii="Times New Roman" w:hAnsi="Times New Roman"/>
                <w:color w:val="000000"/>
                <w:sz w:val="22"/>
                <w:szCs w:val="22"/>
              </w:rPr>
            </w:pPr>
            <w:r w:rsidRPr="003318E2">
              <w:rPr>
                <w:rFonts w:ascii="Times New Roman" w:hAnsi="Times New Roman"/>
                <w:color w:val="000000"/>
                <w:sz w:val="22"/>
                <w:szCs w:val="22"/>
              </w:rPr>
              <w:t> </w:t>
            </w:r>
          </w:p>
        </w:tc>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3318E2" w:rsidR="003318E2" w:rsidP="00795212" w:rsidRDefault="003318E2" w14:paraId="0E7A402D" w14:textId="77777777">
            <w:pPr>
              <w:jc w:val="right"/>
              <w:rPr>
                <w:rFonts w:ascii="Times New Roman" w:hAnsi="Times New Roman"/>
                <w:color w:val="000000"/>
                <w:sz w:val="22"/>
                <w:szCs w:val="22"/>
              </w:rPr>
            </w:pPr>
            <w:r w:rsidRPr="003318E2">
              <w:rPr>
                <w:rFonts w:ascii="Times New Roman" w:hAnsi="Times New Roman"/>
                <w:color w:val="000000"/>
                <w:sz w:val="22"/>
                <w:szCs w:val="22"/>
              </w:rPr>
              <w:t>65,360</w:t>
            </w:r>
          </w:p>
        </w:tc>
        <w:tc>
          <w:tcPr>
            <w:tcW w:w="960" w:type="dxa"/>
            <w:tcBorders>
              <w:top w:val="nil"/>
              <w:left w:val="nil"/>
              <w:bottom w:val="single" w:color="auto" w:sz="4" w:space="0"/>
              <w:right w:val="single" w:color="auto" w:sz="4" w:space="0"/>
            </w:tcBorders>
            <w:shd w:val="clear" w:color="auto" w:fill="auto"/>
            <w:noWrap/>
            <w:vAlign w:val="center"/>
            <w:hideMark/>
          </w:tcPr>
          <w:p w:rsidRPr="003318E2" w:rsidR="003318E2" w:rsidP="00795212" w:rsidRDefault="003318E2" w14:paraId="02FCAD2F" w14:textId="77777777">
            <w:pPr>
              <w:jc w:val="right"/>
              <w:rPr>
                <w:rFonts w:ascii="Times New Roman" w:hAnsi="Times New Roman"/>
                <w:color w:val="000000"/>
                <w:sz w:val="22"/>
                <w:szCs w:val="22"/>
              </w:rPr>
            </w:pPr>
            <w:r w:rsidRPr="003318E2">
              <w:rPr>
                <w:rFonts w:ascii="Times New Roman" w:hAnsi="Times New Roman"/>
                <w:color w:val="000000"/>
                <w:sz w:val="22"/>
                <w:szCs w:val="22"/>
              </w:rPr>
              <w:t>225.4</w:t>
            </w:r>
          </w:p>
        </w:tc>
        <w:tc>
          <w:tcPr>
            <w:tcW w:w="960" w:type="dxa"/>
            <w:tcBorders>
              <w:top w:val="nil"/>
              <w:left w:val="nil"/>
              <w:bottom w:val="single" w:color="auto" w:sz="4" w:space="0"/>
              <w:right w:val="nil"/>
            </w:tcBorders>
            <w:shd w:val="clear" w:color="auto" w:fill="auto"/>
            <w:noWrap/>
            <w:vAlign w:val="bottom"/>
            <w:hideMark/>
          </w:tcPr>
          <w:p w:rsidRPr="003318E2" w:rsidR="003318E2" w:rsidP="00795212" w:rsidRDefault="003318E2" w14:paraId="328C8558" w14:textId="77777777">
            <w:pPr>
              <w:rPr>
                <w:rFonts w:ascii="Times New Roman" w:hAnsi="Times New Roman"/>
                <w:color w:val="000000"/>
                <w:sz w:val="22"/>
                <w:szCs w:val="22"/>
              </w:rPr>
            </w:pPr>
            <w:r w:rsidRPr="003318E2">
              <w:rPr>
                <w:rFonts w:ascii="Times New Roman" w:hAnsi="Times New Roman"/>
                <w:color w:val="000000"/>
                <w:sz w:val="22"/>
                <w:szCs w:val="22"/>
              </w:rPr>
              <w:t> </w:t>
            </w:r>
          </w:p>
        </w:tc>
      </w:tr>
    </w:tbl>
    <w:p w:rsidR="003318E2" w:rsidP="00CA77A7" w:rsidRDefault="003318E2" w14:paraId="4F375B25" w14:textId="77777777">
      <w:pPr>
        <w:pStyle w:val="L1-FlLSp12"/>
        <w:spacing w:line="240" w:lineRule="auto"/>
        <w:ind w:left="720"/>
        <w:rPr>
          <w:rFonts w:ascii="Times New Roman" w:hAnsi="Times New Roman"/>
        </w:rPr>
      </w:pPr>
    </w:p>
    <w:p w:rsidRPr="00B96D55" w:rsidR="008F09FF" w:rsidP="00CA77A7" w:rsidRDefault="008F09FF" w14:paraId="35FE02BD" w14:textId="77777777">
      <w:pPr>
        <w:pStyle w:val="L1-FlLSp12"/>
        <w:spacing w:line="240" w:lineRule="auto"/>
        <w:ind w:left="720"/>
        <w:rPr>
          <w:rFonts w:ascii="Times New Roman" w:hAnsi="Times New Roman"/>
        </w:rPr>
      </w:pPr>
    </w:p>
    <w:p w:rsidRPr="00B96D55" w:rsidR="00CA77A7" w:rsidP="00CA77A7" w:rsidRDefault="00CA77A7" w14:paraId="21B6BAC4" w14:textId="77777777">
      <w:pPr>
        <w:pStyle w:val="L1-FlLSp12"/>
        <w:spacing w:line="240" w:lineRule="auto"/>
        <w:ind w:left="720"/>
        <w:rPr>
          <w:rFonts w:ascii="Times New Roman" w:hAnsi="Times New Roman"/>
        </w:rPr>
      </w:pPr>
    </w:p>
    <w:p w:rsidR="005B60CD" w:rsidP="003241C5" w:rsidRDefault="00CA77A7" w14:paraId="11858632" w14:textId="1E4EEEB7">
      <w:pPr>
        <w:pStyle w:val="L1-FlLSp12"/>
        <w:spacing w:line="240" w:lineRule="auto"/>
        <w:ind w:left="720"/>
        <w:rPr>
          <w:rFonts w:ascii="Times New Roman" w:hAnsi="Times New Roman"/>
          <w:szCs w:val="24"/>
        </w:rPr>
      </w:pPr>
      <w:r>
        <w:rPr>
          <w:rFonts w:ascii="Times New Roman" w:hAnsi="Times New Roman"/>
          <w:u w:val="single"/>
        </w:rPr>
        <w:t>Precision.</w:t>
      </w:r>
      <w:r>
        <w:rPr>
          <w:rFonts w:ascii="Times New Roman" w:hAnsi="Times New Roman"/>
        </w:rPr>
        <w:t xml:space="preserve"> </w:t>
      </w:r>
      <w:r w:rsidRPr="00AE6759" w:rsidR="00CF7A00">
        <w:rPr>
          <w:rFonts w:ascii="Times New Roman" w:hAnsi="Times New Roman"/>
          <w:szCs w:val="24"/>
        </w:rPr>
        <w:t xml:space="preserve">Table </w:t>
      </w:r>
      <w:r w:rsidR="00F9724B">
        <w:rPr>
          <w:rFonts w:ascii="Times New Roman" w:hAnsi="Times New Roman"/>
          <w:szCs w:val="24"/>
        </w:rPr>
        <w:t>3</w:t>
      </w:r>
      <w:r w:rsidRPr="00AE6759" w:rsidR="00CF7A00">
        <w:rPr>
          <w:rFonts w:ascii="Times New Roman" w:hAnsi="Times New Roman"/>
          <w:szCs w:val="24"/>
        </w:rPr>
        <w:t xml:space="preserve"> </w:t>
      </w:r>
      <w:r w:rsidR="00CF7A00">
        <w:rPr>
          <w:rFonts w:ascii="Times New Roman" w:hAnsi="Times New Roman"/>
          <w:szCs w:val="24"/>
        </w:rPr>
        <w:t>summarizes</w:t>
      </w:r>
      <w:r w:rsidRPr="00AE6759" w:rsidR="00CF7A00">
        <w:rPr>
          <w:rFonts w:ascii="Times New Roman" w:hAnsi="Times New Roman"/>
          <w:szCs w:val="24"/>
        </w:rPr>
        <w:t xml:space="preserve"> </w:t>
      </w:r>
      <w:r w:rsidR="00483D98">
        <w:rPr>
          <w:rFonts w:ascii="Times New Roman" w:hAnsi="Times New Roman"/>
          <w:szCs w:val="24"/>
        </w:rPr>
        <w:t>the</w:t>
      </w:r>
      <w:r w:rsidRPr="00AE6759" w:rsidR="00483D98">
        <w:rPr>
          <w:rFonts w:ascii="Times New Roman" w:hAnsi="Times New Roman"/>
          <w:szCs w:val="24"/>
        </w:rPr>
        <w:t xml:space="preserve"> </w:t>
      </w:r>
      <w:r w:rsidRPr="00AE6759" w:rsidR="00CF7A00">
        <w:rPr>
          <w:rFonts w:ascii="Times New Roman" w:hAnsi="Times New Roman"/>
          <w:szCs w:val="24"/>
        </w:rPr>
        <w:t>proposed sample design. Stratification will be by jail</w:t>
      </w:r>
      <w:r w:rsidR="00B1056F">
        <w:rPr>
          <w:rFonts w:ascii="Times New Roman" w:hAnsi="Times New Roman"/>
          <w:szCs w:val="24"/>
        </w:rPr>
        <w:t>-</w:t>
      </w:r>
      <w:r w:rsidRPr="00AE6759" w:rsidR="00CF7A00">
        <w:rPr>
          <w:rFonts w:ascii="Times New Roman" w:hAnsi="Times New Roman"/>
          <w:szCs w:val="24"/>
        </w:rPr>
        <w:t>size stratum (</w:t>
      </w:r>
      <w:r w:rsidR="009A3135">
        <w:rPr>
          <w:rFonts w:ascii="Times New Roman" w:hAnsi="Times New Roman"/>
          <w:szCs w:val="24"/>
        </w:rPr>
        <w:t>ten</w:t>
      </w:r>
      <w:r w:rsidRPr="00AE6759" w:rsidR="009A3135">
        <w:rPr>
          <w:rFonts w:ascii="Times New Roman" w:hAnsi="Times New Roman"/>
          <w:szCs w:val="24"/>
        </w:rPr>
        <w:t xml:space="preserve"> </w:t>
      </w:r>
      <w:r w:rsidRPr="00AE6759" w:rsidR="00CF7A00">
        <w:rPr>
          <w:rFonts w:ascii="Times New Roman" w:hAnsi="Times New Roman"/>
          <w:szCs w:val="24"/>
        </w:rPr>
        <w:t xml:space="preserve">strata), with expected sample sizes based on ADP aggregate measure of size (the sampling rate for the largest-jail-size stratum is </w:t>
      </w:r>
      <w:r w:rsidR="00D9170C">
        <w:rPr>
          <w:rFonts w:ascii="Times New Roman" w:hAnsi="Times New Roman"/>
          <w:szCs w:val="24"/>
        </w:rPr>
        <w:t>94.1</w:t>
      </w:r>
      <w:r w:rsidRPr="00AE6759" w:rsidR="00CF7A00">
        <w:rPr>
          <w:rFonts w:ascii="Times New Roman" w:hAnsi="Times New Roman"/>
          <w:szCs w:val="24"/>
        </w:rPr>
        <w:t xml:space="preserve">%, for the smallest-jail-size stratum is </w:t>
      </w:r>
      <w:r w:rsidR="00D9170C">
        <w:rPr>
          <w:rFonts w:ascii="Times New Roman" w:hAnsi="Times New Roman"/>
          <w:szCs w:val="24"/>
        </w:rPr>
        <w:t>1.5</w:t>
      </w:r>
      <w:r w:rsidRPr="00AE6759" w:rsidR="00CF7A00">
        <w:rPr>
          <w:rFonts w:ascii="Times New Roman" w:hAnsi="Times New Roman"/>
          <w:szCs w:val="24"/>
        </w:rPr>
        <w:t>%). Expected jail sizes are given, as well as number of sampled inmates per sampled jail. A total of</w:t>
      </w:r>
      <w:r w:rsidR="00C34877">
        <w:rPr>
          <w:rFonts w:ascii="Times New Roman" w:hAnsi="Times New Roman"/>
          <w:szCs w:val="24"/>
        </w:rPr>
        <w:t xml:space="preserve"> 290</w:t>
      </w:r>
      <w:r w:rsidRPr="00AE6759" w:rsidR="009A3135">
        <w:rPr>
          <w:rFonts w:ascii="Times New Roman" w:hAnsi="Times New Roman"/>
          <w:szCs w:val="24"/>
        </w:rPr>
        <w:t xml:space="preserve"> </w:t>
      </w:r>
      <w:r w:rsidRPr="00AE6759" w:rsidR="00CF7A00">
        <w:rPr>
          <w:rFonts w:ascii="Times New Roman" w:hAnsi="Times New Roman"/>
          <w:szCs w:val="24"/>
        </w:rPr>
        <w:t xml:space="preserve">jails and about </w:t>
      </w:r>
      <w:r w:rsidR="00D9170C">
        <w:rPr>
          <w:rFonts w:ascii="Times New Roman" w:hAnsi="Times New Roman"/>
          <w:szCs w:val="24"/>
        </w:rPr>
        <w:t>65,360</w:t>
      </w:r>
      <w:r w:rsidRPr="00AE6759" w:rsidR="00CF7A00">
        <w:rPr>
          <w:rFonts w:ascii="Times New Roman" w:hAnsi="Times New Roman"/>
          <w:szCs w:val="24"/>
        </w:rPr>
        <w:t xml:space="preserve"> inmat</w:t>
      </w:r>
      <w:r w:rsidR="009C47FE">
        <w:rPr>
          <w:rFonts w:ascii="Times New Roman" w:hAnsi="Times New Roman"/>
          <w:szCs w:val="24"/>
        </w:rPr>
        <w:t>es are projected to be sampled.</w:t>
      </w:r>
      <w:r w:rsidR="007E4BEA">
        <w:rPr>
          <w:rFonts w:ascii="Times New Roman" w:hAnsi="Times New Roman"/>
          <w:szCs w:val="24"/>
        </w:rPr>
        <w:t xml:space="preserve"> </w:t>
      </w:r>
      <w:r w:rsidR="00CD1181">
        <w:rPr>
          <w:rFonts w:ascii="Times New Roman" w:hAnsi="Times New Roman"/>
          <w:szCs w:val="24"/>
        </w:rPr>
        <w:t xml:space="preserve">Of these, 95% </w:t>
      </w:r>
      <w:r w:rsidR="00A21D51">
        <w:rPr>
          <w:rFonts w:ascii="Times New Roman" w:hAnsi="Times New Roman"/>
          <w:szCs w:val="24"/>
        </w:rPr>
        <w:t xml:space="preserve">of the inmate respondents </w:t>
      </w:r>
      <w:r w:rsidR="00CD1181">
        <w:rPr>
          <w:rFonts w:ascii="Times New Roman" w:hAnsi="Times New Roman"/>
          <w:szCs w:val="24"/>
        </w:rPr>
        <w:t xml:space="preserve">will be sampled for the sexual victimization questionnaire.  </w:t>
      </w:r>
      <w:r w:rsidR="001315E9">
        <w:rPr>
          <w:rFonts w:ascii="Times New Roman" w:hAnsi="Times New Roman"/>
          <w:szCs w:val="24"/>
        </w:rPr>
        <w:t xml:space="preserve">Based on the NIS-3, a 62% inmate response rate is assumed. Therefore, an expected </w:t>
      </w:r>
      <w:r w:rsidR="001315E9">
        <w:rPr>
          <w:rFonts w:ascii="Times New Roman" w:hAnsi="Times New Roman"/>
        </w:rPr>
        <w:t>38,497 (</w:t>
      </w:r>
      <w:r w:rsidR="001315E9">
        <w:rPr>
          <w:rFonts w:ascii="Times New Roman" w:hAnsi="Times New Roman"/>
          <w:szCs w:val="24"/>
        </w:rPr>
        <w:t>65,360*.95*.6</w:t>
      </w:r>
      <w:r w:rsidR="001210CF">
        <w:rPr>
          <w:rFonts w:ascii="Times New Roman" w:hAnsi="Times New Roman"/>
          <w:szCs w:val="24"/>
        </w:rPr>
        <w:t>2</w:t>
      </w:r>
      <w:r w:rsidR="001315E9">
        <w:rPr>
          <w:rFonts w:ascii="Times New Roman" w:hAnsi="Times New Roman"/>
          <w:szCs w:val="24"/>
        </w:rPr>
        <w:t>) inmates will respond to the sexual victimization survey.</w:t>
      </w:r>
    </w:p>
    <w:p w:rsidRPr="00AE6759" w:rsidR="005B60CD" w:rsidP="001315E9" w:rsidRDefault="005B60CD" w14:paraId="405D2A10" w14:textId="77777777">
      <w:pPr>
        <w:pStyle w:val="L1-FlLSp12"/>
        <w:spacing w:line="240" w:lineRule="auto"/>
        <w:rPr>
          <w:rFonts w:ascii="Times New Roman" w:hAnsi="Times New Roman"/>
          <w:szCs w:val="24"/>
        </w:rPr>
      </w:pPr>
    </w:p>
    <w:p w:rsidRPr="00CF7A00" w:rsidR="00CF7A00" w:rsidP="00CF7A00" w:rsidRDefault="00CF7A00" w14:paraId="092F4E7C" w14:textId="277A6A5B">
      <w:pPr>
        <w:pStyle w:val="L1-FlLSp12"/>
        <w:spacing w:line="240" w:lineRule="auto"/>
        <w:ind w:left="720"/>
        <w:rPr>
          <w:rFonts w:ascii="Times New Roman" w:hAnsi="Times New Roman"/>
        </w:rPr>
      </w:pPr>
      <w:r w:rsidRPr="00CF7A00">
        <w:rPr>
          <w:rFonts w:ascii="Times New Roman" w:hAnsi="Times New Roman"/>
        </w:rPr>
        <w:t>To compute the precision of this sample design for sexual</w:t>
      </w:r>
      <w:r w:rsidR="000C1D94">
        <w:rPr>
          <w:rFonts w:ascii="Times New Roman" w:hAnsi="Times New Roman"/>
        </w:rPr>
        <w:t xml:space="preserve"> </w:t>
      </w:r>
      <w:r w:rsidR="00CD1181">
        <w:rPr>
          <w:rFonts w:ascii="Times New Roman" w:hAnsi="Times New Roman"/>
        </w:rPr>
        <w:t xml:space="preserve">victimization </w:t>
      </w:r>
      <w:r w:rsidRPr="00CF7A00">
        <w:rPr>
          <w:rFonts w:ascii="Times New Roman" w:hAnsi="Times New Roman"/>
        </w:rPr>
        <w:t>prevalence estimates</w:t>
      </w:r>
      <w:r w:rsidR="004066C8">
        <w:rPr>
          <w:rFonts w:ascii="Times New Roman" w:hAnsi="Times New Roman"/>
        </w:rPr>
        <w:t>,</w:t>
      </w:r>
      <w:r w:rsidRPr="00CF7A00">
        <w:rPr>
          <w:rFonts w:ascii="Times New Roman" w:hAnsi="Times New Roman"/>
        </w:rPr>
        <w:t xml:space="preserve"> </w:t>
      </w:r>
      <w:r w:rsidR="00EA2ADB">
        <w:rPr>
          <w:rFonts w:ascii="Times New Roman" w:hAnsi="Times New Roman"/>
        </w:rPr>
        <w:t>the</w:t>
      </w:r>
      <w:r w:rsidR="000C1D94">
        <w:rPr>
          <w:rFonts w:ascii="Times New Roman" w:hAnsi="Times New Roman"/>
        </w:rPr>
        <w:t xml:space="preserve"> additional</w:t>
      </w:r>
      <w:r w:rsidR="00EA2ADB">
        <w:rPr>
          <w:rFonts w:ascii="Times New Roman" w:hAnsi="Times New Roman"/>
        </w:rPr>
        <w:t xml:space="preserve"> </w:t>
      </w:r>
      <w:r w:rsidRPr="00CF7A00">
        <w:rPr>
          <w:rFonts w:ascii="Times New Roman" w:hAnsi="Times New Roman"/>
        </w:rPr>
        <w:t xml:space="preserve">assumptions in Table </w:t>
      </w:r>
      <w:r w:rsidR="00F9724B">
        <w:rPr>
          <w:rFonts w:ascii="Times New Roman" w:hAnsi="Times New Roman"/>
        </w:rPr>
        <w:t>4</w:t>
      </w:r>
      <w:r w:rsidR="00EA2ADB">
        <w:rPr>
          <w:rFonts w:ascii="Times New Roman" w:hAnsi="Times New Roman"/>
        </w:rPr>
        <w:t xml:space="preserve"> are made</w:t>
      </w:r>
      <w:r w:rsidRPr="00CF7A00">
        <w:rPr>
          <w:rFonts w:ascii="Times New Roman" w:hAnsi="Times New Roman"/>
        </w:rPr>
        <w:t>. The weighted mean across jails of jail victimization prevalence in NIS-3 was 3.</w:t>
      </w:r>
      <w:r w:rsidR="005D7FCD">
        <w:rPr>
          <w:rFonts w:ascii="Times New Roman" w:hAnsi="Times New Roman"/>
        </w:rPr>
        <w:t>2</w:t>
      </w:r>
      <w:r w:rsidRPr="00CF7A00">
        <w:rPr>
          <w:rFonts w:ascii="Times New Roman" w:hAnsi="Times New Roman"/>
        </w:rPr>
        <w:t xml:space="preserve">%. The standard deviation for prevalence across sampled jails in NIS-3 was 2.0% (a variance of 0.04%), which can be used as an estimate of a between-jails variance component. The within-jail variance component is </w:t>
      </w:r>
      <w:r w:rsidR="00AD6FD2">
        <w:rPr>
          <w:rFonts w:ascii="Times New Roman" w:hAnsi="Times New Roman"/>
        </w:rPr>
        <w:t>3.1%</w:t>
      </w:r>
      <w:r w:rsidR="000C1D94">
        <w:rPr>
          <w:rFonts w:ascii="Times New Roman" w:hAnsi="Times New Roman"/>
        </w:rPr>
        <w:t xml:space="preserve"> (</w:t>
      </w:r>
      <w:r w:rsidRPr="00CF7A00" w:rsidR="000C1D94">
        <w:rPr>
          <w:rFonts w:ascii="Times New Roman" w:hAnsi="Times New Roman"/>
        </w:rPr>
        <w:t>0.03</w:t>
      </w:r>
      <w:r w:rsidR="000C1D94">
        <w:rPr>
          <w:rFonts w:ascii="Times New Roman" w:hAnsi="Times New Roman"/>
        </w:rPr>
        <w:t>2</w:t>
      </w:r>
      <w:r w:rsidRPr="00CF7A00" w:rsidR="000C1D94">
        <w:rPr>
          <w:rFonts w:ascii="Times New Roman" w:hAnsi="Times New Roman"/>
        </w:rPr>
        <w:t>*(1-0.03</w:t>
      </w:r>
      <w:r w:rsidR="000C1D94">
        <w:rPr>
          <w:rFonts w:ascii="Times New Roman" w:hAnsi="Times New Roman"/>
        </w:rPr>
        <w:t>2</w:t>
      </w:r>
      <w:r w:rsidRPr="00CF7A00" w:rsidR="000C1D94">
        <w:rPr>
          <w:rFonts w:ascii="Times New Roman" w:hAnsi="Times New Roman"/>
        </w:rPr>
        <w:t>)</w:t>
      </w:r>
      <w:r w:rsidR="000C1D94">
        <w:rPr>
          <w:rFonts w:ascii="Times New Roman" w:hAnsi="Times New Roman"/>
        </w:rPr>
        <w:t>)</w:t>
      </w:r>
      <w:r w:rsidRPr="00CF7A00">
        <w:rPr>
          <w:rFonts w:ascii="Times New Roman" w:hAnsi="Times New Roman"/>
        </w:rPr>
        <w:t xml:space="preserve">, the Bernoulli variance. </w:t>
      </w:r>
    </w:p>
    <w:p w:rsidRPr="00CF7A00" w:rsidR="00CF7A00" w:rsidP="00CF7A00" w:rsidRDefault="00CF7A00" w14:paraId="76E2A57D" w14:textId="77777777">
      <w:pPr>
        <w:pStyle w:val="L1-FlLSp12"/>
        <w:spacing w:line="240" w:lineRule="auto"/>
        <w:ind w:left="720"/>
        <w:rPr>
          <w:rFonts w:ascii="Times New Roman" w:hAnsi="Times New Roman"/>
        </w:rPr>
      </w:pPr>
    </w:p>
    <w:p w:rsidRPr="00CF7A00" w:rsidR="00CF7A00" w:rsidP="00CF7A00" w:rsidRDefault="00CF7A00" w14:paraId="6FF3A052" w14:textId="3F7D57F2">
      <w:pPr>
        <w:pStyle w:val="L1-FlLSp12"/>
        <w:spacing w:line="240" w:lineRule="auto"/>
        <w:ind w:left="720"/>
        <w:rPr>
          <w:rFonts w:ascii="Times New Roman" w:hAnsi="Times New Roman"/>
        </w:rPr>
      </w:pPr>
      <w:r w:rsidRPr="00CF7A00">
        <w:rPr>
          <w:rFonts w:ascii="Times New Roman" w:hAnsi="Times New Roman"/>
        </w:rPr>
        <w:t xml:space="preserve">Table </w:t>
      </w:r>
      <w:r w:rsidR="00F9724B">
        <w:rPr>
          <w:rFonts w:ascii="Times New Roman" w:hAnsi="Times New Roman"/>
        </w:rPr>
        <w:t>4</w:t>
      </w:r>
      <w:r>
        <w:rPr>
          <w:rFonts w:ascii="Times New Roman" w:hAnsi="Times New Roman"/>
        </w:rPr>
        <w:t>. Mean and variance across NIS-3 jails for victimization p</w:t>
      </w:r>
      <w:r w:rsidRPr="00CF7A00">
        <w:rPr>
          <w:rFonts w:ascii="Times New Roman" w:hAnsi="Times New Roman"/>
        </w:rPr>
        <w:t>revalence</w:t>
      </w:r>
    </w:p>
    <w:p w:rsidRPr="00CF7A00" w:rsidR="00CF7A00" w:rsidP="00CF7A00" w:rsidRDefault="00CF7A00" w14:paraId="705A69FD" w14:textId="77777777">
      <w:pPr>
        <w:pStyle w:val="L1-FlLSp12"/>
        <w:spacing w:line="240" w:lineRule="auto"/>
        <w:rPr>
          <w:rFonts w:ascii="Times New Roman" w:hAnsi="Times New Roman"/>
        </w:rPr>
      </w:pPr>
    </w:p>
    <w:tbl>
      <w:tblPr>
        <w:tblW w:w="6750" w:type="dxa"/>
        <w:tblInd w:w="720" w:type="dxa"/>
        <w:tblLook w:val="04A0" w:firstRow="1" w:lastRow="0" w:firstColumn="1" w:lastColumn="0" w:noHBand="0" w:noVBand="1"/>
      </w:tblPr>
      <w:tblGrid>
        <w:gridCol w:w="4512"/>
        <w:gridCol w:w="276"/>
        <w:gridCol w:w="356"/>
        <w:gridCol w:w="1620"/>
      </w:tblGrid>
      <w:tr w:rsidRPr="00FE4E07" w:rsidR="00CF7A00" w:rsidTr="00CF7A00" w14:paraId="3B1CC329" w14:textId="77777777">
        <w:trPr>
          <w:trHeight w:val="259" w:hRule="exact"/>
        </w:trPr>
        <w:tc>
          <w:tcPr>
            <w:tcW w:w="4774" w:type="dxa"/>
            <w:gridSpan w:val="2"/>
            <w:tcBorders>
              <w:top w:val="single" w:color="auto" w:sz="4" w:space="0"/>
              <w:left w:val="nil"/>
              <w:bottom w:val="nil"/>
              <w:right w:val="nil"/>
            </w:tcBorders>
            <w:shd w:val="clear" w:color="auto" w:fill="auto"/>
            <w:noWrap/>
            <w:vAlign w:val="bottom"/>
            <w:hideMark/>
          </w:tcPr>
          <w:p w:rsidRPr="00FE4E07" w:rsidR="00CF7A00" w:rsidP="00ED1C5B" w:rsidRDefault="005D7FCD" w14:paraId="57A10705" w14:textId="090E78A7">
            <w:pPr>
              <w:rPr>
                <w:rFonts w:ascii="Times New Roman" w:hAnsi="Times New Roman"/>
                <w:color w:val="000000"/>
              </w:rPr>
            </w:pPr>
            <w:r>
              <w:rPr>
                <w:rFonts w:ascii="Times New Roman" w:hAnsi="Times New Roman"/>
                <w:color w:val="000000"/>
              </w:rPr>
              <w:t>W</w:t>
            </w:r>
            <w:r w:rsidRPr="00FE4E07" w:rsidR="00CF7A00">
              <w:rPr>
                <w:rFonts w:ascii="Times New Roman" w:hAnsi="Times New Roman"/>
                <w:color w:val="000000"/>
              </w:rPr>
              <w:t>eighted Mean of Jail Victimization Rates NIS-3</w:t>
            </w:r>
          </w:p>
        </w:tc>
        <w:tc>
          <w:tcPr>
            <w:tcW w:w="356" w:type="dxa"/>
            <w:tcBorders>
              <w:top w:val="single" w:color="auto" w:sz="4" w:space="0"/>
              <w:left w:val="nil"/>
              <w:bottom w:val="nil"/>
              <w:right w:val="nil"/>
            </w:tcBorders>
            <w:shd w:val="clear" w:color="auto" w:fill="auto"/>
            <w:noWrap/>
            <w:vAlign w:val="bottom"/>
            <w:hideMark/>
          </w:tcPr>
          <w:p w:rsidRPr="00FE4E07" w:rsidR="00CF7A00" w:rsidP="00ED1C5B" w:rsidRDefault="00CF7A00" w14:paraId="57972B3F" w14:textId="77777777">
            <w:pPr>
              <w:rPr>
                <w:rFonts w:ascii="Times New Roman" w:hAnsi="Times New Roman"/>
                <w:color w:val="000000"/>
              </w:rPr>
            </w:pPr>
            <w:r w:rsidRPr="00FE4E07">
              <w:rPr>
                <w:rFonts w:ascii="Times New Roman" w:hAnsi="Times New Roman"/>
                <w:color w:val="000000"/>
              </w:rPr>
              <w:t> </w:t>
            </w:r>
          </w:p>
        </w:tc>
        <w:tc>
          <w:tcPr>
            <w:tcW w:w="1620" w:type="dxa"/>
            <w:tcBorders>
              <w:top w:val="single" w:color="auto" w:sz="4" w:space="0"/>
              <w:left w:val="single" w:color="auto" w:sz="4" w:space="0"/>
              <w:bottom w:val="nil"/>
              <w:right w:val="nil"/>
            </w:tcBorders>
            <w:shd w:val="clear" w:color="auto" w:fill="auto"/>
            <w:noWrap/>
            <w:vAlign w:val="bottom"/>
            <w:hideMark/>
          </w:tcPr>
          <w:p w:rsidRPr="00FE4E07" w:rsidR="00CF7A00" w:rsidP="00ED1C5B" w:rsidRDefault="00CF7A00" w14:paraId="5D630752" w14:textId="0B375A17">
            <w:pPr>
              <w:jc w:val="right"/>
              <w:rPr>
                <w:rFonts w:ascii="Times New Roman" w:hAnsi="Times New Roman"/>
                <w:color w:val="000000"/>
              </w:rPr>
            </w:pPr>
            <w:r w:rsidRPr="00FE4E07">
              <w:rPr>
                <w:rFonts w:ascii="Times New Roman" w:hAnsi="Times New Roman"/>
                <w:color w:val="000000"/>
              </w:rPr>
              <w:t>3.</w:t>
            </w:r>
            <w:r w:rsidR="005D7FCD">
              <w:rPr>
                <w:rFonts w:ascii="Times New Roman" w:hAnsi="Times New Roman"/>
                <w:color w:val="000000"/>
              </w:rPr>
              <w:t>2</w:t>
            </w:r>
            <w:r w:rsidRPr="00FE4E07">
              <w:rPr>
                <w:rFonts w:ascii="Times New Roman" w:hAnsi="Times New Roman"/>
                <w:color w:val="000000"/>
              </w:rPr>
              <w:t>%</w:t>
            </w:r>
          </w:p>
        </w:tc>
      </w:tr>
      <w:tr w:rsidRPr="00FE4E07" w:rsidR="00CF7A00" w:rsidTr="00CF7A00" w14:paraId="41C82A3F" w14:textId="77777777">
        <w:trPr>
          <w:trHeight w:val="259" w:hRule="exact"/>
        </w:trPr>
        <w:tc>
          <w:tcPr>
            <w:tcW w:w="4774" w:type="dxa"/>
            <w:gridSpan w:val="2"/>
            <w:tcBorders>
              <w:top w:val="nil"/>
              <w:left w:val="nil"/>
              <w:bottom w:val="nil"/>
              <w:right w:val="nil"/>
            </w:tcBorders>
            <w:shd w:val="clear" w:color="auto" w:fill="auto"/>
            <w:noWrap/>
            <w:vAlign w:val="bottom"/>
            <w:hideMark/>
          </w:tcPr>
          <w:p w:rsidRPr="00FE4E07" w:rsidR="00CF7A00" w:rsidP="00ED1C5B" w:rsidRDefault="00CF7A00" w14:paraId="5977C4B9" w14:textId="77777777">
            <w:pPr>
              <w:rPr>
                <w:rFonts w:ascii="Times New Roman" w:hAnsi="Times New Roman"/>
                <w:color w:val="000000"/>
              </w:rPr>
            </w:pPr>
            <w:r w:rsidRPr="00FE4E07">
              <w:rPr>
                <w:rFonts w:ascii="Times New Roman" w:hAnsi="Times New Roman"/>
                <w:color w:val="000000"/>
              </w:rPr>
              <w:t>Standard Deviation of Jail Victimization Rates NIS-3</w:t>
            </w:r>
          </w:p>
        </w:tc>
        <w:tc>
          <w:tcPr>
            <w:tcW w:w="356" w:type="dxa"/>
            <w:tcBorders>
              <w:top w:val="nil"/>
              <w:left w:val="nil"/>
              <w:bottom w:val="nil"/>
              <w:right w:val="nil"/>
            </w:tcBorders>
            <w:shd w:val="clear" w:color="auto" w:fill="auto"/>
            <w:noWrap/>
            <w:vAlign w:val="bottom"/>
            <w:hideMark/>
          </w:tcPr>
          <w:p w:rsidRPr="00FE4E07" w:rsidR="00CF7A00" w:rsidP="00ED1C5B" w:rsidRDefault="00CF7A00" w14:paraId="62C2DC53" w14:textId="77777777">
            <w:pPr>
              <w:rPr>
                <w:rFonts w:ascii="Times New Roman" w:hAnsi="Times New Roman"/>
                <w:color w:val="000000"/>
              </w:rPr>
            </w:pPr>
          </w:p>
        </w:tc>
        <w:tc>
          <w:tcPr>
            <w:tcW w:w="1620" w:type="dxa"/>
            <w:tcBorders>
              <w:top w:val="nil"/>
              <w:left w:val="single" w:color="auto" w:sz="4" w:space="0"/>
              <w:bottom w:val="nil"/>
              <w:right w:val="nil"/>
            </w:tcBorders>
            <w:shd w:val="clear" w:color="auto" w:fill="auto"/>
            <w:noWrap/>
            <w:vAlign w:val="bottom"/>
            <w:hideMark/>
          </w:tcPr>
          <w:p w:rsidRPr="00FE4E07" w:rsidR="00CF7A00" w:rsidP="00ED1C5B" w:rsidRDefault="00CF7A00" w14:paraId="688B444D" w14:textId="77777777">
            <w:pPr>
              <w:jc w:val="right"/>
              <w:rPr>
                <w:rFonts w:ascii="Times New Roman" w:hAnsi="Times New Roman"/>
                <w:color w:val="000000"/>
              </w:rPr>
            </w:pPr>
            <w:r w:rsidRPr="00FE4E07">
              <w:rPr>
                <w:rFonts w:ascii="Times New Roman" w:hAnsi="Times New Roman"/>
                <w:color w:val="000000"/>
              </w:rPr>
              <w:t>2.0%</w:t>
            </w:r>
          </w:p>
        </w:tc>
      </w:tr>
      <w:tr w:rsidRPr="00FE4E07" w:rsidR="00CF7A00" w:rsidTr="00CF7A00" w14:paraId="46BB172A" w14:textId="77777777">
        <w:trPr>
          <w:trHeight w:val="259" w:hRule="exact"/>
        </w:trPr>
        <w:tc>
          <w:tcPr>
            <w:tcW w:w="4512" w:type="dxa"/>
            <w:tcBorders>
              <w:top w:val="nil"/>
              <w:left w:val="nil"/>
              <w:bottom w:val="nil"/>
              <w:right w:val="nil"/>
            </w:tcBorders>
            <w:shd w:val="clear" w:color="auto" w:fill="auto"/>
            <w:noWrap/>
            <w:vAlign w:val="bottom"/>
            <w:hideMark/>
          </w:tcPr>
          <w:p w:rsidRPr="00FE4E07" w:rsidR="00CF7A00" w:rsidP="00ED1C5B" w:rsidRDefault="00CF7A00" w14:paraId="3709786C" w14:textId="77777777">
            <w:pPr>
              <w:rPr>
                <w:rFonts w:ascii="Times New Roman" w:hAnsi="Times New Roman"/>
                <w:color w:val="000000"/>
              </w:rPr>
            </w:pPr>
            <w:r w:rsidRPr="00FE4E07">
              <w:rPr>
                <w:rFonts w:ascii="Times New Roman" w:hAnsi="Times New Roman"/>
                <w:color w:val="000000"/>
              </w:rPr>
              <w:t>Between-Jail Variance Component</w:t>
            </w:r>
          </w:p>
        </w:tc>
        <w:tc>
          <w:tcPr>
            <w:tcW w:w="262" w:type="dxa"/>
            <w:tcBorders>
              <w:top w:val="nil"/>
              <w:left w:val="nil"/>
              <w:bottom w:val="nil"/>
              <w:right w:val="nil"/>
            </w:tcBorders>
            <w:shd w:val="clear" w:color="auto" w:fill="auto"/>
            <w:noWrap/>
            <w:vAlign w:val="bottom"/>
            <w:hideMark/>
          </w:tcPr>
          <w:p w:rsidRPr="00FE4E07" w:rsidR="00CF7A00" w:rsidP="00ED1C5B" w:rsidRDefault="00CF7A00" w14:paraId="015D904B" w14:textId="77777777">
            <w:pPr>
              <w:rPr>
                <w:rFonts w:ascii="Times New Roman" w:hAnsi="Times New Roman"/>
                <w:color w:val="000000"/>
              </w:rPr>
            </w:pPr>
          </w:p>
        </w:tc>
        <w:tc>
          <w:tcPr>
            <w:tcW w:w="356" w:type="dxa"/>
            <w:tcBorders>
              <w:top w:val="nil"/>
              <w:left w:val="nil"/>
              <w:bottom w:val="nil"/>
              <w:right w:val="nil"/>
            </w:tcBorders>
            <w:shd w:val="clear" w:color="auto" w:fill="auto"/>
            <w:noWrap/>
            <w:vAlign w:val="bottom"/>
            <w:hideMark/>
          </w:tcPr>
          <w:p w:rsidRPr="00FE4E07" w:rsidR="00CF7A00" w:rsidP="00ED1C5B" w:rsidRDefault="00CF7A00" w14:paraId="7D75448A" w14:textId="77777777">
            <w:pPr>
              <w:rPr>
                <w:rFonts w:ascii="Times New Roman" w:hAnsi="Times New Roman"/>
              </w:rPr>
            </w:pPr>
          </w:p>
        </w:tc>
        <w:tc>
          <w:tcPr>
            <w:tcW w:w="1620" w:type="dxa"/>
            <w:tcBorders>
              <w:top w:val="nil"/>
              <w:left w:val="single" w:color="auto" w:sz="4" w:space="0"/>
              <w:bottom w:val="nil"/>
              <w:right w:val="nil"/>
            </w:tcBorders>
            <w:shd w:val="clear" w:color="auto" w:fill="auto"/>
            <w:noWrap/>
            <w:vAlign w:val="bottom"/>
            <w:hideMark/>
          </w:tcPr>
          <w:p w:rsidRPr="00FE4E07" w:rsidR="00CF7A00" w:rsidP="00ED1C5B" w:rsidRDefault="00CF7A00" w14:paraId="16D3644A" w14:textId="63307735">
            <w:pPr>
              <w:jc w:val="right"/>
              <w:rPr>
                <w:rFonts w:ascii="Times New Roman" w:hAnsi="Times New Roman"/>
                <w:color w:val="000000"/>
              </w:rPr>
            </w:pPr>
            <w:r w:rsidRPr="00FE4E07">
              <w:rPr>
                <w:rFonts w:ascii="Times New Roman" w:hAnsi="Times New Roman"/>
                <w:color w:val="000000"/>
              </w:rPr>
              <w:t>0.04%</w:t>
            </w:r>
          </w:p>
        </w:tc>
      </w:tr>
      <w:tr w:rsidRPr="00FE4E07" w:rsidR="00CF7A00" w:rsidTr="00CF7A00" w14:paraId="1B118929" w14:textId="77777777">
        <w:trPr>
          <w:trHeight w:val="259" w:hRule="exact"/>
        </w:trPr>
        <w:tc>
          <w:tcPr>
            <w:tcW w:w="4512" w:type="dxa"/>
            <w:tcBorders>
              <w:top w:val="nil"/>
              <w:left w:val="nil"/>
              <w:bottom w:val="single" w:color="auto" w:sz="4" w:space="0"/>
              <w:right w:val="nil"/>
            </w:tcBorders>
            <w:shd w:val="clear" w:color="auto" w:fill="auto"/>
            <w:noWrap/>
            <w:vAlign w:val="bottom"/>
            <w:hideMark/>
          </w:tcPr>
          <w:p w:rsidRPr="00FE4E07" w:rsidR="00CF7A00" w:rsidP="00ED1C5B" w:rsidRDefault="00CF7A00" w14:paraId="12748D83" w14:textId="77777777">
            <w:pPr>
              <w:rPr>
                <w:rFonts w:ascii="Times New Roman" w:hAnsi="Times New Roman"/>
                <w:color w:val="000000"/>
              </w:rPr>
            </w:pPr>
            <w:r w:rsidRPr="00FE4E07">
              <w:rPr>
                <w:rFonts w:ascii="Times New Roman" w:hAnsi="Times New Roman"/>
                <w:color w:val="000000"/>
              </w:rPr>
              <w:t>Within-Jail Variance Component</w:t>
            </w:r>
          </w:p>
        </w:tc>
        <w:tc>
          <w:tcPr>
            <w:tcW w:w="262" w:type="dxa"/>
            <w:tcBorders>
              <w:top w:val="nil"/>
              <w:left w:val="nil"/>
              <w:bottom w:val="single" w:color="auto" w:sz="4" w:space="0"/>
              <w:right w:val="nil"/>
            </w:tcBorders>
            <w:shd w:val="clear" w:color="auto" w:fill="auto"/>
            <w:noWrap/>
            <w:vAlign w:val="bottom"/>
            <w:hideMark/>
          </w:tcPr>
          <w:p w:rsidRPr="00FE4E07" w:rsidR="00CF7A00" w:rsidP="00ED1C5B" w:rsidRDefault="00CF7A00" w14:paraId="1C65999B" w14:textId="77777777">
            <w:pPr>
              <w:rPr>
                <w:rFonts w:ascii="Times New Roman" w:hAnsi="Times New Roman"/>
                <w:color w:val="000000"/>
              </w:rPr>
            </w:pPr>
            <w:r w:rsidRPr="00FE4E07">
              <w:rPr>
                <w:rFonts w:ascii="Times New Roman" w:hAnsi="Times New Roman"/>
                <w:color w:val="000000"/>
              </w:rPr>
              <w:t> </w:t>
            </w:r>
          </w:p>
        </w:tc>
        <w:tc>
          <w:tcPr>
            <w:tcW w:w="356" w:type="dxa"/>
            <w:tcBorders>
              <w:top w:val="nil"/>
              <w:left w:val="nil"/>
              <w:bottom w:val="single" w:color="auto" w:sz="4" w:space="0"/>
              <w:right w:val="nil"/>
            </w:tcBorders>
            <w:shd w:val="clear" w:color="auto" w:fill="auto"/>
            <w:noWrap/>
            <w:vAlign w:val="bottom"/>
            <w:hideMark/>
          </w:tcPr>
          <w:p w:rsidRPr="00FE4E07" w:rsidR="00CF7A00" w:rsidP="00ED1C5B" w:rsidRDefault="00CF7A00" w14:paraId="00C29FF0" w14:textId="77777777">
            <w:pPr>
              <w:rPr>
                <w:rFonts w:ascii="Times New Roman" w:hAnsi="Times New Roman"/>
                <w:color w:val="000000"/>
              </w:rPr>
            </w:pPr>
            <w:r w:rsidRPr="00FE4E07">
              <w:rPr>
                <w:rFonts w:ascii="Times New Roman" w:hAnsi="Times New Roman"/>
                <w:color w:val="000000"/>
              </w:rPr>
              <w:t> </w:t>
            </w:r>
          </w:p>
        </w:tc>
        <w:tc>
          <w:tcPr>
            <w:tcW w:w="1620" w:type="dxa"/>
            <w:tcBorders>
              <w:top w:val="nil"/>
              <w:left w:val="single" w:color="auto" w:sz="4" w:space="0"/>
              <w:bottom w:val="single" w:color="auto" w:sz="4" w:space="0"/>
              <w:right w:val="nil"/>
            </w:tcBorders>
            <w:shd w:val="clear" w:color="auto" w:fill="auto"/>
            <w:noWrap/>
            <w:vAlign w:val="bottom"/>
            <w:hideMark/>
          </w:tcPr>
          <w:p w:rsidRPr="00FE4E07" w:rsidR="00CF7A00" w:rsidP="00ED1C5B" w:rsidRDefault="005D7FCD" w14:paraId="457E5862" w14:textId="6587D967">
            <w:pPr>
              <w:jc w:val="right"/>
              <w:rPr>
                <w:rFonts w:ascii="Times New Roman" w:hAnsi="Times New Roman"/>
                <w:color w:val="000000"/>
              </w:rPr>
            </w:pPr>
            <w:r>
              <w:rPr>
                <w:rFonts w:ascii="Times New Roman" w:hAnsi="Times New Roman"/>
                <w:color w:val="000000"/>
              </w:rPr>
              <w:t>3.1</w:t>
            </w:r>
            <w:r w:rsidRPr="00FE4E07" w:rsidR="00CF7A00">
              <w:rPr>
                <w:rFonts w:ascii="Times New Roman" w:hAnsi="Times New Roman"/>
                <w:color w:val="000000"/>
              </w:rPr>
              <w:t>%</w:t>
            </w:r>
          </w:p>
        </w:tc>
      </w:tr>
    </w:tbl>
    <w:p w:rsidR="00CF7A00" w:rsidP="00CF7A00" w:rsidRDefault="00CF7A00" w14:paraId="0AC7BBDF" w14:textId="77777777">
      <w:pPr>
        <w:pStyle w:val="L1-FlLSp12"/>
      </w:pPr>
    </w:p>
    <w:p w:rsidRPr="00CF7A00" w:rsidR="00CF7A00" w:rsidP="00E54F65" w:rsidRDefault="00CF7A00" w14:paraId="429198F7" w14:textId="50624DD1">
      <w:pPr>
        <w:pStyle w:val="L1-FlLSp12"/>
        <w:spacing w:line="240" w:lineRule="auto"/>
        <w:ind w:left="720"/>
        <w:rPr>
          <w:rFonts w:ascii="Times New Roman" w:hAnsi="Times New Roman"/>
        </w:rPr>
      </w:pPr>
      <w:r w:rsidRPr="00CF7A00">
        <w:rPr>
          <w:rFonts w:ascii="Times New Roman" w:hAnsi="Times New Roman"/>
        </w:rPr>
        <w:lastRenderedPageBreak/>
        <w:t xml:space="preserve">With these assumed design effects and assuming that appropriate finite population corrections are used in the variance calculations </w:t>
      </w:r>
      <w:r w:rsidR="00AA005C">
        <w:rPr>
          <w:rFonts w:ascii="Times New Roman" w:hAnsi="Times New Roman"/>
        </w:rPr>
        <w:t xml:space="preserve">for the NIS-4 jails survey, </w:t>
      </w:r>
      <w:r w:rsidR="005C20F5">
        <w:rPr>
          <w:rFonts w:ascii="Times New Roman" w:hAnsi="Times New Roman"/>
        </w:rPr>
        <w:t>there is a</w:t>
      </w:r>
      <w:r w:rsidRPr="00CF7A00">
        <w:rPr>
          <w:rFonts w:ascii="Times New Roman" w:hAnsi="Times New Roman"/>
        </w:rPr>
        <w:t xml:space="preserve"> final stratified variance of </w:t>
      </w:r>
      <w:r w:rsidRPr="00AA005C" w:rsidR="00AA005C">
        <w:rPr>
          <w:rFonts w:ascii="Times New Roman" w:hAnsi="Times New Roman"/>
        </w:rPr>
        <w:t>0.000</w:t>
      </w:r>
      <w:r w:rsidR="00085F5C">
        <w:rPr>
          <w:rFonts w:ascii="Times New Roman" w:hAnsi="Times New Roman"/>
        </w:rPr>
        <w:t>2</w:t>
      </w:r>
      <w:r w:rsidRPr="00CF7A00">
        <w:rPr>
          <w:rFonts w:ascii="Times New Roman" w:hAnsi="Times New Roman"/>
        </w:rPr>
        <w:t xml:space="preserve">%, a standard error of </w:t>
      </w:r>
      <w:r w:rsidRPr="00AA005C" w:rsidR="00AA005C">
        <w:rPr>
          <w:rFonts w:ascii="Times New Roman" w:hAnsi="Times New Roman"/>
        </w:rPr>
        <w:t>0.</w:t>
      </w:r>
      <w:r w:rsidR="00085F5C">
        <w:rPr>
          <w:rFonts w:ascii="Times New Roman" w:hAnsi="Times New Roman"/>
        </w:rPr>
        <w:t>14</w:t>
      </w:r>
      <w:r w:rsidRPr="00AA005C" w:rsidR="00AA005C">
        <w:rPr>
          <w:rFonts w:ascii="Times New Roman" w:hAnsi="Times New Roman"/>
        </w:rPr>
        <w:t>%</w:t>
      </w:r>
      <w:r w:rsidRPr="00CF7A00">
        <w:rPr>
          <w:rFonts w:ascii="Times New Roman" w:hAnsi="Times New Roman"/>
        </w:rPr>
        <w:t xml:space="preserve"> for the sample pe</w:t>
      </w:r>
      <w:r>
        <w:rPr>
          <w:rFonts w:ascii="Times New Roman" w:hAnsi="Times New Roman"/>
        </w:rPr>
        <w:t>rcentage of 3.</w:t>
      </w:r>
      <w:r w:rsidR="004A5956">
        <w:rPr>
          <w:rFonts w:ascii="Times New Roman" w:hAnsi="Times New Roman"/>
        </w:rPr>
        <w:t>2</w:t>
      </w:r>
      <w:r>
        <w:rPr>
          <w:rFonts w:ascii="Times New Roman" w:hAnsi="Times New Roman"/>
        </w:rPr>
        <w:t xml:space="preserve">% (a </w:t>
      </w:r>
      <w:r w:rsidR="007D3E5A">
        <w:rPr>
          <w:rFonts w:ascii="Times New Roman" w:hAnsi="Times New Roman"/>
        </w:rPr>
        <w:t>coefficient of variation</w:t>
      </w:r>
      <w:r>
        <w:rPr>
          <w:rFonts w:ascii="Times New Roman" w:hAnsi="Times New Roman"/>
        </w:rPr>
        <w:t xml:space="preserve"> of </w:t>
      </w:r>
      <w:r w:rsidR="00085F5C">
        <w:rPr>
          <w:rFonts w:ascii="Times New Roman" w:hAnsi="Times New Roman"/>
        </w:rPr>
        <w:t>4.39</w:t>
      </w:r>
      <w:r w:rsidRPr="00AA005C" w:rsidR="00AA005C">
        <w:rPr>
          <w:rFonts w:ascii="Times New Roman" w:hAnsi="Times New Roman"/>
        </w:rPr>
        <w:t>%</w:t>
      </w:r>
      <w:r>
        <w:rPr>
          <w:rFonts w:ascii="Times New Roman" w:hAnsi="Times New Roman"/>
        </w:rPr>
        <w:t xml:space="preserve">). </w:t>
      </w:r>
      <w:r w:rsidRPr="00CF7A00">
        <w:rPr>
          <w:rFonts w:ascii="Times New Roman" w:hAnsi="Times New Roman"/>
        </w:rPr>
        <w:t xml:space="preserve">This corresponds to an effective sample size of </w:t>
      </w:r>
      <w:r w:rsidR="005D7FCD">
        <w:rPr>
          <w:rFonts w:ascii="Times New Roman" w:hAnsi="Times New Roman"/>
        </w:rPr>
        <w:t>15,713</w:t>
      </w:r>
      <w:r w:rsidRPr="00CF7A00">
        <w:rPr>
          <w:rFonts w:ascii="Times New Roman" w:hAnsi="Times New Roman"/>
        </w:rPr>
        <w:t xml:space="preserve"> inmates. With the nominal sample size of </w:t>
      </w:r>
      <w:r w:rsidR="00085F5C">
        <w:rPr>
          <w:rFonts w:ascii="Times New Roman" w:hAnsi="Times New Roman"/>
        </w:rPr>
        <w:t>38,497</w:t>
      </w:r>
      <w:r w:rsidRPr="00CF7A00">
        <w:rPr>
          <w:rFonts w:ascii="Times New Roman" w:hAnsi="Times New Roman"/>
        </w:rPr>
        <w:t xml:space="preserve"> inmates, this is a design effect of </w:t>
      </w:r>
      <w:r w:rsidR="003A1A11">
        <w:rPr>
          <w:rFonts w:ascii="Times New Roman" w:hAnsi="Times New Roman"/>
        </w:rPr>
        <w:t>2.</w:t>
      </w:r>
      <w:r w:rsidR="00085F5C">
        <w:rPr>
          <w:rFonts w:ascii="Times New Roman" w:hAnsi="Times New Roman"/>
        </w:rPr>
        <w:t>45</w:t>
      </w:r>
      <w:r w:rsidRPr="00CF7A00">
        <w:rPr>
          <w:rFonts w:ascii="Times New Roman" w:hAnsi="Times New Roman"/>
        </w:rPr>
        <w:t xml:space="preserve">. </w:t>
      </w:r>
    </w:p>
    <w:p w:rsidR="00CF7A00" w:rsidP="00CF7A00" w:rsidRDefault="00CF7A00" w14:paraId="45F2D064" w14:textId="77777777">
      <w:pPr>
        <w:kinsoku w:val="0"/>
        <w:overflowPunct w:val="0"/>
        <w:rPr>
          <w:rFonts w:ascii="Times New Roman" w:hAnsi="Times New Roman"/>
          <w:szCs w:val="20"/>
        </w:rPr>
      </w:pPr>
    </w:p>
    <w:p w:rsidR="00BC5477" w:rsidP="00CB31C7" w:rsidRDefault="00CA77A7" w14:paraId="5DD2BDE3" w14:textId="5528AB29">
      <w:pPr>
        <w:kinsoku w:val="0"/>
        <w:overflowPunct w:val="0"/>
        <w:ind w:left="720"/>
        <w:rPr>
          <w:rFonts w:ascii="Times New Roman" w:hAnsi="Times New Roman"/>
        </w:rPr>
      </w:pPr>
      <w:r w:rsidRPr="00CA77A7">
        <w:rPr>
          <w:rFonts w:ascii="Times New Roman" w:hAnsi="Times New Roman"/>
        </w:rPr>
        <w:t xml:space="preserve">In the </w:t>
      </w:r>
      <w:r w:rsidR="00235F41">
        <w:rPr>
          <w:rFonts w:ascii="Times New Roman" w:hAnsi="Times New Roman"/>
        </w:rPr>
        <w:t xml:space="preserve">NIS-3 </w:t>
      </w:r>
      <w:r w:rsidRPr="00CA77A7">
        <w:rPr>
          <w:rFonts w:ascii="Times New Roman" w:hAnsi="Times New Roman"/>
        </w:rPr>
        <w:t>Methodology Report, it was assumed that 10% of the interviews would not be sexual victimization interviews to preserve confidentiality, but</w:t>
      </w:r>
      <w:r w:rsidR="00C34877">
        <w:rPr>
          <w:rFonts w:ascii="Times New Roman" w:hAnsi="Times New Roman"/>
        </w:rPr>
        <w:t xml:space="preserve"> </w:t>
      </w:r>
      <w:r w:rsidR="005964CE">
        <w:rPr>
          <w:rFonts w:ascii="Times New Roman" w:hAnsi="Times New Roman"/>
        </w:rPr>
        <w:t>for NIS-4, the</w:t>
      </w:r>
      <w:r w:rsidR="00C34877">
        <w:rPr>
          <w:rFonts w:ascii="Times New Roman" w:hAnsi="Times New Roman"/>
        </w:rPr>
        <w:t xml:space="preserve"> </w:t>
      </w:r>
      <w:r w:rsidRPr="00CA77A7">
        <w:rPr>
          <w:rFonts w:ascii="Times New Roman" w:hAnsi="Times New Roman"/>
        </w:rPr>
        <w:t>plan is to allocate 5% of the interviews as non-sexual victimization interviews</w:t>
      </w:r>
      <w:r w:rsidR="007D3E5A">
        <w:rPr>
          <w:rFonts w:ascii="Times New Roman" w:hAnsi="Times New Roman"/>
        </w:rPr>
        <w:t>.</w:t>
      </w:r>
      <w:r w:rsidRPr="00CA77A7">
        <w:rPr>
          <w:rStyle w:val="FootnoteReference"/>
          <w:rFonts w:ascii="Times New Roman" w:hAnsi="Times New Roman"/>
        </w:rPr>
        <w:footnoteReference w:id="4"/>
      </w:r>
      <w:r w:rsidRPr="00CA77A7">
        <w:rPr>
          <w:rFonts w:ascii="Times New Roman" w:hAnsi="Times New Roman"/>
        </w:rPr>
        <w:t xml:space="preserve"> </w:t>
      </w:r>
      <w:r w:rsidR="00F9724B">
        <w:rPr>
          <w:rFonts w:ascii="Times New Roman" w:hAnsi="Times New Roman"/>
        </w:rPr>
        <w:t>Table 5</w:t>
      </w:r>
      <w:r w:rsidRPr="00CA77A7">
        <w:rPr>
          <w:rFonts w:ascii="Times New Roman" w:hAnsi="Times New Roman"/>
        </w:rPr>
        <w:t xml:space="preserve"> shows </w:t>
      </w:r>
      <w:r w:rsidR="00C453DC">
        <w:rPr>
          <w:rFonts w:ascii="Times New Roman" w:hAnsi="Times New Roman"/>
        </w:rPr>
        <w:t>some</w:t>
      </w:r>
      <w:r w:rsidR="003A1A11">
        <w:rPr>
          <w:rFonts w:ascii="Times New Roman" w:hAnsi="Times New Roman"/>
        </w:rPr>
        <w:t xml:space="preserve"> representative outcome</w:t>
      </w:r>
      <w:r w:rsidR="00C453DC">
        <w:rPr>
          <w:rFonts w:ascii="Times New Roman" w:hAnsi="Times New Roman"/>
        </w:rPr>
        <w:t>s</w:t>
      </w:r>
      <w:r w:rsidR="003A1A11">
        <w:rPr>
          <w:rFonts w:ascii="Times New Roman" w:hAnsi="Times New Roman"/>
        </w:rPr>
        <w:t xml:space="preserve"> for </w:t>
      </w:r>
      <w:r w:rsidR="00C453DC">
        <w:rPr>
          <w:rFonts w:ascii="Times New Roman" w:hAnsi="Times New Roman"/>
        </w:rPr>
        <w:t>five jail sizes</w:t>
      </w:r>
      <w:r w:rsidR="003A1A11">
        <w:rPr>
          <w:rFonts w:ascii="Times New Roman" w:hAnsi="Times New Roman"/>
        </w:rPr>
        <w:t xml:space="preserve">. </w:t>
      </w:r>
      <w:r w:rsidR="00C453DC">
        <w:rPr>
          <w:rFonts w:ascii="Times New Roman" w:hAnsi="Times New Roman"/>
        </w:rPr>
        <w:t xml:space="preserve">For jails </w:t>
      </w:r>
      <w:r w:rsidR="00937D83">
        <w:rPr>
          <w:rFonts w:ascii="Times New Roman" w:hAnsi="Times New Roman"/>
        </w:rPr>
        <w:t xml:space="preserve">with </w:t>
      </w:r>
      <w:r w:rsidR="00C453DC">
        <w:rPr>
          <w:rFonts w:ascii="Times New Roman" w:hAnsi="Times New Roman"/>
        </w:rPr>
        <w:t>up to 3</w:t>
      </w:r>
      <w:r w:rsidR="00AF2431">
        <w:rPr>
          <w:rFonts w:ascii="Times New Roman" w:hAnsi="Times New Roman"/>
        </w:rPr>
        <w:t>0</w:t>
      </w:r>
      <w:r w:rsidR="00C453DC">
        <w:rPr>
          <w:rFonts w:ascii="Times New Roman" w:hAnsi="Times New Roman"/>
        </w:rPr>
        <w:t>0 inmates, 80% of the inmates are sampled, so tha</w:t>
      </w:r>
      <w:r w:rsidR="00C92C17">
        <w:rPr>
          <w:rFonts w:ascii="Times New Roman" w:hAnsi="Times New Roman"/>
        </w:rPr>
        <w:t xml:space="preserve">t </w:t>
      </w:r>
      <w:r w:rsidR="00C453DC">
        <w:rPr>
          <w:rFonts w:ascii="Times New Roman" w:hAnsi="Times New Roman"/>
        </w:rPr>
        <w:t>the sample sizes increase with jail size, and the precision levels i</w:t>
      </w:r>
      <w:r w:rsidR="00AF2431">
        <w:rPr>
          <w:rFonts w:ascii="Times New Roman" w:hAnsi="Times New Roman"/>
        </w:rPr>
        <w:t>mprove. For jails larger than 30</w:t>
      </w:r>
      <w:r w:rsidR="00C453DC">
        <w:rPr>
          <w:rFonts w:ascii="Times New Roman" w:hAnsi="Times New Roman"/>
        </w:rPr>
        <w:t>0 inmates, the sample sizes increase only gradually. The standard error calculations include an assumed design effect for weighting and a finite population correction equal to one minus the interview count divided by the jail size</w:t>
      </w:r>
      <w:r w:rsidR="003E6524">
        <w:rPr>
          <w:rFonts w:ascii="Times New Roman" w:hAnsi="Times New Roman"/>
        </w:rPr>
        <w:t xml:space="preserve"> (the final sampling rate)</w:t>
      </w:r>
      <w:r w:rsidR="004A5956">
        <w:rPr>
          <w:rStyle w:val="FootnoteReference"/>
          <w:rFonts w:ascii="Times New Roman" w:hAnsi="Times New Roman"/>
        </w:rPr>
        <w:footnoteReference w:id="5"/>
      </w:r>
      <w:r w:rsidR="00C453DC">
        <w:rPr>
          <w:rFonts w:ascii="Times New Roman" w:hAnsi="Times New Roman"/>
        </w:rPr>
        <w:t xml:space="preserve">. </w:t>
      </w:r>
      <w:r w:rsidR="00B7347B">
        <w:rPr>
          <w:rFonts w:ascii="Times New Roman" w:hAnsi="Times New Roman"/>
        </w:rPr>
        <w:t xml:space="preserve">In </w:t>
      </w:r>
      <w:r w:rsidR="00277C06">
        <w:rPr>
          <w:rFonts w:ascii="Times New Roman" w:hAnsi="Times New Roman"/>
        </w:rPr>
        <w:t xml:space="preserve">most </w:t>
      </w:r>
      <w:r w:rsidR="00B7347B">
        <w:rPr>
          <w:rFonts w:ascii="Times New Roman" w:hAnsi="Times New Roman"/>
        </w:rPr>
        <w:t xml:space="preserve">cases, the coefficient of variation is less than 50% for </w:t>
      </w:r>
      <w:r w:rsidR="00E82E41">
        <w:rPr>
          <w:rFonts w:ascii="Times New Roman" w:hAnsi="Times New Roman"/>
        </w:rPr>
        <w:t>facility-level</w:t>
      </w:r>
      <w:r w:rsidR="00B7347B">
        <w:rPr>
          <w:rFonts w:ascii="Times New Roman" w:hAnsi="Times New Roman"/>
        </w:rPr>
        <w:t xml:space="preserve"> estimates</w:t>
      </w:r>
      <w:r w:rsidR="00277C06">
        <w:rPr>
          <w:rFonts w:ascii="Times New Roman" w:hAnsi="Times New Roman"/>
        </w:rPr>
        <w:t>, but t</w:t>
      </w:r>
      <w:r w:rsidR="00B7347B">
        <w:rPr>
          <w:rFonts w:ascii="Times New Roman" w:hAnsi="Times New Roman"/>
        </w:rPr>
        <w:t>his will not be true for the smallest sampled jails</w:t>
      </w:r>
      <w:r w:rsidR="00CB31C7">
        <w:rPr>
          <w:rFonts w:ascii="Times New Roman" w:hAnsi="Times New Roman"/>
        </w:rPr>
        <w:t>.</w:t>
      </w:r>
    </w:p>
    <w:p w:rsidR="00493E2B" w:rsidP="00CB31C7" w:rsidRDefault="00493E2B" w14:paraId="04FE3FD0" w14:textId="77777777">
      <w:pPr>
        <w:kinsoku w:val="0"/>
        <w:overflowPunct w:val="0"/>
        <w:ind w:left="720"/>
        <w:rPr>
          <w:rFonts w:ascii="Times New Roman" w:hAnsi="Times New Roman"/>
        </w:rPr>
      </w:pPr>
    </w:p>
    <w:p w:rsidR="00183B09" w:rsidP="000E6D3F" w:rsidRDefault="00183B09" w14:paraId="706C27E5" w14:textId="77777777">
      <w:pPr>
        <w:pStyle w:val="L1-FlLSp12"/>
        <w:spacing w:line="240" w:lineRule="auto"/>
        <w:ind w:left="720"/>
        <w:rPr>
          <w:rFonts w:ascii="Times New Roman" w:hAnsi="Times New Roman"/>
        </w:rPr>
      </w:pPr>
    </w:p>
    <w:p w:rsidR="00183B09" w:rsidP="000E6D3F" w:rsidRDefault="00183B09" w14:paraId="6E1888D0" w14:textId="77777777">
      <w:pPr>
        <w:pStyle w:val="L1-FlLSp12"/>
        <w:spacing w:line="240" w:lineRule="auto"/>
        <w:ind w:left="720"/>
        <w:rPr>
          <w:rFonts w:ascii="Times New Roman" w:hAnsi="Times New Roman"/>
        </w:rPr>
      </w:pPr>
    </w:p>
    <w:p w:rsidR="000E6D3F" w:rsidP="00CA265E" w:rsidRDefault="000E6D3F" w14:paraId="26E8F829" w14:textId="4C4A97A3">
      <w:pPr>
        <w:pStyle w:val="L1-FlLSp12"/>
        <w:spacing w:line="240" w:lineRule="auto"/>
        <w:rPr>
          <w:rFonts w:ascii="Times New Roman" w:hAnsi="Times New Roman"/>
        </w:rPr>
      </w:pPr>
      <w:r w:rsidRPr="00FA6653">
        <w:rPr>
          <w:rFonts w:ascii="Times New Roman" w:hAnsi="Times New Roman"/>
        </w:rPr>
        <w:t xml:space="preserve">Table </w:t>
      </w:r>
      <w:r w:rsidR="00F9724B">
        <w:rPr>
          <w:rFonts w:ascii="Times New Roman" w:hAnsi="Times New Roman"/>
        </w:rPr>
        <w:t>5</w:t>
      </w:r>
      <w:r w:rsidRPr="00FA6653">
        <w:rPr>
          <w:rFonts w:ascii="Times New Roman" w:hAnsi="Times New Roman"/>
        </w:rPr>
        <w:t xml:space="preserve">. </w:t>
      </w:r>
      <w:r>
        <w:rPr>
          <w:rFonts w:ascii="Times New Roman" w:hAnsi="Times New Roman"/>
        </w:rPr>
        <w:t>Jail inmate sample</w:t>
      </w:r>
      <w:r w:rsidR="00AF2431">
        <w:rPr>
          <w:rFonts w:ascii="Times New Roman" w:hAnsi="Times New Roman"/>
        </w:rPr>
        <w:t xml:space="preserve"> </w:t>
      </w:r>
      <w:r w:rsidR="003318E2">
        <w:rPr>
          <w:rFonts w:ascii="Times New Roman" w:hAnsi="Times New Roman"/>
        </w:rPr>
        <w:t>precision</w:t>
      </w:r>
    </w:p>
    <w:p w:rsidR="00C453DC" w:rsidP="000E6D3F" w:rsidRDefault="00C453DC" w14:paraId="3E856594" w14:textId="1E96B396">
      <w:pPr>
        <w:pStyle w:val="L1-FlLSp12"/>
        <w:spacing w:line="240" w:lineRule="auto"/>
        <w:ind w:left="720"/>
        <w:rPr>
          <w:rFonts w:ascii="Times New Roman" w:hAnsi="Times New Roman"/>
        </w:rPr>
      </w:pPr>
    </w:p>
    <w:tbl>
      <w:tblPr>
        <w:tblW w:w="8730" w:type="dxa"/>
        <w:tblLook w:val="04A0" w:firstRow="1" w:lastRow="0" w:firstColumn="1" w:lastColumn="0" w:noHBand="0" w:noVBand="1"/>
      </w:tblPr>
      <w:tblGrid>
        <w:gridCol w:w="4255"/>
        <w:gridCol w:w="895"/>
        <w:gridCol w:w="895"/>
        <w:gridCol w:w="895"/>
        <w:gridCol w:w="895"/>
        <w:gridCol w:w="895"/>
      </w:tblGrid>
      <w:tr w:rsidRPr="003318E2" w:rsidR="0074593E" w:rsidTr="00AF2431" w14:paraId="32DE0410" w14:textId="77777777">
        <w:trPr>
          <w:trHeight w:val="300"/>
        </w:trPr>
        <w:tc>
          <w:tcPr>
            <w:tcW w:w="4255" w:type="dxa"/>
            <w:tcBorders>
              <w:top w:val="single" w:color="auto" w:sz="4" w:space="0"/>
              <w:left w:val="nil"/>
              <w:bottom w:val="single" w:color="auto" w:sz="4" w:space="0"/>
              <w:right w:val="single" w:color="auto" w:sz="4" w:space="0"/>
            </w:tcBorders>
            <w:shd w:val="clear" w:color="auto" w:fill="auto"/>
            <w:vAlign w:val="center"/>
            <w:hideMark/>
          </w:tcPr>
          <w:p w:rsidRPr="003318E2" w:rsidR="00C453DC" w:rsidP="00C453DC" w:rsidRDefault="00C453DC" w14:paraId="5E0E1B34" w14:textId="77777777">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Jail inmate count</w:t>
            </w:r>
          </w:p>
        </w:tc>
        <w:tc>
          <w:tcPr>
            <w:tcW w:w="895" w:type="dxa"/>
            <w:tcBorders>
              <w:top w:val="single" w:color="auto" w:sz="4" w:space="0"/>
              <w:left w:val="nil"/>
              <w:bottom w:val="single" w:color="auto" w:sz="4" w:space="0"/>
              <w:right w:val="single" w:color="auto" w:sz="4" w:space="0"/>
            </w:tcBorders>
            <w:shd w:val="clear" w:color="auto" w:fill="auto"/>
            <w:noWrap/>
            <w:vAlign w:val="bottom"/>
            <w:hideMark/>
          </w:tcPr>
          <w:p w:rsidRPr="003318E2" w:rsidR="00C453DC" w:rsidP="00C453DC" w:rsidRDefault="00C453DC" w14:paraId="5E3675FA" w14:textId="77777777">
            <w:pPr>
              <w:widowControl/>
              <w:autoSpaceDE/>
              <w:autoSpaceDN/>
              <w:adjustRightInd/>
              <w:jc w:val="right"/>
              <w:rPr>
                <w:rFonts w:ascii="Times New Roman" w:hAnsi="Times New Roman"/>
                <w:b/>
                <w:bCs/>
                <w:color w:val="000000"/>
                <w:sz w:val="22"/>
                <w:szCs w:val="22"/>
              </w:rPr>
            </w:pPr>
            <w:r w:rsidRPr="003318E2">
              <w:rPr>
                <w:rFonts w:ascii="Times New Roman" w:hAnsi="Times New Roman"/>
                <w:b/>
                <w:bCs/>
                <w:color w:val="000000"/>
                <w:sz w:val="22"/>
                <w:szCs w:val="22"/>
              </w:rPr>
              <w:t>200</w:t>
            </w:r>
          </w:p>
        </w:tc>
        <w:tc>
          <w:tcPr>
            <w:tcW w:w="895" w:type="dxa"/>
            <w:tcBorders>
              <w:top w:val="single" w:color="auto" w:sz="4" w:space="0"/>
              <w:left w:val="nil"/>
              <w:bottom w:val="single" w:color="auto" w:sz="4" w:space="0"/>
              <w:right w:val="single" w:color="auto" w:sz="4" w:space="0"/>
            </w:tcBorders>
            <w:shd w:val="clear" w:color="auto" w:fill="auto"/>
            <w:noWrap/>
            <w:vAlign w:val="bottom"/>
            <w:hideMark/>
          </w:tcPr>
          <w:p w:rsidRPr="003318E2" w:rsidR="00C453DC" w:rsidP="00C453DC" w:rsidRDefault="00C453DC" w14:paraId="6A58DAB9" w14:textId="77777777">
            <w:pPr>
              <w:widowControl/>
              <w:autoSpaceDE/>
              <w:autoSpaceDN/>
              <w:adjustRightInd/>
              <w:jc w:val="right"/>
              <w:rPr>
                <w:rFonts w:ascii="Times New Roman" w:hAnsi="Times New Roman"/>
                <w:b/>
                <w:bCs/>
                <w:color w:val="000000"/>
                <w:sz w:val="22"/>
                <w:szCs w:val="22"/>
              </w:rPr>
            </w:pPr>
            <w:r w:rsidRPr="003318E2">
              <w:rPr>
                <w:rFonts w:ascii="Times New Roman" w:hAnsi="Times New Roman"/>
                <w:b/>
                <w:bCs/>
                <w:color w:val="000000"/>
                <w:sz w:val="22"/>
                <w:szCs w:val="22"/>
              </w:rPr>
              <w:t>300</w:t>
            </w:r>
          </w:p>
        </w:tc>
        <w:tc>
          <w:tcPr>
            <w:tcW w:w="895" w:type="dxa"/>
            <w:tcBorders>
              <w:top w:val="single" w:color="auto" w:sz="4" w:space="0"/>
              <w:left w:val="nil"/>
              <w:bottom w:val="single" w:color="auto" w:sz="4" w:space="0"/>
              <w:right w:val="single" w:color="auto" w:sz="4" w:space="0"/>
            </w:tcBorders>
            <w:shd w:val="clear" w:color="auto" w:fill="auto"/>
            <w:noWrap/>
            <w:vAlign w:val="bottom"/>
            <w:hideMark/>
          </w:tcPr>
          <w:p w:rsidRPr="003318E2" w:rsidR="00C453DC" w:rsidP="00C453DC" w:rsidRDefault="00C453DC" w14:paraId="6DCBE26A" w14:textId="77777777">
            <w:pPr>
              <w:widowControl/>
              <w:autoSpaceDE/>
              <w:autoSpaceDN/>
              <w:adjustRightInd/>
              <w:jc w:val="right"/>
              <w:rPr>
                <w:rFonts w:ascii="Times New Roman" w:hAnsi="Times New Roman"/>
                <w:b/>
                <w:bCs/>
                <w:color w:val="000000"/>
                <w:sz w:val="22"/>
                <w:szCs w:val="22"/>
              </w:rPr>
            </w:pPr>
            <w:r w:rsidRPr="003318E2">
              <w:rPr>
                <w:rFonts w:ascii="Times New Roman" w:hAnsi="Times New Roman"/>
                <w:b/>
                <w:bCs/>
                <w:color w:val="000000"/>
                <w:sz w:val="22"/>
                <w:szCs w:val="22"/>
              </w:rPr>
              <w:t>390</w:t>
            </w:r>
          </w:p>
        </w:tc>
        <w:tc>
          <w:tcPr>
            <w:tcW w:w="895" w:type="dxa"/>
            <w:tcBorders>
              <w:top w:val="single" w:color="auto" w:sz="4" w:space="0"/>
              <w:left w:val="nil"/>
              <w:bottom w:val="single" w:color="auto" w:sz="4" w:space="0"/>
              <w:right w:val="single" w:color="auto" w:sz="4" w:space="0"/>
            </w:tcBorders>
            <w:shd w:val="clear" w:color="auto" w:fill="auto"/>
            <w:noWrap/>
            <w:vAlign w:val="bottom"/>
            <w:hideMark/>
          </w:tcPr>
          <w:p w:rsidRPr="003318E2" w:rsidR="00C453DC" w:rsidP="00C453DC" w:rsidRDefault="00C453DC" w14:paraId="41B9FC56" w14:textId="77777777">
            <w:pPr>
              <w:widowControl/>
              <w:autoSpaceDE/>
              <w:autoSpaceDN/>
              <w:adjustRightInd/>
              <w:jc w:val="right"/>
              <w:rPr>
                <w:rFonts w:ascii="Times New Roman" w:hAnsi="Times New Roman"/>
                <w:b/>
                <w:bCs/>
                <w:color w:val="000000"/>
                <w:sz w:val="22"/>
                <w:szCs w:val="22"/>
              </w:rPr>
            </w:pPr>
            <w:r w:rsidRPr="003318E2">
              <w:rPr>
                <w:rFonts w:ascii="Times New Roman" w:hAnsi="Times New Roman"/>
                <w:b/>
                <w:bCs/>
                <w:color w:val="000000"/>
                <w:sz w:val="22"/>
                <w:szCs w:val="22"/>
              </w:rPr>
              <w:t>750</w:t>
            </w:r>
          </w:p>
        </w:tc>
        <w:tc>
          <w:tcPr>
            <w:tcW w:w="895" w:type="dxa"/>
            <w:tcBorders>
              <w:top w:val="single" w:color="auto" w:sz="4" w:space="0"/>
              <w:left w:val="nil"/>
              <w:bottom w:val="single" w:color="auto" w:sz="4" w:space="0"/>
              <w:right w:val="nil"/>
            </w:tcBorders>
            <w:shd w:val="clear" w:color="auto" w:fill="auto"/>
            <w:noWrap/>
            <w:vAlign w:val="bottom"/>
            <w:hideMark/>
          </w:tcPr>
          <w:p w:rsidRPr="003318E2" w:rsidR="00C453DC" w:rsidP="00C453DC" w:rsidRDefault="00C453DC" w14:paraId="17124497" w14:textId="77777777">
            <w:pPr>
              <w:widowControl/>
              <w:autoSpaceDE/>
              <w:autoSpaceDN/>
              <w:adjustRightInd/>
              <w:jc w:val="right"/>
              <w:rPr>
                <w:rFonts w:ascii="Times New Roman" w:hAnsi="Times New Roman"/>
                <w:b/>
                <w:bCs/>
                <w:color w:val="000000"/>
                <w:sz w:val="22"/>
                <w:szCs w:val="22"/>
              </w:rPr>
            </w:pPr>
            <w:r w:rsidRPr="003318E2">
              <w:rPr>
                <w:rFonts w:ascii="Times New Roman" w:hAnsi="Times New Roman"/>
                <w:b/>
                <w:bCs/>
                <w:color w:val="000000"/>
                <w:sz w:val="22"/>
                <w:szCs w:val="22"/>
              </w:rPr>
              <w:t>2500</w:t>
            </w:r>
          </w:p>
        </w:tc>
      </w:tr>
      <w:tr w:rsidRPr="003318E2" w:rsidR="00AF2431" w:rsidTr="00AF2431" w14:paraId="1BBB96C4" w14:textId="77777777">
        <w:trPr>
          <w:trHeight w:val="300"/>
        </w:trPr>
        <w:tc>
          <w:tcPr>
            <w:tcW w:w="4255" w:type="dxa"/>
            <w:tcBorders>
              <w:top w:val="nil"/>
              <w:left w:val="nil"/>
              <w:bottom w:val="nil"/>
              <w:right w:val="single" w:color="auto" w:sz="4" w:space="0"/>
            </w:tcBorders>
            <w:shd w:val="clear" w:color="auto" w:fill="auto"/>
            <w:vAlign w:val="center"/>
            <w:hideMark/>
          </w:tcPr>
          <w:p w:rsidRPr="003318E2" w:rsidR="00AF2431" w:rsidP="00AF2431" w:rsidRDefault="00AF2431" w14:paraId="0A4E9DED" w14:textId="77777777">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Jail inmate sampling rate</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050D44D9" w14:textId="3D5F3470">
            <w:pPr>
              <w:widowControl/>
              <w:autoSpaceDE/>
              <w:autoSpaceDN/>
              <w:adjustRightInd/>
              <w:jc w:val="right"/>
              <w:rPr>
                <w:rFonts w:ascii="Times New Roman" w:hAnsi="Times New Roman"/>
                <w:color w:val="000000"/>
                <w:sz w:val="22"/>
                <w:szCs w:val="22"/>
              </w:rPr>
            </w:pPr>
            <w:r w:rsidRPr="003318E2">
              <w:rPr>
                <w:color w:val="000000"/>
                <w:sz w:val="22"/>
                <w:szCs w:val="22"/>
              </w:rPr>
              <w:t>80%</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6916F1B3" w14:textId="1C7A043B">
            <w:pPr>
              <w:widowControl/>
              <w:autoSpaceDE/>
              <w:autoSpaceDN/>
              <w:adjustRightInd/>
              <w:jc w:val="right"/>
              <w:rPr>
                <w:rFonts w:ascii="Times New Roman" w:hAnsi="Times New Roman"/>
                <w:color w:val="000000"/>
                <w:sz w:val="22"/>
                <w:szCs w:val="22"/>
              </w:rPr>
            </w:pPr>
            <w:r w:rsidRPr="003318E2">
              <w:rPr>
                <w:color w:val="000000"/>
                <w:sz w:val="22"/>
                <w:szCs w:val="22"/>
              </w:rPr>
              <w:t>80%</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30435B10" w14:textId="13F4C327">
            <w:pPr>
              <w:widowControl/>
              <w:autoSpaceDE/>
              <w:autoSpaceDN/>
              <w:adjustRightInd/>
              <w:jc w:val="right"/>
              <w:rPr>
                <w:rFonts w:ascii="Times New Roman" w:hAnsi="Times New Roman"/>
                <w:color w:val="000000"/>
                <w:sz w:val="22"/>
                <w:szCs w:val="22"/>
              </w:rPr>
            </w:pPr>
            <w:r w:rsidRPr="003318E2">
              <w:rPr>
                <w:color w:val="000000"/>
                <w:sz w:val="22"/>
                <w:szCs w:val="22"/>
              </w:rPr>
              <w:t>65%</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23093208" w14:textId="0E3ABF05">
            <w:pPr>
              <w:widowControl/>
              <w:autoSpaceDE/>
              <w:autoSpaceDN/>
              <w:adjustRightInd/>
              <w:jc w:val="right"/>
              <w:rPr>
                <w:rFonts w:ascii="Times New Roman" w:hAnsi="Times New Roman"/>
                <w:color w:val="000000"/>
                <w:sz w:val="22"/>
                <w:szCs w:val="22"/>
              </w:rPr>
            </w:pPr>
            <w:r w:rsidRPr="003318E2">
              <w:rPr>
                <w:color w:val="000000"/>
                <w:sz w:val="22"/>
                <w:szCs w:val="22"/>
              </w:rPr>
              <w:t>36%</w:t>
            </w:r>
          </w:p>
        </w:tc>
        <w:tc>
          <w:tcPr>
            <w:tcW w:w="895" w:type="dxa"/>
            <w:tcBorders>
              <w:top w:val="nil"/>
              <w:left w:val="nil"/>
              <w:bottom w:val="nil"/>
              <w:right w:val="nil"/>
            </w:tcBorders>
            <w:shd w:val="clear" w:color="auto" w:fill="auto"/>
            <w:noWrap/>
            <w:vAlign w:val="bottom"/>
            <w:hideMark/>
          </w:tcPr>
          <w:p w:rsidRPr="003318E2" w:rsidR="00AF2431" w:rsidP="00AF2431" w:rsidRDefault="00AF2431" w14:paraId="32D11FBE" w14:textId="7D1E0B29">
            <w:pPr>
              <w:widowControl/>
              <w:autoSpaceDE/>
              <w:autoSpaceDN/>
              <w:adjustRightInd/>
              <w:jc w:val="right"/>
              <w:rPr>
                <w:rFonts w:ascii="Times New Roman" w:hAnsi="Times New Roman"/>
                <w:color w:val="000000"/>
                <w:sz w:val="22"/>
                <w:szCs w:val="22"/>
              </w:rPr>
            </w:pPr>
            <w:r w:rsidRPr="003318E2">
              <w:rPr>
                <w:color w:val="000000"/>
                <w:sz w:val="22"/>
                <w:szCs w:val="22"/>
              </w:rPr>
              <w:t>12%</w:t>
            </w:r>
          </w:p>
        </w:tc>
      </w:tr>
      <w:tr w:rsidRPr="003318E2" w:rsidR="00AF2431" w:rsidTr="00AF2431" w14:paraId="4A18105F" w14:textId="77777777">
        <w:trPr>
          <w:trHeight w:val="300"/>
        </w:trPr>
        <w:tc>
          <w:tcPr>
            <w:tcW w:w="4255" w:type="dxa"/>
            <w:tcBorders>
              <w:top w:val="nil"/>
              <w:left w:val="nil"/>
              <w:bottom w:val="nil"/>
              <w:right w:val="single" w:color="auto" w:sz="4" w:space="0"/>
            </w:tcBorders>
            <w:shd w:val="clear" w:color="auto" w:fill="auto"/>
            <w:vAlign w:val="center"/>
            <w:hideMark/>
          </w:tcPr>
          <w:p w:rsidRPr="003318E2" w:rsidR="00AF2431" w:rsidP="00AF2431" w:rsidRDefault="00AF2431" w14:paraId="06938F69" w14:textId="77777777">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Jail inmate sample size</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65F15714" w14:textId="67F3A7EE">
            <w:pPr>
              <w:widowControl/>
              <w:autoSpaceDE/>
              <w:autoSpaceDN/>
              <w:adjustRightInd/>
              <w:jc w:val="right"/>
              <w:rPr>
                <w:rFonts w:ascii="Times New Roman" w:hAnsi="Times New Roman"/>
                <w:color w:val="000000"/>
                <w:sz w:val="22"/>
                <w:szCs w:val="22"/>
              </w:rPr>
            </w:pPr>
            <w:r w:rsidRPr="003318E2">
              <w:rPr>
                <w:color w:val="000000"/>
                <w:sz w:val="22"/>
                <w:szCs w:val="22"/>
              </w:rPr>
              <w:t>160</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76A69359" w14:textId="4D365D1D">
            <w:pPr>
              <w:widowControl/>
              <w:autoSpaceDE/>
              <w:autoSpaceDN/>
              <w:adjustRightInd/>
              <w:jc w:val="right"/>
              <w:rPr>
                <w:rFonts w:ascii="Times New Roman" w:hAnsi="Times New Roman"/>
                <w:color w:val="000000"/>
                <w:sz w:val="22"/>
                <w:szCs w:val="22"/>
              </w:rPr>
            </w:pPr>
            <w:r w:rsidRPr="003318E2">
              <w:rPr>
                <w:color w:val="000000"/>
                <w:sz w:val="22"/>
                <w:szCs w:val="22"/>
              </w:rPr>
              <w:t>240</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6F6FAB8D" w14:textId="223B4DC4">
            <w:pPr>
              <w:widowControl/>
              <w:autoSpaceDE/>
              <w:autoSpaceDN/>
              <w:adjustRightInd/>
              <w:jc w:val="right"/>
              <w:rPr>
                <w:rFonts w:ascii="Times New Roman" w:hAnsi="Times New Roman"/>
                <w:color w:val="000000"/>
                <w:sz w:val="22"/>
                <w:szCs w:val="22"/>
              </w:rPr>
            </w:pPr>
            <w:r w:rsidRPr="003318E2">
              <w:rPr>
                <w:color w:val="000000"/>
                <w:sz w:val="22"/>
                <w:szCs w:val="22"/>
              </w:rPr>
              <w:t>253</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2A15218E" w14:textId="563E6475">
            <w:pPr>
              <w:widowControl/>
              <w:autoSpaceDE/>
              <w:autoSpaceDN/>
              <w:adjustRightInd/>
              <w:jc w:val="right"/>
              <w:rPr>
                <w:rFonts w:ascii="Times New Roman" w:hAnsi="Times New Roman"/>
                <w:color w:val="000000"/>
                <w:sz w:val="22"/>
                <w:szCs w:val="22"/>
              </w:rPr>
            </w:pPr>
            <w:r w:rsidRPr="003318E2">
              <w:rPr>
                <w:color w:val="000000"/>
                <w:sz w:val="22"/>
                <w:szCs w:val="22"/>
              </w:rPr>
              <w:t>270</w:t>
            </w:r>
          </w:p>
        </w:tc>
        <w:tc>
          <w:tcPr>
            <w:tcW w:w="895" w:type="dxa"/>
            <w:tcBorders>
              <w:top w:val="nil"/>
              <w:left w:val="nil"/>
              <w:bottom w:val="nil"/>
              <w:right w:val="nil"/>
            </w:tcBorders>
            <w:shd w:val="clear" w:color="auto" w:fill="auto"/>
            <w:noWrap/>
            <w:vAlign w:val="bottom"/>
            <w:hideMark/>
          </w:tcPr>
          <w:p w:rsidRPr="003318E2" w:rsidR="00AF2431" w:rsidP="00AF2431" w:rsidRDefault="00AF2431" w14:paraId="07B51CA1" w14:textId="59D68745">
            <w:pPr>
              <w:widowControl/>
              <w:autoSpaceDE/>
              <w:autoSpaceDN/>
              <w:adjustRightInd/>
              <w:jc w:val="right"/>
              <w:rPr>
                <w:rFonts w:ascii="Times New Roman" w:hAnsi="Times New Roman"/>
                <w:color w:val="000000"/>
                <w:sz w:val="22"/>
                <w:szCs w:val="22"/>
              </w:rPr>
            </w:pPr>
            <w:r w:rsidRPr="003318E2">
              <w:rPr>
                <w:color w:val="000000"/>
                <w:sz w:val="22"/>
                <w:szCs w:val="22"/>
              </w:rPr>
              <w:t>305</w:t>
            </w:r>
          </w:p>
        </w:tc>
      </w:tr>
      <w:tr w:rsidRPr="003318E2" w:rsidR="00AF2431" w:rsidTr="00AF2431" w14:paraId="16CE53D4" w14:textId="77777777">
        <w:trPr>
          <w:trHeight w:val="300"/>
        </w:trPr>
        <w:tc>
          <w:tcPr>
            <w:tcW w:w="4255" w:type="dxa"/>
            <w:tcBorders>
              <w:top w:val="nil"/>
              <w:left w:val="nil"/>
              <w:bottom w:val="nil"/>
              <w:right w:val="single" w:color="auto" w:sz="4" w:space="0"/>
            </w:tcBorders>
            <w:shd w:val="clear" w:color="auto" w:fill="auto"/>
            <w:vAlign w:val="center"/>
            <w:hideMark/>
          </w:tcPr>
          <w:p w:rsidRPr="003318E2" w:rsidR="00AF2431" w:rsidP="00AF2431" w:rsidRDefault="00AF2431" w14:paraId="1838FC15" w14:textId="77777777">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Assumed response rate</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5D2B76DC" w14:textId="09B70F5C">
            <w:pPr>
              <w:widowControl/>
              <w:autoSpaceDE/>
              <w:autoSpaceDN/>
              <w:adjustRightInd/>
              <w:jc w:val="right"/>
              <w:rPr>
                <w:rFonts w:ascii="Times New Roman" w:hAnsi="Times New Roman"/>
                <w:color w:val="000000"/>
                <w:sz w:val="22"/>
                <w:szCs w:val="22"/>
              </w:rPr>
            </w:pPr>
            <w:r w:rsidRPr="003318E2">
              <w:rPr>
                <w:color w:val="000000"/>
                <w:sz w:val="22"/>
                <w:szCs w:val="22"/>
              </w:rPr>
              <w:t>62%</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677BCFD4" w14:textId="5A4BF8FE">
            <w:pPr>
              <w:widowControl/>
              <w:autoSpaceDE/>
              <w:autoSpaceDN/>
              <w:adjustRightInd/>
              <w:jc w:val="right"/>
              <w:rPr>
                <w:rFonts w:ascii="Times New Roman" w:hAnsi="Times New Roman"/>
                <w:color w:val="000000"/>
                <w:sz w:val="22"/>
                <w:szCs w:val="22"/>
              </w:rPr>
            </w:pPr>
            <w:r w:rsidRPr="003318E2">
              <w:rPr>
                <w:color w:val="000000"/>
                <w:sz w:val="22"/>
                <w:szCs w:val="22"/>
              </w:rPr>
              <w:t>62%</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13E0E62A" w14:textId="10C7702A">
            <w:pPr>
              <w:widowControl/>
              <w:autoSpaceDE/>
              <w:autoSpaceDN/>
              <w:adjustRightInd/>
              <w:jc w:val="right"/>
              <w:rPr>
                <w:rFonts w:ascii="Times New Roman" w:hAnsi="Times New Roman"/>
                <w:color w:val="000000"/>
                <w:sz w:val="22"/>
                <w:szCs w:val="22"/>
              </w:rPr>
            </w:pPr>
            <w:r w:rsidRPr="003318E2">
              <w:rPr>
                <w:color w:val="000000"/>
                <w:sz w:val="22"/>
                <w:szCs w:val="22"/>
              </w:rPr>
              <w:t>62%</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35EA8D2F" w14:textId="3EFB7D99">
            <w:pPr>
              <w:widowControl/>
              <w:autoSpaceDE/>
              <w:autoSpaceDN/>
              <w:adjustRightInd/>
              <w:jc w:val="right"/>
              <w:rPr>
                <w:rFonts w:ascii="Times New Roman" w:hAnsi="Times New Roman"/>
                <w:color w:val="000000"/>
                <w:sz w:val="22"/>
                <w:szCs w:val="22"/>
              </w:rPr>
            </w:pPr>
            <w:r w:rsidRPr="003318E2">
              <w:rPr>
                <w:color w:val="000000"/>
                <w:sz w:val="22"/>
                <w:szCs w:val="22"/>
              </w:rPr>
              <w:t>62%</w:t>
            </w:r>
          </w:p>
        </w:tc>
        <w:tc>
          <w:tcPr>
            <w:tcW w:w="895" w:type="dxa"/>
            <w:tcBorders>
              <w:top w:val="nil"/>
              <w:left w:val="nil"/>
              <w:bottom w:val="nil"/>
              <w:right w:val="nil"/>
            </w:tcBorders>
            <w:shd w:val="clear" w:color="auto" w:fill="auto"/>
            <w:noWrap/>
            <w:vAlign w:val="bottom"/>
            <w:hideMark/>
          </w:tcPr>
          <w:p w:rsidRPr="003318E2" w:rsidR="00AF2431" w:rsidP="00AF2431" w:rsidRDefault="00AF2431" w14:paraId="02371932" w14:textId="24F7B85A">
            <w:pPr>
              <w:widowControl/>
              <w:autoSpaceDE/>
              <w:autoSpaceDN/>
              <w:adjustRightInd/>
              <w:jc w:val="right"/>
              <w:rPr>
                <w:rFonts w:ascii="Times New Roman" w:hAnsi="Times New Roman"/>
                <w:color w:val="000000"/>
                <w:sz w:val="22"/>
                <w:szCs w:val="22"/>
              </w:rPr>
            </w:pPr>
            <w:r w:rsidRPr="003318E2">
              <w:rPr>
                <w:color w:val="000000"/>
                <w:sz w:val="22"/>
                <w:szCs w:val="22"/>
              </w:rPr>
              <w:t>62%</w:t>
            </w:r>
          </w:p>
        </w:tc>
      </w:tr>
      <w:tr w:rsidRPr="003318E2" w:rsidR="00AF2431" w:rsidTr="00AF2431" w14:paraId="6411B39A" w14:textId="77777777">
        <w:trPr>
          <w:trHeight w:val="300"/>
        </w:trPr>
        <w:tc>
          <w:tcPr>
            <w:tcW w:w="4255" w:type="dxa"/>
            <w:tcBorders>
              <w:top w:val="nil"/>
              <w:left w:val="nil"/>
              <w:bottom w:val="nil"/>
              <w:right w:val="single" w:color="auto" w:sz="4" w:space="0"/>
            </w:tcBorders>
            <w:shd w:val="clear" w:color="auto" w:fill="auto"/>
            <w:vAlign w:val="center"/>
            <w:hideMark/>
          </w:tcPr>
          <w:p w:rsidRPr="003318E2" w:rsidR="00AF2431" w:rsidP="00AF2431" w:rsidRDefault="00AF2431" w14:paraId="0472BC7F" w14:textId="143B2514">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Total jail inmate interviews</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40B5FB66" w14:textId="0C60FFDF">
            <w:pPr>
              <w:widowControl/>
              <w:autoSpaceDE/>
              <w:autoSpaceDN/>
              <w:adjustRightInd/>
              <w:jc w:val="right"/>
              <w:rPr>
                <w:rFonts w:ascii="Times New Roman" w:hAnsi="Times New Roman"/>
                <w:color w:val="000000"/>
                <w:sz w:val="22"/>
                <w:szCs w:val="22"/>
              </w:rPr>
            </w:pPr>
            <w:r w:rsidRPr="003318E2">
              <w:rPr>
                <w:color w:val="000000"/>
                <w:sz w:val="22"/>
                <w:szCs w:val="22"/>
              </w:rPr>
              <w:t>99</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207A58CA" w14:textId="66A06286">
            <w:pPr>
              <w:widowControl/>
              <w:autoSpaceDE/>
              <w:autoSpaceDN/>
              <w:adjustRightInd/>
              <w:jc w:val="right"/>
              <w:rPr>
                <w:rFonts w:ascii="Times New Roman" w:hAnsi="Times New Roman"/>
                <w:color w:val="000000"/>
                <w:sz w:val="22"/>
                <w:szCs w:val="22"/>
              </w:rPr>
            </w:pPr>
            <w:r w:rsidRPr="003318E2">
              <w:rPr>
                <w:color w:val="000000"/>
                <w:sz w:val="22"/>
                <w:szCs w:val="22"/>
              </w:rPr>
              <w:t>149</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10AD03F8" w14:textId="755E831A">
            <w:pPr>
              <w:widowControl/>
              <w:autoSpaceDE/>
              <w:autoSpaceDN/>
              <w:adjustRightInd/>
              <w:jc w:val="right"/>
              <w:rPr>
                <w:rFonts w:ascii="Times New Roman" w:hAnsi="Times New Roman"/>
                <w:color w:val="000000"/>
                <w:sz w:val="22"/>
                <w:szCs w:val="22"/>
              </w:rPr>
            </w:pPr>
            <w:r w:rsidRPr="003318E2">
              <w:rPr>
                <w:color w:val="000000"/>
                <w:sz w:val="22"/>
                <w:szCs w:val="22"/>
              </w:rPr>
              <w:t>157</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587DF89D" w14:textId="1C60E792">
            <w:pPr>
              <w:widowControl/>
              <w:autoSpaceDE/>
              <w:autoSpaceDN/>
              <w:adjustRightInd/>
              <w:jc w:val="right"/>
              <w:rPr>
                <w:rFonts w:ascii="Times New Roman" w:hAnsi="Times New Roman"/>
                <w:color w:val="000000"/>
                <w:sz w:val="22"/>
                <w:szCs w:val="22"/>
              </w:rPr>
            </w:pPr>
            <w:r w:rsidRPr="003318E2">
              <w:rPr>
                <w:color w:val="000000"/>
                <w:sz w:val="22"/>
                <w:szCs w:val="22"/>
              </w:rPr>
              <w:t>168</w:t>
            </w:r>
          </w:p>
        </w:tc>
        <w:tc>
          <w:tcPr>
            <w:tcW w:w="895" w:type="dxa"/>
            <w:tcBorders>
              <w:top w:val="nil"/>
              <w:left w:val="nil"/>
              <w:bottom w:val="nil"/>
              <w:right w:val="nil"/>
            </w:tcBorders>
            <w:shd w:val="clear" w:color="auto" w:fill="auto"/>
            <w:noWrap/>
            <w:vAlign w:val="bottom"/>
            <w:hideMark/>
          </w:tcPr>
          <w:p w:rsidRPr="003318E2" w:rsidR="00AF2431" w:rsidP="00AF2431" w:rsidRDefault="00AF2431" w14:paraId="73B78FB9" w14:textId="45654FD2">
            <w:pPr>
              <w:widowControl/>
              <w:autoSpaceDE/>
              <w:autoSpaceDN/>
              <w:adjustRightInd/>
              <w:jc w:val="right"/>
              <w:rPr>
                <w:rFonts w:ascii="Times New Roman" w:hAnsi="Times New Roman"/>
                <w:color w:val="000000"/>
                <w:sz w:val="22"/>
                <w:szCs w:val="22"/>
              </w:rPr>
            </w:pPr>
            <w:r w:rsidRPr="003318E2">
              <w:rPr>
                <w:color w:val="000000"/>
                <w:sz w:val="22"/>
                <w:szCs w:val="22"/>
              </w:rPr>
              <w:t>189</w:t>
            </w:r>
          </w:p>
        </w:tc>
      </w:tr>
      <w:tr w:rsidRPr="003318E2" w:rsidR="00AF2431" w:rsidTr="00AF2431" w14:paraId="2D59A200" w14:textId="77777777">
        <w:trPr>
          <w:trHeight w:val="330"/>
        </w:trPr>
        <w:tc>
          <w:tcPr>
            <w:tcW w:w="4255" w:type="dxa"/>
            <w:tcBorders>
              <w:top w:val="nil"/>
              <w:left w:val="nil"/>
              <w:bottom w:val="nil"/>
              <w:right w:val="single" w:color="auto" w:sz="4" w:space="0"/>
            </w:tcBorders>
            <w:shd w:val="clear" w:color="auto" w:fill="auto"/>
            <w:vAlign w:val="center"/>
            <w:hideMark/>
          </w:tcPr>
          <w:p w:rsidRPr="003318E2" w:rsidR="00AF2431" w:rsidP="00AF2431" w:rsidRDefault="00AF2431" w14:paraId="1623FD7B" w14:textId="77777777">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Percent given sexual victimization  instrument</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7DC005B0" w14:textId="493DDD40">
            <w:pPr>
              <w:widowControl/>
              <w:autoSpaceDE/>
              <w:autoSpaceDN/>
              <w:adjustRightInd/>
              <w:jc w:val="right"/>
              <w:rPr>
                <w:rFonts w:ascii="Times New Roman" w:hAnsi="Times New Roman"/>
                <w:color w:val="000000"/>
                <w:sz w:val="22"/>
                <w:szCs w:val="22"/>
              </w:rPr>
            </w:pPr>
            <w:r w:rsidRPr="003318E2">
              <w:rPr>
                <w:color w:val="000000"/>
                <w:sz w:val="22"/>
                <w:szCs w:val="22"/>
              </w:rPr>
              <w:t>95%</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4AA71F02" w14:textId="5ADAD1F2">
            <w:pPr>
              <w:widowControl/>
              <w:autoSpaceDE/>
              <w:autoSpaceDN/>
              <w:adjustRightInd/>
              <w:jc w:val="right"/>
              <w:rPr>
                <w:rFonts w:ascii="Times New Roman" w:hAnsi="Times New Roman"/>
                <w:color w:val="000000"/>
                <w:sz w:val="22"/>
                <w:szCs w:val="22"/>
              </w:rPr>
            </w:pPr>
            <w:r w:rsidRPr="003318E2">
              <w:rPr>
                <w:color w:val="000000"/>
                <w:sz w:val="22"/>
                <w:szCs w:val="22"/>
              </w:rPr>
              <w:t>95%</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085D6320" w14:textId="17843EA0">
            <w:pPr>
              <w:widowControl/>
              <w:autoSpaceDE/>
              <w:autoSpaceDN/>
              <w:adjustRightInd/>
              <w:jc w:val="right"/>
              <w:rPr>
                <w:rFonts w:ascii="Times New Roman" w:hAnsi="Times New Roman"/>
                <w:color w:val="000000"/>
                <w:sz w:val="22"/>
                <w:szCs w:val="22"/>
              </w:rPr>
            </w:pPr>
            <w:r w:rsidRPr="003318E2">
              <w:rPr>
                <w:color w:val="000000"/>
                <w:sz w:val="22"/>
                <w:szCs w:val="22"/>
              </w:rPr>
              <w:t>95%</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01B07C79" w14:textId="43DF0B32">
            <w:pPr>
              <w:widowControl/>
              <w:autoSpaceDE/>
              <w:autoSpaceDN/>
              <w:adjustRightInd/>
              <w:jc w:val="right"/>
              <w:rPr>
                <w:rFonts w:ascii="Times New Roman" w:hAnsi="Times New Roman"/>
                <w:color w:val="000000"/>
                <w:sz w:val="22"/>
                <w:szCs w:val="22"/>
              </w:rPr>
            </w:pPr>
            <w:r w:rsidRPr="003318E2">
              <w:rPr>
                <w:color w:val="000000"/>
                <w:sz w:val="22"/>
                <w:szCs w:val="22"/>
              </w:rPr>
              <w:t>95%</w:t>
            </w:r>
          </w:p>
        </w:tc>
        <w:tc>
          <w:tcPr>
            <w:tcW w:w="895" w:type="dxa"/>
            <w:tcBorders>
              <w:top w:val="nil"/>
              <w:left w:val="nil"/>
              <w:bottom w:val="nil"/>
              <w:right w:val="nil"/>
            </w:tcBorders>
            <w:shd w:val="clear" w:color="auto" w:fill="auto"/>
            <w:noWrap/>
            <w:vAlign w:val="bottom"/>
            <w:hideMark/>
          </w:tcPr>
          <w:p w:rsidRPr="003318E2" w:rsidR="00AF2431" w:rsidP="00AF2431" w:rsidRDefault="00AF2431" w14:paraId="6AA3EA1F" w14:textId="1FA2FFD7">
            <w:pPr>
              <w:widowControl/>
              <w:autoSpaceDE/>
              <w:autoSpaceDN/>
              <w:adjustRightInd/>
              <w:jc w:val="right"/>
              <w:rPr>
                <w:rFonts w:ascii="Times New Roman" w:hAnsi="Times New Roman"/>
                <w:color w:val="000000"/>
                <w:sz w:val="22"/>
                <w:szCs w:val="22"/>
              </w:rPr>
            </w:pPr>
            <w:r w:rsidRPr="003318E2">
              <w:rPr>
                <w:color w:val="000000"/>
                <w:sz w:val="22"/>
                <w:szCs w:val="22"/>
              </w:rPr>
              <w:t>95%</w:t>
            </w:r>
          </w:p>
        </w:tc>
      </w:tr>
      <w:tr w:rsidRPr="003318E2" w:rsidR="00AF2431" w:rsidTr="00AF2431" w14:paraId="407B639B" w14:textId="77777777">
        <w:trPr>
          <w:trHeight w:val="330"/>
        </w:trPr>
        <w:tc>
          <w:tcPr>
            <w:tcW w:w="4255" w:type="dxa"/>
            <w:tcBorders>
              <w:top w:val="nil"/>
              <w:left w:val="nil"/>
              <w:bottom w:val="nil"/>
              <w:right w:val="single" w:color="auto" w:sz="4" w:space="0"/>
            </w:tcBorders>
            <w:shd w:val="clear" w:color="auto" w:fill="auto"/>
            <w:vAlign w:val="center"/>
            <w:hideMark/>
          </w:tcPr>
          <w:p w:rsidRPr="003318E2" w:rsidR="00AF2431" w:rsidP="00AF2431" w:rsidRDefault="00AF2431" w14:paraId="62A89258" w14:textId="77777777">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Jail inmate sexual victimization interview total</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78032A95" w14:textId="1728B28C">
            <w:pPr>
              <w:widowControl/>
              <w:autoSpaceDE/>
              <w:autoSpaceDN/>
              <w:adjustRightInd/>
              <w:jc w:val="right"/>
              <w:rPr>
                <w:rFonts w:ascii="Times New Roman" w:hAnsi="Times New Roman"/>
                <w:color w:val="000000"/>
                <w:sz w:val="22"/>
                <w:szCs w:val="22"/>
              </w:rPr>
            </w:pPr>
            <w:r w:rsidRPr="003318E2">
              <w:rPr>
                <w:color w:val="000000"/>
                <w:sz w:val="22"/>
                <w:szCs w:val="22"/>
              </w:rPr>
              <w:t>94</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2C85968F" w14:textId="02AC5D32">
            <w:pPr>
              <w:widowControl/>
              <w:autoSpaceDE/>
              <w:autoSpaceDN/>
              <w:adjustRightInd/>
              <w:jc w:val="right"/>
              <w:rPr>
                <w:rFonts w:ascii="Times New Roman" w:hAnsi="Times New Roman"/>
                <w:color w:val="000000"/>
                <w:sz w:val="22"/>
                <w:szCs w:val="22"/>
              </w:rPr>
            </w:pPr>
            <w:r w:rsidRPr="003318E2">
              <w:rPr>
                <w:color w:val="000000"/>
                <w:sz w:val="22"/>
                <w:szCs w:val="22"/>
              </w:rPr>
              <w:t>141</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1BEDAC51" w14:textId="2FC1C01B">
            <w:pPr>
              <w:widowControl/>
              <w:autoSpaceDE/>
              <w:autoSpaceDN/>
              <w:adjustRightInd/>
              <w:jc w:val="right"/>
              <w:rPr>
                <w:rFonts w:ascii="Times New Roman" w:hAnsi="Times New Roman"/>
                <w:color w:val="000000"/>
                <w:sz w:val="22"/>
                <w:szCs w:val="22"/>
              </w:rPr>
            </w:pPr>
            <w:r w:rsidRPr="003318E2">
              <w:rPr>
                <w:color w:val="000000"/>
                <w:sz w:val="22"/>
                <w:szCs w:val="22"/>
              </w:rPr>
              <w:t>149</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07F85407" w14:textId="3877CD65">
            <w:pPr>
              <w:widowControl/>
              <w:autoSpaceDE/>
              <w:autoSpaceDN/>
              <w:adjustRightInd/>
              <w:jc w:val="right"/>
              <w:rPr>
                <w:rFonts w:ascii="Times New Roman" w:hAnsi="Times New Roman"/>
                <w:color w:val="000000"/>
                <w:sz w:val="22"/>
                <w:szCs w:val="22"/>
              </w:rPr>
            </w:pPr>
            <w:r w:rsidRPr="003318E2">
              <w:rPr>
                <w:color w:val="000000"/>
                <w:sz w:val="22"/>
                <w:szCs w:val="22"/>
              </w:rPr>
              <w:t>159</w:t>
            </w:r>
          </w:p>
        </w:tc>
        <w:tc>
          <w:tcPr>
            <w:tcW w:w="895" w:type="dxa"/>
            <w:tcBorders>
              <w:top w:val="nil"/>
              <w:left w:val="nil"/>
              <w:bottom w:val="nil"/>
              <w:right w:val="nil"/>
            </w:tcBorders>
            <w:shd w:val="clear" w:color="auto" w:fill="auto"/>
            <w:noWrap/>
            <w:vAlign w:val="bottom"/>
            <w:hideMark/>
          </w:tcPr>
          <w:p w:rsidRPr="003318E2" w:rsidR="00AF2431" w:rsidP="00AF2431" w:rsidRDefault="00AF2431" w14:paraId="5CBC57A6" w14:textId="58646555">
            <w:pPr>
              <w:widowControl/>
              <w:autoSpaceDE/>
              <w:autoSpaceDN/>
              <w:adjustRightInd/>
              <w:jc w:val="right"/>
              <w:rPr>
                <w:rFonts w:ascii="Times New Roman" w:hAnsi="Times New Roman"/>
                <w:color w:val="000000"/>
                <w:sz w:val="22"/>
                <w:szCs w:val="22"/>
              </w:rPr>
            </w:pPr>
            <w:r w:rsidRPr="003318E2">
              <w:rPr>
                <w:color w:val="000000"/>
                <w:sz w:val="22"/>
                <w:szCs w:val="22"/>
              </w:rPr>
              <w:t>180</w:t>
            </w:r>
          </w:p>
        </w:tc>
      </w:tr>
      <w:tr w:rsidRPr="003318E2" w:rsidR="00AF2431" w:rsidTr="00AF2431" w14:paraId="49A5F2C0" w14:textId="77777777">
        <w:trPr>
          <w:trHeight w:val="300"/>
        </w:trPr>
        <w:tc>
          <w:tcPr>
            <w:tcW w:w="4255" w:type="dxa"/>
            <w:tcBorders>
              <w:top w:val="nil"/>
              <w:left w:val="nil"/>
              <w:bottom w:val="nil"/>
              <w:right w:val="single" w:color="auto" w:sz="4" w:space="0"/>
            </w:tcBorders>
            <w:shd w:val="clear" w:color="auto" w:fill="auto"/>
            <w:vAlign w:val="center"/>
            <w:hideMark/>
          </w:tcPr>
          <w:p w:rsidRPr="003318E2" w:rsidR="00AF2431" w:rsidP="00AF2431" w:rsidRDefault="00AF2431" w14:paraId="58A90527" w14:textId="77777777">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Jails prevalence rate</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67378CD2" w14:textId="24607E60">
            <w:pPr>
              <w:widowControl/>
              <w:autoSpaceDE/>
              <w:autoSpaceDN/>
              <w:adjustRightInd/>
              <w:jc w:val="right"/>
              <w:rPr>
                <w:rFonts w:ascii="Times New Roman" w:hAnsi="Times New Roman"/>
                <w:color w:val="000000"/>
                <w:sz w:val="22"/>
                <w:szCs w:val="22"/>
              </w:rPr>
            </w:pPr>
            <w:r w:rsidRPr="003318E2">
              <w:rPr>
                <w:color w:val="000000"/>
                <w:sz w:val="22"/>
                <w:szCs w:val="22"/>
              </w:rPr>
              <w:t>3.2%</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59224475" w14:textId="48F56F3F">
            <w:pPr>
              <w:widowControl/>
              <w:autoSpaceDE/>
              <w:autoSpaceDN/>
              <w:adjustRightInd/>
              <w:jc w:val="right"/>
              <w:rPr>
                <w:rFonts w:ascii="Times New Roman" w:hAnsi="Times New Roman"/>
                <w:color w:val="000000"/>
                <w:sz w:val="22"/>
                <w:szCs w:val="22"/>
              </w:rPr>
            </w:pPr>
            <w:r w:rsidRPr="003318E2">
              <w:rPr>
                <w:color w:val="000000"/>
                <w:sz w:val="22"/>
                <w:szCs w:val="22"/>
              </w:rPr>
              <w:t>3.2%</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12A91320" w14:textId="0C74CACD">
            <w:pPr>
              <w:widowControl/>
              <w:autoSpaceDE/>
              <w:autoSpaceDN/>
              <w:adjustRightInd/>
              <w:jc w:val="right"/>
              <w:rPr>
                <w:rFonts w:ascii="Times New Roman" w:hAnsi="Times New Roman"/>
                <w:color w:val="000000"/>
                <w:sz w:val="22"/>
                <w:szCs w:val="22"/>
              </w:rPr>
            </w:pPr>
            <w:r w:rsidRPr="003318E2">
              <w:rPr>
                <w:color w:val="000000"/>
                <w:sz w:val="22"/>
                <w:szCs w:val="22"/>
              </w:rPr>
              <w:t>3.2%</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7B4F6533" w14:textId="212C8648">
            <w:pPr>
              <w:widowControl/>
              <w:autoSpaceDE/>
              <w:autoSpaceDN/>
              <w:adjustRightInd/>
              <w:jc w:val="right"/>
              <w:rPr>
                <w:rFonts w:ascii="Times New Roman" w:hAnsi="Times New Roman"/>
                <w:color w:val="000000"/>
                <w:sz w:val="22"/>
                <w:szCs w:val="22"/>
              </w:rPr>
            </w:pPr>
            <w:r w:rsidRPr="003318E2">
              <w:rPr>
                <w:color w:val="000000"/>
                <w:sz w:val="22"/>
                <w:szCs w:val="22"/>
              </w:rPr>
              <w:t>3.2%</w:t>
            </w:r>
          </w:p>
        </w:tc>
        <w:tc>
          <w:tcPr>
            <w:tcW w:w="895" w:type="dxa"/>
            <w:tcBorders>
              <w:top w:val="nil"/>
              <w:left w:val="nil"/>
              <w:bottom w:val="nil"/>
              <w:right w:val="nil"/>
            </w:tcBorders>
            <w:shd w:val="clear" w:color="auto" w:fill="auto"/>
            <w:noWrap/>
            <w:vAlign w:val="bottom"/>
            <w:hideMark/>
          </w:tcPr>
          <w:p w:rsidRPr="003318E2" w:rsidR="00AF2431" w:rsidP="00AF2431" w:rsidRDefault="00AF2431" w14:paraId="2FEA46AC" w14:textId="56521E2D">
            <w:pPr>
              <w:widowControl/>
              <w:autoSpaceDE/>
              <w:autoSpaceDN/>
              <w:adjustRightInd/>
              <w:jc w:val="right"/>
              <w:rPr>
                <w:rFonts w:ascii="Times New Roman" w:hAnsi="Times New Roman"/>
                <w:color w:val="000000"/>
                <w:sz w:val="22"/>
                <w:szCs w:val="22"/>
              </w:rPr>
            </w:pPr>
            <w:r w:rsidRPr="003318E2">
              <w:rPr>
                <w:color w:val="000000"/>
                <w:sz w:val="22"/>
                <w:szCs w:val="22"/>
              </w:rPr>
              <w:t>3.2%</w:t>
            </w:r>
          </w:p>
        </w:tc>
      </w:tr>
      <w:tr w:rsidRPr="003318E2" w:rsidR="00AF2431" w:rsidTr="00AF2431" w14:paraId="37933AE2" w14:textId="77777777">
        <w:trPr>
          <w:trHeight w:val="300"/>
        </w:trPr>
        <w:tc>
          <w:tcPr>
            <w:tcW w:w="4255" w:type="dxa"/>
            <w:tcBorders>
              <w:top w:val="nil"/>
              <w:left w:val="nil"/>
              <w:bottom w:val="nil"/>
              <w:right w:val="single" w:color="auto" w:sz="4" w:space="0"/>
            </w:tcBorders>
            <w:shd w:val="clear" w:color="auto" w:fill="auto"/>
            <w:vAlign w:val="center"/>
            <w:hideMark/>
          </w:tcPr>
          <w:p w:rsidRPr="003318E2" w:rsidR="00AF2431" w:rsidP="00AF2431" w:rsidRDefault="00AF2431" w14:paraId="7E5E876A" w14:textId="6F6B3AC4">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 xml:space="preserve">Design </w:t>
            </w:r>
            <w:r w:rsidR="00C92C17">
              <w:rPr>
                <w:rFonts w:ascii="Times New Roman" w:hAnsi="Times New Roman"/>
                <w:color w:val="000000"/>
                <w:sz w:val="22"/>
                <w:szCs w:val="22"/>
              </w:rPr>
              <w:t>e</w:t>
            </w:r>
            <w:r w:rsidRPr="003318E2">
              <w:rPr>
                <w:rFonts w:ascii="Times New Roman" w:hAnsi="Times New Roman"/>
                <w:color w:val="000000"/>
                <w:sz w:val="22"/>
                <w:szCs w:val="22"/>
              </w:rPr>
              <w:t xml:space="preserve">ffect from </w:t>
            </w:r>
            <w:r w:rsidR="00C92C17">
              <w:rPr>
                <w:rFonts w:ascii="Times New Roman" w:hAnsi="Times New Roman"/>
                <w:color w:val="000000"/>
                <w:sz w:val="22"/>
                <w:szCs w:val="22"/>
              </w:rPr>
              <w:t>w</w:t>
            </w:r>
            <w:r w:rsidRPr="003318E2">
              <w:rPr>
                <w:rFonts w:ascii="Times New Roman" w:hAnsi="Times New Roman"/>
                <w:color w:val="000000"/>
                <w:sz w:val="22"/>
                <w:szCs w:val="22"/>
              </w:rPr>
              <w:t>eighting</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0B7DDB48" w14:textId="22000D82">
            <w:pPr>
              <w:widowControl/>
              <w:autoSpaceDE/>
              <w:autoSpaceDN/>
              <w:adjustRightInd/>
              <w:jc w:val="right"/>
              <w:rPr>
                <w:rFonts w:ascii="Times New Roman" w:hAnsi="Times New Roman"/>
                <w:color w:val="000000"/>
                <w:sz w:val="22"/>
                <w:szCs w:val="22"/>
              </w:rPr>
            </w:pPr>
            <w:r w:rsidRPr="003318E2">
              <w:rPr>
                <w:color w:val="000000"/>
                <w:sz w:val="22"/>
                <w:szCs w:val="22"/>
              </w:rPr>
              <w:t>1.1</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765210AD" w14:textId="2EFE8BA5">
            <w:pPr>
              <w:widowControl/>
              <w:autoSpaceDE/>
              <w:autoSpaceDN/>
              <w:adjustRightInd/>
              <w:jc w:val="right"/>
              <w:rPr>
                <w:rFonts w:ascii="Times New Roman" w:hAnsi="Times New Roman"/>
                <w:color w:val="000000"/>
                <w:sz w:val="22"/>
                <w:szCs w:val="22"/>
              </w:rPr>
            </w:pPr>
            <w:r w:rsidRPr="003318E2">
              <w:rPr>
                <w:color w:val="000000"/>
                <w:sz w:val="22"/>
                <w:szCs w:val="22"/>
              </w:rPr>
              <w:t>1.1</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4556AD8A" w14:textId="11B8E45E">
            <w:pPr>
              <w:widowControl/>
              <w:autoSpaceDE/>
              <w:autoSpaceDN/>
              <w:adjustRightInd/>
              <w:jc w:val="right"/>
              <w:rPr>
                <w:rFonts w:ascii="Times New Roman" w:hAnsi="Times New Roman"/>
                <w:color w:val="000000"/>
                <w:sz w:val="22"/>
                <w:szCs w:val="22"/>
              </w:rPr>
            </w:pPr>
            <w:r w:rsidRPr="003318E2">
              <w:rPr>
                <w:color w:val="000000"/>
                <w:sz w:val="22"/>
                <w:szCs w:val="22"/>
              </w:rPr>
              <w:t>1.1</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294C682B" w14:textId="7600C01A">
            <w:pPr>
              <w:widowControl/>
              <w:autoSpaceDE/>
              <w:autoSpaceDN/>
              <w:adjustRightInd/>
              <w:jc w:val="right"/>
              <w:rPr>
                <w:rFonts w:ascii="Times New Roman" w:hAnsi="Times New Roman"/>
                <w:color w:val="000000"/>
                <w:sz w:val="22"/>
                <w:szCs w:val="22"/>
              </w:rPr>
            </w:pPr>
            <w:r w:rsidRPr="003318E2">
              <w:rPr>
                <w:color w:val="000000"/>
                <w:sz w:val="22"/>
                <w:szCs w:val="22"/>
              </w:rPr>
              <w:t>1.1</w:t>
            </w:r>
          </w:p>
        </w:tc>
        <w:tc>
          <w:tcPr>
            <w:tcW w:w="895" w:type="dxa"/>
            <w:tcBorders>
              <w:top w:val="nil"/>
              <w:left w:val="nil"/>
              <w:bottom w:val="nil"/>
              <w:right w:val="nil"/>
            </w:tcBorders>
            <w:shd w:val="clear" w:color="auto" w:fill="auto"/>
            <w:noWrap/>
            <w:vAlign w:val="bottom"/>
            <w:hideMark/>
          </w:tcPr>
          <w:p w:rsidRPr="003318E2" w:rsidR="00AF2431" w:rsidP="00AF2431" w:rsidRDefault="00AF2431" w14:paraId="7344F5B6" w14:textId="657E2FFB">
            <w:pPr>
              <w:widowControl/>
              <w:autoSpaceDE/>
              <w:autoSpaceDN/>
              <w:adjustRightInd/>
              <w:jc w:val="right"/>
              <w:rPr>
                <w:rFonts w:ascii="Times New Roman" w:hAnsi="Times New Roman"/>
                <w:color w:val="000000"/>
                <w:sz w:val="22"/>
                <w:szCs w:val="22"/>
              </w:rPr>
            </w:pPr>
            <w:r w:rsidRPr="003318E2">
              <w:rPr>
                <w:color w:val="000000"/>
                <w:sz w:val="22"/>
                <w:szCs w:val="22"/>
              </w:rPr>
              <w:t>1.1</w:t>
            </w:r>
          </w:p>
        </w:tc>
      </w:tr>
      <w:tr w:rsidRPr="003318E2" w:rsidR="00AF2431" w:rsidTr="00AF2431" w14:paraId="3462F07C" w14:textId="77777777">
        <w:trPr>
          <w:trHeight w:val="300"/>
        </w:trPr>
        <w:tc>
          <w:tcPr>
            <w:tcW w:w="4255" w:type="dxa"/>
            <w:tcBorders>
              <w:top w:val="nil"/>
              <w:left w:val="nil"/>
              <w:bottom w:val="nil"/>
              <w:right w:val="single" w:color="auto" w:sz="4" w:space="0"/>
            </w:tcBorders>
            <w:shd w:val="clear" w:color="auto" w:fill="auto"/>
            <w:vAlign w:val="center"/>
            <w:hideMark/>
          </w:tcPr>
          <w:p w:rsidRPr="003318E2" w:rsidR="00AF2431" w:rsidP="00AF2431" w:rsidRDefault="00AF2431" w14:paraId="2646BC01" w14:textId="2CA0AB7F">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 xml:space="preserve">Finite </w:t>
            </w:r>
            <w:r w:rsidR="00C92C17">
              <w:rPr>
                <w:rFonts w:ascii="Times New Roman" w:hAnsi="Times New Roman"/>
                <w:color w:val="000000"/>
                <w:sz w:val="22"/>
                <w:szCs w:val="22"/>
              </w:rPr>
              <w:t>p</w:t>
            </w:r>
            <w:r w:rsidRPr="003318E2">
              <w:rPr>
                <w:rFonts w:ascii="Times New Roman" w:hAnsi="Times New Roman"/>
                <w:color w:val="000000"/>
                <w:sz w:val="22"/>
                <w:szCs w:val="22"/>
              </w:rPr>
              <w:t xml:space="preserve">opulation </w:t>
            </w:r>
            <w:r w:rsidR="00C92C17">
              <w:rPr>
                <w:rFonts w:ascii="Times New Roman" w:hAnsi="Times New Roman"/>
                <w:color w:val="000000"/>
                <w:sz w:val="22"/>
                <w:szCs w:val="22"/>
              </w:rPr>
              <w:t>c</w:t>
            </w:r>
            <w:r w:rsidRPr="003318E2">
              <w:rPr>
                <w:rFonts w:ascii="Times New Roman" w:hAnsi="Times New Roman"/>
                <w:color w:val="000000"/>
                <w:sz w:val="22"/>
                <w:szCs w:val="22"/>
              </w:rPr>
              <w:t>orrection</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02A74C48" w14:textId="69113D74">
            <w:pPr>
              <w:widowControl/>
              <w:autoSpaceDE/>
              <w:autoSpaceDN/>
              <w:adjustRightInd/>
              <w:jc w:val="right"/>
              <w:rPr>
                <w:rFonts w:ascii="Times New Roman" w:hAnsi="Times New Roman"/>
                <w:color w:val="000000"/>
                <w:sz w:val="22"/>
                <w:szCs w:val="22"/>
              </w:rPr>
            </w:pPr>
            <w:r w:rsidRPr="003318E2">
              <w:rPr>
                <w:color w:val="000000"/>
                <w:sz w:val="22"/>
                <w:szCs w:val="22"/>
              </w:rPr>
              <w:t>52.9%</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6726186E" w14:textId="323BEC69">
            <w:pPr>
              <w:widowControl/>
              <w:autoSpaceDE/>
              <w:autoSpaceDN/>
              <w:adjustRightInd/>
              <w:jc w:val="right"/>
              <w:rPr>
                <w:rFonts w:ascii="Times New Roman" w:hAnsi="Times New Roman"/>
                <w:color w:val="000000"/>
                <w:sz w:val="22"/>
                <w:szCs w:val="22"/>
              </w:rPr>
            </w:pPr>
            <w:r w:rsidRPr="003318E2">
              <w:rPr>
                <w:color w:val="000000"/>
                <w:sz w:val="22"/>
                <w:szCs w:val="22"/>
              </w:rPr>
              <w:t>52.9%</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3B842F98" w14:textId="739F31DD">
            <w:pPr>
              <w:widowControl/>
              <w:autoSpaceDE/>
              <w:autoSpaceDN/>
              <w:adjustRightInd/>
              <w:jc w:val="right"/>
              <w:rPr>
                <w:rFonts w:ascii="Times New Roman" w:hAnsi="Times New Roman"/>
                <w:color w:val="000000"/>
                <w:sz w:val="22"/>
                <w:szCs w:val="22"/>
              </w:rPr>
            </w:pPr>
            <w:r w:rsidRPr="003318E2">
              <w:rPr>
                <w:color w:val="000000"/>
                <w:sz w:val="22"/>
                <w:szCs w:val="22"/>
              </w:rPr>
              <w:t>61.8%</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5922BFD2" w14:textId="316ACCFD">
            <w:pPr>
              <w:widowControl/>
              <w:autoSpaceDE/>
              <w:autoSpaceDN/>
              <w:adjustRightInd/>
              <w:jc w:val="right"/>
              <w:rPr>
                <w:rFonts w:ascii="Times New Roman" w:hAnsi="Times New Roman"/>
                <w:color w:val="000000"/>
                <w:sz w:val="22"/>
                <w:szCs w:val="22"/>
              </w:rPr>
            </w:pPr>
            <w:r w:rsidRPr="003318E2">
              <w:rPr>
                <w:color w:val="000000"/>
                <w:sz w:val="22"/>
                <w:szCs w:val="22"/>
              </w:rPr>
              <w:t>78.8%</w:t>
            </w:r>
          </w:p>
        </w:tc>
        <w:tc>
          <w:tcPr>
            <w:tcW w:w="895" w:type="dxa"/>
            <w:tcBorders>
              <w:top w:val="nil"/>
              <w:left w:val="nil"/>
              <w:bottom w:val="nil"/>
              <w:right w:val="nil"/>
            </w:tcBorders>
            <w:shd w:val="clear" w:color="auto" w:fill="auto"/>
            <w:noWrap/>
            <w:vAlign w:val="bottom"/>
            <w:hideMark/>
          </w:tcPr>
          <w:p w:rsidRPr="003318E2" w:rsidR="00AF2431" w:rsidP="00AF2431" w:rsidRDefault="00AF2431" w14:paraId="2525C0D2" w14:textId="5D844B9F">
            <w:pPr>
              <w:widowControl/>
              <w:autoSpaceDE/>
              <w:autoSpaceDN/>
              <w:adjustRightInd/>
              <w:jc w:val="right"/>
              <w:rPr>
                <w:rFonts w:ascii="Times New Roman" w:hAnsi="Times New Roman"/>
                <w:color w:val="000000"/>
                <w:sz w:val="22"/>
                <w:szCs w:val="22"/>
              </w:rPr>
            </w:pPr>
            <w:r w:rsidRPr="003318E2">
              <w:rPr>
                <w:color w:val="000000"/>
                <w:sz w:val="22"/>
                <w:szCs w:val="22"/>
              </w:rPr>
              <w:t>92.8%</w:t>
            </w:r>
          </w:p>
        </w:tc>
      </w:tr>
      <w:tr w:rsidRPr="003318E2" w:rsidR="00AF2431" w:rsidTr="00AF2431" w14:paraId="4837626C" w14:textId="77777777">
        <w:trPr>
          <w:trHeight w:val="300"/>
        </w:trPr>
        <w:tc>
          <w:tcPr>
            <w:tcW w:w="4255" w:type="dxa"/>
            <w:tcBorders>
              <w:top w:val="nil"/>
              <w:left w:val="nil"/>
              <w:bottom w:val="nil"/>
              <w:right w:val="single" w:color="auto" w:sz="4" w:space="0"/>
            </w:tcBorders>
            <w:shd w:val="clear" w:color="auto" w:fill="auto"/>
            <w:vAlign w:val="center"/>
            <w:hideMark/>
          </w:tcPr>
          <w:p w:rsidRPr="003318E2" w:rsidR="00AF2431" w:rsidP="00AF2431" w:rsidRDefault="00AF2431" w14:paraId="52B0A7BA" w14:textId="2ADFE8B3">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 xml:space="preserve">Standard </w:t>
            </w:r>
            <w:r w:rsidR="00C92C17">
              <w:rPr>
                <w:rFonts w:ascii="Times New Roman" w:hAnsi="Times New Roman"/>
                <w:color w:val="000000"/>
                <w:sz w:val="22"/>
                <w:szCs w:val="22"/>
              </w:rPr>
              <w:t>e</w:t>
            </w:r>
            <w:r w:rsidRPr="003318E2">
              <w:rPr>
                <w:rFonts w:ascii="Times New Roman" w:hAnsi="Times New Roman"/>
                <w:color w:val="000000"/>
                <w:sz w:val="22"/>
                <w:szCs w:val="22"/>
              </w:rPr>
              <w:t>rror</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5E1F6CE0" w14:textId="77F7EF61">
            <w:pPr>
              <w:widowControl/>
              <w:autoSpaceDE/>
              <w:autoSpaceDN/>
              <w:adjustRightInd/>
              <w:jc w:val="right"/>
              <w:rPr>
                <w:rFonts w:ascii="Times New Roman" w:hAnsi="Times New Roman"/>
                <w:color w:val="000000"/>
                <w:sz w:val="22"/>
                <w:szCs w:val="22"/>
              </w:rPr>
            </w:pPr>
            <w:r w:rsidRPr="003318E2">
              <w:rPr>
                <w:color w:val="000000"/>
                <w:sz w:val="22"/>
                <w:szCs w:val="22"/>
              </w:rPr>
              <w:t>1.383%</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76A0B333" w14:textId="17A9575A">
            <w:pPr>
              <w:widowControl/>
              <w:autoSpaceDE/>
              <w:autoSpaceDN/>
              <w:adjustRightInd/>
              <w:jc w:val="right"/>
              <w:rPr>
                <w:rFonts w:ascii="Times New Roman" w:hAnsi="Times New Roman"/>
                <w:color w:val="000000"/>
                <w:sz w:val="22"/>
                <w:szCs w:val="22"/>
              </w:rPr>
            </w:pPr>
            <w:r w:rsidRPr="003318E2">
              <w:rPr>
                <w:color w:val="000000"/>
                <w:sz w:val="22"/>
                <w:szCs w:val="22"/>
              </w:rPr>
              <w:t>1.129%</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0E07A5F7" w14:textId="5937A509">
            <w:pPr>
              <w:widowControl/>
              <w:autoSpaceDE/>
              <w:autoSpaceDN/>
              <w:adjustRightInd/>
              <w:jc w:val="right"/>
              <w:rPr>
                <w:rFonts w:ascii="Times New Roman" w:hAnsi="Times New Roman"/>
                <w:color w:val="000000"/>
                <w:sz w:val="22"/>
                <w:szCs w:val="22"/>
              </w:rPr>
            </w:pPr>
            <w:r w:rsidRPr="003318E2">
              <w:rPr>
                <w:color w:val="000000"/>
                <w:sz w:val="22"/>
                <w:szCs w:val="22"/>
              </w:rPr>
              <w:t>1.188%</w:t>
            </w:r>
          </w:p>
        </w:tc>
        <w:tc>
          <w:tcPr>
            <w:tcW w:w="895" w:type="dxa"/>
            <w:tcBorders>
              <w:top w:val="nil"/>
              <w:left w:val="nil"/>
              <w:bottom w:val="nil"/>
              <w:right w:val="single" w:color="auto" w:sz="4" w:space="0"/>
            </w:tcBorders>
            <w:shd w:val="clear" w:color="auto" w:fill="auto"/>
            <w:noWrap/>
            <w:vAlign w:val="bottom"/>
            <w:hideMark/>
          </w:tcPr>
          <w:p w:rsidRPr="003318E2" w:rsidR="00AF2431" w:rsidP="00AF2431" w:rsidRDefault="00AF2431" w14:paraId="5676A0B6" w14:textId="47305923">
            <w:pPr>
              <w:widowControl/>
              <w:autoSpaceDE/>
              <w:autoSpaceDN/>
              <w:adjustRightInd/>
              <w:jc w:val="right"/>
              <w:rPr>
                <w:rFonts w:ascii="Times New Roman" w:hAnsi="Times New Roman"/>
                <w:color w:val="000000"/>
                <w:sz w:val="22"/>
                <w:szCs w:val="22"/>
              </w:rPr>
            </w:pPr>
            <w:r w:rsidRPr="003318E2">
              <w:rPr>
                <w:color w:val="000000"/>
                <w:sz w:val="22"/>
                <w:szCs w:val="22"/>
              </w:rPr>
              <w:t>1.299%</w:t>
            </w:r>
          </w:p>
        </w:tc>
        <w:tc>
          <w:tcPr>
            <w:tcW w:w="895" w:type="dxa"/>
            <w:tcBorders>
              <w:top w:val="nil"/>
              <w:left w:val="nil"/>
              <w:bottom w:val="nil"/>
              <w:right w:val="nil"/>
            </w:tcBorders>
            <w:shd w:val="clear" w:color="auto" w:fill="auto"/>
            <w:noWrap/>
            <w:vAlign w:val="bottom"/>
            <w:hideMark/>
          </w:tcPr>
          <w:p w:rsidRPr="003318E2" w:rsidR="00AF2431" w:rsidP="00AF2431" w:rsidRDefault="00AF2431" w14:paraId="200057DC" w14:textId="1E4BAE1F">
            <w:pPr>
              <w:widowControl/>
              <w:autoSpaceDE/>
              <w:autoSpaceDN/>
              <w:adjustRightInd/>
              <w:jc w:val="right"/>
              <w:rPr>
                <w:rFonts w:ascii="Times New Roman" w:hAnsi="Times New Roman"/>
                <w:color w:val="000000"/>
                <w:sz w:val="22"/>
                <w:szCs w:val="22"/>
              </w:rPr>
            </w:pPr>
            <w:r w:rsidRPr="003318E2">
              <w:rPr>
                <w:color w:val="000000"/>
                <w:sz w:val="22"/>
                <w:szCs w:val="22"/>
              </w:rPr>
              <w:t>1.327%</w:t>
            </w:r>
          </w:p>
        </w:tc>
      </w:tr>
      <w:tr w:rsidRPr="003318E2" w:rsidR="00AF2431" w:rsidTr="00AF2431" w14:paraId="0DB1AF6C" w14:textId="77777777">
        <w:trPr>
          <w:trHeight w:val="300"/>
        </w:trPr>
        <w:tc>
          <w:tcPr>
            <w:tcW w:w="4255" w:type="dxa"/>
            <w:tcBorders>
              <w:top w:val="nil"/>
              <w:left w:val="nil"/>
              <w:bottom w:val="single" w:color="auto" w:sz="4" w:space="0"/>
              <w:right w:val="single" w:color="auto" w:sz="4" w:space="0"/>
            </w:tcBorders>
            <w:shd w:val="clear" w:color="auto" w:fill="auto"/>
            <w:vAlign w:val="center"/>
            <w:hideMark/>
          </w:tcPr>
          <w:p w:rsidRPr="003318E2" w:rsidR="00AF2431" w:rsidP="00AF2431" w:rsidRDefault="00AF2431" w14:paraId="0FC7985D" w14:textId="6AEEF264">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 xml:space="preserve">Coefficient of </w:t>
            </w:r>
            <w:r w:rsidR="00C92C17">
              <w:rPr>
                <w:rFonts w:ascii="Times New Roman" w:hAnsi="Times New Roman"/>
                <w:color w:val="000000"/>
                <w:sz w:val="22"/>
                <w:szCs w:val="22"/>
              </w:rPr>
              <w:t>v</w:t>
            </w:r>
            <w:r w:rsidRPr="003318E2">
              <w:rPr>
                <w:rFonts w:ascii="Times New Roman" w:hAnsi="Times New Roman"/>
                <w:color w:val="000000"/>
                <w:sz w:val="22"/>
                <w:szCs w:val="22"/>
              </w:rPr>
              <w:t>ariation</w:t>
            </w:r>
          </w:p>
        </w:tc>
        <w:tc>
          <w:tcPr>
            <w:tcW w:w="895" w:type="dxa"/>
            <w:tcBorders>
              <w:top w:val="nil"/>
              <w:left w:val="nil"/>
              <w:bottom w:val="single" w:color="auto" w:sz="4" w:space="0"/>
              <w:right w:val="single" w:color="auto" w:sz="4" w:space="0"/>
            </w:tcBorders>
            <w:shd w:val="clear" w:color="auto" w:fill="auto"/>
            <w:noWrap/>
            <w:vAlign w:val="bottom"/>
            <w:hideMark/>
          </w:tcPr>
          <w:p w:rsidRPr="003318E2" w:rsidR="00AF2431" w:rsidP="00AF2431" w:rsidRDefault="00AF2431" w14:paraId="772CD411" w14:textId="019255DE">
            <w:pPr>
              <w:widowControl/>
              <w:autoSpaceDE/>
              <w:autoSpaceDN/>
              <w:adjustRightInd/>
              <w:jc w:val="right"/>
              <w:rPr>
                <w:rFonts w:ascii="Times New Roman" w:hAnsi="Times New Roman"/>
                <w:color w:val="000000"/>
                <w:sz w:val="22"/>
                <w:szCs w:val="22"/>
              </w:rPr>
            </w:pPr>
            <w:r w:rsidRPr="003318E2">
              <w:rPr>
                <w:color w:val="000000"/>
                <w:sz w:val="22"/>
                <w:szCs w:val="22"/>
              </w:rPr>
              <w:t>46.1%</w:t>
            </w:r>
          </w:p>
        </w:tc>
        <w:tc>
          <w:tcPr>
            <w:tcW w:w="895" w:type="dxa"/>
            <w:tcBorders>
              <w:top w:val="nil"/>
              <w:left w:val="nil"/>
              <w:bottom w:val="single" w:color="auto" w:sz="4" w:space="0"/>
              <w:right w:val="single" w:color="auto" w:sz="4" w:space="0"/>
            </w:tcBorders>
            <w:shd w:val="clear" w:color="auto" w:fill="auto"/>
            <w:noWrap/>
            <w:vAlign w:val="bottom"/>
            <w:hideMark/>
          </w:tcPr>
          <w:p w:rsidRPr="003318E2" w:rsidR="00AF2431" w:rsidP="00AF2431" w:rsidRDefault="00AF2431" w14:paraId="0DD0776E" w14:textId="7B7A0678">
            <w:pPr>
              <w:widowControl/>
              <w:autoSpaceDE/>
              <w:autoSpaceDN/>
              <w:adjustRightInd/>
              <w:jc w:val="right"/>
              <w:rPr>
                <w:rFonts w:ascii="Times New Roman" w:hAnsi="Times New Roman"/>
                <w:color w:val="000000"/>
                <w:sz w:val="22"/>
                <w:szCs w:val="22"/>
              </w:rPr>
            </w:pPr>
            <w:r w:rsidRPr="003318E2">
              <w:rPr>
                <w:color w:val="000000"/>
                <w:sz w:val="22"/>
                <w:szCs w:val="22"/>
              </w:rPr>
              <w:t>37.6%</w:t>
            </w:r>
          </w:p>
        </w:tc>
        <w:tc>
          <w:tcPr>
            <w:tcW w:w="895" w:type="dxa"/>
            <w:tcBorders>
              <w:top w:val="nil"/>
              <w:left w:val="nil"/>
              <w:bottom w:val="single" w:color="auto" w:sz="4" w:space="0"/>
              <w:right w:val="single" w:color="auto" w:sz="4" w:space="0"/>
            </w:tcBorders>
            <w:shd w:val="clear" w:color="auto" w:fill="auto"/>
            <w:noWrap/>
            <w:vAlign w:val="bottom"/>
            <w:hideMark/>
          </w:tcPr>
          <w:p w:rsidRPr="003318E2" w:rsidR="00AF2431" w:rsidP="00AF2431" w:rsidRDefault="00AF2431" w14:paraId="11827621" w14:textId="122D65F6">
            <w:pPr>
              <w:widowControl/>
              <w:autoSpaceDE/>
              <w:autoSpaceDN/>
              <w:adjustRightInd/>
              <w:jc w:val="right"/>
              <w:rPr>
                <w:rFonts w:ascii="Times New Roman" w:hAnsi="Times New Roman"/>
                <w:color w:val="000000"/>
                <w:sz w:val="22"/>
                <w:szCs w:val="22"/>
              </w:rPr>
            </w:pPr>
            <w:r w:rsidRPr="003318E2">
              <w:rPr>
                <w:color w:val="000000"/>
                <w:sz w:val="22"/>
                <w:szCs w:val="22"/>
              </w:rPr>
              <w:t>39.6%</w:t>
            </w:r>
          </w:p>
        </w:tc>
        <w:tc>
          <w:tcPr>
            <w:tcW w:w="895" w:type="dxa"/>
            <w:tcBorders>
              <w:top w:val="nil"/>
              <w:left w:val="nil"/>
              <w:bottom w:val="single" w:color="auto" w:sz="4" w:space="0"/>
              <w:right w:val="single" w:color="auto" w:sz="4" w:space="0"/>
            </w:tcBorders>
            <w:shd w:val="clear" w:color="auto" w:fill="auto"/>
            <w:noWrap/>
            <w:vAlign w:val="bottom"/>
            <w:hideMark/>
          </w:tcPr>
          <w:p w:rsidRPr="003318E2" w:rsidR="00AF2431" w:rsidP="00AF2431" w:rsidRDefault="00AF2431" w14:paraId="54FA882F" w14:textId="7B147507">
            <w:pPr>
              <w:widowControl/>
              <w:autoSpaceDE/>
              <w:autoSpaceDN/>
              <w:adjustRightInd/>
              <w:jc w:val="right"/>
              <w:rPr>
                <w:rFonts w:ascii="Times New Roman" w:hAnsi="Times New Roman"/>
                <w:color w:val="000000"/>
                <w:sz w:val="22"/>
                <w:szCs w:val="22"/>
              </w:rPr>
            </w:pPr>
            <w:r w:rsidRPr="003318E2">
              <w:rPr>
                <w:color w:val="000000"/>
                <w:sz w:val="22"/>
                <w:szCs w:val="22"/>
              </w:rPr>
              <w:t>43.3%</w:t>
            </w:r>
          </w:p>
        </w:tc>
        <w:tc>
          <w:tcPr>
            <w:tcW w:w="895" w:type="dxa"/>
            <w:tcBorders>
              <w:top w:val="nil"/>
              <w:left w:val="nil"/>
              <w:bottom w:val="single" w:color="auto" w:sz="4" w:space="0"/>
              <w:right w:val="nil"/>
            </w:tcBorders>
            <w:shd w:val="clear" w:color="auto" w:fill="auto"/>
            <w:noWrap/>
            <w:vAlign w:val="bottom"/>
            <w:hideMark/>
          </w:tcPr>
          <w:p w:rsidRPr="003318E2" w:rsidR="00AF2431" w:rsidP="00AF2431" w:rsidRDefault="00AF2431" w14:paraId="2A4755C2" w14:textId="0ADC0866">
            <w:pPr>
              <w:widowControl/>
              <w:autoSpaceDE/>
              <w:autoSpaceDN/>
              <w:adjustRightInd/>
              <w:jc w:val="right"/>
              <w:rPr>
                <w:rFonts w:ascii="Times New Roman" w:hAnsi="Times New Roman"/>
                <w:color w:val="000000"/>
                <w:sz w:val="22"/>
                <w:szCs w:val="22"/>
              </w:rPr>
            </w:pPr>
            <w:r w:rsidRPr="003318E2">
              <w:rPr>
                <w:color w:val="000000"/>
                <w:sz w:val="22"/>
                <w:szCs w:val="22"/>
              </w:rPr>
              <w:t>44.2%</w:t>
            </w:r>
          </w:p>
        </w:tc>
      </w:tr>
    </w:tbl>
    <w:p w:rsidR="003614ED" w:rsidP="003614ED" w:rsidRDefault="003614ED" w14:paraId="1215986D" w14:textId="5D377F7F">
      <w:pPr>
        <w:widowControl/>
        <w:kinsoku w:val="0"/>
        <w:overflowPunct w:val="0"/>
        <w:ind w:left="720"/>
        <w:rPr>
          <w:rFonts w:ascii="Times New Roman" w:hAnsi="Times New Roman"/>
          <w:color w:val="000000"/>
        </w:rPr>
      </w:pPr>
    </w:p>
    <w:p w:rsidRPr="002D7DE6" w:rsidR="0097739C" w:rsidP="003614ED" w:rsidRDefault="0097739C" w14:paraId="61F832A7" w14:textId="77777777">
      <w:pPr>
        <w:widowControl/>
        <w:kinsoku w:val="0"/>
        <w:overflowPunct w:val="0"/>
        <w:ind w:left="720"/>
        <w:rPr>
          <w:rFonts w:ascii="Times New Roman" w:hAnsi="Times New Roman"/>
          <w:color w:val="000000"/>
        </w:rPr>
      </w:pPr>
    </w:p>
    <w:p w:rsidRPr="00306FF5" w:rsidR="003614ED" w:rsidP="003614ED" w:rsidRDefault="003614ED" w14:paraId="61853BE7" w14:textId="77777777">
      <w:pPr>
        <w:widowControl/>
        <w:kinsoku w:val="0"/>
        <w:overflowPunct w:val="0"/>
        <w:rPr>
          <w:rFonts w:ascii="Times New Roman" w:hAnsi="Times New Roman"/>
          <w:color w:val="000000"/>
        </w:rPr>
      </w:pPr>
      <w:r w:rsidRPr="002D7DE6">
        <w:rPr>
          <w:rFonts w:ascii="Times New Roman" w:hAnsi="Times New Roman"/>
          <w:color w:val="000000"/>
        </w:rPr>
        <w:t xml:space="preserve">2.  </w:t>
      </w:r>
      <w:r w:rsidRPr="002D7DE6">
        <w:rPr>
          <w:rFonts w:ascii="Times New Roman" w:hAnsi="Times New Roman"/>
          <w:color w:val="000000"/>
        </w:rPr>
        <w:tab/>
      </w:r>
      <w:r w:rsidRPr="00306FF5">
        <w:rPr>
          <w:rFonts w:ascii="Times New Roman" w:hAnsi="Times New Roman"/>
          <w:color w:val="000000"/>
          <w:u w:val="single"/>
        </w:rPr>
        <w:t>Procedures for Information Collection</w:t>
      </w:r>
      <w:r w:rsidRPr="00306FF5">
        <w:rPr>
          <w:rFonts w:ascii="Times New Roman" w:hAnsi="Times New Roman"/>
          <w:color w:val="000000"/>
        </w:rPr>
        <w:t xml:space="preserve"> </w:t>
      </w:r>
    </w:p>
    <w:p w:rsidRPr="00306FF5" w:rsidR="003614ED" w:rsidP="003614ED" w:rsidRDefault="003614ED" w14:paraId="4F57F07F" w14:textId="77777777">
      <w:pPr>
        <w:widowControl/>
        <w:kinsoku w:val="0"/>
        <w:overflowPunct w:val="0"/>
        <w:rPr>
          <w:rFonts w:ascii="Times New Roman" w:hAnsi="Times New Roman"/>
          <w:color w:val="000000"/>
        </w:rPr>
      </w:pPr>
    </w:p>
    <w:p w:rsidRPr="00E33727" w:rsidR="003614ED" w:rsidP="003614ED" w:rsidRDefault="003614ED" w14:paraId="7BB22155"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Data collection procedures include computerized interviewer-administered interviews, Audio Computer-Assisted Self-Interviews, and paper and pencil surveys.  </w:t>
      </w:r>
    </w:p>
    <w:p w:rsidRPr="00E33727" w:rsidR="003614ED" w:rsidP="003614ED" w:rsidRDefault="003614ED" w14:paraId="7BB5BAFA" w14:textId="77777777">
      <w:pPr>
        <w:widowControl/>
        <w:kinsoku w:val="0"/>
        <w:overflowPunct w:val="0"/>
        <w:ind w:left="720"/>
        <w:rPr>
          <w:rFonts w:ascii="Times New Roman" w:hAnsi="Times New Roman"/>
        </w:rPr>
      </w:pPr>
    </w:p>
    <w:p w:rsidRPr="00E33727" w:rsidR="003614ED" w:rsidP="003614ED" w:rsidRDefault="003614ED" w14:paraId="05D307D4" w14:textId="77777777">
      <w:pPr>
        <w:widowControl/>
        <w:kinsoku w:val="0"/>
        <w:overflowPunct w:val="0"/>
        <w:ind w:left="720"/>
        <w:rPr>
          <w:rFonts w:ascii="Times New Roman" w:hAnsi="Times New Roman"/>
        </w:rPr>
      </w:pPr>
      <w:r w:rsidRPr="00E33727">
        <w:rPr>
          <w:rFonts w:ascii="Times New Roman" w:hAnsi="Times New Roman"/>
        </w:rPr>
        <w:t>The methods proposed for use in data collection are as follows:</w:t>
      </w:r>
    </w:p>
    <w:p w:rsidRPr="00E33727" w:rsidR="003614ED" w:rsidP="003614ED" w:rsidRDefault="003614ED" w14:paraId="0BDFFF00" w14:textId="77777777">
      <w:pPr>
        <w:widowControl/>
        <w:kinsoku w:val="0"/>
        <w:overflowPunct w:val="0"/>
        <w:ind w:left="720"/>
        <w:rPr>
          <w:rFonts w:ascii="Times New Roman" w:hAnsi="Times New Roman"/>
        </w:rPr>
      </w:pPr>
    </w:p>
    <w:p w:rsidRPr="0030211E" w:rsidR="00B4612D" w:rsidP="00D72B43" w:rsidRDefault="00C34877" w14:paraId="223CA651" w14:textId="06A83F84">
      <w:pPr>
        <w:pStyle w:val="ListParagraph"/>
        <w:numPr>
          <w:ilvl w:val="0"/>
          <w:numId w:val="1"/>
        </w:numPr>
        <w:tabs>
          <w:tab w:val="num" w:pos="720"/>
        </w:tabs>
      </w:pPr>
      <w:r>
        <w:rPr>
          <w:rFonts w:eastAsiaTheme="minorHAnsi"/>
          <w:b/>
        </w:rPr>
        <w:t>Received</w:t>
      </w:r>
      <w:r w:rsidRPr="00D72B43" w:rsidR="00D72B43">
        <w:rPr>
          <w:rFonts w:eastAsiaTheme="minorHAnsi"/>
          <w:b/>
        </w:rPr>
        <w:t xml:space="preserve"> Approval from </w:t>
      </w:r>
      <w:proofErr w:type="spellStart"/>
      <w:r w:rsidR="00D72B43">
        <w:rPr>
          <w:rFonts w:eastAsiaTheme="minorHAnsi"/>
          <w:b/>
        </w:rPr>
        <w:t>Westat</w:t>
      </w:r>
      <w:r w:rsidRPr="00D72B43" w:rsidR="00D72B43">
        <w:rPr>
          <w:rFonts w:eastAsiaTheme="minorHAnsi"/>
          <w:b/>
        </w:rPr>
        <w:t>’s</w:t>
      </w:r>
      <w:proofErr w:type="spellEnd"/>
      <w:r w:rsidRPr="00D72B43" w:rsidR="00D72B43">
        <w:rPr>
          <w:rFonts w:eastAsiaTheme="minorHAnsi"/>
          <w:b/>
        </w:rPr>
        <w:t xml:space="preserve"> IRB</w:t>
      </w:r>
    </w:p>
    <w:p w:rsidRPr="00CA6412" w:rsidR="00D72B43" w:rsidP="00B702B7" w:rsidRDefault="00D72B43" w14:paraId="2BF9C5CC" w14:textId="25C8F184">
      <w:pPr>
        <w:pStyle w:val="ListParagraph"/>
        <w:ind w:left="1800"/>
        <w:rPr>
          <w:rFonts w:ascii="Times New Roman" w:hAnsi="Times New Roman"/>
        </w:rPr>
      </w:pPr>
      <w:proofErr w:type="spellStart"/>
      <w:r w:rsidRPr="00CA6412">
        <w:rPr>
          <w:rFonts w:ascii="Times New Roman" w:hAnsi="Times New Roman" w:eastAsiaTheme="minorHAnsi"/>
        </w:rPr>
        <w:t>Westat’s</w:t>
      </w:r>
      <w:proofErr w:type="spellEnd"/>
      <w:r w:rsidRPr="00CA6412">
        <w:rPr>
          <w:rFonts w:ascii="Times New Roman" w:hAnsi="Times New Roman" w:eastAsiaTheme="minorHAnsi"/>
        </w:rPr>
        <w:t xml:space="preserve"> IRB approved </w:t>
      </w:r>
      <w:r w:rsidRPr="00CA6412">
        <w:rPr>
          <w:rFonts w:ascii="Times New Roman" w:hAnsi="Times New Roman"/>
        </w:rPr>
        <w:t xml:space="preserve">the NIS-4J questionnaire, consent form, and protocols for implementation on </w:t>
      </w:r>
      <w:r w:rsidRPr="00CA6412" w:rsidR="00C34877">
        <w:rPr>
          <w:rFonts w:ascii="Times New Roman" w:hAnsi="Times New Roman"/>
        </w:rPr>
        <w:t>1</w:t>
      </w:r>
      <w:r w:rsidRPr="00CA6412">
        <w:rPr>
          <w:rFonts w:ascii="Times New Roman" w:hAnsi="Times New Roman"/>
        </w:rPr>
        <w:t>/</w:t>
      </w:r>
      <w:r w:rsidRPr="00CA6412" w:rsidR="00B674DD">
        <w:rPr>
          <w:rFonts w:ascii="Times New Roman" w:hAnsi="Times New Roman"/>
        </w:rPr>
        <w:t>13</w:t>
      </w:r>
      <w:r w:rsidRPr="00CA6412" w:rsidR="00C34877">
        <w:rPr>
          <w:rFonts w:ascii="Times New Roman" w:hAnsi="Times New Roman"/>
        </w:rPr>
        <w:t>/2022</w:t>
      </w:r>
      <w:r w:rsidRPr="00CA6412">
        <w:rPr>
          <w:rFonts w:ascii="Times New Roman" w:hAnsi="Times New Roman"/>
        </w:rPr>
        <w:t xml:space="preserve">. </w:t>
      </w:r>
      <w:r w:rsidRPr="00CA6412" w:rsidR="00B4612D">
        <w:rPr>
          <w:rFonts w:ascii="Times New Roman" w:hAnsi="Times New Roman"/>
        </w:rPr>
        <w:t>Continuing approval was provided on</w:t>
      </w:r>
      <w:r w:rsidRPr="00CA6412" w:rsidR="00C34877">
        <w:rPr>
          <w:rFonts w:ascii="Times New Roman" w:hAnsi="Times New Roman" w:eastAsiaTheme="minorHAnsi"/>
        </w:rPr>
        <w:t xml:space="preserve"> 3/3/2022</w:t>
      </w:r>
      <w:r w:rsidRPr="00CA6412" w:rsidR="00B4612D">
        <w:rPr>
          <w:rFonts w:ascii="Times New Roman" w:hAnsi="Times New Roman" w:eastAsiaTheme="minorHAnsi"/>
        </w:rPr>
        <w:t xml:space="preserve">. </w:t>
      </w:r>
      <w:r w:rsidRPr="00CA6412" w:rsidR="00CA6412">
        <w:rPr>
          <w:rFonts w:ascii="Times New Roman" w:hAnsi="Times New Roman"/>
        </w:rPr>
        <w:t>Approval documents are attached to this package.</w:t>
      </w:r>
    </w:p>
    <w:p w:rsidR="00D72B43" w:rsidP="00B4612D" w:rsidRDefault="00D72B43" w14:paraId="3E3B6470" w14:textId="77777777">
      <w:pPr>
        <w:pStyle w:val="ListParagraph"/>
        <w:ind w:left="1800"/>
      </w:pPr>
    </w:p>
    <w:p w:rsidR="00B4612D" w:rsidP="00D72B43" w:rsidRDefault="00181A9A" w14:paraId="25495C5E" w14:textId="5B893677">
      <w:pPr>
        <w:pStyle w:val="ListParagraph"/>
        <w:numPr>
          <w:ilvl w:val="0"/>
          <w:numId w:val="1"/>
        </w:numPr>
        <w:tabs>
          <w:tab w:val="left" w:pos="90"/>
          <w:tab w:val="left" w:pos="1800"/>
        </w:tabs>
        <w:kinsoku w:val="0"/>
        <w:overflowPunct w:val="0"/>
        <w:rPr>
          <w:rFonts w:eastAsiaTheme="minorHAnsi"/>
        </w:rPr>
      </w:pPr>
      <w:r>
        <w:rPr>
          <w:rFonts w:eastAsiaTheme="minorHAnsi"/>
          <w:b/>
        </w:rPr>
        <w:t xml:space="preserve">Recruitment of </w:t>
      </w:r>
      <w:r w:rsidRPr="00D72B43" w:rsidR="00D72B43">
        <w:rPr>
          <w:rFonts w:eastAsiaTheme="minorHAnsi"/>
          <w:b/>
        </w:rPr>
        <w:t>J</w:t>
      </w:r>
      <w:r w:rsidR="00B4612D">
        <w:rPr>
          <w:rFonts w:eastAsiaTheme="minorHAnsi"/>
          <w:b/>
        </w:rPr>
        <w:t>ail Administrator</w:t>
      </w:r>
      <w:r w:rsidRPr="00D72B43" w:rsidR="00D72B43">
        <w:rPr>
          <w:rFonts w:eastAsiaTheme="minorHAnsi"/>
          <w:b/>
        </w:rPr>
        <w:t>s</w:t>
      </w:r>
      <w:r w:rsidRPr="00D72B43" w:rsidR="00D72B43">
        <w:rPr>
          <w:rFonts w:eastAsiaTheme="minorHAnsi"/>
        </w:rPr>
        <w:t xml:space="preserve"> </w:t>
      </w:r>
    </w:p>
    <w:p w:rsidR="00736B10" w:rsidP="00B4612D" w:rsidRDefault="00D72B43" w14:paraId="297A7B8A" w14:textId="4D327A0F">
      <w:pPr>
        <w:widowControl/>
        <w:tabs>
          <w:tab w:val="left" w:pos="1800"/>
        </w:tabs>
        <w:kinsoku w:val="0"/>
        <w:overflowPunct w:val="0"/>
        <w:ind w:left="1800"/>
        <w:rPr>
          <w:rFonts w:ascii="Times New Roman" w:hAnsi="Times New Roman"/>
        </w:rPr>
      </w:pPr>
      <w:r w:rsidRPr="00B4612D">
        <w:rPr>
          <w:rFonts w:ascii="Times New Roman" w:hAnsi="Times New Roman"/>
        </w:rPr>
        <w:t xml:space="preserve">BJS </w:t>
      </w:r>
      <w:r w:rsidR="00CA6412">
        <w:rPr>
          <w:rFonts w:ascii="Times New Roman" w:hAnsi="Times New Roman"/>
        </w:rPr>
        <w:t>received</w:t>
      </w:r>
      <w:r w:rsidRPr="00B4612D">
        <w:rPr>
          <w:rFonts w:ascii="Times New Roman" w:hAnsi="Times New Roman"/>
        </w:rPr>
        <w:t xml:space="preserve"> OMB approval through </w:t>
      </w:r>
      <w:r w:rsidR="00C34877">
        <w:rPr>
          <w:rFonts w:ascii="Times New Roman" w:hAnsi="Times New Roman"/>
        </w:rPr>
        <w:t xml:space="preserve">a generic clearance </w:t>
      </w:r>
      <w:r w:rsidR="00CA6412">
        <w:rPr>
          <w:rFonts w:ascii="Times New Roman" w:hAnsi="Times New Roman"/>
        </w:rPr>
        <w:t>(OMB 1121-0339)</w:t>
      </w:r>
      <w:r w:rsidRPr="00B4612D">
        <w:rPr>
          <w:rFonts w:ascii="Times New Roman" w:hAnsi="Times New Roman"/>
        </w:rPr>
        <w:t xml:space="preserve"> to </w:t>
      </w:r>
      <w:r w:rsidR="00181A9A">
        <w:rPr>
          <w:rFonts w:ascii="Times New Roman" w:hAnsi="Times New Roman"/>
        </w:rPr>
        <w:t xml:space="preserve">make initial contact with </w:t>
      </w:r>
      <w:r w:rsidRPr="00B4612D">
        <w:rPr>
          <w:rFonts w:ascii="Times New Roman" w:hAnsi="Times New Roman"/>
        </w:rPr>
        <w:t xml:space="preserve">the </w:t>
      </w:r>
      <w:r w:rsidR="00C34877">
        <w:rPr>
          <w:rFonts w:ascii="Times New Roman" w:hAnsi="Times New Roman"/>
        </w:rPr>
        <w:t>290</w:t>
      </w:r>
      <w:r w:rsidRPr="00B4612D">
        <w:rPr>
          <w:rFonts w:ascii="Times New Roman" w:hAnsi="Times New Roman"/>
        </w:rPr>
        <w:t xml:space="preserve"> jail facilities</w:t>
      </w:r>
      <w:r w:rsidR="00181A9A">
        <w:rPr>
          <w:rFonts w:ascii="Times New Roman" w:hAnsi="Times New Roman"/>
        </w:rPr>
        <w:t xml:space="preserve">. </w:t>
      </w:r>
      <w:r w:rsidR="00736B10">
        <w:rPr>
          <w:rFonts w:ascii="Times New Roman" w:hAnsi="Times New Roman"/>
        </w:rPr>
        <w:t>The OMB generic clearance will cover the following activities</w:t>
      </w:r>
      <w:r w:rsidR="000226FA">
        <w:rPr>
          <w:rFonts w:ascii="Times New Roman" w:hAnsi="Times New Roman"/>
        </w:rPr>
        <w:t>:</w:t>
      </w:r>
    </w:p>
    <w:p w:rsidRPr="00ED0CF4" w:rsidR="00736B10" w:rsidP="0030211E" w:rsidRDefault="00736B10" w14:paraId="3E99FF33" w14:textId="77F1E7CC">
      <w:pPr>
        <w:pStyle w:val="ListParagraph"/>
        <w:widowControl/>
        <w:numPr>
          <w:ilvl w:val="3"/>
          <w:numId w:val="2"/>
        </w:numPr>
        <w:tabs>
          <w:tab w:val="left" w:pos="1800"/>
        </w:tabs>
        <w:kinsoku w:val="0"/>
        <w:overflowPunct w:val="0"/>
        <w:rPr>
          <w:rFonts w:ascii="Times New Roman" w:hAnsi="Times New Roman"/>
        </w:rPr>
      </w:pPr>
      <w:r>
        <w:rPr>
          <w:rFonts w:ascii="Times New Roman" w:hAnsi="Times New Roman"/>
        </w:rPr>
        <w:t>Each sampled facility will receive a</w:t>
      </w:r>
      <w:r w:rsidRPr="0030211E" w:rsidR="00181A9A">
        <w:rPr>
          <w:rFonts w:ascii="Times New Roman" w:hAnsi="Times New Roman"/>
        </w:rPr>
        <w:t xml:space="preserve"> written letter from BJS that informs the facility of their selection to participate in the National Inmate Survey</w:t>
      </w:r>
      <w:r>
        <w:rPr>
          <w:rFonts w:ascii="Times New Roman" w:hAnsi="Times New Roman"/>
        </w:rPr>
        <w:t xml:space="preserve">. This letter will include an invitation </w:t>
      </w:r>
      <w:r w:rsidRPr="0030211E" w:rsidR="00181A9A">
        <w:rPr>
          <w:rFonts w:ascii="Times New Roman" w:hAnsi="Times New Roman"/>
        </w:rPr>
        <w:t xml:space="preserve">to </w:t>
      </w:r>
      <w:r w:rsidR="00C34877">
        <w:rPr>
          <w:rFonts w:ascii="Times New Roman" w:hAnsi="Times New Roman"/>
        </w:rPr>
        <w:t>view</w:t>
      </w:r>
      <w:r w:rsidRPr="0030211E" w:rsidR="00181A9A">
        <w:rPr>
          <w:rFonts w:ascii="Times New Roman" w:hAnsi="Times New Roman"/>
        </w:rPr>
        <w:t xml:space="preserve"> a</w:t>
      </w:r>
      <w:r w:rsidR="00C34877">
        <w:rPr>
          <w:rFonts w:ascii="Times New Roman" w:hAnsi="Times New Roman"/>
        </w:rPr>
        <w:t xml:space="preserve"> pre-recorded</w:t>
      </w:r>
      <w:r w:rsidRPr="0030211E" w:rsidR="00181A9A">
        <w:rPr>
          <w:rFonts w:ascii="Times New Roman" w:hAnsi="Times New Roman"/>
        </w:rPr>
        <w:t xml:space="preserve"> informational webinar</w:t>
      </w:r>
      <w:r w:rsidRPr="00ED0CF4">
        <w:rPr>
          <w:rFonts w:ascii="Times New Roman" w:hAnsi="Times New Roman"/>
        </w:rPr>
        <w:t>.</w:t>
      </w:r>
    </w:p>
    <w:p w:rsidR="00736B10" w:rsidP="0030211E" w:rsidRDefault="00736B10" w14:paraId="78EDF692" w14:textId="0BB87E38">
      <w:pPr>
        <w:pStyle w:val="ListParagraph"/>
        <w:widowControl/>
        <w:numPr>
          <w:ilvl w:val="3"/>
          <w:numId w:val="2"/>
        </w:numPr>
        <w:tabs>
          <w:tab w:val="left" w:pos="1800"/>
        </w:tabs>
        <w:kinsoku w:val="0"/>
        <w:overflowPunct w:val="0"/>
        <w:rPr>
          <w:rFonts w:ascii="Times New Roman" w:hAnsi="Times New Roman"/>
        </w:rPr>
      </w:pPr>
      <w:r>
        <w:rPr>
          <w:rFonts w:ascii="Times New Roman" w:hAnsi="Times New Roman"/>
        </w:rPr>
        <w:t xml:space="preserve">Approximately 1 week after mailing the letter, </w:t>
      </w:r>
      <w:r w:rsidRPr="0030211E" w:rsidR="00181A9A">
        <w:rPr>
          <w:rFonts w:ascii="Times New Roman" w:hAnsi="Times New Roman"/>
        </w:rPr>
        <w:t>Westat, on behalf of BJS, will</w:t>
      </w:r>
      <w:r>
        <w:rPr>
          <w:rFonts w:ascii="Times New Roman" w:hAnsi="Times New Roman"/>
        </w:rPr>
        <w:t xml:space="preserve"> contact </w:t>
      </w:r>
      <w:r w:rsidRPr="0030211E" w:rsidR="00181A9A">
        <w:rPr>
          <w:rFonts w:ascii="Times New Roman" w:hAnsi="Times New Roman"/>
        </w:rPr>
        <w:t>each facility</w:t>
      </w:r>
      <w:r>
        <w:rPr>
          <w:rFonts w:ascii="Times New Roman" w:hAnsi="Times New Roman"/>
        </w:rPr>
        <w:t xml:space="preserve"> by</w:t>
      </w:r>
      <w:r w:rsidRPr="0030211E" w:rsidR="00181A9A">
        <w:rPr>
          <w:rFonts w:ascii="Times New Roman" w:hAnsi="Times New Roman"/>
        </w:rPr>
        <w:t xml:space="preserve"> email and phone to </w:t>
      </w:r>
      <w:r>
        <w:rPr>
          <w:rFonts w:ascii="Times New Roman" w:hAnsi="Times New Roman"/>
        </w:rPr>
        <w:t xml:space="preserve">(1) </w:t>
      </w:r>
      <w:r w:rsidRPr="0030211E" w:rsidR="00181A9A">
        <w:rPr>
          <w:rFonts w:ascii="Times New Roman" w:hAnsi="Times New Roman"/>
        </w:rPr>
        <w:t>obtain updated contact information of the jail administrator</w:t>
      </w:r>
      <w:r>
        <w:rPr>
          <w:rFonts w:ascii="Times New Roman" w:hAnsi="Times New Roman"/>
        </w:rPr>
        <w:t xml:space="preserve">, (2) </w:t>
      </w:r>
      <w:r w:rsidRPr="0030211E" w:rsidR="00181A9A">
        <w:rPr>
          <w:rFonts w:ascii="Times New Roman" w:hAnsi="Times New Roman"/>
        </w:rPr>
        <w:t>provide the</w:t>
      </w:r>
      <w:r>
        <w:rPr>
          <w:rFonts w:ascii="Times New Roman" w:hAnsi="Times New Roman"/>
        </w:rPr>
        <w:t xml:space="preserve"> webinar</w:t>
      </w:r>
      <w:r w:rsidRPr="0030211E" w:rsidR="00181A9A">
        <w:rPr>
          <w:rFonts w:ascii="Times New Roman" w:hAnsi="Times New Roman"/>
        </w:rPr>
        <w:t xml:space="preserve"> link and sign-in information</w:t>
      </w:r>
      <w:r>
        <w:rPr>
          <w:rFonts w:ascii="Times New Roman" w:hAnsi="Times New Roman"/>
        </w:rPr>
        <w:t xml:space="preserve">, and (3) obtain an updated post-pandemic </w:t>
      </w:r>
      <w:r w:rsidR="00ED0CF4">
        <w:rPr>
          <w:rFonts w:ascii="Times New Roman" w:hAnsi="Times New Roman"/>
        </w:rPr>
        <w:t xml:space="preserve">count of the inmate </w:t>
      </w:r>
      <w:r>
        <w:rPr>
          <w:rFonts w:ascii="Times New Roman" w:hAnsi="Times New Roman"/>
        </w:rPr>
        <w:t>population</w:t>
      </w:r>
      <w:r w:rsidR="00ED0CF4">
        <w:rPr>
          <w:rFonts w:ascii="Times New Roman" w:hAnsi="Times New Roman"/>
        </w:rPr>
        <w:t>.</w:t>
      </w:r>
      <w:r>
        <w:rPr>
          <w:rFonts w:ascii="Times New Roman" w:hAnsi="Times New Roman"/>
        </w:rPr>
        <w:t xml:space="preserve"> </w:t>
      </w:r>
    </w:p>
    <w:p w:rsidR="00736B10" w:rsidP="0030211E" w:rsidRDefault="00736B10" w14:paraId="6B133E77" w14:textId="165683E9">
      <w:pPr>
        <w:pStyle w:val="ListParagraph"/>
        <w:widowControl/>
        <w:numPr>
          <w:ilvl w:val="3"/>
          <w:numId w:val="2"/>
        </w:numPr>
        <w:tabs>
          <w:tab w:val="left" w:pos="1800"/>
        </w:tabs>
        <w:kinsoku w:val="0"/>
        <w:overflowPunct w:val="0"/>
        <w:rPr>
          <w:rFonts w:ascii="Times New Roman" w:hAnsi="Times New Roman"/>
        </w:rPr>
      </w:pPr>
      <w:r>
        <w:rPr>
          <w:rFonts w:ascii="Times New Roman" w:hAnsi="Times New Roman"/>
        </w:rPr>
        <w:t xml:space="preserve">BJS and Westat will jointly </w:t>
      </w:r>
      <w:r w:rsidR="00C34877">
        <w:rPr>
          <w:rFonts w:ascii="Times New Roman" w:hAnsi="Times New Roman"/>
        </w:rPr>
        <w:t>record</w:t>
      </w:r>
      <w:r>
        <w:rPr>
          <w:rFonts w:ascii="Times New Roman" w:hAnsi="Times New Roman"/>
        </w:rPr>
        <w:t xml:space="preserve"> a </w:t>
      </w:r>
      <w:r w:rsidRPr="0030211E" w:rsidR="00181A9A">
        <w:rPr>
          <w:rFonts w:ascii="Times New Roman" w:hAnsi="Times New Roman"/>
        </w:rPr>
        <w:t>webinar</w:t>
      </w:r>
      <w:r>
        <w:rPr>
          <w:rFonts w:ascii="Times New Roman" w:hAnsi="Times New Roman"/>
        </w:rPr>
        <w:t xml:space="preserve"> that presents an overview of the NIS-4J, its importance and value, and the role of the participating facilities. </w:t>
      </w:r>
    </w:p>
    <w:p w:rsidR="00736B10" w:rsidP="0030211E" w:rsidRDefault="00736B10" w14:paraId="4296E4A9" w14:textId="1F56731C">
      <w:pPr>
        <w:pStyle w:val="ListParagraph"/>
        <w:widowControl/>
        <w:numPr>
          <w:ilvl w:val="3"/>
          <w:numId w:val="2"/>
        </w:numPr>
        <w:tabs>
          <w:tab w:val="left" w:pos="1800"/>
        </w:tabs>
        <w:kinsoku w:val="0"/>
        <w:overflowPunct w:val="0"/>
        <w:rPr>
          <w:rFonts w:ascii="Times New Roman" w:hAnsi="Times New Roman"/>
        </w:rPr>
      </w:pPr>
      <w:r>
        <w:rPr>
          <w:rFonts w:ascii="Times New Roman" w:hAnsi="Times New Roman"/>
        </w:rPr>
        <w:t xml:space="preserve">Approximately 1 week after the webinar, each </w:t>
      </w:r>
      <w:r w:rsidRPr="0030211E" w:rsidR="00D72B43">
        <w:rPr>
          <w:rFonts w:ascii="Times New Roman" w:hAnsi="Times New Roman"/>
        </w:rPr>
        <w:t>administrator</w:t>
      </w:r>
      <w:r>
        <w:rPr>
          <w:rFonts w:ascii="Times New Roman" w:hAnsi="Times New Roman"/>
        </w:rPr>
        <w:t xml:space="preserve"> </w:t>
      </w:r>
      <w:r w:rsidRPr="0030211E" w:rsidR="00181A9A">
        <w:rPr>
          <w:rFonts w:ascii="Times New Roman" w:hAnsi="Times New Roman"/>
        </w:rPr>
        <w:t>of</w:t>
      </w:r>
      <w:r w:rsidRPr="0030211E" w:rsidR="00D72B43">
        <w:rPr>
          <w:rFonts w:ascii="Times New Roman" w:hAnsi="Times New Roman"/>
        </w:rPr>
        <w:t xml:space="preserve"> the </w:t>
      </w:r>
      <w:r w:rsidR="00C34877">
        <w:rPr>
          <w:rFonts w:ascii="Times New Roman" w:hAnsi="Times New Roman"/>
        </w:rPr>
        <w:t>290</w:t>
      </w:r>
      <w:r w:rsidRPr="0030211E" w:rsidR="00DE645B">
        <w:rPr>
          <w:rFonts w:ascii="Times New Roman" w:hAnsi="Times New Roman"/>
        </w:rPr>
        <w:t xml:space="preserve"> jails</w:t>
      </w:r>
      <w:r w:rsidRPr="0030211E">
        <w:rPr>
          <w:rFonts w:ascii="Times New Roman" w:hAnsi="Times New Roman"/>
        </w:rPr>
        <w:t xml:space="preserve"> will receive an email notifying </w:t>
      </w:r>
      <w:r w:rsidRPr="0030211E" w:rsidR="00D72B43">
        <w:rPr>
          <w:rFonts w:ascii="Times New Roman" w:hAnsi="Times New Roman"/>
        </w:rPr>
        <w:t xml:space="preserve">them that </w:t>
      </w:r>
      <w:r w:rsidRPr="0030211E" w:rsidR="00DE645B">
        <w:rPr>
          <w:rFonts w:ascii="Times New Roman" w:hAnsi="Times New Roman"/>
        </w:rPr>
        <w:t>Westat</w:t>
      </w:r>
      <w:r w:rsidRPr="0030211E">
        <w:rPr>
          <w:rFonts w:ascii="Times New Roman" w:hAnsi="Times New Roman"/>
        </w:rPr>
        <w:t xml:space="preserve"> will contact them over the upcoming months </w:t>
      </w:r>
      <w:r w:rsidRPr="0030211E" w:rsidR="00D72B43">
        <w:rPr>
          <w:rFonts w:ascii="Times New Roman" w:hAnsi="Times New Roman"/>
        </w:rPr>
        <w:t>to discuss arrangements</w:t>
      </w:r>
      <w:r w:rsidRPr="0030211E">
        <w:rPr>
          <w:rFonts w:ascii="Times New Roman" w:hAnsi="Times New Roman"/>
        </w:rPr>
        <w:t xml:space="preserve"> for participating in the NIS-4J study.</w:t>
      </w:r>
    </w:p>
    <w:p w:rsidR="001210CF" w:rsidP="001210CF" w:rsidRDefault="001210CF" w14:paraId="528AB916" w14:textId="77777777">
      <w:pPr>
        <w:pStyle w:val="ListParagraph"/>
        <w:widowControl/>
        <w:tabs>
          <w:tab w:val="left" w:pos="1800"/>
        </w:tabs>
        <w:kinsoku w:val="0"/>
        <w:overflowPunct w:val="0"/>
        <w:ind w:left="2160"/>
        <w:rPr>
          <w:rFonts w:ascii="Times New Roman" w:hAnsi="Times New Roman"/>
        </w:rPr>
      </w:pPr>
    </w:p>
    <w:p w:rsidRPr="0030211E" w:rsidR="00D72B43" w:rsidP="00ED0CF4" w:rsidRDefault="00ED0CF4" w14:paraId="6ADAD226" w14:textId="5A81F713">
      <w:pPr>
        <w:widowControl/>
        <w:tabs>
          <w:tab w:val="left" w:pos="1800"/>
        </w:tabs>
        <w:kinsoku w:val="0"/>
        <w:overflowPunct w:val="0"/>
        <w:ind w:left="1800"/>
        <w:rPr>
          <w:rFonts w:ascii="Times New Roman" w:hAnsi="Times New Roman"/>
        </w:rPr>
      </w:pPr>
      <w:r>
        <w:rPr>
          <w:rFonts w:ascii="Times New Roman" w:hAnsi="Times New Roman"/>
        </w:rPr>
        <w:t xml:space="preserve">Full OMB clearance will cover all subsequent recruitment and data collection contacts between Westat and the sampled jail facilities. These will begin </w:t>
      </w:r>
      <w:r w:rsidRPr="0030211E" w:rsidR="00DE645B">
        <w:rPr>
          <w:rFonts w:ascii="Times New Roman" w:hAnsi="Times New Roman"/>
        </w:rPr>
        <w:t xml:space="preserve">with </w:t>
      </w:r>
      <w:r>
        <w:rPr>
          <w:rFonts w:ascii="Times New Roman" w:hAnsi="Times New Roman"/>
        </w:rPr>
        <w:t xml:space="preserve">a request for the administrator to establish </w:t>
      </w:r>
      <w:r w:rsidRPr="0030211E" w:rsidR="00DE645B">
        <w:rPr>
          <w:rFonts w:ascii="Times New Roman" w:hAnsi="Times New Roman"/>
        </w:rPr>
        <w:t>a Facility Coordinator</w:t>
      </w:r>
      <w:r w:rsidRPr="0030211E" w:rsidR="00D72B43">
        <w:rPr>
          <w:rFonts w:ascii="Times New Roman" w:hAnsi="Times New Roman"/>
        </w:rPr>
        <w:t xml:space="preserve"> </w:t>
      </w:r>
      <w:r>
        <w:rPr>
          <w:rFonts w:ascii="Times New Roman" w:hAnsi="Times New Roman"/>
        </w:rPr>
        <w:t xml:space="preserve">who will work with Westat to determine jail-specific protocols, logistics, and scheduling, as presented below.  </w:t>
      </w:r>
    </w:p>
    <w:p w:rsidR="00D72B43" w:rsidP="00B702B7" w:rsidRDefault="00D72B43" w14:paraId="67084FFB" w14:textId="31F17AF6"/>
    <w:p w:rsidRPr="00E33727" w:rsidR="003614ED" w:rsidP="003614ED" w:rsidRDefault="003614ED" w14:paraId="2B465235" w14:textId="77777777">
      <w:pPr>
        <w:widowControl/>
        <w:numPr>
          <w:ilvl w:val="0"/>
          <w:numId w:val="1"/>
        </w:numPr>
        <w:kinsoku w:val="0"/>
        <w:overflowPunct w:val="0"/>
        <w:rPr>
          <w:rFonts w:ascii="Times New Roman" w:hAnsi="Times New Roman"/>
          <w:u w:val="single"/>
        </w:rPr>
      </w:pPr>
      <w:r w:rsidRPr="00E33727">
        <w:rPr>
          <w:rFonts w:ascii="Times New Roman" w:hAnsi="Times New Roman"/>
          <w:u w:val="single"/>
        </w:rPr>
        <w:t>Facility Recruitment</w:t>
      </w:r>
    </w:p>
    <w:p w:rsidRPr="00E33727" w:rsidR="003614ED" w:rsidP="00B674DD" w:rsidRDefault="003614ED" w14:paraId="43CC7F5D" w14:textId="6BD5DE96">
      <w:pPr>
        <w:widowControl/>
        <w:tabs>
          <w:tab w:val="left" w:pos="1800"/>
        </w:tabs>
        <w:kinsoku w:val="0"/>
        <w:overflowPunct w:val="0"/>
        <w:ind w:left="1800"/>
        <w:rPr>
          <w:rFonts w:ascii="Times New Roman" w:hAnsi="Times New Roman"/>
        </w:rPr>
      </w:pPr>
      <w:r w:rsidRPr="00E33727">
        <w:rPr>
          <w:rFonts w:ascii="Times New Roman" w:hAnsi="Times New Roman"/>
        </w:rPr>
        <w:t xml:space="preserve">A sample of </w:t>
      </w:r>
      <w:r w:rsidR="00C34877">
        <w:rPr>
          <w:rFonts w:ascii="Times New Roman" w:hAnsi="Times New Roman"/>
        </w:rPr>
        <w:t>290</w:t>
      </w:r>
      <w:r w:rsidRPr="00E33727" w:rsidR="009E40DC">
        <w:rPr>
          <w:rFonts w:ascii="Times New Roman" w:hAnsi="Times New Roman"/>
        </w:rPr>
        <w:t xml:space="preserve"> </w:t>
      </w:r>
      <w:r w:rsidRPr="00E33727">
        <w:rPr>
          <w:rFonts w:ascii="Times New Roman" w:hAnsi="Times New Roman"/>
        </w:rPr>
        <w:t xml:space="preserve">jails will be selected from a frame of </w:t>
      </w:r>
      <w:r w:rsidR="003B52CD">
        <w:rPr>
          <w:rFonts w:ascii="Times New Roman" w:hAnsi="Times New Roman"/>
        </w:rPr>
        <w:t>jails</w:t>
      </w:r>
      <w:r w:rsidRPr="00E33727">
        <w:rPr>
          <w:rFonts w:ascii="Times New Roman" w:hAnsi="Times New Roman"/>
        </w:rPr>
        <w:t>. Each sampled facility will be contacted to solicit participation. A contact person will be designated at each facility.</w:t>
      </w:r>
      <w:r w:rsidRPr="00B674DD" w:rsidR="00B674DD">
        <w:rPr>
          <w:rFonts w:ascii="Times New Roman" w:hAnsi="Times New Roman"/>
        </w:rPr>
        <w:t xml:space="preserve"> The </w:t>
      </w:r>
      <w:r w:rsidRPr="00B4612D" w:rsidR="00B674DD">
        <w:rPr>
          <w:rFonts w:ascii="Times New Roman" w:hAnsi="Times New Roman"/>
        </w:rPr>
        <w:t>Westat Field Enrollment Specialist</w:t>
      </w:r>
      <w:r w:rsidR="00B674DD">
        <w:rPr>
          <w:rFonts w:ascii="Times New Roman" w:hAnsi="Times New Roman"/>
        </w:rPr>
        <w:t xml:space="preserve"> will</w:t>
      </w:r>
      <w:r w:rsidRPr="00B674DD" w:rsidR="00B674DD">
        <w:rPr>
          <w:rFonts w:ascii="Times New Roman" w:hAnsi="Times New Roman"/>
        </w:rPr>
        <w:t xml:space="preserve"> work directly with each sampled </w:t>
      </w:r>
      <w:r w:rsidR="00B674DD">
        <w:rPr>
          <w:rFonts w:ascii="Times New Roman" w:hAnsi="Times New Roman"/>
        </w:rPr>
        <w:t>facility</w:t>
      </w:r>
      <w:r w:rsidRPr="00B674DD" w:rsidR="00B674DD">
        <w:rPr>
          <w:rFonts w:ascii="Times New Roman" w:hAnsi="Times New Roman"/>
        </w:rPr>
        <w:t xml:space="preserve"> to solicit participation and a contact person</w:t>
      </w:r>
      <w:r w:rsidR="00B674DD">
        <w:rPr>
          <w:rFonts w:ascii="Times New Roman" w:hAnsi="Times New Roman"/>
        </w:rPr>
        <w:t xml:space="preserve"> (Facility Coordinator)</w:t>
      </w:r>
      <w:r w:rsidRPr="00B674DD" w:rsidR="00B674DD">
        <w:rPr>
          <w:rFonts w:ascii="Times New Roman" w:hAnsi="Times New Roman"/>
        </w:rPr>
        <w:t xml:space="preserve"> will be identified at each prison. Working with this individual, the </w:t>
      </w:r>
      <w:r w:rsidRPr="00B4612D" w:rsidR="00B674DD">
        <w:rPr>
          <w:rFonts w:ascii="Times New Roman" w:hAnsi="Times New Roman"/>
        </w:rPr>
        <w:t>Westat F</w:t>
      </w:r>
      <w:r w:rsidR="00B674DD">
        <w:rPr>
          <w:rFonts w:ascii="Times New Roman" w:hAnsi="Times New Roman"/>
        </w:rPr>
        <w:t>ield Enrollment Specialist</w:t>
      </w:r>
      <w:r w:rsidRPr="00B674DD" w:rsidR="00B674DD">
        <w:rPr>
          <w:rFonts w:ascii="Times New Roman" w:hAnsi="Times New Roman"/>
        </w:rPr>
        <w:t xml:space="preserve"> will finalize details for data collection, including submission of background check forms for the </w:t>
      </w:r>
      <w:r w:rsidRPr="00B674DD" w:rsidR="00B674DD">
        <w:rPr>
          <w:rFonts w:ascii="Times New Roman" w:hAnsi="Times New Roman"/>
        </w:rPr>
        <w:lastRenderedPageBreak/>
        <w:t xml:space="preserve">interviewers, identifying appropriate space for interviewing, need for bilingual interviewers, format of the roster which will be used to draw the sample of inmates, number of days and hours of each day when interviewing can be conducted, specific rules regarding items that may be brought into the </w:t>
      </w:r>
      <w:r w:rsidR="00B674DD">
        <w:rPr>
          <w:rFonts w:ascii="Times New Roman" w:hAnsi="Times New Roman"/>
        </w:rPr>
        <w:t>jail</w:t>
      </w:r>
      <w:r w:rsidRPr="00B674DD" w:rsidR="00B674DD">
        <w:rPr>
          <w:rFonts w:ascii="Times New Roman" w:hAnsi="Times New Roman"/>
        </w:rPr>
        <w:t xml:space="preserve">, and instructions for arriving at the facility. </w:t>
      </w:r>
      <w:r w:rsidR="00ED0CF4">
        <w:rPr>
          <w:rFonts w:ascii="Times New Roman" w:hAnsi="Times New Roman"/>
        </w:rPr>
        <w:t>Based on prior cycles of NIS, data collection visits to each jail facilit</w:t>
      </w:r>
      <w:r w:rsidR="00B12403">
        <w:rPr>
          <w:rFonts w:ascii="Times New Roman" w:hAnsi="Times New Roman"/>
        </w:rPr>
        <w:t>y</w:t>
      </w:r>
      <w:r w:rsidR="00ED0CF4">
        <w:rPr>
          <w:rFonts w:ascii="Times New Roman" w:hAnsi="Times New Roman"/>
        </w:rPr>
        <w:t xml:space="preserve"> will begin on Monday and conclude by Friday of the same week. </w:t>
      </w:r>
      <w:r w:rsidR="000226FA">
        <w:rPr>
          <w:rFonts w:ascii="Times New Roman" w:hAnsi="Times New Roman"/>
        </w:rPr>
        <w:t>BJS</w:t>
      </w:r>
      <w:r w:rsidRPr="00B674DD" w:rsidR="000226FA">
        <w:rPr>
          <w:rFonts w:ascii="Times New Roman" w:hAnsi="Times New Roman"/>
        </w:rPr>
        <w:t xml:space="preserve"> </w:t>
      </w:r>
      <w:r w:rsidRPr="00B674DD" w:rsidR="00B674DD">
        <w:rPr>
          <w:rFonts w:ascii="Times New Roman" w:hAnsi="Times New Roman"/>
        </w:rPr>
        <w:t>anticipate</w:t>
      </w:r>
      <w:r w:rsidR="000226FA">
        <w:rPr>
          <w:rFonts w:ascii="Times New Roman" w:hAnsi="Times New Roman"/>
        </w:rPr>
        <w:t>s</w:t>
      </w:r>
      <w:r w:rsidRPr="00B674DD" w:rsidR="00B674DD">
        <w:rPr>
          <w:rFonts w:ascii="Times New Roman" w:hAnsi="Times New Roman"/>
        </w:rPr>
        <w:t xml:space="preserve"> that </w:t>
      </w:r>
      <w:r w:rsidR="00ED0CF4">
        <w:rPr>
          <w:rFonts w:ascii="Times New Roman" w:hAnsi="Times New Roman"/>
        </w:rPr>
        <w:t>fewer than ten jails will request visits that encompass weekend days</w:t>
      </w:r>
      <w:r w:rsidR="00201A36">
        <w:rPr>
          <w:rFonts w:ascii="Times New Roman" w:hAnsi="Times New Roman"/>
        </w:rPr>
        <w:t>,</w:t>
      </w:r>
      <w:r w:rsidR="00ED0CF4">
        <w:rPr>
          <w:rFonts w:ascii="Times New Roman" w:hAnsi="Times New Roman"/>
        </w:rPr>
        <w:t xml:space="preserve"> and </w:t>
      </w:r>
      <w:r w:rsidR="000226FA">
        <w:rPr>
          <w:rFonts w:ascii="Times New Roman" w:hAnsi="Times New Roman"/>
        </w:rPr>
        <w:t xml:space="preserve">the project team </w:t>
      </w:r>
      <w:r w:rsidR="00ED0CF4">
        <w:rPr>
          <w:rFonts w:ascii="Times New Roman" w:hAnsi="Times New Roman"/>
        </w:rPr>
        <w:t xml:space="preserve">will accommodate their schedules as needed.  </w:t>
      </w:r>
      <w:r w:rsidRPr="00B674DD" w:rsidR="00B674DD">
        <w:rPr>
          <w:rFonts w:ascii="Times New Roman" w:hAnsi="Times New Roman"/>
        </w:rPr>
        <w:t xml:space="preserve">All logistical details will be provided to </w:t>
      </w:r>
      <w:r w:rsidR="00B674DD">
        <w:rPr>
          <w:rFonts w:ascii="Times New Roman" w:hAnsi="Times New Roman"/>
        </w:rPr>
        <w:t>F</w:t>
      </w:r>
      <w:r w:rsidRPr="00B674DD" w:rsidR="00B674DD">
        <w:rPr>
          <w:rFonts w:ascii="Times New Roman" w:hAnsi="Times New Roman"/>
        </w:rPr>
        <w:t xml:space="preserve">acility </w:t>
      </w:r>
      <w:r w:rsidR="00B674DD">
        <w:rPr>
          <w:rFonts w:ascii="Times New Roman" w:hAnsi="Times New Roman"/>
        </w:rPr>
        <w:t>Coordinators</w:t>
      </w:r>
      <w:r w:rsidRPr="00B674DD" w:rsidR="00B674DD">
        <w:rPr>
          <w:rFonts w:ascii="Times New Roman" w:hAnsi="Times New Roman"/>
        </w:rPr>
        <w:t xml:space="preserve"> in a Facility </w:t>
      </w:r>
      <w:r w:rsidR="00B674DD">
        <w:rPr>
          <w:rFonts w:ascii="Times New Roman" w:hAnsi="Times New Roman"/>
        </w:rPr>
        <w:t>Enrollment Materials packet</w:t>
      </w:r>
      <w:r w:rsidR="00DB1A3B">
        <w:rPr>
          <w:rFonts w:ascii="Times New Roman" w:hAnsi="Times New Roman"/>
        </w:rPr>
        <w:t>,</w:t>
      </w:r>
      <w:r w:rsidR="00B674DD">
        <w:rPr>
          <w:rFonts w:ascii="Times New Roman" w:hAnsi="Times New Roman"/>
        </w:rPr>
        <w:t xml:space="preserve"> which also contains a description of the Roles and Responsibilities of the facility and Westat. </w:t>
      </w:r>
    </w:p>
    <w:p w:rsidRPr="00E33727" w:rsidR="003614ED" w:rsidP="003614ED" w:rsidRDefault="003614ED" w14:paraId="173EF0E6" w14:textId="77777777">
      <w:pPr>
        <w:widowControl/>
        <w:tabs>
          <w:tab w:val="left" w:pos="1800"/>
        </w:tabs>
        <w:kinsoku w:val="0"/>
        <w:overflowPunct w:val="0"/>
        <w:ind w:left="1800"/>
        <w:rPr>
          <w:rFonts w:ascii="Times New Roman" w:hAnsi="Times New Roman"/>
        </w:rPr>
      </w:pPr>
    </w:p>
    <w:p w:rsidRPr="00E33727" w:rsidR="003614ED" w:rsidP="003614ED" w:rsidRDefault="003614ED" w14:paraId="64AC606C" w14:textId="77777777">
      <w:pPr>
        <w:widowControl/>
        <w:tabs>
          <w:tab w:val="left" w:pos="1800"/>
        </w:tabs>
        <w:kinsoku w:val="0"/>
        <w:overflowPunct w:val="0"/>
        <w:ind w:left="1440"/>
        <w:rPr>
          <w:rFonts w:ascii="Times New Roman" w:hAnsi="Times New Roman"/>
        </w:rPr>
      </w:pPr>
      <w:r w:rsidRPr="00E33727">
        <w:rPr>
          <w:rFonts w:ascii="Times New Roman" w:hAnsi="Times New Roman"/>
        </w:rPr>
        <w:t>b.</w:t>
      </w:r>
      <w:r w:rsidRPr="00E33727">
        <w:rPr>
          <w:rFonts w:ascii="Times New Roman" w:hAnsi="Times New Roman"/>
        </w:rPr>
        <w:tab/>
      </w:r>
      <w:r w:rsidRPr="00E33727">
        <w:rPr>
          <w:rFonts w:ascii="Times New Roman" w:hAnsi="Times New Roman"/>
          <w:u w:val="single"/>
        </w:rPr>
        <w:t>Sampling of Inmates</w:t>
      </w:r>
    </w:p>
    <w:p w:rsidRPr="00E33727" w:rsidR="003614ED" w:rsidP="003614ED" w:rsidRDefault="003614ED" w14:paraId="43FC0A44" w14:textId="46F1CC6A">
      <w:pPr>
        <w:widowControl/>
        <w:tabs>
          <w:tab w:val="left" w:pos="1800"/>
        </w:tabs>
        <w:kinsoku w:val="0"/>
        <w:overflowPunct w:val="0"/>
        <w:ind w:left="1800"/>
        <w:rPr>
          <w:rFonts w:ascii="Times New Roman" w:hAnsi="Times New Roman"/>
        </w:rPr>
      </w:pPr>
      <w:r w:rsidRPr="00E33727">
        <w:rPr>
          <w:rFonts w:ascii="Times New Roman" w:hAnsi="Times New Roman"/>
        </w:rPr>
        <w:t xml:space="preserve">Within one week prior to data collection at a facility, the facility will provide a roster of all </w:t>
      </w:r>
      <w:r w:rsidR="00CD1181">
        <w:rPr>
          <w:rFonts w:ascii="Times New Roman" w:hAnsi="Times New Roman"/>
        </w:rPr>
        <w:t xml:space="preserve">arraigned </w:t>
      </w:r>
      <w:r w:rsidRPr="00E33727">
        <w:rPr>
          <w:rFonts w:ascii="Times New Roman" w:hAnsi="Times New Roman"/>
        </w:rPr>
        <w:t xml:space="preserve">inmates </w:t>
      </w:r>
      <w:r>
        <w:rPr>
          <w:rFonts w:ascii="Times New Roman" w:hAnsi="Times New Roman"/>
        </w:rPr>
        <w:t xml:space="preserve">age </w:t>
      </w:r>
      <w:r w:rsidRPr="00E33727">
        <w:rPr>
          <w:rFonts w:ascii="Times New Roman" w:hAnsi="Times New Roman"/>
        </w:rPr>
        <w:t>1</w:t>
      </w:r>
      <w:r>
        <w:rPr>
          <w:rFonts w:ascii="Times New Roman" w:hAnsi="Times New Roman"/>
        </w:rPr>
        <w:t>8</w:t>
      </w:r>
      <w:r w:rsidRPr="00E33727">
        <w:rPr>
          <w:rFonts w:ascii="Times New Roman" w:hAnsi="Times New Roman"/>
        </w:rPr>
        <w:t xml:space="preserve"> and older </w:t>
      </w:r>
      <w:r>
        <w:rPr>
          <w:rFonts w:ascii="Times New Roman" w:hAnsi="Times New Roman"/>
        </w:rPr>
        <w:t xml:space="preserve">(age 16 older if consent is </w:t>
      </w:r>
      <w:r w:rsidR="00CD1181">
        <w:rPr>
          <w:rFonts w:ascii="Times New Roman" w:hAnsi="Times New Roman"/>
        </w:rPr>
        <w:t xml:space="preserve">granted </w:t>
      </w:r>
      <w:r>
        <w:rPr>
          <w:rFonts w:ascii="Times New Roman" w:hAnsi="Times New Roman"/>
        </w:rPr>
        <w:t>by the facility</w:t>
      </w:r>
      <w:r w:rsidR="00CD1181">
        <w:rPr>
          <w:rFonts w:ascii="Times New Roman" w:hAnsi="Times New Roman"/>
        </w:rPr>
        <w:t xml:space="preserve"> on behalf of parents of minors</w:t>
      </w:r>
      <w:r>
        <w:rPr>
          <w:rFonts w:ascii="Times New Roman" w:hAnsi="Times New Roman"/>
        </w:rPr>
        <w:t xml:space="preserve">) </w:t>
      </w:r>
      <w:r w:rsidRPr="00E33727">
        <w:rPr>
          <w:rFonts w:ascii="Times New Roman" w:hAnsi="Times New Roman"/>
        </w:rPr>
        <w:t>who are currently incarcerated there. A random sample of inmates will be drawn from the roster.</w:t>
      </w:r>
    </w:p>
    <w:p w:rsidRPr="00E33727" w:rsidR="003614ED" w:rsidP="003614ED" w:rsidRDefault="003614ED" w14:paraId="3722B649" w14:textId="77777777">
      <w:pPr>
        <w:widowControl/>
        <w:tabs>
          <w:tab w:val="left" w:pos="1800"/>
        </w:tabs>
        <w:kinsoku w:val="0"/>
        <w:overflowPunct w:val="0"/>
        <w:ind w:left="1800"/>
        <w:rPr>
          <w:rFonts w:ascii="Times New Roman" w:hAnsi="Times New Roman"/>
        </w:rPr>
      </w:pPr>
    </w:p>
    <w:p w:rsidRPr="00E33727" w:rsidR="003614ED" w:rsidP="003614ED" w:rsidRDefault="003614ED" w14:paraId="49B7D15B" w14:textId="77777777">
      <w:pPr>
        <w:widowControl/>
        <w:tabs>
          <w:tab w:val="left" w:pos="1800"/>
        </w:tabs>
        <w:kinsoku w:val="0"/>
        <w:overflowPunct w:val="0"/>
        <w:ind w:left="1440"/>
        <w:jc w:val="both"/>
        <w:rPr>
          <w:rFonts w:ascii="Times New Roman" w:hAnsi="Times New Roman"/>
        </w:rPr>
      </w:pPr>
      <w:r w:rsidRPr="00E33727">
        <w:rPr>
          <w:rFonts w:ascii="Times New Roman" w:hAnsi="Times New Roman"/>
        </w:rPr>
        <w:t>c.</w:t>
      </w:r>
      <w:r w:rsidRPr="00E33727">
        <w:rPr>
          <w:rFonts w:ascii="Times New Roman" w:hAnsi="Times New Roman"/>
        </w:rPr>
        <w:tab/>
      </w:r>
      <w:r w:rsidRPr="00E33727">
        <w:rPr>
          <w:rFonts w:ascii="Times New Roman" w:hAnsi="Times New Roman"/>
          <w:u w:val="single"/>
        </w:rPr>
        <w:t>Data Collection</w:t>
      </w:r>
    </w:p>
    <w:p w:rsidRPr="00E33727" w:rsidR="003614ED" w:rsidP="003614ED" w:rsidRDefault="003614ED" w14:paraId="2BE76ACC" w14:textId="5025A00A">
      <w:pPr>
        <w:widowControl/>
        <w:tabs>
          <w:tab w:val="left" w:pos="1800"/>
        </w:tabs>
        <w:kinsoku w:val="0"/>
        <w:overflowPunct w:val="0"/>
        <w:ind w:left="1800"/>
        <w:rPr>
          <w:rFonts w:ascii="Times New Roman" w:hAnsi="Times New Roman"/>
        </w:rPr>
      </w:pPr>
      <w:r w:rsidRPr="00E33727">
        <w:rPr>
          <w:rFonts w:ascii="Times New Roman" w:hAnsi="Times New Roman"/>
        </w:rPr>
        <w:t xml:space="preserve">A team of interviewers will visit the facility. They will ask correctional officers to bring each sampled inmate to a private interviewing area. The interviewer will read a consent form to the sampled inmate and </w:t>
      </w:r>
      <w:r w:rsidR="00A25130">
        <w:rPr>
          <w:rFonts w:ascii="Times New Roman" w:hAnsi="Times New Roman"/>
        </w:rPr>
        <w:t>ask a series of follow-up</w:t>
      </w:r>
      <w:r>
        <w:rPr>
          <w:rFonts w:ascii="Times New Roman" w:hAnsi="Times New Roman"/>
        </w:rPr>
        <w:t xml:space="preserve"> questions to ensure comprehension</w:t>
      </w:r>
      <w:r w:rsidRPr="00E33727">
        <w:rPr>
          <w:rFonts w:ascii="Times New Roman" w:hAnsi="Times New Roman"/>
        </w:rPr>
        <w:t xml:space="preserve">. If the inmate consents, the interviewer will begin administering a brief set of demographic questions that includes age, </w:t>
      </w:r>
      <w:r>
        <w:rPr>
          <w:rFonts w:ascii="Times New Roman" w:hAnsi="Times New Roman"/>
        </w:rPr>
        <w:t xml:space="preserve">date of admission, and housing </w:t>
      </w:r>
      <w:r w:rsidR="00F56CC4">
        <w:rPr>
          <w:rFonts w:ascii="Times New Roman" w:hAnsi="Times New Roman"/>
        </w:rPr>
        <w:t>assignment</w:t>
      </w:r>
      <w:r>
        <w:rPr>
          <w:rFonts w:ascii="Times New Roman" w:hAnsi="Times New Roman"/>
        </w:rPr>
        <w:t>. T</w:t>
      </w:r>
      <w:r w:rsidRPr="00E33727">
        <w:rPr>
          <w:rFonts w:ascii="Times New Roman" w:hAnsi="Times New Roman"/>
        </w:rPr>
        <w:t xml:space="preserve">he interviewer will </w:t>
      </w:r>
      <w:r>
        <w:rPr>
          <w:rFonts w:ascii="Times New Roman" w:hAnsi="Times New Roman"/>
        </w:rPr>
        <w:t xml:space="preserve">then </w:t>
      </w:r>
      <w:r w:rsidRPr="00E33727">
        <w:rPr>
          <w:rFonts w:ascii="Times New Roman" w:hAnsi="Times New Roman"/>
        </w:rPr>
        <w:t xml:space="preserve">give the inmate a brief tutorial on answering questions on the touch screen </w:t>
      </w:r>
      <w:r w:rsidR="00AF23A1">
        <w:rPr>
          <w:rFonts w:ascii="Times New Roman" w:hAnsi="Times New Roman"/>
        </w:rPr>
        <w:t>tablet</w:t>
      </w:r>
      <w:r w:rsidRPr="00E33727">
        <w:rPr>
          <w:rFonts w:ascii="Times New Roman" w:hAnsi="Times New Roman"/>
        </w:rPr>
        <w:t xml:space="preserve"> and allow the inmate to answer the more sensitive questions in complete privacy. </w:t>
      </w:r>
      <w:r w:rsidRPr="00E33727" w:rsidR="00CA265E">
        <w:rPr>
          <w:rFonts w:ascii="Times New Roman" w:hAnsi="Times New Roman"/>
        </w:rPr>
        <w:t>To</w:t>
      </w:r>
      <w:r w:rsidRPr="00E33727">
        <w:rPr>
          <w:rFonts w:ascii="Times New Roman" w:hAnsi="Times New Roman"/>
        </w:rPr>
        <w:t xml:space="preserve"> allow inmates with reading difficulties to participate, the inmate will wear a set of headphones and hear the questions being read as they appear on the screen. The inmate will enter </w:t>
      </w:r>
      <w:r w:rsidR="00A25130">
        <w:rPr>
          <w:rFonts w:ascii="Times New Roman" w:hAnsi="Times New Roman"/>
        </w:rPr>
        <w:t>a</w:t>
      </w:r>
      <w:r w:rsidRPr="00E33727">
        <w:rPr>
          <w:rFonts w:ascii="Times New Roman" w:hAnsi="Times New Roman"/>
        </w:rPr>
        <w:t xml:space="preserve"> response by touching a button on the screen – no computer expertise is required. The program will randomly pick a series of questions to administer. </w:t>
      </w:r>
      <w:r w:rsidRPr="005964CE">
        <w:rPr>
          <w:rFonts w:ascii="Times New Roman" w:hAnsi="Times New Roman"/>
        </w:rPr>
        <w:t>Most inmates will get the series of questions about sexual assault. However, a portion of inmates will get</w:t>
      </w:r>
      <w:r w:rsidRPr="005964CE" w:rsidR="005964CE">
        <w:rPr>
          <w:rFonts w:ascii="Times New Roman" w:hAnsi="Times New Roman"/>
        </w:rPr>
        <w:t xml:space="preserve"> an alternate series</w:t>
      </w:r>
      <w:r w:rsidR="005964CE">
        <w:rPr>
          <w:rFonts w:ascii="Times New Roman" w:hAnsi="Times New Roman"/>
        </w:rPr>
        <w:t xml:space="preserve"> of</w:t>
      </w:r>
      <w:r w:rsidRPr="005964CE">
        <w:rPr>
          <w:rFonts w:ascii="Times New Roman" w:hAnsi="Times New Roman"/>
        </w:rPr>
        <w:t xml:space="preserve"> questions</w:t>
      </w:r>
      <w:r w:rsidR="005964CE">
        <w:rPr>
          <w:rFonts w:ascii="Times New Roman" w:hAnsi="Times New Roman"/>
        </w:rPr>
        <w:t>.</w:t>
      </w:r>
      <w:r w:rsidRPr="005964CE">
        <w:rPr>
          <w:rFonts w:ascii="Times New Roman" w:hAnsi="Times New Roman"/>
        </w:rPr>
        <w:t xml:space="preserve"> </w:t>
      </w:r>
      <w:r w:rsidR="005964CE">
        <w:rPr>
          <w:rFonts w:ascii="Times New Roman" w:hAnsi="Times New Roman"/>
        </w:rPr>
        <w:t xml:space="preserve">Only the inmate </w:t>
      </w:r>
      <w:r w:rsidRPr="00E33727">
        <w:rPr>
          <w:rFonts w:ascii="Times New Roman" w:hAnsi="Times New Roman"/>
        </w:rPr>
        <w:t xml:space="preserve">will know which series of questions </w:t>
      </w:r>
      <w:r w:rsidR="00391786">
        <w:rPr>
          <w:rFonts w:ascii="Times New Roman" w:hAnsi="Times New Roman"/>
        </w:rPr>
        <w:t>were</w:t>
      </w:r>
      <w:r w:rsidRPr="00E33727">
        <w:rPr>
          <w:rFonts w:ascii="Times New Roman" w:hAnsi="Times New Roman"/>
        </w:rPr>
        <w:t xml:space="preserve"> asked. At the end of the inmate section of the questionnaire, </w:t>
      </w:r>
      <w:r>
        <w:rPr>
          <w:rFonts w:ascii="Times New Roman" w:hAnsi="Times New Roman"/>
        </w:rPr>
        <w:t>the inmate</w:t>
      </w:r>
      <w:r w:rsidRPr="00E33727">
        <w:rPr>
          <w:rFonts w:ascii="Times New Roman" w:hAnsi="Times New Roman"/>
        </w:rPr>
        <w:t xml:space="preserve"> will turn the </w:t>
      </w:r>
      <w:r w:rsidR="00AF23A1">
        <w:rPr>
          <w:rFonts w:ascii="Times New Roman" w:hAnsi="Times New Roman"/>
        </w:rPr>
        <w:t>tablet</w:t>
      </w:r>
      <w:r w:rsidRPr="00E33727">
        <w:rPr>
          <w:rFonts w:ascii="Times New Roman" w:hAnsi="Times New Roman"/>
        </w:rPr>
        <w:t xml:space="preserve"> back to the interview</w:t>
      </w:r>
      <w:r>
        <w:rPr>
          <w:rFonts w:ascii="Times New Roman" w:hAnsi="Times New Roman"/>
        </w:rPr>
        <w:t>er</w:t>
      </w:r>
      <w:r w:rsidRPr="00E33727">
        <w:rPr>
          <w:rFonts w:ascii="Times New Roman" w:hAnsi="Times New Roman"/>
        </w:rPr>
        <w:t xml:space="preserve"> and return to </w:t>
      </w:r>
      <w:r w:rsidR="00391786">
        <w:rPr>
          <w:rFonts w:ascii="Times New Roman" w:hAnsi="Times New Roman"/>
        </w:rPr>
        <w:t>the</w:t>
      </w:r>
      <w:r w:rsidRPr="00E33727">
        <w:rPr>
          <w:rFonts w:ascii="Times New Roman" w:hAnsi="Times New Roman"/>
        </w:rPr>
        <w:t xml:space="preserve"> housing unit</w:t>
      </w:r>
      <w:r w:rsidRPr="00655028">
        <w:rPr>
          <w:rFonts w:ascii="Times New Roman" w:hAnsi="Times New Roman"/>
        </w:rPr>
        <w:t>. The interviewer will then finish the process by answering a set of debriefing questions about the interview.</w:t>
      </w:r>
    </w:p>
    <w:p w:rsidRPr="00E33727" w:rsidR="003614ED" w:rsidP="003614ED" w:rsidRDefault="003614ED" w14:paraId="67F8ECAC" w14:textId="77777777">
      <w:pPr>
        <w:widowControl/>
        <w:tabs>
          <w:tab w:val="left" w:pos="1800"/>
        </w:tabs>
        <w:kinsoku w:val="0"/>
        <w:overflowPunct w:val="0"/>
        <w:ind w:left="1800"/>
        <w:rPr>
          <w:rFonts w:ascii="Times New Roman" w:hAnsi="Times New Roman"/>
        </w:rPr>
      </w:pPr>
    </w:p>
    <w:p w:rsidR="00CA265E" w:rsidP="003614ED" w:rsidRDefault="00CA265E" w14:paraId="539C7726" w14:textId="24BD2E10">
      <w:pPr>
        <w:widowControl/>
        <w:tabs>
          <w:tab w:val="left" w:pos="1800"/>
        </w:tabs>
        <w:kinsoku w:val="0"/>
        <w:overflowPunct w:val="0"/>
        <w:ind w:left="1800"/>
        <w:rPr>
          <w:rFonts w:ascii="Times New Roman" w:hAnsi="Times New Roman"/>
        </w:rPr>
      </w:pPr>
      <w:r>
        <w:rPr>
          <w:rFonts w:ascii="Times New Roman" w:hAnsi="Times New Roman"/>
        </w:rPr>
        <w:t>T</w:t>
      </w:r>
      <w:r w:rsidRPr="00E33727" w:rsidR="003614ED">
        <w:rPr>
          <w:rFonts w:ascii="Times New Roman" w:hAnsi="Times New Roman"/>
        </w:rPr>
        <w:t>o determine if there is any bias introduced from nonrespon</w:t>
      </w:r>
      <w:r w:rsidR="00AB3862">
        <w:rPr>
          <w:rFonts w:ascii="Times New Roman" w:hAnsi="Times New Roman"/>
        </w:rPr>
        <w:t>se</w:t>
      </w:r>
      <w:r w:rsidRPr="00E33727" w:rsidR="003614ED">
        <w:rPr>
          <w:rFonts w:ascii="Times New Roman" w:hAnsi="Times New Roman"/>
        </w:rPr>
        <w:t>, administrative record data will be collected for all sampled inmates. This will allow researchers to compare demographic characteristics of responding inmates with those who did not participate.</w:t>
      </w:r>
    </w:p>
    <w:p w:rsidR="00CA265E" w:rsidRDefault="00CA265E" w14:paraId="05788470" w14:textId="77777777">
      <w:pPr>
        <w:widowControl/>
        <w:autoSpaceDE/>
        <w:autoSpaceDN/>
        <w:adjustRightInd/>
        <w:spacing w:after="200" w:line="276" w:lineRule="auto"/>
        <w:rPr>
          <w:rFonts w:ascii="Times New Roman" w:hAnsi="Times New Roman"/>
        </w:rPr>
      </w:pPr>
      <w:r>
        <w:rPr>
          <w:rFonts w:ascii="Times New Roman" w:hAnsi="Times New Roman"/>
        </w:rPr>
        <w:br w:type="page"/>
      </w:r>
    </w:p>
    <w:p w:rsidRPr="00306FF5" w:rsidR="003614ED" w:rsidP="003614ED" w:rsidRDefault="003614ED" w14:paraId="232765E7" w14:textId="77777777">
      <w:pPr>
        <w:widowControl/>
        <w:kinsoku w:val="0"/>
        <w:overflowPunct w:val="0"/>
        <w:rPr>
          <w:rFonts w:ascii="Times New Roman" w:hAnsi="Times New Roman"/>
          <w:color w:val="000000"/>
          <w:u w:val="single"/>
        </w:rPr>
      </w:pPr>
      <w:r w:rsidRPr="00E33727">
        <w:rPr>
          <w:rFonts w:ascii="Times New Roman" w:hAnsi="Times New Roman"/>
          <w:color w:val="000000"/>
        </w:rPr>
        <w:lastRenderedPageBreak/>
        <w:t xml:space="preserve">3. </w:t>
      </w:r>
      <w:r w:rsidRPr="00E33727">
        <w:rPr>
          <w:rFonts w:ascii="Times New Roman" w:hAnsi="Times New Roman"/>
          <w:color w:val="000000"/>
        </w:rPr>
        <w:tab/>
      </w:r>
      <w:r w:rsidRPr="00306FF5">
        <w:rPr>
          <w:rFonts w:ascii="Times New Roman" w:hAnsi="Times New Roman"/>
          <w:color w:val="000000"/>
          <w:u w:val="single"/>
        </w:rPr>
        <w:t>Methods to Maximize Response</w:t>
      </w:r>
    </w:p>
    <w:p w:rsidRPr="00E33727" w:rsidR="003614ED" w:rsidP="003614ED" w:rsidRDefault="003614ED" w14:paraId="397D09D0" w14:textId="77777777">
      <w:pPr>
        <w:widowControl/>
        <w:kinsoku w:val="0"/>
        <w:overflowPunct w:val="0"/>
        <w:rPr>
          <w:rFonts w:ascii="Times New Roman" w:hAnsi="Times New Roman"/>
          <w:color w:val="000000"/>
        </w:rPr>
      </w:pPr>
    </w:p>
    <w:p w:rsidR="004D56D7" w:rsidP="004D56D7" w:rsidRDefault="004D56D7" w14:paraId="3868A979" w14:textId="77777777">
      <w:pPr>
        <w:ind w:left="720"/>
        <w:rPr>
          <w:rFonts w:eastAsiaTheme="minorHAnsi"/>
          <w:b/>
        </w:rPr>
      </w:pPr>
      <w:r w:rsidRPr="00230D2A">
        <w:rPr>
          <w:rFonts w:eastAsiaTheme="minorHAnsi"/>
          <w:b/>
        </w:rPr>
        <w:t xml:space="preserve">Administration </w:t>
      </w:r>
    </w:p>
    <w:p w:rsidR="004D56D7" w:rsidP="003614ED" w:rsidRDefault="004D56D7" w14:paraId="6368698E" w14:textId="77777777">
      <w:pPr>
        <w:widowControl/>
        <w:kinsoku w:val="0"/>
        <w:overflowPunct w:val="0"/>
        <w:ind w:left="720"/>
        <w:rPr>
          <w:rFonts w:ascii="Times New Roman" w:hAnsi="Times New Roman"/>
          <w:color w:val="000000"/>
        </w:rPr>
      </w:pPr>
    </w:p>
    <w:p w:rsidR="003614ED" w:rsidP="003614ED" w:rsidRDefault="003614ED" w14:paraId="0CEE4190" w14:textId="694ECFAE">
      <w:pPr>
        <w:widowControl/>
        <w:kinsoku w:val="0"/>
        <w:overflowPunct w:val="0"/>
        <w:ind w:left="720"/>
        <w:rPr>
          <w:rFonts w:ascii="Times New Roman" w:hAnsi="Times New Roman"/>
          <w:color w:val="000000"/>
        </w:rPr>
      </w:pPr>
      <w:r>
        <w:rPr>
          <w:rFonts w:ascii="Times New Roman" w:hAnsi="Times New Roman"/>
          <w:color w:val="000000"/>
        </w:rPr>
        <w:t>Response rate is of great importance for the NIS, particularly due to the requirement to rank facilities by prevalence of sexual victimiza</w:t>
      </w:r>
      <w:r w:rsidR="00391786">
        <w:rPr>
          <w:rFonts w:ascii="Times New Roman" w:hAnsi="Times New Roman"/>
          <w:color w:val="000000"/>
        </w:rPr>
        <w:t xml:space="preserve">tion. The inmate response rate in the </w:t>
      </w:r>
      <w:r>
        <w:rPr>
          <w:rFonts w:ascii="Times New Roman" w:hAnsi="Times New Roman"/>
          <w:color w:val="000000"/>
        </w:rPr>
        <w:t>NIS</w:t>
      </w:r>
      <w:r w:rsidR="00391786">
        <w:rPr>
          <w:rFonts w:ascii="Times New Roman" w:hAnsi="Times New Roman"/>
          <w:color w:val="000000"/>
        </w:rPr>
        <w:t>-3</w:t>
      </w:r>
      <w:r>
        <w:rPr>
          <w:rFonts w:ascii="Times New Roman" w:hAnsi="Times New Roman"/>
          <w:color w:val="000000"/>
        </w:rPr>
        <w:t xml:space="preserve"> collection was </w:t>
      </w:r>
      <w:r w:rsidR="00655028">
        <w:rPr>
          <w:rFonts w:ascii="Times New Roman" w:hAnsi="Times New Roman"/>
          <w:color w:val="000000"/>
        </w:rPr>
        <w:t>60</w:t>
      </w:r>
      <w:r>
        <w:rPr>
          <w:rFonts w:ascii="Times New Roman" w:hAnsi="Times New Roman"/>
          <w:color w:val="000000"/>
        </w:rPr>
        <w:t xml:space="preserve">% in jails. </w:t>
      </w:r>
      <w:r w:rsidRPr="00655028">
        <w:rPr>
          <w:rFonts w:ascii="Times New Roman" w:hAnsi="Times New Roman"/>
          <w:color w:val="000000"/>
        </w:rPr>
        <w:t>BJS received approval from OMB to offer incentives (cookies) for inmate participation in permitting jurisdictions prior to implementation of the second data collection. Response rates were significantly higher in facilities allowing the use of incentives (see table in Part A, Section 9).</w:t>
      </w:r>
      <w:r>
        <w:rPr>
          <w:rFonts w:ascii="Times New Roman" w:hAnsi="Times New Roman"/>
          <w:color w:val="000000"/>
        </w:rPr>
        <w:t xml:space="preserve"> </w:t>
      </w:r>
      <w:r w:rsidR="00EA33C4">
        <w:rPr>
          <w:rFonts w:ascii="Times New Roman" w:hAnsi="Times New Roman"/>
          <w:color w:val="000000"/>
        </w:rPr>
        <w:t xml:space="preserve">When approved by facility administrators, this survey will offer cookies or metered first-class mail envelopes as inmate incentives. </w:t>
      </w:r>
      <w:r w:rsidRPr="0011060A" w:rsidR="004D56D7">
        <w:rPr>
          <w:rFonts w:eastAsiaTheme="minorHAnsi"/>
        </w:rPr>
        <w:t>If approved</w:t>
      </w:r>
      <w:r w:rsidR="004D56D7">
        <w:rPr>
          <w:rFonts w:eastAsiaTheme="minorHAnsi"/>
        </w:rPr>
        <w:t xml:space="preserve"> for a snack</w:t>
      </w:r>
      <w:r w:rsidRPr="0011060A" w:rsidR="004D56D7">
        <w:rPr>
          <w:rFonts w:eastAsiaTheme="minorHAnsi"/>
        </w:rPr>
        <w:t>, inmates will be required to consume it prior to leaving the interviewing area</w:t>
      </w:r>
      <w:r w:rsidR="004D56D7">
        <w:rPr>
          <w:rFonts w:eastAsiaTheme="minorHAnsi"/>
        </w:rPr>
        <w:t xml:space="preserve">, </w:t>
      </w:r>
      <w:r w:rsidRPr="0011060A" w:rsidR="004D56D7">
        <w:rPr>
          <w:rFonts w:eastAsiaTheme="minorHAnsi"/>
        </w:rPr>
        <w:t xml:space="preserve">so it cannot be used as “currency” later. </w:t>
      </w:r>
      <w:r w:rsidRPr="0011060A" w:rsidR="004D56D7">
        <w:t>The interviewer will collect all trash and dispose of it according to facility procedures.</w:t>
      </w:r>
    </w:p>
    <w:p w:rsidR="003614ED" w:rsidP="003614ED" w:rsidRDefault="003614ED" w14:paraId="2B55F25A" w14:textId="77777777">
      <w:pPr>
        <w:widowControl/>
        <w:kinsoku w:val="0"/>
        <w:overflowPunct w:val="0"/>
        <w:ind w:left="720"/>
        <w:rPr>
          <w:rFonts w:ascii="Times New Roman" w:hAnsi="Times New Roman"/>
          <w:color w:val="000000"/>
        </w:rPr>
      </w:pPr>
    </w:p>
    <w:p w:rsidR="004D56D7" w:rsidP="004D56D7" w:rsidRDefault="004D56D7" w14:paraId="2DCE58DF"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Every effort is being made to make the survey materials clear and simple to use. </w:t>
      </w:r>
      <w:r>
        <w:rPr>
          <w:rFonts w:ascii="Times New Roman" w:hAnsi="Times New Roman"/>
          <w:color w:val="000000"/>
        </w:rPr>
        <w:t>The confidential nature of the data collected is clearly explained in the consent process and followed by several questions to verify respondent comprehension.</w:t>
      </w:r>
    </w:p>
    <w:p w:rsidR="004D56D7" w:rsidP="004D56D7" w:rsidRDefault="004D56D7" w14:paraId="60342672" w14:textId="77777777">
      <w:pPr>
        <w:widowControl/>
        <w:kinsoku w:val="0"/>
        <w:overflowPunct w:val="0"/>
        <w:ind w:left="720"/>
        <w:rPr>
          <w:rFonts w:ascii="Times New Roman" w:hAnsi="Times New Roman"/>
          <w:color w:val="000000"/>
        </w:rPr>
      </w:pPr>
    </w:p>
    <w:p w:rsidR="004D56D7" w:rsidP="004D56D7" w:rsidRDefault="004D56D7" w14:paraId="2EFC04AD" w14:textId="13B11BFA">
      <w:pPr>
        <w:widowControl/>
        <w:kinsoku w:val="0"/>
        <w:overflowPunct w:val="0"/>
        <w:ind w:left="720"/>
        <w:rPr>
          <w:rFonts w:ascii="Times New Roman" w:hAnsi="Times New Roman"/>
          <w:color w:val="000000"/>
        </w:rPr>
      </w:pPr>
      <w:r w:rsidRPr="00E33727">
        <w:rPr>
          <w:rFonts w:ascii="Times New Roman" w:hAnsi="Times New Roman"/>
          <w:color w:val="000000"/>
        </w:rPr>
        <w:t xml:space="preserve">The NIS questionnaire has been designed to maximize respondent comprehension and participation and minimize burden. Some examples include an </w:t>
      </w:r>
      <w:r w:rsidRPr="00E33727" w:rsidR="000226FA">
        <w:rPr>
          <w:rFonts w:ascii="Times New Roman" w:hAnsi="Times New Roman"/>
          <w:color w:val="000000"/>
        </w:rPr>
        <w:t>easy-to-use</w:t>
      </w:r>
      <w:r w:rsidRPr="00E33727">
        <w:rPr>
          <w:rFonts w:ascii="Times New Roman" w:hAnsi="Times New Roman"/>
          <w:color w:val="000000"/>
        </w:rPr>
        <w:t xml:space="preserve"> touch-screen interface with the questions simultaneously delivered via headphones. A Spanish version of the questionnaire will be ava</w:t>
      </w:r>
      <w:r>
        <w:rPr>
          <w:rFonts w:ascii="Times New Roman" w:hAnsi="Times New Roman"/>
          <w:color w:val="000000"/>
        </w:rPr>
        <w:t>ilable for non-English, Spanish-</w:t>
      </w:r>
      <w:r w:rsidRPr="00E33727">
        <w:rPr>
          <w:rFonts w:ascii="Times New Roman" w:hAnsi="Times New Roman"/>
          <w:color w:val="000000"/>
        </w:rPr>
        <w:t xml:space="preserve">speaking respondents. Field staff </w:t>
      </w:r>
      <w:r>
        <w:rPr>
          <w:rFonts w:ascii="Times New Roman" w:hAnsi="Times New Roman"/>
          <w:color w:val="000000"/>
        </w:rPr>
        <w:t>will be</w:t>
      </w:r>
      <w:r w:rsidRPr="00E33727">
        <w:rPr>
          <w:rFonts w:ascii="Times New Roman" w:hAnsi="Times New Roman"/>
          <w:color w:val="000000"/>
        </w:rPr>
        <w:t xml:space="preserve"> available to answer any questions that respondents may have, including bilingual staff who can answer questions in Spanish. Arrangements with mental health staff at each facility, or if needed</w:t>
      </w:r>
      <w:r>
        <w:rPr>
          <w:rFonts w:ascii="Times New Roman" w:hAnsi="Times New Roman"/>
          <w:color w:val="000000"/>
        </w:rPr>
        <w:t>,</w:t>
      </w:r>
      <w:r w:rsidRPr="00E33727">
        <w:rPr>
          <w:rFonts w:ascii="Times New Roman" w:hAnsi="Times New Roman"/>
          <w:color w:val="000000"/>
        </w:rPr>
        <w:t xml:space="preserve"> an on-call or some other arrangement, will be made for delivery of counseling services for respondents interested in obtaining counseling services or assistance following the survey</w:t>
      </w:r>
      <w:r>
        <w:rPr>
          <w:rFonts w:ascii="Times New Roman" w:hAnsi="Times New Roman"/>
          <w:color w:val="000000"/>
        </w:rPr>
        <w:t>.</w:t>
      </w:r>
    </w:p>
    <w:p w:rsidR="004D56D7" w:rsidP="004D56D7" w:rsidRDefault="004D56D7" w14:paraId="47478DC4" w14:textId="77777777">
      <w:pPr>
        <w:widowControl/>
        <w:kinsoku w:val="0"/>
        <w:overflowPunct w:val="0"/>
        <w:ind w:left="720"/>
        <w:rPr>
          <w:rFonts w:ascii="Times New Roman" w:hAnsi="Times New Roman"/>
          <w:color w:val="000000"/>
        </w:rPr>
      </w:pPr>
    </w:p>
    <w:p w:rsidR="004D56D7" w:rsidP="004D56D7" w:rsidRDefault="004D56D7" w14:paraId="4BB3CF89" w14:textId="3A10551E">
      <w:pPr>
        <w:widowControl/>
        <w:kinsoku w:val="0"/>
        <w:overflowPunct w:val="0"/>
        <w:ind w:left="720"/>
        <w:rPr>
          <w:rFonts w:ascii="Times New Roman" w:hAnsi="Times New Roman"/>
          <w:color w:val="000000"/>
        </w:rPr>
      </w:pPr>
      <w:r w:rsidRPr="00B702B7">
        <w:rPr>
          <w:rFonts w:ascii="Times New Roman" w:hAnsi="Times New Roman"/>
          <w:color w:val="000000"/>
        </w:rPr>
        <w:t xml:space="preserve">Some inmates will not be able to come to a common interviewing area to participate in the study. For inmates who are unable to leave their housing areas (e.g., in administrative segregation or a medical unit), we will use the abbreviated PAPI questionnaire. The </w:t>
      </w:r>
      <w:r w:rsidR="007C7D9E">
        <w:rPr>
          <w:rFonts w:ascii="Times New Roman" w:hAnsi="Times New Roman"/>
          <w:color w:val="000000"/>
        </w:rPr>
        <w:t>Westat Team Lead</w:t>
      </w:r>
      <w:r w:rsidRPr="00B702B7">
        <w:rPr>
          <w:rFonts w:ascii="Times New Roman" w:hAnsi="Times New Roman"/>
          <w:color w:val="000000"/>
        </w:rPr>
        <w:t xml:space="preserve"> will work with the facility to identify a location where the PAPI questionnaire can be administered. No name will be recorded on the questionnaire, and at no time will the interviewer allow facility staff to handle completed questionnaires.</w:t>
      </w:r>
    </w:p>
    <w:p w:rsidR="00AF06A6" w:rsidP="004D56D7" w:rsidRDefault="00AF06A6" w14:paraId="101A452B" w14:textId="2B06B5E7">
      <w:pPr>
        <w:widowControl/>
        <w:kinsoku w:val="0"/>
        <w:overflowPunct w:val="0"/>
        <w:rPr>
          <w:rFonts w:ascii="Times New Roman" w:hAnsi="Times New Roman"/>
          <w:color w:val="000000"/>
        </w:rPr>
      </w:pPr>
    </w:p>
    <w:p w:rsidR="004D56D7" w:rsidP="004D56D7" w:rsidRDefault="004D56D7" w14:paraId="0CF9BDA8" w14:textId="77777777">
      <w:pPr>
        <w:keepNext/>
        <w:spacing w:after="200"/>
        <w:ind w:left="720"/>
        <w:rPr>
          <w:rFonts w:eastAsiaTheme="minorHAnsi"/>
          <w:b/>
        </w:rPr>
      </w:pPr>
      <w:r w:rsidRPr="0011060A">
        <w:rPr>
          <w:rFonts w:eastAsiaTheme="minorHAnsi"/>
          <w:b/>
        </w:rPr>
        <w:t>Nonresponse Adjustments</w:t>
      </w:r>
    </w:p>
    <w:p w:rsidR="004D56D7" w:rsidP="004D56D7" w:rsidRDefault="004D56D7" w14:paraId="63ED87C9" w14:textId="025D8789">
      <w:pPr>
        <w:ind w:left="720"/>
      </w:pPr>
      <w:bookmarkStart w:name="_Hlk108094992" w:id="2"/>
      <w:r w:rsidRPr="001429F3">
        <w:t xml:space="preserve">With </w:t>
      </w:r>
      <w:r>
        <w:t xml:space="preserve">almost any survey, </w:t>
      </w:r>
      <w:r w:rsidRPr="001429F3">
        <w:t xml:space="preserve">some of the selected subjects will not respond to the survey request (i.e., </w:t>
      </w:r>
      <w:r>
        <w:t xml:space="preserve">unit </w:t>
      </w:r>
      <w:r w:rsidRPr="001429F3">
        <w:t>nonresponse)</w:t>
      </w:r>
      <w:r>
        <w:rPr>
          <w:rStyle w:val="FootnoteReference"/>
        </w:rPr>
        <w:footnoteReference w:id="6"/>
      </w:r>
      <w:r w:rsidRPr="001429F3">
        <w:t xml:space="preserve"> and some will not respond to particular que</w:t>
      </w:r>
      <w:r>
        <w:t>stions (i.e., item nonresponse)</w:t>
      </w:r>
      <w:r w:rsidRPr="001429F3">
        <w:t xml:space="preserve">. Weighting will be used to adjust for unit nonresponse in </w:t>
      </w:r>
      <w:r w:rsidR="007C7D9E">
        <w:t>NIS-4J</w:t>
      </w:r>
      <w:r w:rsidRPr="001429F3">
        <w:t>.</w:t>
      </w:r>
      <w:r w:rsidRPr="008A0AB4" w:rsidR="008A0AB4">
        <w:rPr>
          <w:color w:val="000000"/>
        </w:rPr>
        <w:t xml:space="preserve"> </w:t>
      </w:r>
      <w:r w:rsidRPr="001429F3" w:rsidR="008A0AB4">
        <w:rPr>
          <w:color w:val="000000"/>
        </w:rPr>
        <w:t xml:space="preserve">weights created will allow for the analysis of the cross-section sample of </w:t>
      </w:r>
      <w:r w:rsidR="008A0AB4">
        <w:rPr>
          <w:color w:val="000000"/>
        </w:rPr>
        <w:t>inmates</w:t>
      </w:r>
      <w:r w:rsidRPr="001429F3" w:rsidR="008A0AB4">
        <w:rPr>
          <w:color w:val="000000"/>
        </w:rPr>
        <w:t>, including those in the self-representing jurisdictions.</w:t>
      </w:r>
      <w:r w:rsidR="008A0AB4">
        <w:rPr>
          <w:color w:val="000000"/>
        </w:rPr>
        <w:t xml:space="preserve"> </w:t>
      </w:r>
      <w:r w:rsidRPr="006529C7" w:rsidR="006529C7">
        <w:rPr>
          <w:color w:val="000000"/>
        </w:rPr>
        <w:t xml:space="preserve">In the event of unit nonresponse in the first </w:t>
      </w:r>
      <w:r w:rsidR="008A0AB4">
        <w:rPr>
          <w:color w:val="000000"/>
        </w:rPr>
        <w:t>s</w:t>
      </w:r>
      <w:r w:rsidRPr="006529C7" w:rsidR="006529C7">
        <w:rPr>
          <w:color w:val="000000"/>
        </w:rPr>
        <w:t xml:space="preserve">tage, </w:t>
      </w:r>
      <w:r w:rsidR="008A0AB4">
        <w:rPr>
          <w:color w:val="000000"/>
        </w:rPr>
        <w:t xml:space="preserve">a ratio adjustment will be applied to the </w:t>
      </w:r>
      <w:r w:rsidRPr="006529C7" w:rsidR="006529C7">
        <w:rPr>
          <w:color w:val="000000"/>
        </w:rPr>
        <w:t xml:space="preserve">stratum weights to account for the </w:t>
      </w:r>
      <w:r w:rsidRPr="006529C7" w:rsidR="006529C7">
        <w:rPr>
          <w:color w:val="000000"/>
        </w:rPr>
        <w:lastRenderedPageBreak/>
        <w:t xml:space="preserve">nonrespondents. </w:t>
      </w:r>
      <w:r w:rsidR="008A0AB4">
        <w:rPr>
          <w:color w:val="000000"/>
        </w:rPr>
        <w:t>For nonresponse in the second stage, t</w:t>
      </w:r>
      <w:r>
        <w:rPr>
          <w:color w:val="000000"/>
        </w:rPr>
        <w:t xml:space="preserve">he non-response adjusted weights will be calculated within each facility using administrative data from the sampling rosters. The weights will be adjusted using </w:t>
      </w:r>
      <w:r w:rsidR="00B1229B">
        <w:rPr>
          <w:color w:val="000000"/>
        </w:rPr>
        <w:t xml:space="preserve">calibration software, </w:t>
      </w:r>
      <w:r>
        <w:rPr>
          <w:color w:val="000000"/>
        </w:rPr>
        <w:t>which adjusts weights using a propensity model and ensures weights for respondents sum to the weight of all eligible sampled inmates.</w:t>
      </w:r>
    </w:p>
    <w:p w:rsidR="004D56D7" w:rsidP="004D56D7" w:rsidRDefault="004D56D7" w14:paraId="2A7F0BDE" w14:textId="77777777">
      <w:pPr>
        <w:ind w:left="720"/>
      </w:pPr>
    </w:p>
    <w:p w:rsidR="004D56D7" w:rsidP="004D56D7" w:rsidRDefault="004D56D7" w14:paraId="66F716BE" w14:textId="6556E6FE">
      <w:pPr>
        <w:ind w:left="720"/>
        <w:rPr>
          <w:color w:val="000000"/>
        </w:rPr>
      </w:pPr>
      <w:r w:rsidRPr="001429F3">
        <w:rPr>
          <w:color w:val="000000"/>
        </w:rPr>
        <w:t>For unit nonresponse</w:t>
      </w:r>
      <w:r w:rsidR="00035510">
        <w:rPr>
          <w:color w:val="000000"/>
        </w:rPr>
        <w:t xml:space="preserve"> at the inmate stage</w:t>
      </w:r>
      <w:r w:rsidRPr="001429F3">
        <w:rPr>
          <w:color w:val="000000"/>
        </w:rPr>
        <w:t xml:space="preserve">, </w:t>
      </w:r>
      <w:r w:rsidR="000226FA">
        <w:rPr>
          <w:color w:val="000000"/>
        </w:rPr>
        <w:t>BJS</w:t>
      </w:r>
      <w:r w:rsidRPr="001429F3" w:rsidR="000226FA">
        <w:rPr>
          <w:color w:val="000000"/>
        </w:rPr>
        <w:t xml:space="preserve"> </w:t>
      </w:r>
      <w:r w:rsidRPr="001429F3">
        <w:rPr>
          <w:color w:val="000000"/>
        </w:rPr>
        <w:t xml:space="preserve">will assess whether responding inmates are different from nonresponding inmates. </w:t>
      </w:r>
      <w:bookmarkEnd w:id="2"/>
      <w:r w:rsidRPr="001429F3">
        <w:rPr>
          <w:color w:val="000000"/>
        </w:rPr>
        <w:t>We will examine the disposition codes among nonrespondents to determine if a particular type of inmate had significantly higher</w:t>
      </w:r>
      <w:r w:rsidRPr="001429F3">
        <w:t xml:space="preserve"> </w:t>
      </w:r>
      <w:r w:rsidRPr="001429F3">
        <w:rPr>
          <w:color w:val="000000"/>
        </w:rPr>
        <w:t xml:space="preserve">levels of nonresponse. Then, using the inmate characteristics we receive on the facility roster (i.e., age, </w:t>
      </w:r>
      <w:r w:rsidR="007C7D9E">
        <w:rPr>
          <w:color w:val="000000"/>
        </w:rPr>
        <w:t>gender</w:t>
      </w:r>
      <w:r w:rsidRPr="001429F3">
        <w:rPr>
          <w:color w:val="000000"/>
        </w:rPr>
        <w:t xml:space="preserve">, race and ethnicity, </w:t>
      </w:r>
      <w:r w:rsidR="00B1229B">
        <w:rPr>
          <w:color w:val="000000"/>
        </w:rPr>
        <w:t>and conviction status</w:t>
      </w:r>
      <w:r w:rsidRPr="001429F3">
        <w:rPr>
          <w:color w:val="000000"/>
        </w:rPr>
        <w:t xml:space="preserve">), </w:t>
      </w:r>
      <w:r w:rsidR="000226FA">
        <w:rPr>
          <w:color w:val="000000"/>
        </w:rPr>
        <w:t>BJS</w:t>
      </w:r>
      <w:r w:rsidRPr="001429F3" w:rsidR="000226FA">
        <w:rPr>
          <w:color w:val="000000"/>
        </w:rPr>
        <w:t xml:space="preserve"> </w:t>
      </w:r>
      <w:r w:rsidRPr="001429F3">
        <w:rPr>
          <w:color w:val="000000"/>
        </w:rPr>
        <w:t xml:space="preserve">will compare the distribution of respondents and nonrespondents by inmate characteristics. </w:t>
      </w:r>
      <w:r w:rsidR="000226FA">
        <w:rPr>
          <w:color w:val="000000"/>
        </w:rPr>
        <w:t xml:space="preserve">BJS </w:t>
      </w:r>
      <w:r w:rsidR="00B1229B">
        <w:rPr>
          <w:color w:val="000000"/>
        </w:rPr>
        <w:t xml:space="preserve">will </w:t>
      </w:r>
      <w:r w:rsidRPr="001429F3">
        <w:rPr>
          <w:color w:val="000000"/>
        </w:rPr>
        <w:t>assess the level of potential nonresponse bias</w:t>
      </w:r>
      <w:r w:rsidR="00B1229B">
        <w:rPr>
          <w:color w:val="000000"/>
        </w:rPr>
        <w:t xml:space="preserve"> both before and after nonresponse adjustment and carry out statistical tests of weighted respondent vs. sample distributions to confirm the absence of a difference in the characteristics evaluated</w:t>
      </w:r>
      <w:r w:rsidRPr="001429F3">
        <w:rPr>
          <w:color w:val="000000"/>
        </w:rPr>
        <w:t>.</w:t>
      </w:r>
    </w:p>
    <w:p w:rsidRPr="001429F3" w:rsidR="004D56D7" w:rsidP="004D56D7" w:rsidRDefault="004D56D7" w14:paraId="303061B9" w14:textId="77777777">
      <w:pPr>
        <w:ind w:left="720"/>
        <w:rPr>
          <w:color w:val="000000"/>
        </w:rPr>
      </w:pPr>
    </w:p>
    <w:p w:rsidR="004D56D7" w:rsidP="004D56D7" w:rsidRDefault="004D56D7" w14:paraId="4B21C2DC" w14:textId="60E38567">
      <w:pPr>
        <w:ind w:left="720"/>
        <w:rPr>
          <w:color w:val="000000"/>
        </w:rPr>
      </w:pPr>
      <w:r w:rsidRPr="001429F3">
        <w:rPr>
          <w:color w:val="000000"/>
        </w:rPr>
        <w:t>For item nonresponse, imputation is preferred, as it preserves a single record per case, allowing</w:t>
      </w:r>
      <w:r>
        <w:rPr>
          <w:color w:val="000000"/>
        </w:rPr>
        <w:t xml:space="preserve"> </w:t>
      </w:r>
      <w:r w:rsidRPr="001429F3">
        <w:rPr>
          <w:color w:val="000000"/>
        </w:rPr>
        <w:t xml:space="preserve">for multivariable analysis. For </w:t>
      </w:r>
      <w:r w:rsidR="007C7D9E">
        <w:rPr>
          <w:color w:val="000000"/>
        </w:rPr>
        <w:t>NIS-4J</w:t>
      </w:r>
      <w:r w:rsidRPr="001429F3">
        <w:rPr>
          <w:color w:val="000000"/>
        </w:rPr>
        <w:t xml:space="preserve">, </w:t>
      </w:r>
      <w:r w:rsidR="000226FA">
        <w:rPr>
          <w:color w:val="000000"/>
        </w:rPr>
        <w:t>BJS</w:t>
      </w:r>
      <w:r w:rsidRPr="001429F3" w:rsidR="000226FA">
        <w:rPr>
          <w:color w:val="000000"/>
        </w:rPr>
        <w:t xml:space="preserve"> </w:t>
      </w:r>
      <w:r>
        <w:rPr>
          <w:color w:val="000000"/>
        </w:rPr>
        <w:t>will use</w:t>
      </w:r>
      <w:r w:rsidR="00B1229B">
        <w:rPr>
          <w:color w:val="000000"/>
        </w:rPr>
        <w:t xml:space="preserve"> hot-deck imputation after modeling the missingness distributions</w:t>
      </w:r>
      <w:r w:rsidRPr="001429F3">
        <w:rPr>
          <w:color w:val="000000"/>
        </w:rPr>
        <w:t xml:space="preserve">. </w:t>
      </w:r>
      <w:r w:rsidR="00B1229B">
        <w:rPr>
          <w:color w:val="000000"/>
        </w:rPr>
        <w:t xml:space="preserve">This approach works </w:t>
      </w:r>
      <w:r w:rsidRPr="001429F3">
        <w:rPr>
          <w:color w:val="000000"/>
        </w:rPr>
        <w:t>well for large and diverse</w:t>
      </w:r>
      <w:r>
        <w:rPr>
          <w:color w:val="000000"/>
        </w:rPr>
        <w:t xml:space="preserve"> </w:t>
      </w:r>
      <w:r w:rsidRPr="001429F3">
        <w:rPr>
          <w:color w:val="000000"/>
        </w:rPr>
        <w:t>variable sets while providing a flexible toolset for controlling the underlying missingness</w:t>
      </w:r>
      <w:r>
        <w:rPr>
          <w:color w:val="000000"/>
        </w:rPr>
        <w:t xml:space="preserve"> </w:t>
      </w:r>
      <w:r w:rsidRPr="001429F3">
        <w:rPr>
          <w:color w:val="000000"/>
        </w:rPr>
        <w:t>mechanisms.</w:t>
      </w:r>
    </w:p>
    <w:p w:rsidR="004D56D7" w:rsidP="004D56D7" w:rsidRDefault="004D56D7" w14:paraId="693D44CA" w14:textId="77777777">
      <w:pPr>
        <w:ind w:left="720"/>
        <w:rPr>
          <w:color w:val="000000"/>
        </w:rPr>
      </w:pPr>
    </w:p>
    <w:p w:rsidRPr="00513047" w:rsidR="004D56D7" w:rsidP="004D56D7" w:rsidRDefault="004D56D7" w14:paraId="6E84F589" w14:textId="77777777">
      <w:pPr>
        <w:ind w:left="720"/>
        <w:rPr>
          <w:b/>
          <w:color w:val="000000"/>
        </w:rPr>
      </w:pPr>
      <w:r w:rsidRPr="00513047">
        <w:rPr>
          <w:b/>
          <w:color w:val="000000"/>
        </w:rPr>
        <w:t>Post-Collection Outreach</w:t>
      </w:r>
    </w:p>
    <w:p w:rsidR="004D56D7" w:rsidP="004D56D7" w:rsidRDefault="004D56D7" w14:paraId="7DCC8825" w14:textId="77777777">
      <w:pPr>
        <w:ind w:left="720"/>
        <w:rPr>
          <w:color w:val="000000"/>
        </w:rPr>
      </w:pPr>
    </w:p>
    <w:p w:rsidRPr="00E33727" w:rsidR="00AF06A6" w:rsidP="00A25130" w:rsidRDefault="00AF06A6" w14:paraId="1AEAF408" w14:textId="601F39FC">
      <w:pPr>
        <w:widowControl/>
        <w:kinsoku w:val="0"/>
        <w:overflowPunct w:val="0"/>
        <w:ind w:left="720"/>
        <w:rPr>
          <w:rFonts w:ascii="Times New Roman" w:hAnsi="Times New Roman"/>
          <w:color w:val="000000"/>
        </w:rPr>
      </w:pPr>
      <w:r w:rsidRPr="00AF06A6">
        <w:rPr>
          <w:rFonts w:ascii="Times New Roman" w:hAnsi="Times New Roman"/>
          <w:color w:val="000000"/>
        </w:rPr>
        <w:t xml:space="preserve">After collection, a thank you letter, which </w:t>
      </w:r>
      <w:r>
        <w:rPr>
          <w:rFonts w:ascii="Times New Roman" w:hAnsi="Times New Roman"/>
          <w:color w:val="000000"/>
        </w:rPr>
        <w:t>is</w:t>
      </w:r>
      <w:r w:rsidRPr="00AF06A6">
        <w:rPr>
          <w:rFonts w:ascii="Times New Roman" w:hAnsi="Times New Roman"/>
          <w:color w:val="000000"/>
        </w:rPr>
        <w:t xml:space="preserve"> not a part of the generic clearance for outreach, will be sent to thank the </w:t>
      </w:r>
      <w:r w:rsidRPr="00FD05C5">
        <w:rPr>
          <w:rFonts w:ascii="Times New Roman" w:hAnsi="Times New Roman"/>
          <w:color w:val="000000"/>
        </w:rPr>
        <w:t xml:space="preserve">facilities (see Attachment </w:t>
      </w:r>
      <w:r w:rsidR="00E259D7">
        <w:rPr>
          <w:rFonts w:ascii="Times New Roman" w:hAnsi="Times New Roman"/>
          <w:color w:val="000000"/>
        </w:rPr>
        <w:t>I</w:t>
      </w:r>
      <w:r w:rsidRPr="00FD05C5">
        <w:rPr>
          <w:rFonts w:ascii="Times New Roman" w:hAnsi="Times New Roman"/>
          <w:color w:val="000000"/>
        </w:rPr>
        <w:t>).</w:t>
      </w:r>
    </w:p>
    <w:p w:rsidR="003614ED" w:rsidP="003614ED" w:rsidRDefault="003614ED" w14:paraId="0B7E6A15" w14:textId="77777777">
      <w:pPr>
        <w:widowControl/>
        <w:kinsoku w:val="0"/>
        <w:overflowPunct w:val="0"/>
        <w:rPr>
          <w:rFonts w:ascii="Times New Roman" w:hAnsi="Times New Roman"/>
          <w:color w:val="000000"/>
        </w:rPr>
      </w:pPr>
    </w:p>
    <w:p w:rsidRPr="00E33727" w:rsidR="003614ED" w:rsidP="003614ED" w:rsidRDefault="003614ED" w14:paraId="3AAB8B0F" w14:textId="77777777">
      <w:pPr>
        <w:widowControl/>
        <w:kinsoku w:val="0"/>
        <w:overflowPunct w:val="0"/>
        <w:rPr>
          <w:rFonts w:ascii="Times New Roman" w:hAnsi="Times New Roman"/>
          <w:color w:val="000000"/>
        </w:rPr>
      </w:pPr>
      <w:r w:rsidRPr="00E33727">
        <w:rPr>
          <w:rFonts w:ascii="Times New Roman" w:hAnsi="Times New Roman"/>
          <w:color w:val="000000"/>
        </w:rPr>
        <w:t xml:space="preserve">4. </w:t>
      </w:r>
      <w:r w:rsidRPr="00E33727">
        <w:rPr>
          <w:rFonts w:ascii="Times New Roman" w:hAnsi="Times New Roman"/>
          <w:color w:val="000000"/>
        </w:rPr>
        <w:tab/>
      </w:r>
      <w:r w:rsidRPr="00E33727">
        <w:rPr>
          <w:rFonts w:ascii="Times New Roman" w:hAnsi="Times New Roman"/>
          <w:color w:val="000000"/>
          <w:u w:val="single"/>
        </w:rPr>
        <w:t>Test of Procedures or Methods</w:t>
      </w:r>
    </w:p>
    <w:p w:rsidRPr="00E33727" w:rsidR="003614ED" w:rsidP="003614ED" w:rsidRDefault="003614ED" w14:paraId="620290DE" w14:textId="77777777">
      <w:pPr>
        <w:widowControl/>
        <w:kinsoku w:val="0"/>
        <w:overflowPunct w:val="0"/>
        <w:rPr>
          <w:rFonts w:ascii="Times New Roman" w:hAnsi="Times New Roman"/>
          <w:color w:val="000000"/>
        </w:rPr>
      </w:pPr>
      <w:r w:rsidRPr="00E33727">
        <w:rPr>
          <w:rFonts w:ascii="Times New Roman" w:hAnsi="Times New Roman"/>
          <w:color w:val="000000"/>
        </w:rPr>
        <w:tab/>
      </w:r>
    </w:p>
    <w:p w:rsidR="003614ED" w:rsidP="003614ED" w:rsidRDefault="003614ED" w14:paraId="177C8D5C" w14:textId="07EDE22B">
      <w:pPr>
        <w:ind w:left="720"/>
      </w:pPr>
      <w:r w:rsidRPr="00CA6412">
        <w:rPr>
          <w:rFonts w:ascii="Times New Roman" w:hAnsi="Times New Roman"/>
          <w:color w:val="000000"/>
        </w:rPr>
        <w:t xml:space="preserve">The interview and data collection procedures </w:t>
      </w:r>
      <w:r w:rsidRPr="00CA6412" w:rsidR="00E85765">
        <w:rPr>
          <w:rFonts w:ascii="Times New Roman" w:hAnsi="Times New Roman"/>
          <w:color w:val="000000"/>
        </w:rPr>
        <w:t>will be</w:t>
      </w:r>
      <w:r w:rsidRPr="00CA6412">
        <w:rPr>
          <w:rFonts w:ascii="Times New Roman" w:hAnsi="Times New Roman"/>
          <w:color w:val="000000"/>
        </w:rPr>
        <w:t xml:space="preserve"> tested </w:t>
      </w:r>
      <w:r w:rsidRPr="00CA6412" w:rsidR="00E85765">
        <w:rPr>
          <w:rFonts w:ascii="Times New Roman" w:hAnsi="Times New Roman"/>
          <w:color w:val="000000"/>
        </w:rPr>
        <w:t xml:space="preserve">in a </w:t>
      </w:r>
      <w:r w:rsidRPr="00CA6412" w:rsidR="0047457B">
        <w:rPr>
          <w:rFonts w:ascii="Times New Roman" w:hAnsi="Times New Roman"/>
          <w:color w:val="000000"/>
        </w:rPr>
        <w:t xml:space="preserve">pre-test </w:t>
      </w:r>
      <w:r w:rsidRPr="00CA6412" w:rsidR="00E85765">
        <w:rPr>
          <w:rFonts w:ascii="Times New Roman" w:hAnsi="Times New Roman"/>
          <w:color w:val="000000"/>
        </w:rPr>
        <w:t xml:space="preserve">study </w:t>
      </w:r>
      <w:r w:rsidRPr="00CA6412">
        <w:rPr>
          <w:rFonts w:ascii="Times New Roman" w:hAnsi="Times New Roman"/>
          <w:color w:val="000000"/>
        </w:rPr>
        <w:t xml:space="preserve">among </w:t>
      </w:r>
      <w:r w:rsidRPr="00CA6412" w:rsidR="00E85765">
        <w:rPr>
          <w:rFonts w:ascii="Times New Roman" w:hAnsi="Times New Roman"/>
          <w:color w:val="000000"/>
        </w:rPr>
        <w:t>jails</w:t>
      </w:r>
      <w:r w:rsidRPr="00CA6412">
        <w:rPr>
          <w:rFonts w:ascii="Times New Roman" w:hAnsi="Times New Roman"/>
          <w:color w:val="000000"/>
        </w:rPr>
        <w:t xml:space="preserve"> with inmates</w:t>
      </w:r>
      <w:r w:rsidRPr="00CA6412" w:rsidR="00AF06A6">
        <w:rPr>
          <w:rFonts w:ascii="Times New Roman" w:hAnsi="Times New Roman"/>
          <w:color w:val="000000"/>
        </w:rPr>
        <w:t xml:space="preserve"> prior to the full survey administration</w:t>
      </w:r>
      <w:r w:rsidRPr="00CA6412">
        <w:rPr>
          <w:rFonts w:ascii="Times New Roman" w:hAnsi="Times New Roman"/>
          <w:color w:val="000000"/>
        </w:rPr>
        <w:t xml:space="preserve">. </w:t>
      </w:r>
      <w:r w:rsidRPr="00CA6412">
        <w:t xml:space="preserve">Juveniles </w:t>
      </w:r>
      <w:r w:rsidRPr="00CA6412" w:rsidR="00E85765">
        <w:t>will be</w:t>
      </w:r>
      <w:r w:rsidRPr="00CA6412">
        <w:t xml:space="preserve"> </w:t>
      </w:r>
      <w:r w:rsidRPr="00CA6412" w:rsidR="00CD1181">
        <w:t>selected</w:t>
      </w:r>
      <w:r w:rsidRPr="00CA6412">
        <w:t xml:space="preserve"> in the jail</w:t>
      </w:r>
      <w:r w:rsidRPr="00CA6412" w:rsidR="00E85765">
        <w:t>s</w:t>
      </w:r>
      <w:r w:rsidRPr="00CA6412">
        <w:t xml:space="preserve"> so that procedures for </w:t>
      </w:r>
      <w:r w:rsidRPr="00CA6412" w:rsidR="00CD1181">
        <w:t xml:space="preserve">administering consent </w:t>
      </w:r>
      <w:r w:rsidRPr="00CA6412">
        <w:t xml:space="preserve">juveniles </w:t>
      </w:r>
      <w:r w:rsidRPr="00CA6412" w:rsidR="00E85765">
        <w:t>can</w:t>
      </w:r>
      <w:r w:rsidRPr="00CA6412">
        <w:t xml:space="preserve"> be tested.</w:t>
      </w:r>
      <w:r>
        <w:t xml:space="preserve">  </w:t>
      </w:r>
    </w:p>
    <w:p w:rsidR="003614ED" w:rsidP="003614ED" w:rsidRDefault="003614ED" w14:paraId="2047CDCD" w14:textId="77777777">
      <w:pPr>
        <w:ind w:left="720"/>
      </w:pPr>
    </w:p>
    <w:p w:rsidRPr="00E85765" w:rsidR="003614ED" w:rsidP="00E85765" w:rsidRDefault="003614ED" w14:paraId="4E5969C6" w14:textId="23A51947">
      <w:pPr>
        <w:ind w:left="720"/>
      </w:pPr>
      <w:r>
        <w:t xml:space="preserve">Timing data </w:t>
      </w:r>
      <w:r w:rsidR="00E85765">
        <w:t>will be</w:t>
      </w:r>
      <w:r>
        <w:t xml:space="preserve"> obtained for both series of questions. Based on the test finding</w:t>
      </w:r>
      <w:r w:rsidR="005C20F5">
        <w:t>s, the</w:t>
      </w:r>
      <w:r w:rsidR="00E85765">
        <w:t xml:space="preserve"> burden estimate </w:t>
      </w:r>
      <w:r w:rsidR="005C20F5">
        <w:t xml:space="preserve">will be updated </w:t>
      </w:r>
      <w:r w:rsidR="00E85765">
        <w:t>as neede</w:t>
      </w:r>
      <w:r w:rsidR="00655028">
        <w:t>d</w:t>
      </w:r>
      <w:r>
        <w:t>.</w:t>
      </w:r>
      <w:r w:rsidR="00E85765">
        <w:t xml:space="preserve"> </w:t>
      </w:r>
      <w:r>
        <w:t xml:space="preserve">The field staff </w:t>
      </w:r>
      <w:r w:rsidR="00E85765">
        <w:t xml:space="preserve">will </w:t>
      </w:r>
      <w:r>
        <w:t>participate in a telephone debriefing after data collection</w:t>
      </w:r>
      <w:r w:rsidR="00E85765">
        <w:t xml:space="preserve"> to report how data collection went and any issues that arose.</w:t>
      </w:r>
    </w:p>
    <w:p w:rsidR="0074593E" w:rsidP="00CA265E" w:rsidRDefault="00CA265E" w14:paraId="338C2EF5" w14:textId="23F24EF0">
      <w:pPr>
        <w:widowControl/>
        <w:autoSpaceDE/>
        <w:autoSpaceDN/>
        <w:adjustRightInd/>
        <w:spacing w:after="200" w:line="276" w:lineRule="auto"/>
        <w:rPr>
          <w:rFonts w:ascii="Times New Roman" w:hAnsi="Times New Roman"/>
          <w:color w:val="000000"/>
        </w:rPr>
      </w:pPr>
      <w:r>
        <w:rPr>
          <w:rFonts w:ascii="Times New Roman" w:hAnsi="Times New Roman"/>
          <w:color w:val="000000"/>
        </w:rPr>
        <w:br w:type="page"/>
      </w:r>
    </w:p>
    <w:p w:rsidRPr="00E33727" w:rsidR="003614ED" w:rsidP="003614ED" w:rsidRDefault="003614ED" w14:paraId="2915A217" w14:textId="541BC941">
      <w:pPr>
        <w:widowControl/>
        <w:kinsoku w:val="0"/>
        <w:overflowPunct w:val="0"/>
        <w:rPr>
          <w:rFonts w:ascii="Times New Roman" w:hAnsi="Times New Roman"/>
          <w:color w:val="000000"/>
          <w:u w:val="single"/>
        </w:rPr>
      </w:pPr>
      <w:r w:rsidRPr="00E33727">
        <w:rPr>
          <w:rFonts w:ascii="Times New Roman" w:hAnsi="Times New Roman"/>
          <w:color w:val="000000"/>
        </w:rPr>
        <w:lastRenderedPageBreak/>
        <w:t xml:space="preserve">5. </w:t>
      </w:r>
      <w:r w:rsidRPr="00E33727">
        <w:rPr>
          <w:rFonts w:ascii="Times New Roman" w:hAnsi="Times New Roman"/>
          <w:color w:val="000000"/>
        </w:rPr>
        <w:tab/>
      </w:r>
      <w:r w:rsidRPr="00E33727">
        <w:rPr>
          <w:rFonts w:ascii="Times New Roman" w:hAnsi="Times New Roman"/>
          <w:color w:val="000000"/>
          <w:u w:val="single"/>
        </w:rPr>
        <w:t xml:space="preserve">Consultation Information </w:t>
      </w:r>
    </w:p>
    <w:p w:rsidRPr="00E33727" w:rsidR="003614ED" w:rsidP="003614ED" w:rsidRDefault="003614ED" w14:paraId="3DF81CFB" w14:textId="77777777">
      <w:pPr>
        <w:widowControl/>
        <w:kinsoku w:val="0"/>
        <w:overflowPunct w:val="0"/>
        <w:rPr>
          <w:rFonts w:ascii="Times New Roman" w:hAnsi="Times New Roman"/>
          <w:color w:val="000000"/>
        </w:rPr>
      </w:pPr>
      <w:r w:rsidRPr="00E33727">
        <w:rPr>
          <w:rFonts w:ascii="Times New Roman" w:hAnsi="Times New Roman"/>
          <w:color w:val="000000"/>
        </w:rPr>
        <w:tab/>
      </w:r>
    </w:p>
    <w:p w:rsidR="00CA265E" w:rsidP="003614ED" w:rsidRDefault="003614ED" w14:paraId="063850AA"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The </w:t>
      </w:r>
      <w:r w:rsidR="005964CE">
        <w:rPr>
          <w:rFonts w:ascii="Times New Roman" w:hAnsi="Times New Roman"/>
          <w:color w:val="000000"/>
        </w:rPr>
        <w:t>Institutional Research and Special Projects</w:t>
      </w:r>
      <w:r w:rsidRPr="00E33727">
        <w:rPr>
          <w:rFonts w:ascii="Times New Roman" w:hAnsi="Times New Roman"/>
          <w:color w:val="000000"/>
        </w:rPr>
        <w:t xml:space="preserve"> Unit at BJS takes responsibility for the overall design and management of the activities described in this submission, including sampling procedures, development of the questionnaires</w:t>
      </w:r>
      <w:r w:rsidR="002C24C4">
        <w:rPr>
          <w:rFonts w:ascii="Times New Roman" w:hAnsi="Times New Roman"/>
          <w:color w:val="000000"/>
        </w:rPr>
        <w:t>, and the analysis of the data.</w:t>
      </w:r>
      <w:r w:rsidRPr="00E33727">
        <w:rPr>
          <w:rFonts w:ascii="Times New Roman" w:hAnsi="Times New Roman"/>
          <w:color w:val="000000"/>
        </w:rPr>
        <w:t xml:space="preserve"> </w:t>
      </w:r>
    </w:p>
    <w:p w:rsidR="00CA265E" w:rsidP="003614ED" w:rsidRDefault="00CA265E" w14:paraId="467BE8E5" w14:textId="77777777">
      <w:pPr>
        <w:widowControl/>
        <w:kinsoku w:val="0"/>
        <w:overflowPunct w:val="0"/>
        <w:ind w:left="720"/>
        <w:rPr>
          <w:rFonts w:ascii="Times New Roman" w:hAnsi="Times New Roman"/>
          <w:color w:val="000000"/>
        </w:rPr>
      </w:pPr>
    </w:p>
    <w:p w:rsidRPr="00E33727" w:rsidR="003614ED" w:rsidP="003614ED" w:rsidRDefault="003614ED" w14:paraId="727C8DBD" w14:textId="397B33B8">
      <w:pPr>
        <w:widowControl/>
        <w:kinsoku w:val="0"/>
        <w:overflowPunct w:val="0"/>
        <w:ind w:left="720"/>
        <w:rPr>
          <w:rFonts w:ascii="Times New Roman" w:hAnsi="Times New Roman"/>
          <w:color w:val="000000"/>
        </w:rPr>
      </w:pPr>
      <w:r w:rsidRPr="00E33727">
        <w:rPr>
          <w:rFonts w:ascii="Times New Roman" w:hAnsi="Times New Roman"/>
          <w:color w:val="000000"/>
        </w:rPr>
        <w:t>BJS contacts include:</w:t>
      </w:r>
    </w:p>
    <w:p w:rsidRPr="00E33727" w:rsidR="003614ED" w:rsidP="003614ED" w:rsidRDefault="003614ED" w14:paraId="2F569395" w14:textId="77777777">
      <w:pPr>
        <w:widowControl/>
        <w:kinsoku w:val="0"/>
        <w:overflowPunct w:val="0"/>
        <w:jc w:val="both"/>
        <w:rPr>
          <w:rFonts w:ascii="Times New Roman" w:hAnsi="Times New Roman"/>
          <w:color w:val="000000"/>
        </w:rPr>
      </w:pPr>
      <w:r w:rsidRPr="00E33727">
        <w:rPr>
          <w:rFonts w:ascii="Times New Roman" w:hAnsi="Times New Roman"/>
          <w:color w:val="000000"/>
        </w:rPr>
        <w:tab/>
      </w:r>
    </w:p>
    <w:p w:rsidRPr="00E33727" w:rsidR="008B6B86" w:rsidP="008B6B86" w:rsidRDefault="008B6B86" w14:paraId="6230BE07" w14:textId="77777777">
      <w:pPr>
        <w:widowControl/>
        <w:kinsoku w:val="0"/>
        <w:overflowPunct w:val="0"/>
        <w:ind w:firstLine="720"/>
        <w:rPr>
          <w:rFonts w:ascii="Times New Roman" w:hAnsi="Times New Roman"/>
          <w:color w:val="000000"/>
        </w:rPr>
      </w:pPr>
      <w:r>
        <w:rPr>
          <w:rFonts w:ascii="Times New Roman" w:hAnsi="Times New Roman"/>
          <w:color w:val="000000"/>
        </w:rPr>
        <w:t>Amy Lauger</w:t>
      </w:r>
    </w:p>
    <w:p w:rsidR="008B6B86" w:rsidP="008B6B86" w:rsidRDefault="008B6B86" w14:paraId="1375D9E9" w14:textId="233C9A33">
      <w:pPr>
        <w:widowControl/>
        <w:kinsoku w:val="0"/>
        <w:overflowPunct w:val="0"/>
        <w:ind w:firstLine="720"/>
        <w:rPr>
          <w:rFonts w:ascii="Times New Roman" w:hAnsi="Times New Roman"/>
          <w:color w:val="000000"/>
        </w:rPr>
      </w:pPr>
      <w:r>
        <w:rPr>
          <w:rFonts w:ascii="Times New Roman" w:hAnsi="Times New Roman"/>
          <w:color w:val="000000"/>
        </w:rPr>
        <w:t>Chief, Institutional Research and Special Projects</w:t>
      </w:r>
      <w:r w:rsidRPr="00E33727">
        <w:rPr>
          <w:rFonts w:ascii="Times New Roman" w:hAnsi="Times New Roman"/>
          <w:color w:val="000000"/>
        </w:rPr>
        <w:t xml:space="preserve"> Uni</w:t>
      </w:r>
      <w:r>
        <w:rPr>
          <w:rFonts w:ascii="Times New Roman" w:hAnsi="Times New Roman"/>
          <w:color w:val="000000"/>
        </w:rPr>
        <w:t>t</w:t>
      </w:r>
      <w:r w:rsidRPr="00E33727">
        <w:rPr>
          <w:rFonts w:ascii="Times New Roman" w:hAnsi="Times New Roman"/>
          <w:color w:val="000000"/>
        </w:rPr>
        <w:tab/>
      </w:r>
    </w:p>
    <w:p w:rsidR="008B6B86" w:rsidP="008B6B86" w:rsidRDefault="008B6B86" w14:paraId="02F6EC63" w14:textId="7FC714CC">
      <w:pPr>
        <w:widowControl/>
        <w:kinsoku w:val="0"/>
        <w:overflowPunct w:val="0"/>
        <w:ind w:firstLine="720"/>
        <w:rPr>
          <w:rFonts w:ascii="Times New Roman" w:hAnsi="Times New Roman"/>
          <w:color w:val="000000"/>
        </w:rPr>
      </w:pPr>
      <w:r w:rsidRPr="00E33727">
        <w:rPr>
          <w:rFonts w:ascii="Times New Roman" w:hAnsi="Times New Roman"/>
          <w:color w:val="000000"/>
        </w:rPr>
        <w:t>Bureau of Justice Statistics</w:t>
      </w:r>
    </w:p>
    <w:p w:rsidRPr="00E33727" w:rsidR="008B6B86" w:rsidP="008B6B86" w:rsidRDefault="008B6B86" w14:paraId="55D73D46" w14:textId="77777777">
      <w:pPr>
        <w:widowControl/>
        <w:kinsoku w:val="0"/>
        <w:overflowPunct w:val="0"/>
        <w:rPr>
          <w:rFonts w:ascii="Times New Roman" w:hAnsi="Times New Roman"/>
          <w:color w:val="000000"/>
        </w:rPr>
      </w:pPr>
      <w:r w:rsidRPr="00E33727">
        <w:rPr>
          <w:rFonts w:ascii="Times New Roman" w:hAnsi="Times New Roman"/>
          <w:color w:val="000000"/>
        </w:rPr>
        <w:tab/>
        <w:t>810 Seventh St., N.W.</w:t>
      </w:r>
    </w:p>
    <w:p w:rsidRPr="00E33727" w:rsidR="008B6B86" w:rsidP="008B6B86" w:rsidRDefault="008B6B86" w14:paraId="3D567FD2" w14:textId="77777777">
      <w:pPr>
        <w:widowControl/>
        <w:kinsoku w:val="0"/>
        <w:overflowPunct w:val="0"/>
        <w:rPr>
          <w:rFonts w:ascii="Times New Roman" w:hAnsi="Times New Roman"/>
          <w:color w:val="000000"/>
        </w:rPr>
      </w:pPr>
      <w:r w:rsidRPr="00E33727">
        <w:rPr>
          <w:rFonts w:ascii="Times New Roman" w:hAnsi="Times New Roman"/>
          <w:color w:val="000000"/>
        </w:rPr>
        <w:tab/>
        <w:t>Washington, DC 20531</w:t>
      </w:r>
    </w:p>
    <w:p w:rsidRPr="00AF23A1" w:rsidR="008B6B86" w:rsidP="008B6B86" w:rsidRDefault="008B6B86" w14:paraId="3A728085" w14:textId="77777777">
      <w:pPr>
        <w:widowControl/>
        <w:kinsoku w:val="0"/>
        <w:overflowPunct w:val="0"/>
        <w:rPr>
          <w:rFonts w:ascii="Times New Roman" w:hAnsi="Times New Roman"/>
          <w:i/>
          <w:color w:val="FF0000"/>
          <w:u w:val="single"/>
        </w:rPr>
      </w:pPr>
      <w:r>
        <w:rPr>
          <w:rFonts w:ascii="Times New Roman" w:hAnsi="Times New Roman"/>
          <w:color w:val="000000"/>
        </w:rPr>
        <w:tab/>
        <w:t>(202) 307</w:t>
      </w:r>
      <w:r w:rsidRPr="00E33727">
        <w:rPr>
          <w:rFonts w:ascii="Times New Roman" w:hAnsi="Times New Roman"/>
          <w:color w:val="000000"/>
        </w:rPr>
        <w:t>-0</w:t>
      </w:r>
      <w:r>
        <w:rPr>
          <w:rFonts w:ascii="Times New Roman" w:hAnsi="Times New Roman"/>
          <w:color w:val="000000"/>
        </w:rPr>
        <w:t>711</w:t>
      </w:r>
    </w:p>
    <w:p w:rsidR="009E40DC" w:rsidP="003614ED" w:rsidRDefault="009E40DC" w14:paraId="3F33C2F5" w14:textId="77777777">
      <w:pPr>
        <w:widowControl/>
        <w:kinsoku w:val="0"/>
        <w:overflowPunct w:val="0"/>
        <w:ind w:firstLine="720"/>
        <w:rPr>
          <w:rFonts w:ascii="Times New Roman" w:hAnsi="Times New Roman"/>
          <w:color w:val="000000"/>
        </w:rPr>
      </w:pPr>
    </w:p>
    <w:p w:rsidRPr="00E33727" w:rsidR="003614ED" w:rsidP="003614ED" w:rsidRDefault="003614ED" w14:paraId="1C4723FB" w14:textId="77777777">
      <w:pPr>
        <w:widowControl/>
        <w:kinsoku w:val="0"/>
        <w:overflowPunct w:val="0"/>
        <w:rPr>
          <w:rFonts w:ascii="Times New Roman" w:hAnsi="Times New Roman"/>
          <w:color w:val="000000"/>
        </w:rPr>
      </w:pPr>
    </w:p>
    <w:p w:rsidRPr="00E33727" w:rsidR="003614ED" w:rsidP="003614ED" w:rsidRDefault="003614ED" w14:paraId="703C1DE9" w14:textId="4BE97EA8">
      <w:pPr>
        <w:widowControl/>
        <w:kinsoku w:val="0"/>
        <w:overflowPunct w:val="0"/>
        <w:ind w:firstLine="720"/>
        <w:rPr>
          <w:rFonts w:ascii="Times New Roman" w:hAnsi="Times New Roman"/>
          <w:color w:val="000000"/>
        </w:rPr>
      </w:pPr>
      <w:r w:rsidRPr="00E33727">
        <w:rPr>
          <w:rFonts w:ascii="Times New Roman" w:hAnsi="Times New Roman"/>
          <w:color w:val="000000"/>
        </w:rPr>
        <w:t xml:space="preserve">The </w:t>
      </w:r>
      <w:r w:rsidR="009957E3">
        <w:rPr>
          <w:rFonts w:ascii="Times New Roman" w:hAnsi="Times New Roman"/>
          <w:color w:val="000000"/>
        </w:rPr>
        <w:t>Project Director</w:t>
      </w:r>
      <w:r w:rsidR="007E07E0">
        <w:rPr>
          <w:rFonts w:ascii="Times New Roman" w:hAnsi="Times New Roman"/>
          <w:color w:val="000000"/>
        </w:rPr>
        <w:t xml:space="preserve"> is</w:t>
      </w:r>
      <w:r w:rsidR="00371D48">
        <w:rPr>
          <w:rFonts w:ascii="Times New Roman" w:hAnsi="Times New Roman"/>
          <w:color w:val="000000"/>
        </w:rPr>
        <w:t>:</w:t>
      </w:r>
    </w:p>
    <w:p w:rsidR="00970DB7" w:rsidRDefault="00970DB7" w14:paraId="71BF0DA2" w14:textId="02F8A0C7"/>
    <w:p w:rsidRPr="00E33727" w:rsidR="0092031B" w:rsidP="0074593E" w:rsidRDefault="0092031B" w14:paraId="7E22BE2D" w14:textId="35562B2E">
      <w:pPr>
        <w:widowControl/>
        <w:kinsoku w:val="0"/>
        <w:overflowPunct w:val="0"/>
        <w:ind w:firstLine="720"/>
        <w:rPr>
          <w:rFonts w:ascii="Times New Roman" w:hAnsi="Times New Roman"/>
        </w:rPr>
      </w:pPr>
      <w:r>
        <w:rPr>
          <w:rFonts w:ascii="Times New Roman" w:hAnsi="Times New Roman"/>
        </w:rPr>
        <w:t>Jessica Taylor, Ph.D.</w:t>
      </w:r>
    </w:p>
    <w:p w:rsidRPr="00E33727" w:rsidR="0092031B" w:rsidP="0092031B" w:rsidRDefault="007E07E0" w14:paraId="15E6C561" w14:textId="2E7FD0AD">
      <w:pPr>
        <w:kinsoku w:val="0"/>
        <w:overflowPunct w:val="0"/>
        <w:ind w:left="720"/>
        <w:rPr>
          <w:rFonts w:ascii="Times New Roman" w:hAnsi="Times New Roman"/>
        </w:rPr>
      </w:pPr>
      <w:r>
        <w:rPr>
          <w:rFonts w:ascii="Times New Roman" w:hAnsi="Times New Roman"/>
        </w:rPr>
        <w:t>Principal Research Associate</w:t>
      </w:r>
    </w:p>
    <w:p w:rsidRPr="00E33727" w:rsidR="0092031B" w:rsidP="0092031B" w:rsidRDefault="0092031B" w14:paraId="512EC59F" w14:textId="77777777">
      <w:pPr>
        <w:kinsoku w:val="0"/>
        <w:overflowPunct w:val="0"/>
        <w:ind w:left="720"/>
        <w:rPr>
          <w:rFonts w:ascii="Times New Roman" w:hAnsi="Times New Roman"/>
        </w:rPr>
      </w:pPr>
      <w:r>
        <w:rPr>
          <w:rFonts w:ascii="Times New Roman" w:hAnsi="Times New Roman"/>
        </w:rPr>
        <w:t>Westat</w:t>
      </w:r>
    </w:p>
    <w:p w:rsidRPr="00E33727" w:rsidR="0092031B" w:rsidP="0092031B" w:rsidRDefault="0092031B" w14:paraId="0A604520" w14:textId="77777777">
      <w:pPr>
        <w:kinsoku w:val="0"/>
        <w:overflowPunct w:val="0"/>
        <w:ind w:left="720"/>
        <w:rPr>
          <w:rFonts w:ascii="Times New Roman" w:hAnsi="Times New Roman"/>
        </w:rPr>
      </w:pPr>
      <w:r>
        <w:rPr>
          <w:rFonts w:ascii="Times New Roman" w:hAnsi="Times New Roman"/>
        </w:rPr>
        <w:t>1600 Research Blvd.</w:t>
      </w:r>
    </w:p>
    <w:p w:rsidRPr="00E33727" w:rsidR="0092031B" w:rsidP="0092031B" w:rsidRDefault="0092031B" w14:paraId="2A48805E" w14:textId="77777777">
      <w:pPr>
        <w:kinsoku w:val="0"/>
        <w:overflowPunct w:val="0"/>
        <w:ind w:left="720"/>
        <w:rPr>
          <w:rFonts w:ascii="Times New Roman" w:hAnsi="Times New Roman"/>
        </w:rPr>
      </w:pPr>
      <w:r>
        <w:rPr>
          <w:rFonts w:ascii="Times New Roman" w:hAnsi="Times New Roman"/>
        </w:rPr>
        <w:t>Rockville MD 20850</w:t>
      </w:r>
    </w:p>
    <w:p w:rsidRPr="00BC5477" w:rsidR="0092031B" w:rsidP="00BC5477" w:rsidRDefault="0092031B" w14:paraId="173C9C7B" w14:textId="791E849B">
      <w:pPr>
        <w:kinsoku w:val="0"/>
        <w:overflowPunct w:val="0"/>
        <w:ind w:left="720"/>
        <w:rPr>
          <w:rFonts w:ascii="Times New Roman" w:hAnsi="Times New Roman"/>
        </w:rPr>
      </w:pPr>
      <w:r>
        <w:rPr>
          <w:rFonts w:ascii="Times New Roman" w:hAnsi="Times New Roman"/>
        </w:rPr>
        <w:t>(240) 314-5852</w:t>
      </w:r>
    </w:p>
    <w:sectPr w:rsidRPr="00BC5477" w:rsidR="0092031B" w:rsidSect="00970DB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835F7" w14:textId="77777777" w:rsidR="00EF4086" w:rsidRDefault="00EF4086" w:rsidP="0060376E">
      <w:r>
        <w:separator/>
      </w:r>
    </w:p>
  </w:endnote>
  <w:endnote w:type="continuationSeparator" w:id="0">
    <w:p w14:paraId="61867892" w14:textId="77777777" w:rsidR="00EF4086" w:rsidRDefault="00EF4086" w:rsidP="0060376E">
      <w:r>
        <w:continuationSeparator/>
      </w:r>
    </w:p>
  </w:endnote>
  <w:endnote w:type="continuationNotice" w:id="1">
    <w:p w14:paraId="7208D7CF" w14:textId="77777777" w:rsidR="00EF4086" w:rsidRDefault="00EF4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6962E" w14:textId="1D8A9BAB" w:rsidR="00EF4086" w:rsidRDefault="00EF4086">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083421">
      <w:rPr>
        <w:caps/>
        <w:noProof/>
        <w:color w:val="4F81BD" w:themeColor="accent1"/>
      </w:rPr>
      <w:t>10</w:t>
    </w:r>
    <w:r>
      <w:rPr>
        <w:caps/>
        <w:noProof/>
        <w:color w:val="4F81BD" w:themeColor="accent1"/>
      </w:rPr>
      <w:fldChar w:fldCharType="end"/>
    </w:r>
  </w:p>
  <w:p w14:paraId="3389785D" w14:textId="77777777" w:rsidR="00EF4086" w:rsidRDefault="00EF4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7EFB9" w14:textId="77777777" w:rsidR="00EF4086" w:rsidRDefault="00EF4086" w:rsidP="0060376E">
      <w:r>
        <w:separator/>
      </w:r>
    </w:p>
  </w:footnote>
  <w:footnote w:type="continuationSeparator" w:id="0">
    <w:p w14:paraId="1F2D1B2B" w14:textId="77777777" w:rsidR="00EF4086" w:rsidRDefault="00EF4086" w:rsidP="0060376E">
      <w:r>
        <w:continuationSeparator/>
      </w:r>
    </w:p>
  </w:footnote>
  <w:footnote w:type="continuationNotice" w:id="1">
    <w:p w14:paraId="5A71D340" w14:textId="77777777" w:rsidR="00EF4086" w:rsidRDefault="00EF4086"/>
  </w:footnote>
  <w:footnote w:id="2">
    <w:p w14:paraId="3235A51F" w14:textId="4ABD50C3" w:rsidR="00EF4086" w:rsidRDefault="00EF4086">
      <w:pPr>
        <w:pStyle w:val="FootnoteText"/>
      </w:pPr>
      <w:r>
        <w:rPr>
          <w:rStyle w:val="FootnoteReference"/>
        </w:rPr>
        <w:footnoteRef/>
      </w:r>
      <w:r>
        <w:t xml:space="preserve"> </w:t>
      </w:r>
      <w:r w:rsidRPr="005964CE">
        <w:rPr>
          <w:rFonts w:ascii="Times New Roman" w:hAnsi="Times New Roman"/>
        </w:rPr>
        <w:t>These two states are excluded from the universe.</w:t>
      </w:r>
      <w:r>
        <w:t xml:space="preserve"> </w:t>
      </w:r>
    </w:p>
  </w:footnote>
  <w:footnote w:id="3">
    <w:p w14:paraId="063DA980" w14:textId="77777777" w:rsidR="00875DF0" w:rsidRDefault="00875DF0" w:rsidP="00875DF0">
      <w:pPr>
        <w:pStyle w:val="FootnoteText"/>
      </w:pPr>
      <w:r>
        <w:rPr>
          <w:rStyle w:val="FootnoteReference"/>
        </w:rPr>
        <w:footnoteRef/>
      </w:r>
      <w:r>
        <w:t xml:space="preserve"> These nine jurisdictions will not have zero jails or more than two jails taken.</w:t>
      </w:r>
    </w:p>
  </w:footnote>
  <w:footnote w:id="4">
    <w:p w14:paraId="260EF1DE" w14:textId="05EB5A29" w:rsidR="00EF4086" w:rsidRPr="005964CE" w:rsidRDefault="00EF4086" w:rsidP="00CA77A7">
      <w:pPr>
        <w:pStyle w:val="FootnoteText"/>
        <w:rPr>
          <w:rFonts w:ascii="Times New Roman" w:hAnsi="Times New Roman"/>
        </w:rPr>
      </w:pPr>
      <w:r w:rsidRPr="005964CE">
        <w:rPr>
          <w:rStyle w:val="FootnoteReference"/>
          <w:rFonts w:ascii="Times New Roman" w:hAnsi="Times New Roman"/>
        </w:rPr>
        <w:footnoteRef/>
      </w:r>
      <w:r w:rsidRPr="005964CE">
        <w:rPr>
          <w:rFonts w:ascii="Times New Roman" w:hAnsi="Times New Roman"/>
        </w:rPr>
        <w:t xml:space="preserve"> This will minimize data collection costs while still providing 2000+ completed surveys for the alternative questionnaire (sufficient data for analysis of these questionnaires). The NIS-4 Prisons study also will allocate 5% of the interviews as non-sexual victimization interviews.</w:t>
      </w:r>
    </w:p>
  </w:footnote>
  <w:footnote w:id="5">
    <w:p w14:paraId="294546DB" w14:textId="7508532C" w:rsidR="004A5956" w:rsidRPr="004A5956" w:rsidRDefault="004A5956">
      <w:pPr>
        <w:pStyle w:val="FootnoteText"/>
        <w:rPr>
          <w:rFonts w:ascii="Times New Roman" w:hAnsi="Times New Roman"/>
        </w:rPr>
      </w:pPr>
      <w:r w:rsidRPr="004A5956">
        <w:rPr>
          <w:rStyle w:val="FootnoteReference"/>
          <w:rFonts w:ascii="Times New Roman" w:hAnsi="Times New Roman"/>
        </w:rPr>
        <w:footnoteRef/>
      </w:r>
      <w:r w:rsidRPr="004A5956">
        <w:rPr>
          <w:rFonts w:ascii="Times New Roman" w:hAnsi="Times New Roman"/>
        </w:rPr>
        <w:t xml:space="preserve"> </w:t>
      </w:r>
      <w:r>
        <w:t xml:space="preserve">The standard error is </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p*</m:t>
                </m:r>
                <m:d>
                  <m:dPr>
                    <m:ctrlPr>
                      <w:rPr>
                        <w:rFonts w:ascii="Cambria Math" w:hAnsi="Cambria Math"/>
                        <w:i/>
                      </w:rPr>
                    </m:ctrlPr>
                  </m:dPr>
                  <m:e>
                    <m:r>
                      <w:rPr>
                        <w:rFonts w:ascii="Cambria Math" w:hAnsi="Cambria Math"/>
                      </w:rPr>
                      <m:t>1-p</m:t>
                    </m:r>
                  </m:e>
                </m:d>
                <m:r>
                  <w:rPr>
                    <w:rFonts w:ascii="Cambria Math" w:hAnsi="Cambria Math"/>
                  </w:rPr>
                  <m:t>*DEFF</m:t>
                </m:r>
              </m:num>
              <m:den>
                <m:r>
                  <w:rPr>
                    <w:rFonts w:ascii="Cambria Math" w:hAnsi="Cambria Math"/>
                  </w:rPr>
                  <m:t>n</m:t>
                </m:r>
              </m:den>
            </m:f>
            <m:r>
              <w:rPr>
                <w:rFonts w:ascii="Cambria Math" w:hAnsi="Cambria Math"/>
              </w:rPr>
              <m:t>*(1-f)</m:t>
            </m:r>
          </m:e>
        </m:rad>
      </m:oMath>
      <w:r>
        <w:t>, with p the population prevalence, n the final sample size, DEFF a design effect, and f the final sampling rate.</w:t>
      </w:r>
    </w:p>
  </w:footnote>
  <w:footnote w:id="6">
    <w:p w14:paraId="2A8FEB8E" w14:textId="77777777" w:rsidR="00EF4086" w:rsidRDefault="00EF4086" w:rsidP="004D56D7">
      <w:pPr>
        <w:pStyle w:val="FootnoteText"/>
      </w:pPr>
      <w:r>
        <w:rPr>
          <w:rStyle w:val="FootnoteReference"/>
        </w:rPr>
        <w:footnoteRef/>
      </w:r>
      <w:r>
        <w:t xml:space="preserve"> Here, a “unit” is a particular inmate.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2910"/>
    <w:multiLevelType w:val="hybridMultilevel"/>
    <w:tmpl w:val="1016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331077"/>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6660" w:hanging="360"/>
      </w:pPr>
      <w:rPr>
        <w:rFonts w:ascii="Symbol" w:hAnsi="Symbol" w:hint="default"/>
      </w:rPr>
    </w:lvl>
    <w:lvl w:ilvl="8">
      <w:start w:val="1"/>
      <w:numFmt w:val="bullet"/>
      <w:lvlText w:val=""/>
      <w:lvlJc w:val="left"/>
      <w:pPr>
        <w:ind w:left="4230" w:hanging="360"/>
      </w:pPr>
      <w:rPr>
        <w:rFonts w:ascii="Symbol" w:hAnsi="Symbol" w:hint="default"/>
      </w:rPr>
    </w:lvl>
  </w:abstractNum>
  <w:abstractNum w:abstractNumId="2" w15:restartNumberingAfterBreak="0">
    <w:nsid w:val="3750309F"/>
    <w:multiLevelType w:val="hybridMultilevel"/>
    <w:tmpl w:val="227E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470DA7"/>
    <w:multiLevelType w:val="hybridMultilevel"/>
    <w:tmpl w:val="BD527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095621"/>
    <w:multiLevelType w:val="hybridMultilevel"/>
    <w:tmpl w:val="D8ACB8B2"/>
    <w:lvl w:ilvl="0" w:tplc="04090019">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ED"/>
    <w:rsid w:val="0000715C"/>
    <w:rsid w:val="00013C9B"/>
    <w:rsid w:val="00015A66"/>
    <w:rsid w:val="000226FA"/>
    <w:rsid w:val="00023CF1"/>
    <w:rsid w:val="000244EE"/>
    <w:rsid w:val="00035510"/>
    <w:rsid w:val="00036A29"/>
    <w:rsid w:val="00065046"/>
    <w:rsid w:val="000714A2"/>
    <w:rsid w:val="00083421"/>
    <w:rsid w:val="00083825"/>
    <w:rsid w:val="00085F5C"/>
    <w:rsid w:val="000C1D94"/>
    <w:rsid w:val="000C5B36"/>
    <w:rsid w:val="000C6C50"/>
    <w:rsid w:val="000D2008"/>
    <w:rsid w:val="000E23F7"/>
    <w:rsid w:val="000E6D3F"/>
    <w:rsid w:val="000F1A0C"/>
    <w:rsid w:val="001210CF"/>
    <w:rsid w:val="0012490D"/>
    <w:rsid w:val="001315E9"/>
    <w:rsid w:val="001316C2"/>
    <w:rsid w:val="0016077D"/>
    <w:rsid w:val="00161E55"/>
    <w:rsid w:val="001634B0"/>
    <w:rsid w:val="00181A9A"/>
    <w:rsid w:val="00183B09"/>
    <w:rsid w:val="001B3C72"/>
    <w:rsid w:val="001C4609"/>
    <w:rsid w:val="001C50D7"/>
    <w:rsid w:val="001E39D4"/>
    <w:rsid w:val="00201A36"/>
    <w:rsid w:val="00203CBC"/>
    <w:rsid w:val="0020423E"/>
    <w:rsid w:val="00210501"/>
    <w:rsid w:val="00224D59"/>
    <w:rsid w:val="002337A3"/>
    <w:rsid w:val="00235F41"/>
    <w:rsid w:val="0024481E"/>
    <w:rsid w:val="0026659D"/>
    <w:rsid w:val="00275077"/>
    <w:rsid w:val="00277C06"/>
    <w:rsid w:val="00292E05"/>
    <w:rsid w:val="002C24C4"/>
    <w:rsid w:val="002C4DC9"/>
    <w:rsid w:val="002C62B1"/>
    <w:rsid w:val="002C7538"/>
    <w:rsid w:val="002D50FA"/>
    <w:rsid w:val="002E6603"/>
    <w:rsid w:val="002F2651"/>
    <w:rsid w:val="00301F34"/>
    <w:rsid w:val="0030211E"/>
    <w:rsid w:val="00306FF5"/>
    <w:rsid w:val="00317AA7"/>
    <w:rsid w:val="00317D8F"/>
    <w:rsid w:val="003215B8"/>
    <w:rsid w:val="003241C5"/>
    <w:rsid w:val="003318E2"/>
    <w:rsid w:val="00345E5B"/>
    <w:rsid w:val="00351363"/>
    <w:rsid w:val="003614ED"/>
    <w:rsid w:val="00371D48"/>
    <w:rsid w:val="00371ECC"/>
    <w:rsid w:val="00381323"/>
    <w:rsid w:val="003852D4"/>
    <w:rsid w:val="00391786"/>
    <w:rsid w:val="0039220C"/>
    <w:rsid w:val="003951B5"/>
    <w:rsid w:val="003A1A11"/>
    <w:rsid w:val="003A4942"/>
    <w:rsid w:val="003A7F6C"/>
    <w:rsid w:val="003B0FC1"/>
    <w:rsid w:val="003B4366"/>
    <w:rsid w:val="003B52CD"/>
    <w:rsid w:val="003B7EE2"/>
    <w:rsid w:val="003C58D0"/>
    <w:rsid w:val="003D0C5C"/>
    <w:rsid w:val="003D4FF3"/>
    <w:rsid w:val="003E6524"/>
    <w:rsid w:val="003E728E"/>
    <w:rsid w:val="003F74B7"/>
    <w:rsid w:val="00402CE5"/>
    <w:rsid w:val="004066C8"/>
    <w:rsid w:val="00431C9C"/>
    <w:rsid w:val="004360ED"/>
    <w:rsid w:val="00447318"/>
    <w:rsid w:val="0045683F"/>
    <w:rsid w:val="00472642"/>
    <w:rsid w:val="0047457B"/>
    <w:rsid w:val="004746C9"/>
    <w:rsid w:val="0047596A"/>
    <w:rsid w:val="0047668A"/>
    <w:rsid w:val="00483D98"/>
    <w:rsid w:val="00491C3C"/>
    <w:rsid w:val="00493818"/>
    <w:rsid w:val="00493E2B"/>
    <w:rsid w:val="004A5956"/>
    <w:rsid w:val="004C1E32"/>
    <w:rsid w:val="004D0580"/>
    <w:rsid w:val="004D4119"/>
    <w:rsid w:val="004D56D7"/>
    <w:rsid w:val="004D7448"/>
    <w:rsid w:val="004D7D5F"/>
    <w:rsid w:val="004E12C0"/>
    <w:rsid w:val="004F02A4"/>
    <w:rsid w:val="004F2B52"/>
    <w:rsid w:val="004F5A79"/>
    <w:rsid w:val="004F6F85"/>
    <w:rsid w:val="004F739A"/>
    <w:rsid w:val="00500CB2"/>
    <w:rsid w:val="00514726"/>
    <w:rsid w:val="005307E4"/>
    <w:rsid w:val="0055041E"/>
    <w:rsid w:val="00554B4E"/>
    <w:rsid w:val="00557B9E"/>
    <w:rsid w:val="00585BD7"/>
    <w:rsid w:val="005964CE"/>
    <w:rsid w:val="005A5C6B"/>
    <w:rsid w:val="005B60CD"/>
    <w:rsid w:val="005B74BB"/>
    <w:rsid w:val="005C20F5"/>
    <w:rsid w:val="005D7FCD"/>
    <w:rsid w:val="005E18E2"/>
    <w:rsid w:val="005F6141"/>
    <w:rsid w:val="0060376E"/>
    <w:rsid w:val="0062767F"/>
    <w:rsid w:val="006519F6"/>
    <w:rsid w:val="006529C7"/>
    <w:rsid w:val="00655028"/>
    <w:rsid w:val="0065747A"/>
    <w:rsid w:val="006640E4"/>
    <w:rsid w:val="00674C9A"/>
    <w:rsid w:val="00676BD8"/>
    <w:rsid w:val="006775D3"/>
    <w:rsid w:val="00677AB8"/>
    <w:rsid w:val="006816CC"/>
    <w:rsid w:val="00682067"/>
    <w:rsid w:val="006A3713"/>
    <w:rsid w:val="006A6C97"/>
    <w:rsid w:val="006B105F"/>
    <w:rsid w:val="006B5B88"/>
    <w:rsid w:val="006B6BC3"/>
    <w:rsid w:val="006C2D58"/>
    <w:rsid w:val="006C6559"/>
    <w:rsid w:val="006D7138"/>
    <w:rsid w:val="006E617F"/>
    <w:rsid w:val="007021D5"/>
    <w:rsid w:val="00711BBD"/>
    <w:rsid w:val="00736B10"/>
    <w:rsid w:val="00744537"/>
    <w:rsid w:val="0074593E"/>
    <w:rsid w:val="00746CB0"/>
    <w:rsid w:val="0077078A"/>
    <w:rsid w:val="00775C17"/>
    <w:rsid w:val="00794DB5"/>
    <w:rsid w:val="00795203"/>
    <w:rsid w:val="007A0B7B"/>
    <w:rsid w:val="007A1FB4"/>
    <w:rsid w:val="007C5C21"/>
    <w:rsid w:val="007C7D9E"/>
    <w:rsid w:val="007D3E5A"/>
    <w:rsid w:val="007D430A"/>
    <w:rsid w:val="007D7440"/>
    <w:rsid w:val="007E07E0"/>
    <w:rsid w:val="007E1968"/>
    <w:rsid w:val="007E4BEA"/>
    <w:rsid w:val="007E77CD"/>
    <w:rsid w:val="007E7D47"/>
    <w:rsid w:val="00802ADB"/>
    <w:rsid w:val="00804BD9"/>
    <w:rsid w:val="00812FC9"/>
    <w:rsid w:val="008158EB"/>
    <w:rsid w:val="0082727F"/>
    <w:rsid w:val="00845303"/>
    <w:rsid w:val="00845ECC"/>
    <w:rsid w:val="00846839"/>
    <w:rsid w:val="008646BE"/>
    <w:rsid w:val="008729E4"/>
    <w:rsid w:val="00875DF0"/>
    <w:rsid w:val="00881F1E"/>
    <w:rsid w:val="0089376A"/>
    <w:rsid w:val="008948F4"/>
    <w:rsid w:val="008A0A84"/>
    <w:rsid w:val="008A0AB4"/>
    <w:rsid w:val="008A42C0"/>
    <w:rsid w:val="008B3012"/>
    <w:rsid w:val="008B6B86"/>
    <w:rsid w:val="008E1A7C"/>
    <w:rsid w:val="008E7183"/>
    <w:rsid w:val="008F09FF"/>
    <w:rsid w:val="0090494E"/>
    <w:rsid w:val="009141DA"/>
    <w:rsid w:val="0092031B"/>
    <w:rsid w:val="00922294"/>
    <w:rsid w:val="00937D83"/>
    <w:rsid w:val="00941848"/>
    <w:rsid w:val="00953BEE"/>
    <w:rsid w:val="009630F3"/>
    <w:rsid w:val="00965A1E"/>
    <w:rsid w:val="0096747F"/>
    <w:rsid w:val="00970DB7"/>
    <w:rsid w:val="00971649"/>
    <w:rsid w:val="00975C41"/>
    <w:rsid w:val="0097739C"/>
    <w:rsid w:val="009957E3"/>
    <w:rsid w:val="009A3135"/>
    <w:rsid w:val="009C47FE"/>
    <w:rsid w:val="009C525A"/>
    <w:rsid w:val="009E0597"/>
    <w:rsid w:val="009E40DC"/>
    <w:rsid w:val="009E5D85"/>
    <w:rsid w:val="009F7E1D"/>
    <w:rsid w:val="00A21D51"/>
    <w:rsid w:val="00A25130"/>
    <w:rsid w:val="00A2744E"/>
    <w:rsid w:val="00A672FE"/>
    <w:rsid w:val="00A73BF5"/>
    <w:rsid w:val="00A84649"/>
    <w:rsid w:val="00A86DA8"/>
    <w:rsid w:val="00A914C3"/>
    <w:rsid w:val="00A91792"/>
    <w:rsid w:val="00A919D7"/>
    <w:rsid w:val="00AA005C"/>
    <w:rsid w:val="00AB3862"/>
    <w:rsid w:val="00AC0198"/>
    <w:rsid w:val="00AD17D0"/>
    <w:rsid w:val="00AD6FD2"/>
    <w:rsid w:val="00AF06A6"/>
    <w:rsid w:val="00AF23A1"/>
    <w:rsid w:val="00AF2431"/>
    <w:rsid w:val="00AF4A38"/>
    <w:rsid w:val="00B1056F"/>
    <w:rsid w:val="00B1229B"/>
    <w:rsid w:val="00B12403"/>
    <w:rsid w:val="00B228F8"/>
    <w:rsid w:val="00B32FD0"/>
    <w:rsid w:val="00B332EF"/>
    <w:rsid w:val="00B4612D"/>
    <w:rsid w:val="00B5033A"/>
    <w:rsid w:val="00B5422E"/>
    <w:rsid w:val="00B57027"/>
    <w:rsid w:val="00B674DD"/>
    <w:rsid w:val="00B702B7"/>
    <w:rsid w:val="00B7347B"/>
    <w:rsid w:val="00BA292A"/>
    <w:rsid w:val="00BA6852"/>
    <w:rsid w:val="00BB7AE6"/>
    <w:rsid w:val="00BC04E5"/>
    <w:rsid w:val="00BC5477"/>
    <w:rsid w:val="00BD7E6D"/>
    <w:rsid w:val="00C27BB4"/>
    <w:rsid w:val="00C34877"/>
    <w:rsid w:val="00C453DC"/>
    <w:rsid w:val="00C5018F"/>
    <w:rsid w:val="00C50471"/>
    <w:rsid w:val="00C51459"/>
    <w:rsid w:val="00C92C17"/>
    <w:rsid w:val="00CA265E"/>
    <w:rsid w:val="00CA4086"/>
    <w:rsid w:val="00CA6412"/>
    <w:rsid w:val="00CA77A7"/>
    <w:rsid w:val="00CB1254"/>
    <w:rsid w:val="00CB31C7"/>
    <w:rsid w:val="00CD1181"/>
    <w:rsid w:val="00CE2E1E"/>
    <w:rsid w:val="00CF74A8"/>
    <w:rsid w:val="00CF7A00"/>
    <w:rsid w:val="00CF7F1D"/>
    <w:rsid w:val="00D065EF"/>
    <w:rsid w:val="00D217D2"/>
    <w:rsid w:val="00D23E98"/>
    <w:rsid w:val="00D60DBF"/>
    <w:rsid w:val="00D72B43"/>
    <w:rsid w:val="00D83CE5"/>
    <w:rsid w:val="00D9170C"/>
    <w:rsid w:val="00DA22CF"/>
    <w:rsid w:val="00DA7D58"/>
    <w:rsid w:val="00DB1A3B"/>
    <w:rsid w:val="00DB3F4F"/>
    <w:rsid w:val="00DD3B68"/>
    <w:rsid w:val="00DD6688"/>
    <w:rsid w:val="00DE645B"/>
    <w:rsid w:val="00DF037D"/>
    <w:rsid w:val="00DF1E99"/>
    <w:rsid w:val="00E21356"/>
    <w:rsid w:val="00E22334"/>
    <w:rsid w:val="00E259D7"/>
    <w:rsid w:val="00E2655F"/>
    <w:rsid w:val="00E372C6"/>
    <w:rsid w:val="00E547F2"/>
    <w:rsid w:val="00E54F65"/>
    <w:rsid w:val="00E550D7"/>
    <w:rsid w:val="00E556E3"/>
    <w:rsid w:val="00E57F15"/>
    <w:rsid w:val="00E645C4"/>
    <w:rsid w:val="00E64DC1"/>
    <w:rsid w:val="00E6730D"/>
    <w:rsid w:val="00E82E41"/>
    <w:rsid w:val="00E852BE"/>
    <w:rsid w:val="00E85765"/>
    <w:rsid w:val="00EA2ADB"/>
    <w:rsid w:val="00EA33C4"/>
    <w:rsid w:val="00EC0BA3"/>
    <w:rsid w:val="00EC5B9F"/>
    <w:rsid w:val="00ED0CF4"/>
    <w:rsid w:val="00ED1C5B"/>
    <w:rsid w:val="00ED3AD9"/>
    <w:rsid w:val="00EE08AD"/>
    <w:rsid w:val="00EE35D5"/>
    <w:rsid w:val="00EF20C2"/>
    <w:rsid w:val="00EF382B"/>
    <w:rsid w:val="00EF4086"/>
    <w:rsid w:val="00EF4389"/>
    <w:rsid w:val="00F16C56"/>
    <w:rsid w:val="00F236A9"/>
    <w:rsid w:val="00F23BFE"/>
    <w:rsid w:val="00F410B3"/>
    <w:rsid w:val="00F50233"/>
    <w:rsid w:val="00F56CC4"/>
    <w:rsid w:val="00F56E23"/>
    <w:rsid w:val="00F634C1"/>
    <w:rsid w:val="00F81A30"/>
    <w:rsid w:val="00F858D8"/>
    <w:rsid w:val="00F904A7"/>
    <w:rsid w:val="00F9724B"/>
    <w:rsid w:val="00FA6653"/>
    <w:rsid w:val="00FA6B03"/>
    <w:rsid w:val="00FA6B85"/>
    <w:rsid w:val="00FA6C7A"/>
    <w:rsid w:val="00FC2ADB"/>
    <w:rsid w:val="00FC36AA"/>
    <w:rsid w:val="00FD05C5"/>
    <w:rsid w:val="00FE4E07"/>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CB4F"/>
  <w15:docId w15:val="{5EFB129E-9299-4BC2-A5FB-FB2AD9AB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4ED"/>
    <w:pPr>
      <w:widowControl w:val="0"/>
      <w:autoSpaceDE w:val="0"/>
      <w:autoSpaceDN w:val="0"/>
      <w:adjustRightInd w:val="0"/>
      <w:spacing w:after="0" w:line="240" w:lineRule="auto"/>
    </w:pPr>
    <w:rPr>
      <w:rFonts w:ascii="CG Times" w:eastAsia="Times New Roman" w:hAnsi="CG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711BBD"/>
    <w:pPr>
      <w:widowControl/>
      <w:tabs>
        <w:tab w:val="left" w:pos="1152"/>
      </w:tabs>
      <w:autoSpaceDE/>
      <w:autoSpaceDN/>
      <w:adjustRightInd/>
      <w:spacing w:line="360" w:lineRule="atLeast"/>
    </w:pPr>
    <w:rPr>
      <w:rFonts w:ascii="Garamond" w:hAnsi="Garamond"/>
      <w:szCs w:val="20"/>
    </w:rPr>
  </w:style>
  <w:style w:type="character" w:customStyle="1" w:styleId="L1-FlLSp12Char">
    <w:name w:val="L1-FlL Sp&amp;1/2 Char"/>
    <w:basedOn w:val="DefaultParagraphFont"/>
    <w:link w:val="L1-FlLSp12"/>
    <w:rsid w:val="00711BBD"/>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317D8F"/>
    <w:rPr>
      <w:sz w:val="16"/>
      <w:szCs w:val="16"/>
    </w:rPr>
  </w:style>
  <w:style w:type="paragraph" w:styleId="CommentText">
    <w:name w:val="annotation text"/>
    <w:basedOn w:val="Normal"/>
    <w:link w:val="CommentTextChar"/>
    <w:uiPriority w:val="99"/>
    <w:unhideWhenUsed/>
    <w:rsid w:val="00317D8F"/>
    <w:rPr>
      <w:sz w:val="20"/>
      <w:szCs w:val="20"/>
    </w:rPr>
  </w:style>
  <w:style w:type="character" w:customStyle="1" w:styleId="CommentTextChar">
    <w:name w:val="Comment Text Char"/>
    <w:basedOn w:val="DefaultParagraphFont"/>
    <w:link w:val="CommentText"/>
    <w:uiPriority w:val="99"/>
    <w:rsid w:val="00317D8F"/>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317D8F"/>
    <w:rPr>
      <w:b/>
      <w:bCs/>
    </w:rPr>
  </w:style>
  <w:style w:type="character" w:customStyle="1" w:styleId="CommentSubjectChar">
    <w:name w:val="Comment Subject Char"/>
    <w:basedOn w:val="CommentTextChar"/>
    <w:link w:val="CommentSubject"/>
    <w:uiPriority w:val="99"/>
    <w:semiHidden/>
    <w:rsid w:val="00317D8F"/>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317D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D8F"/>
    <w:rPr>
      <w:rFonts w:ascii="Segoe UI" w:eastAsia="Times New Roman" w:hAnsi="Segoe UI" w:cs="Segoe UI"/>
      <w:sz w:val="18"/>
      <w:szCs w:val="18"/>
    </w:rPr>
  </w:style>
  <w:style w:type="paragraph" w:styleId="FootnoteText">
    <w:name w:val="footnote text"/>
    <w:aliases w:val="F1"/>
    <w:link w:val="FootnoteTextChar"/>
    <w:semiHidden/>
    <w:rsid w:val="0060376E"/>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60376E"/>
    <w:rPr>
      <w:rFonts w:ascii="Garamond" w:eastAsia="Times New Roman" w:hAnsi="Garamond" w:cs="Times New Roman"/>
      <w:sz w:val="20"/>
      <w:szCs w:val="20"/>
    </w:rPr>
  </w:style>
  <w:style w:type="character" w:styleId="FootnoteReference">
    <w:name w:val="footnote reference"/>
    <w:basedOn w:val="DefaultParagraphFont"/>
    <w:uiPriority w:val="99"/>
    <w:semiHidden/>
    <w:unhideWhenUsed/>
    <w:rsid w:val="0060376E"/>
    <w:rPr>
      <w:vertAlign w:val="superscript"/>
    </w:rPr>
  </w:style>
  <w:style w:type="paragraph" w:styleId="ListParagraph">
    <w:name w:val="List Paragraph"/>
    <w:basedOn w:val="Normal"/>
    <w:uiPriority w:val="34"/>
    <w:qFormat/>
    <w:rsid w:val="00306FF5"/>
    <w:pPr>
      <w:ind w:left="720"/>
      <w:contextualSpacing/>
    </w:pPr>
  </w:style>
  <w:style w:type="paragraph" w:styleId="Revision">
    <w:name w:val="Revision"/>
    <w:hidden/>
    <w:uiPriority w:val="99"/>
    <w:semiHidden/>
    <w:rsid w:val="003B4366"/>
    <w:pPr>
      <w:spacing w:after="0" w:line="240" w:lineRule="auto"/>
    </w:pPr>
    <w:rPr>
      <w:rFonts w:ascii="CG Times" w:eastAsia="Times New Roman" w:hAnsi="CG Times" w:cs="Times New Roman"/>
      <w:sz w:val="24"/>
      <w:szCs w:val="24"/>
    </w:rPr>
  </w:style>
  <w:style w:type="paragraph" w:styleId="Header">
    <w:name w:val="header"/>
    <w:basedOn w:val="Normal"/>
    <w:link w:val="HeaderChar"/>
    <w:uiPriority w:val="99"/>
    <w:unhideWhenUsed/>
    <w:rsid w:val="004D0580"/>
    <w:pPr>
      <w:tabs>
        <w:tab w:val="center" w:pos="4680"/>
        <w:tab w:val="right" w:pos="9360"/>
      </w:tabs>
    </w:pPr>
  </w:style>
  <w:style w:type="character" w:customStyle="1" w:styleId="HeaderChar">
    <w:name w:val="Header Char"/>
    <w:basedOn w:val="DefaultParagraphFont"/>
    <w:link w:val="Header"/>
    <w:uiPriority w:val="99"/>
    <w:rsid w:val="004D0580"/>
    <w:rPr>
      <w:rFonts w:ascii="CG Times" w:eastAsia="Times New Roman" w:hAnsi="CG Times" w:cs="Times New Roman"/>
      <w:sz w:val="24"/>
      <w:szCs w:val="24"/>
    </w:rPr>
  </w:style>
  <w:style w:type="paragraph" w:styleId="Footer">
    <w:name w:val="footer"/>
    <w:basedOn w:val="Normal"/>
    <w:link w:val="FooterChar"/>
    <w:uiPriority w:val="99"/>
    <w:unhideWhenUsed/>
    <w:rsid w:val="004D0580"/>
    <w:pPr>
      <w:tabs>
        <w:tab w:val="center" w:pos="4680"/>
        <w:tab w:val="right" w:pos="9360"/>
      </w:tabs>
    </w:pPr>
  </w:style>
  <w:style w:type="character" w:customStyle="1" w:styleId="FooterChar">
    <w:name w:val="Footer Char"/>
    <w:basedOn w:val="DefaultParagraphFont"/>
    <w:link w:val="Footer"/>
    <w:uiPriority w:val="99"/>
    <w:rsid w:val="004D0580"/>
    <w:rPr>
      <w:rFonts w:ascii="CG Times" w:eastAsia="Times New Roman" w:hAnsi="CG Times" w:cs="Times New Roman"/>
      <w:sz w:val="24"/>
      <w:szCs w:val="24"/>
    </w:rPr>
  </w:style>
  <w:style w:type="character" w:styleId="PlaceholderText">
    <w:name w:val="Placeholder Text"/>
    <w:basedOn w:val="DefaultParagraphFont"/>
    <w:uiPriority w:val="99"/>
    <w:semiHidden/>
    <w:rsid w:val="002337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8577">
      <w:bodyDiv w:val="1"/>
      <w:marLeft w:val="0"/>
      <w:marRight w:val="0"/>
      <w:marTop w:val="0"/>
      <w:marBottom w:val="0"/>
      <w:divBdr>
        <w:top w:val="none" w:sz="0" w:space="0" w:color="auto"/>
        <w:left w:val="none" w:sz="0" w:space="0" w:color="auto"/>
        <w:bottom w:val="none" w:sz="0" w:space="0" w:color="auto"/>
        <w:right w:val="none" w:sz="0" w:space="0" w:color="auto"/>
      </w:divBdr>
    </w:div>
    <w:div w:id="447234676">
      <w:bodyDiv w:val="1"/>
      <w:marLeft w:val="0"/>
      <w:marRight w:val="0"/>
      <w:marTop w:val="0"/>
      <w:marBottom w:val="0"/>
      <w:divBdr>
        <w:top w:val="none" w:sz="0" w:space="0" w:color="auto"/>
        <w:left w:val="none" w:sz="0" w:space="0" w:color="auto"/>
        <w:bottom w:val="none" w:sz="0" w:space="0" w:color="auto"/>
        <w:right w:val="none" w:sz="0" w:space="0" w:color="auto"/>
      </w:divBdr>
    </w:div>
    <w:div w:id="1422263578">
      <w:bodyDiv w:val="1"/>
      <w:marLeft w:val="0"/>
      <w:marRight w:val="0"/>
      <w:marTop w:val="0"/>
      <w:marBottom w:val="0"/>
      <w:divBdr>
        <w:top w:val="none" w:sz="0" w:space="0" w:color="auto"/>
        <w:left w:val="none" w:sz="0" w:space="0" w:color="auto"/>
        <w:bottom w:val="none" w:sz="0" w:space="0" w:color="auto"/>
        <w:right w:val="none" w:sz="0" w:space="0" w:color="auto"/>
      </w:divBdr>
    </w:div>
    <w:div w:id="1766613165">
      <w:bodyDiv w:val="1"/>
      <w:marLeft w:val="0"/>
      <w:marRight w:val="0"/>
      <w:marTop w:val="0"/>
      <w:marBottom w:val="0"/>
      <w:divBdr>
        <w:top w:val="none" w:sz="0" w:space="0" w:color="auto"/>
        <w:left w:val="none" w:sz="0" w:space="0" w:color="auto"/>
        <w:bottom w:val="none" w:sz="0" w:space="0" w:color="auto"/>
        <w:right w:val="none" w:sz="0" w:space="0" w:color="auto"/>
      </w:divBdr>
    </w:div>
    <w:div w:id="1819494894">
      <w:bodyDiv w:val="1"/>
      <w:marLeft w:val="0"/>
      <w:marRight w:val="0"/>
      <w:marTop w:val="0"/>
      <w:marBottom w:val="0"/>
      <w:divBdr>
        <w:top w:val="none" w:sz="0" w:space="0" w:color="auto"/>
        <w:left w:val="none" w:sz="0" w:space="0" w:color="auto"/>
        <w:bottom w:val="none" w:sz="0" w:space="0" w:color="auto"/>
        <w:right w:val="none" w:sz="0" w:space="0" w:color="auto"/>
      </w:divBdr>
    </w:div>
    <w:div w:id="1906990665">
      <w:bodyDiv w:val="1"/>
      <w:marLeft w:val="0"/>
      <w:marRight w:val="0"/>
      <w:marTop w:val="0"/>
      <w:marBottom w:val="0"/>
      <w:divBdr>
        <w:top w:val="none" w:sz="0" w:space="0" w:color="auto"/>
        <w:left w:val="none" w:sz="0" w:space="0" w:color="auto"/>
        <w:bottom w:val="none" w:sz="0" w:space="0" w:color="auto"/>
        <w:right w:val="none" w:sz="0" w:space="0" w:color="auto"/>
      </w:divBdr>
    </w:div>
    <w:div w:id="198712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D5497-FE72-4B39-AFF7-C37168D7B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11</Pages>
  <Words>3280</Words>
  <Characters>21326</Characters>
  <Application>Microsoft Office Word</Application>
  <DocSecurity>0</DocSecurity>
  <Lines>546</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dc:creator>
  <cp:lastModifiedBy>Field, Michael (OJP)</cp:lastModifiedBy>
  <cp:revision>30</cp:revision>
  <cp:lastPrinted>2020-01-16T20:23:00Z</cp:lastPrinted>
  <dcterms:created xsi:type="dcterms:W3CDTF">2022-07-07T12:36:00Z</dcterms:created>
  <dcterms:modified xsi:type="dcterms:W3CDTF">2022-07-15T13:22:00Z</dcterms:modified>
</cp:coreProperties>
</file>