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B51" w:rsidRDefault="006F2B51" w14:paraId="32BA7411" w14:textId="77777777">
      <w:pPr>
        <w:jc w:val="center"/>
      </w:pPr>
      <w:r>
        <w:t>DEPARTMENT OF JUSTICE</w:t>
      </w:r>
    </w:p>
    <w:p w:rsidR="006F2B51" w:rsidP="008C28DB" w:rsidRDefault="006F2B51" w14:paraId="3DF2AE3C" w14:textId="6D227809">
      <w:pPr>
        <w:jc w:val="center"/>
      </w:pPr>
      <w:r>
        <w:t>Bureau of Alcohol, Tobacco, Firearms and Explosives</w:t>
      </w:r>
    </w:p>
    <w:p w:rsidR="00FA5E6D" w:rsidRDefault="006F2B51" w14:paraId="2212FA02" w14:textId="77777777">
      <w:pPr>
        <w:jc w:val="center"/>
      </w:pPr>
      <w:r>
        <w:t xml:space="preserve">Supporting Statement </w:t>
      </w:r>
    </w:p>
    <w:p w:rsidR="006F2B51" w:rsidRDefault="00346B12" w14:paraId="4D0DD9C5" w14:textId="77777777">
      <w:pPr>
        <w:jc w:val="center"/>
      </w:pPr>
      <w:r>
        <w:t xml:space="preserve"> OMB </w:t>
      </w:r>
      <w:r w:rsidR="006F2B51">
        <w:t>1140-0066</w:t>
      </w:r>
    </w:p>
    <w:p w:rsidR="006F2B51" w:rsidRDefault="006F2B51" w14:paraId="27683981" w14:textId="77777777">
      <w:pPr>
        <w:jc w:val="center"/>
      </w:pPr>
      <w:r>
        <w:t>Manufacturers of Ammunition, Records and Supporting Data of Ammunition Manufactured and Disposed of</w:t>
      </w:r>
    </w:p>
    <w:p w:rsidR="006F2B51" w:rsidRDefault="006F2B51" w14:paraId="6472C2A8" w14:textId="77777777"/>
    <w:p w:rsidR="006F2B51" w:rsidRDefault="006F2B51" w14:paraId="21A29B19" w14:textId="77777777"/>
    <w:p w:rsidR="006F2B51" w:rsidP="004748F1" w:rsidRDefault="00364E29" w14:paraId="7624CF6B" w14:textId="77777777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</w:pPr>
      <w:r>
        <w:t>JUSTIFICATION</w:t>
      </w:r>
    </w:p>
    <w:p w:rsidR="006F2B51" w:rsidRDefault="006F2B51" w14:paraId="7D3624B1" w14:textId="77777777">
      <w:pPr>
        <w:ind w:left="360"/>
      </w:pPr>
    </w:p>
    <w:p w:rsidR="00364E29" w:rsidP="009C69C5" w:rsidRDefault="00364E29" w14:paraId="212A9F00" w14:textId="77777777">
      <w:pPr>
        <w:numPr>
          <w:ilvl w:val="1"/>
          <w:numId w:val="1"/>
        </w:numPr>
        <w:tabs>
          <w:tab w:val="clear" w:pos="1440"/>
          <w:tab w:val="num" w:pos="1260"/>
        </w:tabs>
        <w:ind w:left="1080" w:hanging="540"/>
      </w:pPr>
      <w:r>
        <w:rPr>
          <w:u w:val="single"/>
        </w:rPr>
        <w:t>Necessity of Information Collection</w:t>
      </w:r>
    </w:p>
    <w:p w:rsidR="009C69C5" w:rsidP="009C69C5" w:rsidRDefault="009C69C5" w14:paraId="7B2290D9" w14:textId="77777777">
      <w:pPr>
        <w:ind w:left="1080"/>
      </w:pPr>
    </w:p>
    <w:p w:rsidR="006F2B51" w:rsidP="00EA54AF" w:rsidRDefault="006F2B51" w14:paraId="781BCA77" w14:textId="74C132A1">
      <w:pPr>
        <w:tabs>
          <w:tab w:val="left" w:pos="1080"/>
        </w:tabs>
        <w:ind w:left="1080"/>
      </w:pPr>
      <w:r>
        <w:t>Manufacturer’s records of ammunition apply only to</w:t>
      </w:r>
      <w:r w:rsidR="00B505BF">
        <w:t xml:space="preserve"> disposition of armor-</w:t>
      </w:r>
      <w:r w:rsidR="00FA61E2">
        <w:t xml:space="preserve">piercing </w:t>
      </w:r>
      <w:r>
        <w:t>ammunition (requi</w:t>
      </w:r>
      <w:r w:rsidR="004748F1">
        <w:t>red by 18</w:t>
      </w:r>
      <w:r w:rsidR="00D92499">
        <w:t xml:space="preserve"> United States Code (</w:t>
      </w:r>
      <w:r w:rsidR="004748F1">
        <w:t>U.S.C.</w:t>
      </w:r>
      <w:r w:rsidR="00D92499">
        <w:t>) §</w:t>
      </w:r>
      <w:r w:rsidR="004748F1">
        <w:t xml:space="preserve"> 922 (b) (5)). </w:t>
      </w:r>
      <w:r>
        <w:t>This record is primarily for law enforcement purposes</w:t>
      </w:r>
      <w:r w:rsidR="00B505BF">
        <w:t xml:space="preserve"> and may be used to trace ammunition collected as evidence </w:t>
      </w:r>
      <w:r w:rsidR="00276040">
        <w:t>during</w:t>
      </w:r>
      <w:r>
        <w:t xml:space="preserve"> a criminal investigation or court presen</w:t>
      </w:r>
      <w:r w:rsidR="004748F1">
        <w:t xml:space="preserve">tation. </w:t>
      </w:r>
      <w:r w:rsidR="00276040">
        <w:t>D</w:t>
      </w:r>
      <w:r w:rsidR="00B505BF">
        <w:t xml:space="preserve">uring </w:t>
      </w:r>
      <w:r>
        <w:t xml:space="preserve">compliance </w:t>
      </w:r>
      <w:r w:rsidR="00276040">
        <w:t>inspections,</w:t>
      </w:r>
      <w:r>
        <w:t xml:space="preserve"> </w:t>
      </w:r>
      <w:r w:rsidR="00276040">
        <w:t xml:space="preserve">these records may also help </w:t>
      </w:r>
      <w:r>
        <w:t xml:space="preserve">to determine the validity of </w:t>
      </w:r>
      <w:r w:rsidR="00740CF1">
        <w:t xml:space="preserve">a </w:t>
      </w:r>
      <w:r>
        <w:t>recordkeeping system</w:t>
      </w:r>
      <w:r w:rsidR="00276040">
        <w:t>,</w:t>
      </w:r>
      <w:r>
        <w:t xml:space="preserve"> by comparing </w:t>
      </w:r>
      <w:r w:rsidR="00740CF1">
        <w:t xml:space="preserve">data collected about </w:t>
      </w:r>
      <w:r>
        <w:t>raw material used</w:t>
      </w:r>
      <w:r w:rsidR="00740CF1">
        <w:t>,</w:t>
      </w:r>
      <w:r>
        <w:t xml:space="preserve"> wi</w:t>
      </w:r>
      <w:r w:rsidR="00740CF1">
        <w:t>th the finished product,</w:t>
      </w:r>
      <w:r w:rsidR="00276040">
        <w:t xml:space="preserve"> and </w:t>
      </w:r>
      <w:r>
        <w:t>t</w:t>
      </w:r>
      <w:r w:rsidR="00740CF1">
        <w:t>hat which is</w:t>
      </w:r>
      <w:r w:rsidR="004748F1">
        <w:t xml:space="preserve"> sold to customers. </w:t>
      </w:r>
      <w:r>
        <w:t>The manufacturer’s commer</w:t>
      </w:r>
      <w:r w:rsidR="00276040">
        <w:t>cial records in most instances will also contain</w:t>
      </w:r>
      <w:r>
        <w:t xml:space="preserve"> </w:t>
      </w:r>
      <w:r w:rsidR="008F2756">
        <w:t xml:space="preserve">data elements specified in the </w:t>
      </w:r>
      <w:r>
        <w:t>regulations.</w:t>
      </w:r>
    </w:p>
    <w:p w:rsidR="006F2B51" w:rsidP="004748F1" w:rsidRDefault="006F2B51" w14:paraId="5D333E53" w14:textId="77777777">
      <w:pPr>
        <w:ind w:left="1260" w:hanging="540"/>
      </w:pPr>
    </w:p>
    <w:p w:rsidR="00364E29" w:rsidP="004748F1" w:rsidRDefault="00364E29" w14:paraId="11EAE32D" w14:textId="77777777">
      <w:pPr>
        <w:numPr>
          <w:ilvl w:val="1"/>
          <w:numId w:val="1"/>
        </w:numPr>
        <w:tabs>
          <w:tab w:val="clear" w:pos="1440"/>
          <w:tab w:val="num" w:pos="1080"/>
        </w:tabs>
        <w:ind w:hanging="900"/>
      </w:pPr>
      <w:r>
        <w:rPr>
          <w:u w:val="single"/>
        </w:rPr>
        <w:t>Needs and Uses</w:t>
      </w:r>
    </w:p>
    <w:p w:rsidR="00364E29" w:rsidP="004748F1" w:rsidRDefault="00364E29" w14:paraId="7B19F3D6" w14:textId="77777777">
      <w:pPr>
        <w:ind w:left="1080" w:hanging="540"/>
      </w:pPr>
    </w:p>
    <w:p w:rsidR="00361DD5" w:rsidP="004748F1" w:rsidRDefault="006F2B51" w14:paraId="2DAC4551" w14:textId="5E77B309">
      <w:pPr>
        <w:ind w:left="1080"/>
      </w:pPr>
      <w:r>
        <w:t xml:space="preserve">Records are established by licensees </w:t>
      </w:r>
      <w:r w:rsidR="00B85B6D">
        <w:t>who enter</w:t>
      </w:r>
      <w:r>
        <w:t xml:space="preserve"> the required information in</w:t>
      </w:r>
      <w:r w:rsidR="008F2756">
        <w:t xml:space="preserve"> their </w:t>
      </w:r>
      <w:r>
        <w:t>recor</w:t>
      </w:r>
      <w:r w:rsidR="0036577B">
        <w:t>d book</w:t>
      </w:r>
      <w:r w:rsidR="008F2756">
        <w:t>s</w:t>
      </w:r>
      <w:r w:rsidR="00276040">
        <w:t>,</w:t>
      </w:r>
      <w:r w:rsidR="0036577B">
        <w:t xml:space="preserve"> as required by 27 </w:t>
      </w:r>
      <w:r w:rsidR="008966DE">
        <w:t>Code of Federal Regulation (</w:t>
      </w:r>
      <w:r w:rsidR="0036577B">
        <w:t>CFR</w:t>
      </w:r>
      <w:r w:rsidR="008966DE">
        <w:t>)</w:t>
      </w:r>
      <w:r w:rsidR="0036577B">
        <w:t xml:space="preserve"> </w:t>
      </w:r>
      <w:r w:rsidR="008966DE">
        <w:t xml:space="preserve">§§ </w:t>
      </w:r>
      <w:r w:rsidR="0036577B">
        <w:t>478</w:t>
      </w:r>
      <w:r w:rsidR="00C57E09">
        <w:t xml:space="preserve">.123(b) and 125(d). </w:t>
      </w:r>
      <w:r w:rsidR="008966DE">
        <w:t>Bureau of Alcohol, Tobacco, Firearms, and Explosives (</w:t>
      </w:r>
      <w:r>
        <w:t>ATF</w:t>
      </w:r>
      <w:r w:rsidR="008966DE">
        <w:t>) personnel</w:t>
      </w:r>
      <w:r w:rsidR="00276040">
        <w:t xml:space="preserve"> also</w:t>
      </w:r>
      <w:r>
        <w:t xml:space="preserve"> use the </w:t>
      </w:r>
      <w:r w:rsidR="00B85B6D">
        <w:t xml:space="preserve">collected </w:t>
      </w:r>
      <w:r>
        <w:t>information during investigations or inspections</w:t>
      </w:r>
      <w:r w:rsidR="009011C4">
        <w:t>,</w:t>
      </w:r>
      <w:r>
        <w:t xml:space="preserve"> for criminal </w:t>
      </w:r>
      <w:r w:rsidR="00B96C83">
        <w:t xml:space="preserve">prosecution </w:t>
      </w:r>
      <w:r>
        <w:t>or compliance purposes.</w:t>
      </w:r>
    </w:p>
    <w:p w:rsidR="00346B12" w:rsidP="004748F1" w:rsidRDefault="00346B12" w14:paraId="44EBEF8B" w14:textId="77777777">
      <w:pPr>
        <w:ind w:left="1080"/>
      </w:pPr>
    </w:p>
    <w:p w:rsidR="00364E29" w:rsidP="009C69C5" w:rsidRDefault="00364E29" w14:paraId="2A518D66" w14:textId="77777777">
      <w:pPr>
        <w:pStyle w:val="ListParagraph"/>
        <w:numPr>
          <w:ilvl w:val="1"/>
          <w:numId w:val="1"/>
        </w:numPr>
        <w:tabs>
          <w:tab w:val="clear" w:pos="1440"/>
          <w:tab w:val="num" w:pos="1260"/>
        </w:tabs>
        <w:ind w:left="1080" w:hanging="540"/>
      </w:pPr>
      <w:r w:rsidRPr="00385114">
        <w:rPr>
          <w:u w:val="single"/>
        </w:rPr>
        <w:t>Use of Information Technology</w:t>
      </w:r>
    </w:p>
    <w:p w:rsidR="00364E29" w:rsidP="004748F1" w:rsidRDefault="00364E29" w14:paraId="15AA5D18" w14:textId="77777777">
      <w:pPr>
        <w:ind w:left="1080" w:hanging="540"/>
      </w:pPr>
    </w:p>
    <w:p w:rsidR="00BB535F" w:rsidP="00BB535F" w:rsidRDefault="000C445F" w14:paraId="3208C4B1" w14:textId="27489B05">
      <w:pPr>
        <w:ind w:left="1080"/>
      </w:pPr>
      <w:r>
        <w:t xml:space="preserve">The use of </w:t>
      </w:r>
      <w:r w:rsidR="008F2756">
        <w:t xml:space="preserve">an </w:t>
      </w:r>
      <w:r>
        <w:t>automated</w:t>
      </w:r>
      <w:r w:rsidR="008F2756">
        <w:t xml:space="preserve"> or</w:t>
      </w:r>
      <w:r>
        <w:t xml:space="preserve"> electronic</w:t>
      </w:r>
      <w:r w:rsidR="008F2756">
        <w:t xml:space="preserve"> recordkeeping technique</w:t>
      </w:r>
      <w:r>
        <w:t xml:space="preserve"> is not required by this information collection</w:t>
      </w:r>
      <w:r w:rsidR="00C57E09">
        <w:t xml:space="preserve">. </w:t>
      </w:r>
      <w:r w:rsidR="00346B12">
        <w:t>H</w:t>
      </w:r>
      <w:r>
        <w:t>owever, pursuant to ATF Rul</w:t>
      </w:r>
      <w:r w:rsidR="009011C4">
        <w:t>ing</w:t>
      </w:r>
      <w:r>
        <w:t xml:space="preserve"> </w:t>
      </w:r>
      <w:r w:rsidR="002071FE">
        <w:t>2016-1</w:t>
      </w:r>
      <w:r>
        <w:t xml:space="preserve">, maintaining these records </w:t>
      </w:r>
      <w:r w:rsidR="00C57E09">
        <w:t xml:space="preserve">electronically is permissible. </w:t>
      </w:r>
      <w:r>
        <w:t>The records are kept on the licensee</w:t>
      </w:r>
      <w:r w:rsidR="00A41D1D">
        <w:t>’s</w:t>
      </w:r>
      <w:r>
        <w:t xml:space="preserve"> business premise</w:t>
      </w:r>
      <w:r w:rsidR="009011C4">
        <w:t xml:space="preserve">, and </w:t>
      </w:r>
      <w:r w:rsidR="008F2756">
        <w:t>the lice</w:t>
      </w:r>
      <w:r w:rsidR="009011C4">
        <w:t xml:space="preserve">nsee </w:t>
      </w:r>
      <w:r w:rsidR="008F2756">
        <w:t xml:space="preserve">is required </w:t>
      </w:r>
      <w:r w:rsidR="00886D8A">
        <w:t xml:space="preserve">to </w:t>
      </w:r>
      <w:r>
        <w:t xml:space="preserve">record specific </w:t>
      </w:r>
      <w:r w:rsidR="00B85B6D">
        <w:t>data</w:t>
      </w:r>
      <w:r>
        <w:t xml:space="preserve"> regarding the disposition of firearms.</w:t>
      </w:r>
      <w:r w:rsidR="00BB535F">
        <w:t xml:space="preserve"> The record retention requirement for this information collection is 2 years.</w:t>
      </w:r>
    </w:p>
    <w:p w:rsidR="00361DD5" w:rsidP="009C69C5" w:rsidRDefault="00361DD5" w14:paraId="43C22FCB" w14:textId="156E9857">
      <w:pPr>
        <w:tabs>
          <w:tab w:val="left" w:pos="990"/>
        </w:tabs>
        <w:ind w:left="1080" w:hanging="540"/>
      </w:pPr>
    </w:p>
    <w:p w:rsidR="00361DD5" w:rsidP="004748F1" w:rsidRDefault="00361DD5" w14:paraId="0BB062EE" w14:textId="77777777">
      <w:pPr>
        <w:ind w:left="1080" w:hanging="540"/>
      </w:pPr>
    </w:p>
    <w:p w:rsidR="00364E29" w:rsidP="009C69C5" w:rsidRDefault="00364E29" w14:paraId="08CFF252" w14:textId="77777777">
      <w:pPr>
        <w:pStyle w:val="ListParagraph"/>
        <w:numPr>
          <w:ilvl w:val="1"/>
          <w:numId w:val="1"/>
        </w:numPr>
        <w:tabs>
          <w:tab w:val="clear" w:pos="1440"/>
          <w:tab w:val="num" w:pos="1080"/>
        </w:tabs>
        <w:ind w:hanging="900"/>
      </w:pPr>
      <w:r w:rsidRPr="00385114">
        <w:rPr>
          <w:u w:val="single"/>
        </w:rPr>
        <w:t>Efforts to Identify Duplication</w:t>
      </w:r>
    </w:p>
    <w:p w:rsidR="00364E29" w:rsidP="004748F1" w:rsidRDefault="00364E29" w14:paraId="2C8FED8F" w14:textId="77777777">
      <w:pPr>
        <w:ind w:left="1080" w:hanging="540"/>
      </w:pPr>
    </w:p>
    <w:p w:rsidR="000C445F" w:rsidP="009C69C5" w:rsidRDefault="00A22707" w14:paraId="28996283" w14:textId="00CDAA7C">
      <w:pPr>
        <w:ind w:left="1080"/>
      </w:pPr>
      <w:r>
        <w:t>T</w:t>
      </w:r>
      <w:r w:rsidR="00A41D1D">
        <w:t>he ATF investigator</w:t>
      </w:r>
      <w:r w:rsidR="000C445F">
        <w:t xml:space="preserve"> </w:t>
      </w:r>
      <w:r>
        <w:t xml:space="preserve">will ensure </w:t>
      </w:r>
      <w:r w:rsidR="00346B12">
        <w:t>that there is no duplicat</w:t>
      </w:r>
      <w:r w:rsidR="008966DE">
        <w:t>ion</w:t>
      </w:r>
      <w:r w:rsidR="008F2756">
        <w:t xml:space="preserve"> </w:t>
      </w:r>
      <w:r w:rsidR="00346B12">
        <w:t xml:space="preserve">or false entries </w:t>
      </w:r>
      <w:r w:rsidR="008F2756">
        <w:t>in the</w:t>
      </w:r>
      <w:r w:rsidR="00346B12">
        <w:t xml:space="preserve"> </w:t>
      </w:r>
      <w:r w:rsidR="008F2756">
        <w:t xml:space="preserve">licensee </w:t>
      </w:r>
      <w:r w:rsidR="00346B12">
        <w:t>records</w:t>
      </w:r>
      <w:r w:rsidR="009011C4">
        <w:t xml:space="preserve"> </w:t>
      </w:r>
      <w:r>
        <w:t xml:space="preserve">when they conduct </w:t>
      </w:r>
      <w:r w:rsidR="00346B12">
        <w:t>inspections.</w:t>
      </w:r>
      <w:r w:rsidR="000C445F">
        <w:t xml:space="preserve"> </w:t>
      </w:r>
    </w:p>
    <w:p w:rsidR="00346B12" w:rsidP="004748F1" w:rsidRDefault="00346B12" w14:paraId="1F651415" w14:textId="77777777">
      <w:pPr>
        <w:pStyle w:val="ListParagraph"/>
        <w:ind w:hanging="540"/>
      </w:pPr>
    </w:p>
    <w:p w:rsidR="00364E29" w:rsidP="009C69C5" w:rsidRDefault="00364E29" w14:paraId="03C030F7" w14:textId="77777777">
      <w:pPr>
        <w:numPr>
          <w:ilvl w:val="1"/>
          <w:numId w:val="1"/>
        </w:numPr>
        <w:tabs>
          <w:tab w:val="clear" w:pos="1440"/>
          <w:tab w:val="num" w:pos="1080"/>
        </w:tabs>
        <w:ind w:hanging="900"/>
      </w:pPr>
      <w:r>
        <w:rPr>
          <w:u w:val="single"/>
        </w:rPr>
        <w:lastRenderedPageBreak/>
        <w:t>Minimizing Burden on Small Businesses</w:t>
      </w:r>
    </w:p>
    <w:p w:rsidR="00346B12" w:rsidP="004748F1" w:rsidRDefault="00346B12" w14:paraId="7F232435" w14:textId="77777777">
      <w:pPr>
        <w:ind w:left="1080" w:hanging="540"/>
      </w:pPr>
    </w:p>
    <w:p w:rsidR="006F2B51" w:rsidP="009C69C5" w:rsidRDefault="00886D8A" w14:paraId="0230F31A" w14:textId="77777777">
      <w:pPr>
        <w:ind w:left="1080"/>
      </w:pPr>
      <w:r>
        <w:t>This information</w:t>
      </w:r>
      <w:r w:rsidR="006F2B51">
        <w:t xml:space="preserve"> collection </w:t>
      </w:r>
      <w:r w:rsidR="00346B12">
        <w:t>has no</w:t>
      </w:r>
      <w:r w:rsidR="006F2B51">
        <w:t xml:space="preserve"> impact on small businesses or other small entities.</w:t>
      </w:r>
    </w:p>
    <w:p w:rsidR="006F2B51" w:rsidP="004748F1" w:rsidRDefault="006F2B51" w14:paraId="2AEAEB03" w14:textId="77777777">
      <w:pPr>
        <w:ind w:hanging="540"/>
      </w:pPr>
    </w:p>
    <w:p w:rsidR="00364E29" w:rsidP="009C69C5" w:rsidRDefault="00A41D1D" w14:paraId="11469F46" w14:textId="77777777">
      <w:pPr>
        <w:numPr>
          <w:ilvl w:val="1"/>
          <w:numId w:val="1"/>
        </w:numPr>
        <w:tabs>
          <w:tab w:val="left" w:pos="1080"/>
        </w:tabs>
        <w:ind w:hanging="900"/>
      </w:pPr>
      <w:r>
        <w:rPr>
          <w:u w:val="single"/>
        </w:rPr>
        <w:t>Consequences of Not Conducting</w:t>
      </w:r>
      <w:r w:rsidR="00364E29">
        <w:rPr>
          <w:u w:val="single"/>
        </w:rPr>
        <w:t xml:space="preserve"> or </w:t>
      </w:r>
      <w:r w:rsidR="004E2B84">
        <w:rPr>
          <w:u w:val="single"/>
        </w:rPr>
        <w:t>L</w:t>
      </w:r>
      <w:r w:rsidR="00364E29">
        <w:rPr>
          <w:u w:val="single"/>
        </w:rPr>
        <w:t xml:space="preserve">ess </w:t>
      </w:r>
      <w:r w:rsidR="004E2B84">
        <w:rPr>
          <w:u w:val="single"/>
        </w:rPr>
        <w:t>F</w:t>
      </w:r>
      <w:r w:rsidR="00364E29">
        <w:rPr>
          <w:u w:val="single"/>
        </w:rPr>
        <w:t>requent Collection</w:t>
      </w:r>
    </w:p>
    <w:p w:rsidR="00364E29" w:rsidP="004748F1" w:rsidRDefault="00364E29" w14:paraId="5D58E7FE" w14:textId="77777777">
      <w:pPr>
        <w:ind w:left="1080" w:hanging="540"/>
      </w:pPr>
    </w:p>
    <w:p w:rsidR="00364E29" w:rsidP="009C69C5" w:rsidRDefault="008966DE" w14:paraId="36C8D184" w14:textId="567D60E7">
      <w:pPr>
        <w:ind w:left="1080"/>
      </w:pPr>
      <w:r>
        <w:t xml:space="preserve">Without </w:t>
      </w:r>
      <w:r w:rsidR="00740CF1">
        <w:t xml:space="preserve">this </w:t>
      </w:r>
      <w:r w:rsidR="00364E29">
        <w:t xml:space="preserve">information collection licensees </w:t>
      </w:r>
      <w:r>
        <w:t xml:space="preserve">may </w:t>
      </w:r>
      <w:r w:rsidR="00364E29">
        <w:t>provid</w:t>
      </w:r>
      <w:r w:rsidR="002767E7">
        <w:t>e</w:t>
      </w:r>
      <w:r w:rsidR="00364E29">
        <w:t xml:space="preserve"> false information </w:t>
      </w:r>
      <w:r w:rsidR="00740CF1">
        <w:t xml:space="preserve">regarding their </w:t>
      </w:r>
      <w:r w:rsidR="008F2756">
        <w:t xml:space="preserve">disposition </w:t>
      </w:r>
      <w:r w:rsidR="00740CF1">
        <w:t>records</w:t>
      </w:r>
      <w:r w:rsidR="009011C4">
        <w:t xml:space="preserve"> </w:t>
      </w:r>
      <w:r w:rsidR="00346B12">
        <w:t>during</w:t>
      </w:r>
      <w:r w:rsidR="00364E29">
        <w:t xml:space="preserve"> </w:t>
      </w:r>
      <w:r w:rsidR="009011C4">
        <w:t>a criminal investigation</w:t>
      </w:r>
      <w:r w:rsidR="00C57E09">
        <w:t xml:space="preserve">. </w:t>
      </w:r>
      <w:r w:rsidR="00364E29">
        <w:t xml:space="preserve">These records are vital to ATF’s </w:t>
      </w:r>
      <w:r w:rsidR="00B85B6D">
        <w:t xml:space="preserve">law enforcement </w:t>
      </w:r>
      <w:r w:rsidR="00364E29">
        <w:t>mission.</w:t>
      </w:r>
    </w:p>
    <w:p w:rsidR="00364E29" w:rsidP="004748F1" w:rsidRDefault="00364E29" w14:paraId="511A916A" w14:textId="77777777">
      <w:pPr>
        <w:ind w:left="1440" w:hanging="540"/>
      </w:pPr>
    </w:p>
    <w:p w:rsidR="004E2B84" w:rsidP="009C69C5" w:rsidRDefault="004E2B84" w14:paraId="03496EE5" w14:textId="77777777">
      <w:pPr>
        <w:numPr>
          <w:ilvl w:val="1"/>
          <w:numId w:val="1"/>
        </w:numPr>
        <w:tabs>
          <w:tab w:val="clear" w:pos="1440"/>
          <w:tab w:val="num" w:pos="1080"/>
        </w:tabs>
        <w:ind w:hanging="900"/>
      </w:pPr>
      <w:r>
        <w:rPr>
          <w:u w:val="single"/>
        </w:rPr>
        <w:t>Special Circumstances</w:t>
      </w:r>
    </w:p>
    <w:p w:rsidR="004E2B84" w:rsidP="004748F1" w:rsidRDefault="004E2B84" w14:paraId="3330036F" w14:textId="77777777">
      <w:pPr>
        <w:ind w:left="1080" w:hanging="540"/>
      </w:pPr>
    </w:p>
    <w:p w:rsidR="00361DD5" w:rsidP="009C69C5" w:rsidRDefault="004E2B84" w14:paraId="540094AA" w14:textId="54B0ECFC">
      <w:pPr>
        <w:ind w:left="1080"/>
      </w:pPr>
      <w:r>
        <w:t>There are no special circumstances associated w</w:t>
      </w:r>
      <w:r w:rsidR="008F2756">
        <w:t>ith this information collection, which</w:t>
      </w:r>
      <w:r w:rsidR="006F2B51">
        <w:t xml:space="preserve"> is conducted in a manner consistent with 5 CFR </w:t>
      </w:r>
      <w:r w:rsidR="002767E7">
        <w:t>§</w:t>
      </w:r>
      <w:r w:rsidR="006F2B51">
        <w:t>1320.6.</w:t>
      </w:r>
    </w:p>
    <w:p w:rsidR="00361DD5" w:rsidP="004748F1" w:rsidRDefault="00361DD5" w14:paraId="35541859" w14:textId="77777777">
      <w:pPr>
        <w:ind w:left="1080" w:hanging="540"/>
      </w:pPr>
    </w:p>
    <w:p w:rsidR="004E2B84" w:rsidP="009C69C5" w:rsidRDefault="00361DD5" w14:paraId="7636D8F5" w14:textId="77777777">
      <w:pPr>
        <w:pStyle w:val="ListParagraph"/>
        <w:numPr>
          <w:ilvl w:val="1"/>
          <w:numId w:val="1"/>
        </w:numPr>
        <w:tabs>
          <w:tab w:val="clear" w:pos="1440"/>
          <w:tab w:val="num" w:pos="1080"/>
        </w:tabs>
        <w:ind w:hanging="900"/>
      </w:pPr>
      <w:r w:rsidRPr="004748F1">
        <w:rPr>
          <w:u w:val="single"/>
        </w:rPr>
        <w:t xml:space="preserve"> </w:t>
      </w:r>
      <w:r w:rsidRPr="004748F1" w:rsidR="004E2B84">
        <w:rPr>
          <w:u w:val="single"/>
        </w:rPr>
        <w:t>Public Comments and Consultations</w:t>
      </w:r>
    </w:p>
    <w:p w:rsidR="004E2B84" w:rsidP="004748F1" w:rsidRDefault="004E2B84" w14:paraId="312E2BE9" w14:textId="77777777">
      <w:pPr>
        <w:ind w:left="1080" w:hanging="540"/>
      </w:pPr>
    </w:p>
    <w:p w:rsidR="006F2B51" w:rsidP="009C69C5" w:rsidRDefault="00B767AE" w14:paraId="53575BB1" w14:textId="36157355">
      <w:pPr>
        <w:ind w:left="1080"/>
      </w:pPr>
      <w:r>
        <w:t xml:space="preserve">No comments were received during the </w:t>
      </w:r>
      <w:r w:rsidR="00B76AD8">
        <w:t xml:space="preserve">60-day </w:t>
      </w:r>
      <w:r>
        <w:t xml:space="preserve">Federal Register notice period. However, </w:t>
      </w:r>
      <w:r w:rsidR="00B76AD8">
        <w:t>a 30-day</w:t>
      </w:r>
      <w:r>
        <w:t xml:space="preserve"> FR</w:t>
      </w:r>
      <w:r w:rsidR="00B76AD8">
        <w:t xml:space="preserve"> notice will be published to solicit public comments.  </w:t>
      </w:r>
      <w:r w:rsidR="004E2B84">
        <w:t xml:space="preserve"> </w:t>
      </w:r>
    </w:p>
    <w:p w:rsidR="006F2B51" w:rsidP="004748F1" w:rsidRDefault="006F2B51" w14:paraId="59656B2B" w14:textId="77777777">
      <w:pPr>
        <w:ind w:hanging="540"/>
      </w:pPr>
    </w:p>
    <w:p w:rsidRPr="009C69C5" w:rsidR="004E2B84" w:rsidP="009C69C5" w:rsidRDefault="004E2B84" w14:paraId="22CD309B" w14:textId="77777777">
      <w:pPr>
        <w:pStyle w:val="ListParagraph"/>
        <w:numPr>
          <w:ilvl w:val="1"/>
          <w:numId w:val="1"/>
        </w:numPr>
        <w:tabs>
          <w:tab w:val="clear" w:pos="1440"/>
          <w:tab w:val="num" w:pos="1080"/>
        </w:tabs>
        <w:ind w:hanging="900"/>
        <w:rPr>
          <w:u w:val="single"/>
        </w:rPr>
      </w:pPr>
      <w:r w:rsidRPr="009C69C5">
        <w:rPr>
          <w:u w:val="single"/>
        </w:rPr>
        <w:t>Provision of Payments or Gifts to Respondents</w:t>
      </w:r>
    </w:p>
    <w:p w:rsidR="004E2B84" w:rsidP="004748F1" w:rsidRDefault="004E2B84" w14:paraId="34CE77EF" w14:textId="77777777">
      <w:pPr>
        <w:ind w:left="360" w:hanging="540"/>
      </w:pPr>
    </w:p>
    <w:p w:rsidR="006F2B51" w:rsidP="009C69C5" w:rsidRDefault="006F2B51" w14:paraId="6FDBEC8E" w14:textId="77777777">
      <w:pPr>
        <w:ind w:left="1080"/>
      </w:pPr>
      <w:r>
        <w:t>No payment or gift is associated with this information collection.</w:t>
      </w:r>
    </w:p>
    <w:p w:rsidR="006F2B51" w:rsidP="004748F1" w:rsidRDefault="006F2B51" w14:paraId="630EF088" w14:textId="77777777">
      <w:pPr>
        <w:ind w:hanging="540"/>
      </w:pPr>
    </w:p>
    <w:p w:rsidRPr="004748F1" w:rsidR="004E2B84" w:rsidP="009C69C5" w:rsidRDefault="004E2B84" w14:paraId="4F2E6F71" w14:textId="77777777">
      <w:pPr>
        <w:pStyle w:val="ListParagraph"/>
        <w:numPr>
          <w:ilvl w:val="1"/>
          <w:numId w:val="1"/>
        </w:numPr>
        <w:tabs>
          <w:tab w:val="clear" w:pos="1440"/>
          <w:tab w:val="num" w:pos="1080"/>
        </w:tabs>
        <w:ind w:hanging="900"/>
        <w:rPr>
          <w:u w:val="single"/>
        </w:rPr>
      </w:pPr>
      <w:r w:rsidRPr="004748F1">
        <w:rPr>
          <w:u w:val="single"/>
        </w:rPr>
        <w:t>Assurance of Confidentiality</w:t>
      </w:r>
    </w:p>
    <w:p w:rsidR="004E2B84" w:rsidP="004748F1" w:rsidRDefault="004E2B84" w14:paraId="43761A51" w14:textId="77777777">
      <w:pPr>
        <w:ind w:left="1080" w:hanging="540"/>
      </w:pPr>
    </w:p>
    <w:p w:rsidR="00361DD5" w:rsidP="009C69C5" w:rsidRDefault="006F2B51" w14:paraId="24DC6E38" w14:textId="22FB6638">
      <w:pPr>
        <w:ind w:left="1080"/>
      </w:pPr>
      <w:r>
        <w:t xml:space="preserve">These records are maintained </w:t>
      </w:r>
      <w:r w:rsidR="008F2756">
        <w:t xml:space="preserve">on </w:t>
      </w:r>
      <w:r>
        <w:t>the premises of the licensee</w:t>
      </w:r>
      <w:r w:rsidR="008962FB">
        <w:t xml:space="preserve"> in a secured location</w:t>
      </w:r>
      <w:r>
        <w:t>.</w:t>
      </w:r>
      <w:r w:rsidR="008962FB">
        <w:t xml:space="preserve"> Only cleared ATF investigators </w:t>
      </w:r>
      <w:r w:rsidR="008F2756">
        <w:t xml:space="preserve">will </w:t>
      </w:r>
      <w:r w:rsidR="008962FB">
        <w:t xml:space="preserve">have access to </w:t>
      </w:r>
      <w:r w:rsidR="00740CF1">
        <w:t>these</w:t>
      </w:r>
      <w:r w:rsidR="008962FB">
        <w:t xml:space="preserve"> </w:t>
      </w:r>
      <w:r w:rsidR="00740CF1">
        <w:t>records</w:t>
      </w:r>
      <w:r w:rsidR="008962FB">
        <w:t>.</w:t>
      </w:r>
    </w:p>
    <w:p w:rsidR="00361DD5" w:rsidP="004748F1" w:rsidRDefault="00361DD5" w14:paraId="377D1730" w14:textId="77777777">
      <w:pPr>
        <w:ind w:left="1080" w:hanging="540"/>
      </w:pPr>
    </w:p>
    <w:p w:rsidRPr="004748F1" w:rsidR="008962FB" w:rsidP="009C69C5" w:rsidRDefault="008962FB" w14:paraId="54EF52CB" w14:textId="77777777">
      <w:pPr>
        <w:pStyle w:val="ListParagraph"/>
        <w:numPr>
          <w:ilvl w:val="1"/>
          <w:numId w:val="1"/>
        </w:numPr>
        <w:tabs>
          <w:tab w:val="clear" w:pos="1440"/>
          <w:tab w:val="num" w:pos="1080"/>
        </w:tabs>
        <w:ind w:hanging="900"/>
        <w:rPr>
          <w:u w:val="single"/>
        </w:rPr>
      </w:pPr>
      <w:r w:rsidRPr="004748F1">
        <w:rPr>
          <w:u w:val="single"/>
        </w:rPr>
        <w:t>Justification for Sensitive Questions</w:t>
      </w:r>
    </w:p>
    <w:p w:rsidR="008962FB" w:rsidP="004748F1" w:rsidRDefault="008962FB" w14:paraId="7C482516" w14:textId="77777777">
      <w:pPr>
        <w:ind w:left="1080" w:hanging="540"/>
      </w:pPr>
    </w:p>
    <w:p w:rsidR="006F2B51" w:rsidP="009C69C5" w:rsidRDefault="00886D8A" w14:paraId="76C3BA0B" w14:textId="77777777">
      <w:pPr>
        <w:ind w:left="1080"/>
      </w:pPr>
      <w:r>
        <w:t>Record keepers</w:t>
      </w:r>
      <w:r w:rsidR="008962FB">
        <w:t xml:space="preserve"> </w:t>
      </w:r>
      <w:r w:rsidR="006F2B51">
        <w:t xml:space="preserve">are not required to </w:t>
      </w:r>
      <w:r w:rsidR="008962FB">
        <w:t xml:space="preserve">maintain </w:t>
      </w:r>
      <w:r w:rsidR="006F2B51">
        <w:t>records of a sensitive nature.</w:t>
      </w:r>
    </w:p>
    <w:p w:rsidR="006F2B51" w:rsidP="004748F1" w:rsidRDefault="006F2B51" w14:paraId="4DC53E58" w14:textId="77777777">
      <w:pPr>
        <w:ind w:hanging="540"/>
      </w:pPr>
    </w:p>
    <w:p w:rsidRPr="004748F1" w:rsidR="008962FB" w:rsidP="009C69C5" w:rsidRDefault="008962FB" w14:paraId="22F583AC" w14:textId="77777777">
      <w:pPr>
        <w:pStyle w:val="ListParagraph"/>
        <w:numPr>
          <w:ilvl w:val="1"/>
          <w:numId w:val="1"/>
        </w:numPr>
        <w:tabs>
          <w:tab w:val="clear" w:pos="1440"/>
          <w:tab w:val="num" w:pos="1080"/>
        </w:tabs>
        <w:ind w:left="1080" w:hanging="630"/>
        <w:rPr>
          <w:u w:val="single"/>
        </w:rPr>
      </w:pPr>
      <w:r w:rsidRPr="004748F1">
        <w:rPr>
          <w:u w:val="single"/>
        </w:rPr>
        <w:t>Estimate Respondents Burden</w:t>
      </w:r>
    </w:p>
    <w:p w:rsidRPr="008962FB" w:rsidR="00BC4C9B" w:rsidP="004748F1" w:rsidRDefault="00BC4C9B" w14:paraId="3FC91ED2" w14:textId="77777777">
      <w:pPr>
        <w:ind w:left="1080" w:hanging="540"/>
        <w:rPr>
          <w:u w:val="single"/>
        </w:rPr>
      </w:pPr>
    </w:p>
    <w:p w:rsidR="00361DD5" w:rsidP="00B96C83" w:rsidRDefault="00385114" w14:paraId="02A501CD" w14:textId="7E0073B6">
      <w:pPr>
        <w:ind w:left="1080"/>
      </w:pPr>
      <w:r>
        <w:t xml:space="preserve">ATF estimates </w:t>
      </w:r>
      <w:r w:rsidR="004C0FC1">
        <w:t xml:space="preserve">there are </w:t>
      </w:r>
      <w:r w:rsidR="002767E7">
        <w:t xml:space="preserve">a total </w:t>
      </w:r>
      <w:r w:rsidR="008C28DB">
        <w:t xml:space="preserve">of </w:t>
      </w:r>
      <w:r w:rsidR="004C0FC1">
        <w:t>3</w:t>
      </w:r>
      <w:r w:rsidR="00A72AC1">
        <w:t>76</w:t>
      </w:r>
      <w:r w:rsidR="004C0FC1">
        <w:t xml:space="preserve"> </w:t>
      </w:r>
      <w:r w:rsidR="005B50BF">
        <w:t>armor-piercing</w:t>
      </w:r>
      <w:r w:rsidR="004C0FC1">
        <w:t xml:space="preserve"> manufacturers</w:t>
      </w:r>
      <w:r w:rsidR="00E42125">
        <w:t>.</w:t>
      </w:r>
      <w:r w:rsidR="002767E7">
        <w:t xml:space="preserve"> </w:t>
      </w:r>
      <w:r w:rsidR="00E42125">
        <w:t>H</w:t>
      </w:r>
      <w:r w:rsidR="002767E7">
        <w:t xml:space="preserve">owever, </w:t>
      </w:r>
      <w:r w:rsidR="00E42125">
        <w:t xml:space="preserve">approximately </w:t>
      </w:r>
      <w:r w:rsidR="002767E7">
        <w:t>188</w:t>
      </w:r>
      <w:r w:rsidR="008046A7">
        <w:t xml:space="preserve"> of them</w:t>
      </w:r>
      <w:r w:rsidR="00B96C83">
        <w:t xml:space="preserve"> </w:t>
      </w:r>
      <w:r w:rsidR="004C0FC1">
        <w:t>may respond to this collection</w:t>
      </w:r>
      <w:r w:rsidR="0036577B">
        <w:t>.</w:t>
      </w:r>
      <w:r w:rsidR="004C0FC1">
        <w:t xml:space="preserve"> The</w:t>
      </w:r>
      <w:r w:rsidR="002767E7">
        <w:t>refore, the</w:t>
      </w:r>
      <w:r w:rsidR="004C0FC1">
        <w:t xml:space="preserve"> total responses </w:t>
      </w:r>
      <w:r w:rsidR="008046A7">
        <w:t>are also</w:t>
      </w:r>
      <w:r w:rsidR="004C0FC1">
        <w:t xml:space="preserve"> </w:t>
      </w:r>
      <w:r w:rsidRPr="00385114" w:rsidR="002071FE">
        <w:rPr>
          <w:color w:val="000000" w:themeColor="text1"/>
        </w:rPr>
        <w:t>188</w:t>
      </w:r>
      <w:r w:rsidR="009011C4">
        <w:t>. It will take approximately</w:t>
      </w:r>
      <w:r w:rsidR="004C0FC1">
        <w:t xml:space="preserve"> two minutes (.033 hours)</w:t>
      </w:r>
      <w:r w:rsidR="009011C4">
        <w:t xml:space="preserve"> to provide each response</w:t>
      </w:r>
      <w:r w:rsidR="00886D8A">
        <w:t xml:space="preserve">. </w:t>
      </w:r>
      <w:r w:rsidR="008046A7">
        <w:t>Consequently</w:t>
      </w:r>
      <w:r w:rsidR="009011C4">
        <w:t>, the</w:t>
      </w:r>
      <w:r w:rsidR="004C0FC1">
        <w:t xml:space="preserve"> estimated total bur</w:t>
      </w:r>
      <w:r w:rsidR="00BC4C9B">
        <w:t xml:space="preserve">den for this collection is </w:t>
      </w:r>
      <w:r w:rsidR="002071FE">
        <w:t>6.2</w:t>
      </w:r>
      <w:r w:rsidR="009011C4">
        <w:t xml:space="preserve"> (6)</w:t>
      </w:r>
      <w:r w:rsidR="00BC4C9B">
        <w:t xml:space="preserve"> hours</w:t>
      </w:r>
      <w:r w:rsidR="00BB535F">
        <w:t>, which is equal to</w:t>
      </w:r>
      <w:r w:rsidR="00BC4C9B">
        <w:t xml:space="preserve"> </w:t>
      </w:r>
      <w:r w:rsidR="002071FE">
        <w:t>188</w:t>
      </w:r>
      <w:r w:rsidR="00BB535F">
        <w:t xml:space="preserve"> ( # of respondents) *</w:t>
      </w:r>
      <w:r w:rsidR="00BC4C9B">
        <w:t xml:space="preserve"> .033</w:t>
      </w:r>
      <w:r w:rsidR="00BB535F">
        <w:t xml:space="preserve"> (two minutes or the total time taken to complete each response.)</w:t>
      </w:r>
      <w:r w:rsidR="00BC4C9B">
        <w:t>.</w:t>
      </w:r>
    </w:p>
    <w:p w:rsidR="00361DD5" w:rsidP="004748F1" w:rsidRDefault="00361DD5" w14:paraId="0D49C4CE" w14:textId="77777777">
      <w:pPr>
        <w:ind w:left="1080" w:hanging="540"/>
      </w:pPr>
    </w:p>
    <w:p w:rsidRPr="004748F1" w:rsidR="008962FB" w:rsidP="009C69C5" w:rsidRDefault="008962FB" w14:paraId="620FC171" w14:textId="77777777">
      <w:pPr>
        <w:pStyle w:val="ListParagraph"/>
        <w:numPr>
          <w:ilvl w:val="1"/>
          <w:numId w:val="1"/>
        </w:numPr>
        <w:tabs>
          <w:tab w:val="clear" w:pos="1440"/>
          <w:tab w:val="num" w:pos="1170"/>
        </w:tabs>
        <w:ind w:hanging="990"/>
        <w:rPr>
          <w:u w:val="single"/>
        </w:rPr>
      </w:pPr>
      <w:r w:rsidRPr="004748F1">
        <w:rPr>
          <w:u w:val="single"/>
        </w:rPr>
        <w:t>Estimate of Cost Burden</w:t>
      </w:r>
    </w:p>
    <w:p w:rsidR="008962FB" w:rsidP="004748F1" w:rsidRDefault="008962FB" w14:paraId="117CE525" w14:textId="77777777">
      <w:pPr>
        <w:ind w:left="1080" w:hanging="540"/>
      </w:pPr>
    </w:p>
    <w:p w:rsidR="008E18B6" w:rsidP="009C69C5" w:rsidRDefault="006F2B51" w14:paraId="7F6F6ECA" w14:textId="5C6E077A">
      <w:pPr>
        <w:ind w:left="1170"/>
      </w:pPr>
      <w:r>
        <w:lastRenderedPageBreak/>
        <w:t xml:space="preserve">There is no </w:t>
      </w:r>
      <w:r w:rsidR="008E18B6">
        <w:t xml:space="preserve">cost </w:t>
      </w:r>
      <w:r w:rsidR="009011C4">
        <w:t xml:space="preserve">associated with this </w:t>
      </w:r>
      <w:r w:rsidR="008046A7">
        <w:t>collection since</w:t>
      </w:r>
      <w:r w:rsidR="009011C4">
        <w:t xml:space="preserve"> </w:t>
      </w:r>
      <w:r w:rsidR="008E18B6">
        <w:t>the respondent records the information on the</w:t>
      </w:r>
      <w:r w:rsidR="009011C4">
        <w:t>ir</w:t>
      </w:r>
      <w:r w:rsidR="008E18B6">
        <w:t xml:space="preserve"> premises. </w:t>
      </w:r>
    </w:p>
    <w:p w:rsidR="008E18B6" w:rsidP="004748F1" w:rsidRDefault="008E18B6" w14:paraId="70FA3DFB" w14:textId="77777777">
      <w:pPr>
        <w:ind w:left="1080" w:hanging="540"/>
      </w:pPr>
    </w:p>
    <w:p w:rsidR="008962FB" w:rsidP="009C69C5" w:rsidRDefault="008962FB" w14:paraId="4B28B71A" w14:textId="77777777">
      <w:pPr>
        <w:pStyle w:val="ListParagraph"/>
        <w:numPr>
          <w:ilvl w:val="1"/>
          <w:numId w:val="1"/>
        </w:numPr>
        <w:ind w:left="1170" w:hanging="630"/>
      </w:pPr>
      <w:r w:rsidRPr="004748F1">
        <w:rPr>
          <w:u w:val="single"/>
        </w:rPr>
        <w:t>Costs to Federal Government</w:t>
      </w:r>
    </w:p>
    <w:p w:rsidR="008962FB" w:rsidP="004748F1" w:rsidRDefault="008962FB" w14:paraId="74053017" w14:textId="77777777">
      <w:pPr>
        <w:ind w:left="1080" w:hanging="540"/>
      </w:pPr>
    </w:p>
    <w:p w:rsidR="006F2B51" w:rsidP="009C69C5" w:rsidRDefault="006F2B51" w14:paraId="0612E5C9" w14:textId="77777777">
      <w:pPr>
        <w:ind w:left="1080" w:firstLine="90"/>
      </w:pPr>
      <w:r>
        <w:t>There is no cost to the Federal Government.</w:t>
      </w:r>
    </w:p>
    <w:p w:rsidR="006F2B51" w:rsidP="004748F1" w:rsidRDefault="006F2B51" w14:paraId="1E05F436" w14:textId="77777777">
      <w:pPr>
        <w:ind w:hanging="540"/>
      </w:pPr>
    </w:p>
    <w:p w:rsidRPr="004748F1" w:rsidR="008962FB" w:rsidP="009C69C5" w:rsidRDefault="008962FB" w14:paraId="65768B30" w14:textId="77777777">
      <w:pPr>
        <w:pStyle w:val="ListParagraph"/>
        <w:numPr>
          <w:ilvl w:val="1"/>
          <w:numId w:val="1"/>
        </w:numPr>
        <w:tabs>
          <w:tab w:val="clear" w:pos="1440"/>
          <w:tab w:val="num" w:pos="1170"/>
        </w:tabs>
        <w:ind w:hanging="900"/>
        <w:rPr>
          <w:u w:val="single"/>
        </w:rPr>
      </w:pPr>
      <w:r w:rsidRPr="004748F1">
        <w:rPr>
          <w:u w:val="single"/>
        </w:rPr>
        <w:t>Reason for Change in Burden</w:t>
      </w:r>
    </w:p>
    <w:p w:rsidR="00BC4C9B" w:rsidP="004748F1" w:rsidRDefault="00BC4C9B" w14:paraId="0FC6ACE6" w14:textId="77777777">
      <w:pPr>
        <w:ind w:left="1080" w:hanging="540"/>
      </w:pPr>
    </w:p>
    <w:p w:rsidR="005B50BF" w:rsidP="009C69C5" w:rsidRDefault="008046A7" w14:paraId="53E39BB7" w14:textId="2467AA15">
      <w:pPr>
        <w:ind w:left="1170"/>
      </w:pPr>
      <w:r>
        <w:t>There are no changes to the public burden for this collection</w:t>
      </w:r>
      <w:r w:rsidR="005B50BF">
        <w:t xml:space="preserve">. </w:t>
      </w:r>
    </w:p>
    <w:p w:rsidR="008962FB" w:rsidP="009C69C5" w:rsidRDefault="008962FB" w14:paraId="5DD9A31B" w14:textId="77777777">
      <w:pPr>
        <w:ind w:left="1170"/>
      </w:pPr>
    </w:p>
    <w:p w:rsidRPr="004748F1" w:rsidR="008962FB" w:rsidP="009C69C5" w:rsidRDefault="008962FB" w14:paraId="015324AB" w14:textId="77777777">
      <w:pPr>
        <w:pStyle w:val="ListParagraph"/>
        <w:numPr>
          <w:ilvl w:val="1"/>
          <w:numId w:val="1"/>
        </w:numPr>
        <w:tabs>
          <w:tab w:val="clear" w:pos="1440"/>
        </w:tabs>
        <w:ind w:left="1170" w:hanging="630"/>
        <w:rPr>
          <w:u w:val="single"/>
        </w:rPr>
      </w:pPr>
      <w:r w:rsidRPr="004748F1">
        <w:rPr>
          <w:u w:val="single"/>
        </w:rPr>
        <w:t>Anticipated Publication Plan and Schedule</w:t>
      </w:r>
    </w:p>
    <w:p w:rsidR="008962FB" w:rsidP="004748F1" w:rsidRDefault="008962FB" w14:paraId="6DB27023" w14:textId="77777777">
      <w:pPr>
        <w:ind w:left="1080" w:hanging="540"/>
      </w:pPr>
    </w:p>
    <w:p w:rsidR="006F2B51" w:rsidP="009C69C5" w:rsidRDefault="006F2B51" w14:paraId="7184DB82" w14:textId="77777777">
      <w:pPr>
        <w:ind w:left="1080" w:firstLine="90"/>
      </w:pPr>
      <w:r>
        <w:t xml:space="preserve">The results of this </w:t>
      </w:r>
      <w:r w:rsidR="00A41D1D">
        <w:t xml:space="preserve">information </w:t>
      </w:r>
      <w:r>
        <w:t>collection will not be published.</w:t>
      </w:r>
    </w:p>
    <w:p w:rsidR="006F2B51" w:rsidP="004748F1" w:rsidRDefault="006F2B51" w14:paraId="10E60C15" w14:textId="77777777">
      <w:pPr>
        <w:ind w:hanging="540"/>
      </w:pPr>
    </w:p>
    <w:p w:rsidRPr="004748F1" w:rsidR="008962FB" w:rsidP="009C69C5" w:rsidRDefault="008962FB" w14:paraId="646A2CDC" w14:textId="77777777">
      <w:pPr>
        <w:pStyle w:val="ListParagraph"/>
        <w:numPr>
          <w:ilvl w:val="1"/>
          <w:numId w:val="1"/>
        </w:numPr>
        <w:tabs>
          <w:tab w:val="clear" w:pos="1440"/>
          <w:tab w:val="num" w:pos="1170"/>
        </w:tabs>
        <w:ind w:hanging="900"/>
        <w:rPr>
          <w:u w:val="single"/>
        </w:rPr>
      </w:pPr>
      <w:r w:rsidRPr="004748F1">
        <w:rPr>
          <w:u w:val="single"/>
        </w:rPr>
        <w:t>Display of Expiration Date</w:t>
      </w:r>
    </w:p>
    <w:p w:rsidR="008962FB" w:rsidP="004748F1" w:rsidRDefault="008962FB" w14:paraId="5847ECB5" w14:textId="77777777">
      <w:pPr>
        <w:ind w:left="1080" w:hanging="540"/>
      </w:pPr>
    </w:p>
    <w:p w:rsidR="006F2B51" w:rsidP="009C69C5" w:rsidRDefault="006F2B51" w14:paraId="5A50AE19" w14:textId="3F481CF6">
      <w:pPr>
        <w:ind w:left="1170"/>
      </w:pPr>
      <w:r>
        <w:t xml:space="preserve">ATF </w:t>
      </w:r>
      <w:r w:rsidR="00C57E09">
        <w:t xml:space="preserve">is not requesting </w:t>
      </w:r>
      <w:r>
        <w:t>approval to</w:t>
      </w:r>
      <w:r w:rsidR="008046A7">
        <w:t xml:space="preserve"> omit </w:t>
      </w:r>
      <w:r>
        <w:t xml:space="preserve">the </w:t>
      </w:r>
      <w:r w:rsidR="008046A7">
        <w:t xml:space="preserve">Office of Management and Budget </w:t>
      </w:r>
      <w:r>
        <w:t>expiration date for this collection.</w:t>
      </w:r>
    </w:p>
    <w:p w:rsidR="006F2B51" w:rsidP="004748F1" w:rsidRDefault="006F2B51" w14:paraId="6433E6D2" w14:textId="77777777">
      <w:pPr>
        <w:ind w:hanging="540"/>
      </w:pPr>
    </w:p>
    <w:p w:rsidRPr="004748F1" w:rsidR="008962FB" w:rsidP="009C69C5" w:rsidRDefault="008962FB" w14:paraId="362AFC27" w14:textId="77777777">
      <w:pPr>
        <w:pStyle w:val="ListParagraph"/>
        <w:numPr>
          <w:ilvl w:val="1"/>
          <w:numId w:val="1"/>
        </w:numPr>
        <w:tabs>
          <w:tab w:val="clear" w:pos="1440"/>
          <w:tab w:val="num" w:pos="1170"/>
        </w:tabs>
        <w:ind w:hanging="900"/>
        <w:rPr>
          <w:u w:val="single"/>
        </w:rPr>
      </w:pPr>
      <w:r w:rsidRPr="004748F1">
        <w:rPr>
          <w:u w:val="single"/>
        </w:rPr>
        <w:t>Exception to the Certification Statement</w:t>
      </w:r>
    </w:p>
    <w:p w:rsidR="008962FB" w:rsidP="004748F1" w:rsidRDefault="008962FB" w14:paraId="2A18334B" w14:textId="77777777">
      <w:pPr>
        <w:ind w:left="1080" w:hanging="540"/>
      </w:pPr>
    </w:p>
    <w:p w:rsidR="006F2B51" w:rsidP="009C69C5" w:rsidRDefault="009C69C5" w14:paraId="7D7496E3" w14:textId="77777777">
      <w:pPr>
        <w:ind w:left="1080"/>
      </w:pPr>
      <w:r>
        <w:t xml:space="preserve">  </w:t>
      </w:r>
      <w:r w:rsidR="008962FB">
        <w:t>T</w:t>
      </w:r>
      <w:r w:rsidR="006F2B51">
        <w:t>here are no exceptions to the certification statement.</w:t>
      </w:r>
    </w:p>
    <w:p w:rsidR="006F2B51" w:rsidRDefault="006F2B51" w14:paraId="7CCD9013" w14:textId="77777777"/>
    <w:p w:rsidR="008962FB" w:rsidP="004748F1" w:rsidRDefault="008046A7" w14:paraId="751D34CA" w14:textId="535DF15E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</w:pPr>
      <w:r>
        <w:t xml:space="preserve">THIS COLLECTION OF INFORMATION EMPLOYS NO </w:t>
      </w:r>
      <w:r w:rsidR="008962FB">
        <w:t>STATISTICAL METHODS</w:t>
      </w:r>
      <w:r>
        <w:t>.</w:t>
      </w:r>
    </w:p>
    <w:p w:rsidR="008962FB" w:rsidP="008962FB" w:rsidRDefault="008962FB" w14:paraId="7C7F2E61" w14:textId="77777777">
      <w:pPr>
        <w:ind w:left="720"/>
      </w:pPr>
    </w:p>
    <w:p w:rsidR="006F2B51" w:rsidP="009C69C5" w:rsidRDefault="006F2B51" w14:paraId="7DE74A98" w14:textId="77777777">
      <w:pPr>
        <w:ind w:left="1170" w:hanging="630"/>
      </w:pPr>
    </w:p>
    <w:sectPr w:rsidR="006F2B51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F644C" w14:textId="77777777" w:rsidR="003F2966" w:rsidRDefault="003F2966" w:rsidP="00346B12">
      <w:r>
        <w:separator/>
      </w:r>
    </w:p>
  </w:endnote>
  <w:endnote w:type="continuationSeparator" w:id="0">
    <w:p w14:paraId="32E7E3F3" w14:textId="77777777" w:rsidR="003F2966" w:rsidRDefault="003F2966" w:rsidP="0034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23948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D84308" w14:textId="77777777" w:rsidR="00346B12" w:rsidRDefault="00346B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6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906E03" w14:textId="77777777" w:rsidR="00346B12" w:rsidRDefault="00346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55EB6" w14:textId="77777777" w:rsidR="003F2966" w:rsidRDefault="003F2966" w:rsidP="00346B12">
      <w:r>
        <w:separator/>
      </w:r>
    </w:p>
  </w:footnote>
  <w:footnote w:type="continuationSeparator" w:id="0">
    <w:p w14:paraId="14602F00" w14:textId="77777777" w:rsidR="003F2966" w:rsidRDefault="003F2966" w:rsidP="00346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7788F"/>
    <w:multiLevelType w:val="hybridMultilevel"/>
    <w:tmpl w:val="95D4945E"/>
    <w:lvl w:ilvl="0" w:tplc="0409000F">
      <w:start w:val="1"/>
      <w:numFmt w:val="decimal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 w15:restartNumberingAfterBreak="0">
    <w:nsid w:val="364F342C"/>
    <w:multiLevelType w:val="hybridMultilevel"/>
    <w:tmpl w:val="5D1C87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312438"/>
    <w:multiLevelType w:val="hybridMultilevel"/>
    <w:tmpl w:val="6FDCB60C"/>
    <w:lvl w:ilvl="0" w:tplc="0409000F">
      <w:start w:val="1"/>
      <w:numFmt w:val="decimal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 w15:restartNumberingAfterBreak="0">
    <w:nsid w:val="58807B7B"/>
    <w:multiLevelType w:val="hybridMultilevel"/>
    <w:tmpl w:val="1736F7B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4C3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7B1B25"/>
    <w:multiLevelType w:val="hybridMultilevel"/>
    <w:tmpl w:val="2944A3AA"/>
    <w:lvl w:ilvl="0" w:tplc="0409000F">
      <w:start w:val="1"/>
      <w:numFmt w:val="decimal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72"/>
    <w:rsid w:val="000A291A"/>
    <w:rsid w:val="000B7A32"/>
    <w:rsid w:val="000C445F"/>
    <w:rsid w:val="001106A8"/>
    <w:rsid w:val="001B0835"/>
    <w:rsid w:val="001B65DF"/>
    <w:rsid w:val="001C6519"/>
    <w:rsid w:val="002071FE"/>
    <w:rsid w:val="00276040"/>
    <w:rsid w:val="002767E7"/>
    <w:rsid w:val="002912E1"/>
    <w:rsid w:val="002D7C7A"/>
    <w:rsid w:val="00346B12"/>
    <w:rsid w:val="00361DD5"/>
    <w:rsid w:val="00364E29"/>
    <w:rsid w:val="0036577B"/>
    <w:rsid w:val="00385114"/>
    <w:rsid w:val="00393094"/>
    <w:rsid w:val="003F2966"/>
    <w:rsid w:val="004011F8"/>
    <w:rsid w:val="004748F1"/>
    <w:rsid w:val="004A06C0"/>
    <w:rsid w:val="004C00AB"/>
    <w:rsid w:val="004C0FC1"/>
    <w:rsid w:val="004E2B84"/>
    <w:rsid w:val="00513D73"/>
    <w:rsid w:val="00531D9D"/>
    <w:rsid w:val="00552218"/>
    <w:rsid w:val="005568EB"/>
    <w:rsid w:val="00560AF0"/>
    <w:rsid w:val="005A2977"/>
    <w:rsid w:val="005B50BF"/>
    <w:rsid w:val="0062198D"/>
    <w:rsid w:val="006F2B51"/>
    <w:rsid w:val="00740CF1"/>
    <w:rsid w:val="007A21D6"/>
    <w:rsid w:val="007A587C"/>
    <w:rsid w:val="007A72B5"/>
    <w:rsid w:val="007B1972"/>
    <w:rsid w:val="008046A7"/>
    <w:rsid w:val="00842A5F"/>
    <w:rsid w:val="008467CC"/>
    <w:rsid w:val="00886D8A"/>
    <w:rsid w:val="008962FB"/>
    <w:rsid w:val="008966DE"/>
    <w:rsid w:val="008C28DB"/>
    <w:rsid w:val="008C2C5A"/>
    <w:rsid w:val="008E18B6"/>
    <w:rsid w:val="008E297F"/>
    <w:rsid w:val="008F2756"/>
    <w:rsid w:val="009011C4"/>
    <w:rsid w:val="00901D23"/>
    <w:rsid w:val="00917A68"/>
    <w:rsid w:val="0097317E"/>
    <w:rsid w:val="009C69C5"/>
    <w:rsid w:val="009D7014"/>
    <w:rsid w:val="00A115CC"/>
    <w:rsid w:val="00A22707"/>
    <w:rsid w:val="00A41D1D"/>
    <w:rsid w:val="00A72AC1"/>
    <w:rsid w:val="00AA145B"/>
    <w:rsid w:val="00B505BF"/>
    <w:rsid w:val="00B767AE"/>
    <w:rsid w:val="00B76AD8"/>
    <w:rsid w:val="00B85B6D"/>
    <w:rsid w:val="00B96C83"/>
    <w:rsid w:val="00BB535F"/>
    <w:rsid w:val="00BC4C9B"/>
    <w:rsid w:val="00BD4049"/>
    <w:rsid w:val="00C57E09"/>
    <w:rsid w:val="00C96E46"/>
    <w:rsid w:val="00CA760A"/>
    <w:rsid w:val="00D92499"/>
    <w:rsid w:val="00DA1889"/>
    <w:rsid w:val="00E04644"/>
    <w:rsid w:val="00E32AF2"/>
    <w:rsid w:val="00E42125"/>
    <w:rsid w:val="00EA4202"/>
    <w:rsid w:val="00EA54AF"/>
    <w:rsid w:val="00F06E72"/>
    <w:rsid w:val="00F17F22"/>
    <w:rsid w:val="00F830F1"/>
    <w:rsid w:val="00FA5E6D"/>
    <w:rsid w:val="00FA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AD830"/>
  <w15:docId w15:val="{2B9C7E9B-8FD8-494F-87D1-75C2D6D5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C44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C44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445F"/>
    <w:pPr>
      <w:ind w:left="720"/>
    </w:pPr>
  </w:style>
  <w:style w:type="paragraph" w:styleId="Revision">
    <w:name w:val="Revision"/>
    <w:hidden/>
    <w:uiPriority w:val="99"/>
    <w:semiHidden/>
    <w:rsid w:val="00361DD5"/>
    <w:rPr>
      <w:sz w:val="24"/>
      <w:szCs w:val="24"/>
    </w:rPr>
  </w:style>
  <w:style w:type="paragraph" w:styleId="Header">
    <w:name w:val="header"/>
    <w:basedOn w:val="Normal"/>
    <w:link w:val="HeaderChar"/>
    <w:rsid w:val="00346B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46B1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46B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B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JUSTICE</vt:lpstr>
    </vt:vector>
  </TitlesOfParts>
  <Company>ATF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JUSTICE</dc:title>
  <dc:subject/>
  <dc:creator>ATF</dc:creator>
  <cp:keywords/>
  <dc:description/>
  <cp:lastModifiedBy>Bolton, Tamelia A. (Contractor)</cp:lastModifiedBy>
  <cp:revision>3</cp:revision>
  <cp:lastPrinted>2015-11-17T12:54:00Z</cp:lastPrinted>
  <dcterms:created xsi:type="dcterms:W3CDTF">2022-07-13T19:27:00Z</dcterms:created>
  <dcterms:modified xsi:type="dcterms:W3CDTF">2022-07-13T19:28:00Z</dcterms:modified>
</cp:coreProperties>
</file>