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777CC" w:rsidR="00594FC0" w:rsidRDefault="00594FC0" w14:paraId="14B614CF" w14:textId="77777777">
      <w:pPr>
        <w:jc w:val="center"/>
      </w:pPr>
      <w:r w:rsidRPr="00C777CC">
        <w:t>Department of Justice</w:t>
      </w:r>
    </w:p>
    <w:p w:rsidRPr="00C777CC" w:rsidR="00594FC0" w:rsidRDefault="00594FC0" w14:paraId="28490179" w14:textId="77777777">
      <w:pPr>
        <w:jc w:val="center"/>
      </w:pPr>
      <w:r w:rsidRPr="00C777CC">
        <w:t>Bureau of Alcohol, Tobacco, Firearms and Explosives</w:t>
      </w:r>
    </w:p>
    <w:p w:rsidRPr="00C777CC" w:rsidR="00594FC0" w:rsidRDefault="00594FC0" w14:paraId="13CA423F" w14:textId="77777777">
      <w:pPr>
        <w:jc w:val="center"/>
      </w:pPr>
      <w:r w:rsidRPr="00C777CC">
        <w:t>Information Collection Request</w:t>
      </w:r>
    </w:p>
    <w:p w:rsidRPr="00C777CC" w:rsidR="001D210C" w:rsidP="001D210C" w:rsidRDefault="001D210C" w14:paraId="56AC5FF4" w14:textId="48AC0D13">
      <w:pPr>
        <w:jc w:val="center"/>
      </w:pPr>
      <w:bookmarkStart w:name="_Hlk102024598" w:id="0"/>
      <w:r w:rsidRPr="00C777CC">
        <w:t>O</w:t>
      </w:r>
      <w:r>
        <w:t>M</w:t>
      </w:r>
      <w:r w:rsidRPr="00C777CC">
        <w:t>B 1140-0077</w:t>
      </w:r>
    </w:p>
    <w:p w:rsidR="00594FC0" w:rsidRDefault="00DD785B" w14:paraId="06A3A72E" w14:textId="2C75817D">
      <w:pPr>
        <w:jc w:val="center"/>
        <w:rPr>
          <w:color w:val="000000" w:themeColor="text1"/>
        </w:rPr>
      </w:pPr>
      <w:r w:rsidRPr="00DD785B">
        <w:rPr>
          <w:color w:val="000000" w:themeColor="text1"/>
        </w:rPr>
        <w:t xml:space="preserve">Report of Stolen or Lost Intrastate Purchase </w:t>
      </w:r>
      <w:r w:rsidR="00D327F9">
        <w:rPr>
          <w:color w:val="000000" w:themeColor="text1"/>
        </w:rPr>
        <w:t xml:space="preserve">of </w:t>
      </w:r>
      <w:r w:rsidRPr="00DD785B">
        <w:rPr>
          <w:color w:val="000000" w:themeColor="text1"/>
        </w:rPr>
        <w:t>Explosive</w:t>
      </w:r>
      <w:r w:rsidR="009E21BE">
        <w:rPr>
          <w:color w:val="000000" w:themeColor="text1"/>
        </w:rPr>
        <w:t>s</w:t>
      </w:r>
      <w:r w:rsidRPr="00DD785B">
        <w:rPr>
          <w:color w:val="000000" w:themeColor="text1"/>
        </w:rPr>
        <w:t xml:space="preserve"> Coupon</w:t>
      </w:r>
      <w:r w:rsidR="009E21BE">
        <w:rPr>
          <w:color w:val="000000" w:themeColor="text1"/>
        </w:rPr>
        <w:t xml:space="preserve"> (IPEC)</w:t>
      </w:r>
    </w:p>
    <w:bookmarkEnd w:id="0"/>
    <w:p w:rsidRPr="00DD785B" w:rsidR="00DD785B" w:rsidRDefault="00DD785B" w14:paraId="1780C101" w14:textId="77777777">
      <w:pPr>
        <w:jc w:val="center"/>
        <w:rPr>
          <w:color w:val="000000" w:themeColor="text1"/>
        </w:rPr>
      </w:pPr>
    </w:p>
    <w:p w:rsidRPr="00C777CC" w:rsidR="00594FC0" w:rsidP="00222690" w:rsidRDefault="00594FC0" w14:paraId="4F514F06" w14:textId="77777777">
      <w:pPr>
        <w:pStyle w:val="Heading1"/>
        <w:numPr>
          <w:ilvl w:val="0"/>
          <w:numId w:val="9"/>
        </w:numPr>
        <w:ind w:left="360"/>
        <w:rPr>
          <w:rFonts w:ascii="Times New Roman" w:hAnsi="Times New Roman" w:cs="Times New Roman"/>
        </w:rPr>
      </w:pPr>
      <w:r w:rsidRPr="00C777CC">
        <w:rPr>
          <w:rFonts w:ascii="Times New Roman" w:hAnsi="Times New Roman" w:cs="Times New Roman"/>
        </w:rPr>
        <w:t>Justification</w:t>
      </w:r>
    </w:p>
    <w:p w:rsidRPr="00C777CC" w:rsidR="00594FC0" w:rsidRDefault="00594FC0" w14:paraId="7D5185AC" w14:textId="77777777">
      <w:pPr>
        <w:rPr>
          <w:b/>
          <w:bCs/>
        </w:rPr>
      </w:pPr>
    </w:p>
    <w:p w:rsidRPr="00C777CC" w:rsidR="00FD31BB" w:rsidP="00222690" w:rsidRDefault="00594FC0" w14:paraId="3B821849" w14:textId="77777777">
      <w:pPr>
        <w:ind w:left="720" w:hanging="360"/>
      </w:pPr>
      <w:r w:rsidRPr="00C777CC">
        <w:t>1.</w:t>
      </w:r>
      <w:r w:rsidRPr="00C777CC">
        <w:tab/>
      </w:r>
      <w:r w:rsidRPr="00C777CC" w:rsidR="00FD31BB">
        <w:rPr>
          <w:u w:val="single"/>
        </w:rPr>
        <w:t>Necessity of Information Collection</w:t>
      </w:r>
    </w:p>
    <w:p w:rsidRPr="00C777CC" w:rsidR="00FD31BB" w:rsidRDefault="00FD31BB" w14:paraId="08EA8BA7" w14:textId="77777777">
      <w:pPr>
        <w:ind w:left="720" w:hanging="720"/>
      </w:pPr>
    </w:p>
    <w:p w:rsidRPr="00C777CC" w:rsidR="00594FC0" w:rsidP="00FD31BB" w:rsidRDefault="00FB789C" w14:paraId="28FC450F" w14:textId="45553E92">
      <w:pPr>
        <w:ind w:left="720"/>
      </w:pPr>
      <w:r>
        <w:t>The Bureau of Alcohol, Tobacco, F</w:t>
      </w:r>
      <w:r w:rsidR="009F79DA">
        <w:t>irearms, and Explosives (</w:t>
      </w:r>
      <w:r w:rsidRPr="00C777CC" w:rsidR="00594FC0">
        <w:t>ATF</w:t>
      </w:r>
      <w:r w:rsidR="009F79DA">
        <w:t>)</w:t>
      </w:r>
      <w:r w:rsidRPr="00C777CC" w:rsidR="00594FC0">
        <w:t xml:space="preserve"> is responsib</w:t>
      </w:r>
      <w:r w:rsidR="00D46262">
        <w:t xml:space="preserve">le </w:t>
      </w:r>
      <w:r w:rsidRPr="00C777CC" w:rsidR="00594FC0">
        <w:t>for enforcing Title XI of the Organized Crime Control Act (the Act) of 1970 and</w:t>
      </w:r>
      <w:r w:rsidR="00D46262">
        <w:t xml:space="preserve"> </w:t>
      </w:r>
      <w:r w:rsidRPr="00C777CC" w:rsidR="00594FC0">
        <w:t xml:space="preserve">implementing regulations contained at 27 </w:t>
      </w:r>
      <w:r w:rsidR="009F79DA">
        <w:t>Code of Federal Regulations (</w:t>
      </w:r>
      <w:r w:rsidRPr="00C777CC" w:rsidR="00594FC0">
        <w:t>CFR</w:t>
      </w:r>
      <w:r w:rsidR="009F79DA">
        <w:t>)</w:t>
      </w:r>
      <w:r w:rsidRPr="00C777CC" w:rsidR="00594FC0">
        <w:t>, Part 555.  Subtitle C of Public Law N</w:t>
      </w:r>
      <w:r w:rsidR="001B0D7C">
        <w:t>umber</w:t>
      </w:r>
      <w:r w:rsidRPr="00C777CC" w:rsidR="00594FC0">
        <w:t xml:space="preserve"> 107-296, the Safe Explosives Act, ena</w:t>
      </w:r>
      <w:r w:rsidRPr="00C777CC" w:rsidR="00C45B4A">
        <w:t>cted November 25, 2003</w:t>
      </w:r>
      <w:r w:rsidR="001B0D7C">
        <w:t>,</w:t>
      </w:r>
      <w:r w:rsidRPr="00C777CC" w:rsidR="00C45B4A">
        <w:t xml:space="preserve"> </w:t>
      </w:r>
      <w:r w:rsidRPr="00C777CC" w:rsidR="00594FC0">
        <w:t>require</w:t>
      </w:r>
      <w:r w:rsidRPr="00C777CC" w:rsidR="00C45B4A">
        <w:t>s</w:t>
      </w:r>
      <w:r w:rsidRPr="00C777CC" w:rsidR="00594FC0">
        <w:t xml:space="preserve"> that persons wishing to acquire explosives from a Federal explosives licensee or permittee within their </w:t>
      </w:r>
      <w:r w:rsidR="009F79DA">
        <w:t>S</w:t>
      </w:r>
      <w:r w:rsidRPr="00C777CC" w:rsidR="009F79DA">
        <w:t xml:space="preserve">tate </w:t>
      </w:r>
      <w:r w:rsidRPr="00C777CC" w:rsidR="00594FC0">
        <w:t>of residence on no more than</w:t>
      </w:r>
      <w:r w:rsidR="008353C9">
        <w:t xml:space="preserve"> six</w:t>
      </w:r>
      <w:r w:rsidRPr="00C777CC" w:rsidR="00594FC0">
        <w:t xml:space="preserve"> </w:t>
      </w:r>
      <w:r w:rsidR="008353C9">
        <w:t>(</w:t>
      </w:r>
      <w:r w:rsidRPr="00C777CC" w:rsidR="00594FC0">
        <w:t>6</w:t>
      </w:r>
      <w:r w:rsidR="008353C9">
        <w:t>)</w:t>
      </w:r>
      <w:r w:rsidRPr="00C777CC" w:rsidR="00594FC0">
        <w:t xml:space="preserve"> occasions per year, must obtain a limited permit from ATF. ATF </w:t>
      </w:r>
      <w:r w:rsidR="00CE1926">
        <w:t xml:space="preserve">distributes </w:t>
      </w:r>
      <w:r w:rsidR="008353C9">
        <w:t>six (</w:t>
      </w:r>
      <w:r w:rsidRPr="00C777CC" w:rsidR="00594FC0">
        <w:t>6</w:t>
      </w:r>
      <w:r w:rsidR="008353C9">
        <w:t>)</w:t>
      </w:r>
      <w:r w:rsidRPr="00C777CC" w:rsidR="00594FC0">
        <w:t xml:space="preserve"> copies of </w:t>
      </w:r>
      <w:r w:rsidR="00230316">
        <w:t xml:space="preserve">the </w:t>
      </w:r>
      <w:r w:rsidRPr="00C777CC" w:rsidR="00594FC0">
        <w:t>Intrastate Purchase of Explosives Coupon (IPEC)</w:t>
      </w:r>
      <w:r w:rsidR="008353C9">
        <w:t xml:space="preserve"> </w:t>
      </w:r>
      <w:r w:rsidR="009F79DA">
        <w:t>–</w:t>
      </w:r>
      <w:r w:rsidR="008353C9">
        <w:t xml:space="preserve"> ATF</w:t>
      </w:r>
      <w:r w:rsidRPr="00C777CC" w:rsidR="008353C9">
        <w:t xml:space="preserve"> F</w:t>
      </w:r>
      <w:r w:rsidR="009F79DA">
        <w:t>orm</w:t>
      </w:r>
      <w:r w:rsidRPr="00C777CC" w:rsidR="008353C9">
        <w:t xml:space="preserve"> 5400.30,</w:t>
      </w:r>
      <w:r w:rsidR="008353C9">
        <w:t xml:space="preserve"> </w:t>
      </w:r>
      <w:r w:rsidRPr="00C777CC" w:rsidR="00594FC0">
        <w:t>to each applicant who is issued a limited permit. One coupon will be completed for each transaction in which the limited permittee receives explosive materials. It is anticipated that, on occasion, IPEC</w:t>
      </w:r>
      <w:r w:rsidR="00377A77">
        <w:t xml:space="preserve">s </w:t>
      </w:r>
      <w:r w:rsidRPr="00C777CC" w:rsidR="00594FC0">
        <w:t xml:space="preserve">will be lost or misplaced. This collection of information is being implemented in order to facilitate the replacement of </w:t>
      </w:r>
      <w:r w:rsidR="00230316">
        <w:t xml:space="preserve">an IPEC (ATF Form 5400.30), </w:t>
      </w:r>
      <w:r w:rsidRPr="00C777CC" w:rsidR="00594FC0">
        <w:t xml:space="preserve">under the provisions of 27 CFR Section </w:t>
      </w:r>
      <w:r w:rsidR="00377A77">
        <w:t xml:space="preserve">(§) </w:t>
      </w:r>
      <w:r w:rsidRPr="00C777CC" w:rsidR="00594FC0">
        <w:t>555.34. This section requires that, upon losi</w:t>
      </w:r>
      <w:r w:rsidRPr="00C777CC" w:rsidR="00C45B4A">
        <w:t xml:space="preserve">ng possession of </w:t>
      </w:r>
      <w:r w:rsidR="00D06F45">
        <w:t>an IPEC (</w:t>
      </w:r>
      <w:r w:rsidRPr="00C777CC" w:rsidR="00C45B4A">
        <w:t>ATF Form 5400.30</w:t>
      </w:r>
      <w:r w:rsidR="00D06F45">
        <w:t>)</w:t>
      </w:r>
      <w:r w:rsidRPr="00C777CC" w:rsidR="00594FC0">
        <w:t xml:space="preserve">, a person must immediately report the matter to the </w:t>
      </w:r>
      <w:r w:rsidR="00377A77">
        <w:t xml:space="preserve">ATF </w:t>
      </w:r>
      <w:r w:rsidRPr="00C777CC" w:rsidR="00594FC0">
        <w:t>Director. The report must detail the circumstances of the theft, loss, or destruction</w:t>
      </w:r>
      <w:r w:rsidR="00CE1926">
        <w:t>,</w:t>
      </w:r>
      <w:r w:rsidRPr="00C777CC" w:rsidR="00594FC0">
        <w:t xml:space="preserve"> and include all known facts, which may serve to identify the document.  </w:t>
      </w:r>
    </w:p>
    <w:p w:rsidRPr="00C777CC" w:rsidR="00594FC0" w:rsidRDefault="00594FC0" w14:paraId="70F21D8C" w14:textId="77777777">
      <w:pPr>
        <w:ind w:left="720"/>
      </w:pPr>
    </w:p>
    <w:p w:rsidRPr="00C777CC" w:rsidR="00FD31BB" w:rsidP="00222690" w:rsidRDefault="00FD31BB" w14:paraId="1364808B" w14:textId="77777777">
      <w:pPr>
        <w:numPr>
          <w:ilvl w:val="0"/>
          <w:numId w:val="11"/>
        </w:numPr>
      </w:pPr>
      <w:r w:rsidRPr="00C777CC">
        <w:rPr>
          <w:u w:val="single"/>
        </w:rPr>
        <w:t>Need and Uses</w:t>
      </w:r>
    </w:p>
    <w:p w:rsidRPr="00C777CC" w:rsidR="00FD31BB" w:rsidRDefault="00FD31BB" w14:paraId="11A41191" w14:textId="77777777">
      <w:pPr>
        <w:ind w:left="720" w:hanging="720"/>
      </w:pPr>
    </w:p>
    <w:p w:rsidRPr="00C777CC" w:rsidR="00594FC0" w:rsidP="00FD31BB" w:rsidRDefault="00AB45ED" w14:paraId="5E429C93" w14:textId="41AB2BED">
      <w:pPr>
        <w:ind w:left="720"/>
      </w:pPr>
      <w:r>
        <w:t>ATF personnel will use t</w:t>
      </w:r>
      <w:r w:rsidRPr="00C777CC" w:rsidR="00594FC0">
        <w:t>his information</w:t>
      </w:r>
      <w:r>
        <w:t xml:space="preserve"> collection </w:t>
      </w:r>
      <w:r w:rsidRPr="00C777CC" w:rsidR="00594FC0">
        <w:t xml:space="preserve">to document and investigate theft and loss of </w:t>
      </w:r>
      <w:r>
        <w:t xml:space="preserve">an </w:t>
      </w:r>
      <w:r w:rsidRPr="00C777CC" w:rsidR="00594FC0">
        <w:t>IPEC</w:t>
      </w:r>
      <w:r>
        <w:t xml:space="preserve"> (</w:t>
      </w:r>
      <w:r w:rsidRPr="00C777CC">
        <w:t>ATF Form 5400.30</w:t>
      </w:r>
      <w:r w:rsidR="00230316">
        <w:t>)</w:t>
      </w:r>
      <w:r w:rsidRPr="00C777CC" w:rsidR="00230316">
        <w:t xml:space="preserve"> and</w:t>
      </w:r>
      <w:r w:rsidRPr="00C777CC" w:rsidR="00594FC0">
        <w:t xml:space="preserve"> ensure that limited permittees receive replacement forms</w:t>
      </w:r>
      <w:r w:rsidR="00CE1926">
        <w:t xml:space="preserve"> in a timely manner</w:t>
      </w:r>
      <w:r w:rsidRPr="00C777CC" w:rsidR="00594FC0">
        <w:t>.</w:t>
      </w:r>
    </w:p>
    <w:p w:rsidRPr="00C777CC" w:rsidR="00FD31BB" w:rsidP="00FD31BB" w:rsidRDefault="00FD31BB" w14:paraId="3C7D9662" w14:textId="77777777">
      <w:pPr>
        <w:ind w:left="720"/>
      </w:pPr>
    </w:p>
    <w:p w:rsidRPr="00C777CC" w:rsidR="00FD31BB" w:rsidP="00222690" w:rsidRDefault="00FD31BB" w14:paraId="38FF056B" w14:textId="77777777">
      <w:pPr>
        <w:numPr>
          <w:ilvl w:val="0"/>
          <w:numId w:val="12"/>
        </w:numPr>
      </w:pPr>
      <w:r w:rsidRPr="00C777CC">
        <w:rPr>
          <w:u w:val="single"/>
        </w:rPr>
        <w:t>Use of Information Technology</w:t>
      </w:r>
    </w:p>
    <w:p w:rsidRPr="00C777CC" w:rsidR="00FD31BB" w:rsidRDefault="00FD31BB" w14:paraId="2A7FAF37" w14:textId="77777777">
      <w:pPr>
        <w:ind w:left="720" w:hanging="720"/>
      </w:pPr>
    </w:p>
    <w:p w:rsidRPr="00C777CC" w:rsidR="00594FC0" w:rsidP="00FD31BB" w:rsidRDefault="009A1EF3" w14:paraId="7F71A68C" w14:textId="5071D815">
      <w:pPr>
        <w:ind w:left="720"/>
      </w:pPr>
      <w:r w:rsidRPr="00C777CC">
        <w:t>Th</w:t>
      </w:r>
      <w:r>
        <w:t>is</w:t>
      </w:r>
      <w:r w:rsidRPr="00C777CC">
        <w:t xml:space="preserve"> </w:t>
      </w:r>
      <w:r w:rsidRPr="00C777CC" w:rsidR="00C45B4A">
        <w:t>information collection does not</w:t>
      </w:r>
      <w:r>
        <w:t xml:space="preserve"> involve the</w:t>
      </w:r>
      <w:r w:rsidRPr="00C777CC" w:rsidR="00C45B4A">
        <w:t xml:space="preserve"> use</w:t>
      </w:r>
      <w:r>
        <w:t xml:space="preserve"> of</w:t>
      </w:r>
      <w:r w:rsidRPr="00C777CC" w:rsidR="00C45B4A">
        <w:t xml:space="preserve"> any information </w:t>
      </w:r>
      <w:r w:rsidRPr="00C777CC" w:rsidR="008353C9">
        <w:t>technology</w:t>
      </w:r>
      <w:r>
        <w:t xml:space="preserve"> since it </w:t>
      </w:r>
      <w:r w:rsidR="00AB45ED">
        <w:t>is a reporting requirement for</w:t>
      </w:r>
      <w:r w:rsidRPr="00C777CC" w:rsidR="00C45B4A">
        <w:t xml:space="preserve"> </w:t>
      </w:r>
      <w:r>
        <w:t>Federal explosives licensees and permitees</w:t>
      </w:r>
      <w:r w:rsidRPr="00C777CC" w:rsidR="00C45B4A">
        <w:t xml:space="preserve"> to notify ATF </w:t>
      </w:r>
      <w:r>
        <w:t xml:space="preserve">about </w:t>
      </w:r>
      <w:r w:rsidRPr="00C777CC" w:rsidR="00C45B4A">
        <w:t xml:space="preserve">the </w:t>
      </w:r>
      <w:r w:rsidR="00D327F9">
        <w:t xml:space="preserve">theft, </w:t>
      </w:r>
      <w:r w:rsidRPr="00C777CC" w:rsidR="00C45B4A">
        <w:t>loss</w:t>
      </w:r>
      <w:r w:rsidR="00D327F9">
        <w:t>, or destruction</w:t>
      </w:r>
      <w:r w:rsidR="00AB45ED">
        <w:t xml:space="preserve"> of </w:t>
      </w:r>
      <w:bookmarkStart w:name="_Hlk102025859" w:id="1"/>
      <w:r w:rsidR="00AB45ED">
        <w:t xml:space="preserve">an </w:t>
      </w:r>
      <w:r w:rsidRPr="00C777CC" w:rsidR="00AB45ED">
        <w:t>IPEC</w:t>
      </w:r>
      <w:r w:rsidR="00AB45ED">
        <w:t xml:space="preserve"> (</w:t>
      </w:r>
      <w:r w:rsidRPr="00C777CC" w:rsidR="00AB45ED">
        <w:t>ATF Form 5400.30</w:t>
      </w:r>
      <w:r w:rsidR="00AB45ED">
        <w:t>)</w:t>
      </w:r>
      <w:bookmarkEnd w:id="1"/>
      <w:r w:rsidRPr="00C777CC" w:rsidR="00C45B4A">
        <w:t>.</w:t>
      </w:r>
    </w:p>
    <w:p w:rsidRPr="00C777CC" w:rsidR="00594FC0" w:rsidRDefault="00594FC0" w14:paraId="460F3355" w14:textId="77777777"/>
    <w:p w:rsidRPr="00C777CC" w:rsidR="00FD31BB" w:rsidP="00222690" w:rsidRDefault="00FD31BB" w14:paraId="50312210" w14:textId="77777777">
      <w:pPr>
        <w:numPr>
          <w:ilvl w:val="0"/>
          <w:numId w:val="12"/>
        </w:numPr>
      </w:pPr>
      <w:r w:rsidRPr="00C777CC">
        <w:rPr>
          <w:u w:val="single"/>
        </w:rPr>
        <w:t>Efforts to Identify Duplication</w:t>
      </w:r>
    </w:p>
    <w:p w:rsidRPr="00C777CC" w:rsidR="00FD31BB" w:rsidRDefault="00FD31BB" w14:paraId="07F4A605" w14:textId="77777777">
      <w:pPr>
        <w:ind w:left="720" w:hanging="720"/>
      </w:pPr>
    </w:p>
    <w:p w:rsidR="00594FC0" w:rsidP="0086611E" w:rsidRDefault="00C45B4A" w14:paraId="244CBBF5" w14:textId="25BC2B90">
      <w:pPr>
        <w:ind w:left="720"/>
      </w:pPr>
      <w:r w:rsidRPr="00C777CC">
        <w:lastRenderedPageBreak/>
        <w:t>ATF uses a uniform subject classification system to identify duplication and to ensure that any similar information already available cannot be used or modified for use for the purpose of this information collection.</w:t>
      </w:r>
    </w:p>
    <w:p w:rsidRPr="00C777CC" w:rsidR="00C01378" w:rsidP="0086611E" w:rsidRDefault="00C01378" w14:paraId="3EDFEDE8" w14:textId="77777777">
      <w:pPr>
        <w:ind w:left="720"/>
      </w:pPr>
    </w:p>
    <w:p w:rsidRPr="00C777CC" w:rsidR="00FD31BB" w:rsidP="00222690" w:rsidRDefault="00FD31BB" w14:paraId="2ED36552" w14:textId="77777777">
      <w:pPr>
        <w:numPr>
          <w:ilvl w:val="0"/>
          <w:numId w:val="12"/>
        </w:numPr>
      </w:pPr>
      <w:r w:rsidRPr="00C777CC">
        <w:rPr>
          <w:u w:val="single"/>
        </w:rPr>
        <w:t>Minimizing Burden on Small Businesses</w:t>
      </w:r>
    </w:p>
    <w:p w:rsidRPr="00C777CC" w:rsidR="00FD31BB" w:rsidRDefault="00FD31BB" w14:paraId="7EE2C0EB" w14:textId="77777777">
      <w:pPr>
        <w:ind w:left="720" w:hanging="720"/>
      </w:pPr>
    </w:p>
    <w:p w:rsidRPr="00C777CC" w:rsidR="00594FC0" w:rsidP="00FD31BB" w:rsidRDefault="00594FC0" w14:paraId="5C0FF82C" w14:textId="77777777">
      <w:pPr>
        <w:ind w:left="720"/>
      </w:pPr>
      <w:r w:rsidRPr="00C777CC">
        <w:t>This collection will not substantially affect small businesses.</w:t>
      </w:r>
    </w:p>
    <w:p w:rsidRPr="00C777CC" w:rsidR="00594FC0" w:rsidRDefault="00594FC0" w14:paraId="6BB0931D" w14:textId="77777777"/>
    <w:p w:rsidRPr="00C777CC" w:rsidR="00FD31BB" w:rsidP="00222690" w:rsidRDefault="00FD31BB" w14:paraId="7008A549" w14:textId="77777777">
      <w:pPr>
        <w:numPr>
          <w:ilvl w:val="0"/>
          <w:numId w:val="12"/>
        </w:numPr>
        <w:rPr>
          <w:u w:val="single"/>
        </w:rPr>
      </w:pPr>
      <w:r w:rsidRPr="00C777CC">
        <w:rPr>
          <w:u w:val="single"/>
        </w:rPr>
        <w:t xml:space="preserve">Consequences of </w:t>
      </w:r>
      <w:r w:rsidR="00C777CC">
        <w:rPr>
          <w:u w:val="single"/>
        </w:rPr>
        <w:t>N</w:t>
      </w:r>
      <w:r w:rsidRPr="00C777CC">
        <w:rPr>
          <w:u w:val="single"/>
        </w:rPr>
        <w:t xml:space="preserve">ot </w:t>
      </w:r>
      <w:r w:rsidR="00C777CC">
        <w:rPr>
          <w:u w:val="single"/>
        </w:rPr>
        <w:t>C</w:t>
      </w:r>
      <w:r w:rsidRPr="00C777CC">
        <w:rPr>
          <w:u w:val="single"/>
        </w:rPr>
        <w:t xml:space="preserve">onducting or </w:t>
      </w:r>
      <w:r w:rsidR="00C777CC">
        <w:rPr>
          <w:u w:val="single"/>
        </w:rPr>
        <w:t>L</w:t>
      </w:r>
      <w:r w:rsidRPr="00C777CC">
        <w:rPr>
          <w:u w:val="single"/>
        </w:rPr>
        <w:t xml:space="preserve">ess </w:t>
      </w:r>
      <w:r w:rsidR="00C777CC">
        <w:rPr>
          <w:u w:val="single"/>
        </w:rPr>
        <w:t>F</w:t>
      </w:r>
      <w:r w:rsidRPr="00C777CC">
        <w:rPr>
          <w:u w:val="single"/>
        </w:rPr>
        <w:t>requent Collection</w:t>
      </w:r>
    </w:p>
    <w:p w:rsidRPr="00C777CC" w:rsidR="00FD31BB" w:rsidRDefault="00FD31BB" w14:paraId="16B9D523" w14:textId="77777777">
      <w:pPr>
        <w:ind w:left="720" w:hanging="720"/>
      </w:pPr>
    </w:p>
    <w:p w:rsidRPr="00C777CC" w:rsidR="00594FC0" w:rsidP="00FD31BB" w:rsidRDefault="00B9504A" w14:paraId="72325DAE" w14:textId="1CBBA0B5">
      <w:pPr>
        <w:ind w:left="720"/>
      </w:pPr>
      <w:r>
        <w:t xml:space="preserve">ATF personnel would be unable to investigate the theft and loss of an </w:t>
      </w:r>
      <w:r w:rsidRPr="00C777CC">
        <w:t>IPEC</w:t>
      </w:r>
      <w:r>
        <w:t xml:space="preserve"> (</w:t>
      </w:r>
      <w:r w:rsidRPr="00C777CC">
        <w:t>ATF Form 5400.30</w:t>
      </w:r>
      <w:r>
        <w:t>) without</w:t>
      </w:r>
      <w:r w:rsidRPr="00C777CC" w:rsidR="00C45B4A">
        <w:t xml:space="preserve"> this information collection.</w:t>
      </w:r>
    </w:p>
    <w:p w:rsidRPr="00C777CC" w:rsidR="00594FC0" w:rsidRDefault="00594FC0" w14:paraId="1140BE5F" w14:textId="77777777"/>
    <w:p w:rsidRPr="00C777CC" w:rsidR="00FD31BB" w:rsidP="00222690" w:rsidRDefault="00FD31BB" w14:paraId="7BD3F430" w14:textId="77777777">
      <w:pPr>
        <w:numPr>
          <w:ilvl w:val="0"/>
          <w:numId w:val="12"/>
        </w:numPr>
      </w:pPr>
      <w:r w:rsidRPr="00C777CC">
        <w:rPr>
          <w:u w:val="single"/>
        </w:rPr>
        <w:t>Special Circumstances</w:t>
      </w:r>
    </w:p>
    <w:p w:rsidRPr="00C777CC" w:rsidR="00FD31BB" w:rsidRDefault="00FD31BB" w14:paraId="0D4BBFB0" w14:textId="77777777">
      <w:pPr>
        <w:ind w:left="720" w:hanging="720"/>
      </w:pPr>
    </w:p>
    <w:p w:rsidRPr="00C777CC" w:rsidR="00594FC0" w:rsidP="00FD31BB" w:rsidRDefault="00C45B4A" w14:paraId="2E058C4B" w14:textId="77777777">
      <w:pPr>
        <w:ind w:left="720"/>
      </w:pPr>
      <w:r w:rsidRPr="00C777CC">
        <w:t>There are no special circumstances associated with this collection.</w:t>
      </w:r>
    </w:p>
    <w:p w:rsidRPr="00C777CC" w:rsidR="00594FC0" w:rsidRDefault="00594FC0" w14:paraId="25E3EC6B" w14:textId="77777777">
      <w:pPr>
        <w:ind w:left="720" w:hanging="720"/>
      </w:pPr>
    </w:p>
    <w:p w:rsidRPr="00C777CC" w:rsidR="00FD31BB" w:rsidP="00222690" w:rsidRDefault="00FD31BB" w14:paraId="33F1902D" w14:textId="77777777">
      <w:pPr>
        <w:numPr>
          <w:ilvl w:val="0"/>
          <w:numId w:val="12"/>
        </w:numPr>
        <w:rPr>
          <w:u w:val="single"/>
        </w:rPr>
      </w:pPr>
      <w:r w:rsidRPr="00C777CC">
        <w:rPr>
          <w:u w:val="single"/>
        </w:rPr>
        <w:t>Public Comments and Consultations</w:t>
      </w:r>
    </w:p>
    <w:p w:rsidRPr="00C777CC" w:rsidR="00FD31BB" w:rsidRDefault="00FD31BB" w14:paraId="5534D6E1" w14:textId="77777777">
      <w:pPr>
        <w:ind w:left="720" w:hanging="720"/>
      </w:pPr>
    </w:p>
    <w:p w:rsidR="0083530B" w:rsidP="00C45B4A" w:rsidRDefault="0016050A" w14:paraId="672448FB" w14:textId="54F36B43">
      <w:pPr>
        <w:ind w:left="720"/>
      </w:pPr>
      <w:r>
        <w:t xml:space="preserve">No comments were received during the 60-day Federal Register (FR) notice period. However, a </w:t>
      </w:r>
      <w:r w:rsidR="00894475">
        <w:t>30-day</w:t>
      </w:r>
      <w:r>
        <w:t xml:space="preserve"> FR</w:t>
      </w:r>
      <w:r w:rsidR="00B9504A">
        <w:t xml:space="preserve"> notice will be published to solicit public comments</w:t>
      </w:r>
      <w:r w:rsidR="00567F07">
        <w:t xml:space="preserve">. </w:t>
      </w:r>
    </w:p>
    <w:p w:rsidRPr="00C777CC" w:rsidR="00894475" w:rsidP="00C45B4A" w:rsidRDefault="00894475" w14:paraId="7610BDD1" w14:textId="77777777">
      <w:pPr>
        <w:ind w:left="720"/>
      </w:pPr>
    </w:p>
    <w:p w:rsidRPr="00C777CC" w:rsidR="00FD31BB" w:rsidP="00222690" w:rsidRDefault="0083530B" w14:paraId="7B4EE5B2" w14:textId="77777777">
      <w:pPr>
        <w:numPr>
          <w:ilvl w:val="0"/>
          <w:numId w:val="12"/>
        </w:numPr>
        <w:rPr>
          <w:u w:val="single"/>
        </w:rPr>
      </w:pPr>
      <w:r w:rsidRPr="00C777CC">
        <w:rPr>
          <w:u w:val="single"/>
        </w:rPr>
        <w:t>Provision</w:t>
      </w:r>
      <w:r w:rsidRPr="00C777CC" w:rsidR="00FD31BB">
        <w:rPr>
          <w:u w:val="single"/>
        </w:rPr>
        <w:t xml:space="preserve"> of Payments or Gifts to Respondents</w:t>
      </w:r>
    </w:p>
    <w:p w:rsidRPr="00C777CC" w:rsidR="00FD31BB" w:rsidRDefault="00FD31BB" w14:paraId="1CCED7BA" w14:textId="77777777">
      <w:pPr>
        <w:ind w:left="720" w:hanging="720"/>
        <w:rPr>
          <w:u w:val="single"/>
        </w:rPr>
      </w:pPr>
    </w:p>
    <w:p w:rsidRPr="00C777CC" w:rsidR="00594FC0" w:rsidP="00FD31BB" w:rsidRDefault="00C02182" w14:paraId="4636AA00" w14:textId="77777777">
      <w:pPr>
        <w:ind w:left="720"/>
      </w:pPr>
      <w:r w:rsidRPr="00C777CC">
        <w:t xml:space="preserve">No </w:t>
      </w:r>
      <w:r w:rsidRPr="00C777CC" w:rsidR="00594FC0">
        <w:t>payment or gift is associated with this collection.</w:t>
      </w:r>
    </w:p>
    <w:p w:rsidRPr="00C777CC" w:rsidR="00594FC0" w:rsidRDefault="00594FC0" w14:paraId="3A249B04" w14:textId="77777777"/>
    <w:p w:rsidRPr="00C777CC" w:rsidR="00FD31BB" w:rsidP="00222690" w:rsidRDefault="00FD31BB" w14:paraId="295BBA34" w14:textId="77777777">
      <w:pPr>
        <w:numPr>
          <w:ilvl w:val="0"/>
          <w:numId w:val="12"/>
        </w:numPr>
      </w:pPr>
      <w:r w:rsidRPr="00C777CC">
        <w:rPr>
          <w:u w:val="single"/>
        </w:rPr>
        <w:t>Assurance of Confidentiality</w:t>
      </w:r>
    </w:p>
    <w:p w:rsidRPr="00C777CC" w:rsidR="00FD31BB" w:rsidRDefault="00FD31BB" w14:paraId="3F0316E3" w14:textId="77777777"/>
    <w:p w:rsidRPr="00C777CC" w:rsidR="00594FC0" w:rsidP="0083530B" w:rsidRDefault="00B9504A" w14:paraId="7491CC91" w14:textId="6AFE3263">
      <w:pPr>
        <w:ind w:left="720"/>
      </w:pPr>
      <w:r>
        <w:t>I</w:t>
      </w:r>
      <w:r w:rsidRPr="00C777CC" w:rsidR="0083530B">
        <w:t xml:space="preserve">nformation regarding the </w:t>
      </w:r>
      <w:r w:rsidRPr="00C777CC" w:rsidR="00C01378">
        <w:t>theft</w:t>
      </w:r>
      <w:r w:rsidR="00C01378">
        <w:t>,</w:t>
      </w:r>
      <w:r w:rsidRPr="00C777CC" w:rsidR="00C01378">
        <w:t xml:space="preserve"> loss</w:t>
      </w:r>
      <w:r w:rsidR="00C01378">
        <w:t>, or destruction</w:t>
      </w:r>
      <w:r>
        <w:t xml:space="preserve"> of</w:t>
      </w:r>
      <w:r w:rsidRPr="00C777CC" w:rsidR="0083530B">
        <w:t xml:space="preserve"> </w:t>
      </w:r>
      <w:r w:rsidRPr="00B9504A">
        <w:t>an IPEC (ATF Form 5400.30)</w:t>
      </w:r>
      <w:r>
        <w:t xml:space="preserve"> can be </w:t>
      </w:r>
      <w:r w:rsidRPr="00C777CC" w:rsidR="0083530B">
        <w:t>communicated by telephoning 1-888-ATF-BO</w:t>
      </w:r>
      <w:r w:rsidRPr="00C777CC" w:rsidR="00C02182">
        <w:t xml:space="preserve">MB (nationwide </w:t>
      </w:r>
      <w:r w:rsidRPr="00C777CC" w:rsidR="00D06F45">
        <w:t>toll-free</w:t>
      </w:r>
      <w:r w:rsidRPr="00C777CC" w:rsidR="00C02182">
        <w:t xml:space="preserve"> number). Confidentiality is not assured</w:t>
      </w:r>
      <w:r w:rsidRPr="00C777CC" w:rsidR="0083530B">
        <w:t>.</w:t>
      </w:r>
    </w:p>
    <w:p w:rsidRPr="00C777CC" w:rsidR="00FD31BB" w:rsidRDefault="00FD31BB" w14:paraId="1861C92B" w14:textId="77777777">
      <w:pPr>
        <w:ind w:left="360" w:firstLine="720"/>
      </w:pPr>
    </w:p>
    <w:p w:rsidRPr="00C777CC" w:rsidR="00FD31BB" w:rsidP="00222690" w:rsidRDefault="00FD31BB" w14:paraId="7A6F3F13" w14:textId="77777777">
      <w:pPr>
        <w:numPr>
          <w:ilvl w:val="0"/>
          <w:numId w:val="12"/>
        </w:numPr>
      </w:pPr>
      <w:r w:rsidRPr="00C777CC">
        <w:rPr>
          <w:u w:val="single"/>
        </w:rPr>
        <w:t>Justification for Sensitive Questions</w:t>
      </w:r>
    </w:p>
    <w:p w:rsidRPr="00C777CC" w:rsidR="00FD31BB" w:rsidRDefault="00FD31BB" w14:paraId="18D3AE8C" w14:textId="77777777"/>
    <w:p w:rsidRPr="00C777CC" w:rsidR="00594FC0" w:rsidP="00FD31BB" w:rsidRDefault="00594FC0" w14:paraId="0BDBE10B" w14:textId="77777777">
      <w:pPr>
        <w:ind w:firstLine="720"/>
      </w:pPr>
      <w:r w:rsidRPr="00C777CC">
        <w:t>No questions of a sensitive nature are asked.</w:t>
      </w:r>
    </w:p>
    <w:p w:rsidRPr="00C777CC" w:rsidR="00594FC0" w:rsidRDefault="00594FC0" w14:paraId="0D550E9C" w14:textId="77777777"/>
    <w:p w:rsidRPr="00C777CC" w:rsidR="00FD31BB" w:rsidP="00222690" w:rsidRDefault="00FD31BB" w14:paraId="131E1F36" w14:textId="77777777">
      <w:pPr>
        <w:numPr>
          <w:ilvl w:val="0"/>
          <w:numId w:val="12"/>
        </w:numPr>
      </w:pPr>
      <w:r w:rsidRPr="00C777CC">
        <w:rPr>
          <w:u w:val="single"/>
        </w:rPr>
        <w:t>Estimate of Respondent’s Burden</w:t>
      </w:r>
    </w:p>
    <w:p w:rsidRPr="00C777CC" w:rsidR="00FD31BB" w:rsidRDefault="00FD31BB" w14:paraId="05A0185D" w14:textId="77777777">
      <w:pPr>
        <w:ind w:left="720" w:hanging="720"/>
      </w:pPr>
    </w:p>
    <w:p w:rsidRPr="00C777CC" w:rsidR="00594FC0" w:rsidP="00FD31BB" w:rsidRDefault="00594FC0" w14:paraId="69D34EAC" w14:textId="33A87991">
      <w:pPr>
        <w:ind w:left="720"/>
      </w:pPr>
      <w:r w:rsidRPr="00C777CC">
        <w:t xml:space="preserve">We estimate that there are </w:t>
      </w:r>
      <w:r w:rsidR="008353C9">
        <w:t>ten (</w:t>
      </w:r>
      <w:r w:rsidRPr="00C777CC" w:rsidR="00F96FBE">
        <w:t>1</w:t>
      </w:r>
      <w:r w:rsidRPr="00C777CC">
        <w:t>0</w:t>
      </w:r>
      <w:r w:rsidR="008353C9">
        <w:t>)</w:t>
      </w:r>
      <w:r w:rsidRPr="00C777CC">
        <w:t xml:space="preserve"> respondents associated with this information collection request. </w:t>
      </w:r>
      <w:r w:rsidRPr="00C777CC" w:rsidR="0083530B">
        <w:t>Each respondent will respond</w:t>
      </w:r>
      <w:r w:rsidR="008353C9">
        <w:t xml:space="preserve"> one</w:t>
      </w:r>
      <w:r w:rsidRPr="00C777CC" w:rsidR="0083530B">
        <w:t xml:space="preserve"> </w:t>
      </w:r>
      <w:r w:rsidR="008353C9">
        <w:t>(</w:t>
      </w:r>
      <w:r w:rsidRPr="00C777CC" w:rsidR="0083530B">
        <w:t>1</w:t>
      </w:r>
      <w:r w:rsidR="008353C9">
        <w:t>)</w:t>
      </w:r>
      <w:r w:rsidRPr="00C777CC" w:rsidR="0083530B">
        <w:t xml:space="preserve"> time.</w:t>
      </w:r>
      <w:r w:rsidR="0062593F">
        <w:t xml:space="preserve"> </w:t>
      </w:r>
      <w:r w:rsidR="00CE1926">
        <w:t>The</w:t>
      </w:r>
      <w:r w:rsidR="00B9504A">
        <w:t>refore, the t</w:t>
      </w:r>
      <w:r w:rsidRPr="00C777CC" w:rsidR="0083530B">
        <w:t xml:space="preserve">otal responses </w:t>
      </w:r>
      <w:r w:rsidRPr="00C777CC" w:rsidR="00B9504A">
        <w:t>are</w:t>
      </w:r>
      <w:r w:rsidR="00B9504A">
        <w:t xml:space="preserve"> also</w:t>
      </w:r>
      <w:r w:rsidRPr="00C777CC" w:rsidR="0083530B">
        <w:t xml:space="preserve"> </w:t>
      </w:r>
      <w:r w:rsidR="008353C9">
        <w:t>ten (</w:t>
      </w:r>
      <w:r w:rsidRPr="00C777CC" w:rsidR="00F96FBE">
        <w:t>10</w:t>
      </w:r>
      <w:r w:rsidR="008353C9">
        <w:t>)</w:t>
      </w:r>
      <w:r w:rsidRPr="00C777CC" w:rsidR="0083530B">
        <w:t xml:space="preserve">. </w:t>
      </w:r>
      <w:r w:rsidRPr="00C777CC">
        <w:t xml:space="preserve">We estimate that each respondent will </w:t>
      </w:r>
      <w:r w:rsidR="00D06F45">
        <w:t>take</w:t>
      </w:r>
      <w:r w:rsidRPr="00C777CC" w:rsidR="00D06F45">
        <w:t xml:space="preserve"> </w:t>
      </w:r>
      <w:r w:rsidRPr="00C777CC">
        <w:t xml:space="preserve">20 minutes </w:t>
      </w:r>
      <w:r w:rsidR="00D06F45">
        <w:t xml:space="preserve">to </w:t>
      </w:r>
      <w:r w:rsidRPr="00C777CC">
        <w:t>report t</w:t>
      </w:r>
      <w:r w:rsidRPr="00C777CC" w:rsidR="0083530B">
        <w:t>he theft or loss</w:t>
      </w:r>
      <w:r w:rsidR="00B9504A">
        <w:t xml:space="preserve"> of an </w:t>
      </w:r>
      <w:r w:rsidRPr="00C777CC" w:rsidR="00B9504A">
        <w:t>IPEC</w:t>
      </w:r>
      <w:r w:rsidR="00B9504A">
        <w:t xml:space="preserve"> (</w:t>
      </w:r>
      <w:r w:rsidRPr="00C777CC" w:rsidR="00B9504A">
        <w:t>ATF Form 5400.30</w:t>
      </w:r>
      <w:r w:rsidR="00B9504A">
        <w:t>)</w:t>
      </w:r>
      <w:r w:rsidR="009A1EF3">
        <w:t xml:space="preserve"> to ATF</w:t>
      </w:r>
      <w:r w:rsidR="0062593F">
        <w:t xml:space="preserve">. </w:t>
      </w:r>
      <w:r w:rsidRPr="00C777CC">
        <w:t xml:space="preserve">The annual burden hours associated with this </w:t>
      </w:r>
      <w:r w:rsidR="002E77AD">
        <w:t>reporting requirement is</w:t>
      </w:r>
      <w:r w:rsidRPr="00C777CC">
        <w:t xml:space="preserve"> </w:t>
      </w:r>
      <w:r w:rsidRPr="00C777CC" w:rsidR="00F96FBE">
        <w:t>3.</w:t>
      </w:r>
      <w:r w:rsidR="00EA4DC0">
        <w:t>3 (3)</w:t>
      </w:r>
      <w:r w:rsidRPr="00C777CC">
        <w:t xml:space="preserve"> hours.  </w:t>
      </w:r>
    </w:p>
    <w:p w:rsidRPr="00C777CC" w:rsidR="00594FC0" w:rsidRDefault="00594FC0" w14:paraId="6A7E00BC" w14:textId="77777777"/>
    <w:p w:rsidRPr="00C777CC" w:rsidR="00FD31BB" w:rsidP="00222690" w:rsidRDefault="00FD31BB" w14:paraId="7EEF2DD8" w14:textId="77777777">
      <w:pPr>
        <w:numPr>
          <w:ilvl w:val="0"/>
          <w:numId w:val="12"/>
        </w:numPr>
        <w:rPr>
          <w:u w:val="single"/>
        </w:rPr>
      </w:pPr>
      <w:r w:rsidRPr="00C777CC">
        <w:rPr>
          <w:u w:val="single"/>
        </w:rPr>
        <w:t>Estimate of Cost Burden</w:t>
      </w:r>
    </w:p>
    <w:p w:rsidRPr="00C777CC" w:rsidR="00FD31BB" w:rsidRDefault="00FD31BB" w14:paraId="38BEB9D8" w14:textId="77777777">
      <w:pPr>
        <w:ind w:left="720" w:hanging="720"/>
      </w:pPr>
    </w:p>
    <w:p w:rsidRPr="00C777CC" w:rsidR="00594FC0" w:rsidP="00FD31BB" w:rsidRDefault="00C02182" w14:paraId="07EC6F69" w14:textId="77777777">
      <w:pPr>
        <w:ind w:left="720"/>
      </w:pPr>
      <w:r w:rsidRPr="00C777CC">
        <w:t xml:space="preserve">There is no </w:t>
      </w:r>
      <w:r w:rsidRPr="00C777CC" w:rsidR="00594FC0">
        <w:t>cost burden to the respondent.</w:t>
      </w:r>
    </w:p>
    <w:p w:rsidRPr="00C777CC" w:rsidR="00C777CC" w:rsidRDefault="00C777CC" w14:paraId="147ABDC1" w14:textId="77777777"/>
    <w:p w:rsidRPr="00C777CC" w:rsidR="00FD31BB" w:rsidP="00222690" w:rsidRDefault="00FD31BB" w14:paraId="43CE47D7" w14:textId="77777777">
      <w:pPr>
        <w:numPr>
          <w:ilvl w:val="0"/>
          <w:numId w:val="12"/>
        </w:numPr>
      </w:pPr>
      <w:r w:rsidRPr="00C777CC">
        <w:rPr>
          <w:u w:val="single"/>
        </w:rPr>
        <w:t>Cost to Federal Government</w:t>
      </w:r>
    </w:p>
    <w:p w:rsidRPr="00C777CC" w:rsidR="00FD31BB" w:rsidRDefault="00FD31BB" w14:paraId="5BA6DBD2" w14:textId="77777777"/>
    <w:p w:rsidRPr="00C777CC" w:rsidR="00594FC0" w:rsidP="00FD31BB" w:rsidRDefault="00594FC0" w14:paraId="2B4BE387" w14:textId="77777777">
      <w:pPr>
        <w:ind w:firstLine="720"/>
      </w:pPr>
      <w:r w:rsidRPr="00C777CC">
        <w:t>There is no cost to the Federal government.</w:t>
      </w:r>
    </w:p>
    <w:p w:rsidRPr="00C777CC" w:rsidR="00594FC0" w:rsidRDefault="00594FC0" w14:paraId="19647C86" w14:textId="77777777"/>
    <w:p w:rsidRPr="00C777CC" w:rsidR="00FD31BB" w:rsidP="00222690" w:rsidRDefault="00FD31BB" w14:paraId="3F09E949" w14:textId="77777777">
      <w:pPr>
        <w:numPr>
          <w:ilvl w:val="0"/>
          <w:numId w:val="12"/>
        </w:numPr>
      </w:pPr>
      <w:r w:rsidRPr="00C777CC">
        <w:rPr>
          <w:u w:val="single"/>
        </w:rPr>
        <w:t>Reason for Change in Burden</w:t>
      </w:r>
    </w:p>
    <w:p w:rsidRPr="00C777CC" w:rsidR="00FD31BB" w:rsidRDefault="00FD31BB" w14:paraId="7A476FBB" w14:textId="77777777">
      <w:pPr>
        <w:ind w:left="720" w:hanging="720"/>
      </w:pPr>
    </w:p>
    <w:p w:rsidRPr="00C777CC" w:rsidR="00594FC0" w:rsidP="00FD31BB" w:rsidRDefault="00594FC0" w14:paraId="21964D73" w14:textId="42705AF7">
      <w:pPr>
        <w:ind w:left="720"/>
      </w:pPr>
      <w:r w:rsidRPr="00C777CC">
        <w:t>There are</w:t>
      </w:r>
      <w:r w:rsidR="00CE1926">
        <w:t xml:space="preserve"> no</w:t>
      </w:r>
      <w:r w:rsidRPr="00C777CC">
        <w:t xml:space="preserve"> adjustments </w:t>
      </w:r>
      <w:r w:rsidR="009A1EF3">
        <w:t>to the</w:t>
      </w:r>
      <w:r w:rsidRPr="00C777CC">
        <w:t xml:space="preserve"> collection</w:t>
      </w:r>
      <w:r w:rsidR="009A1EF3">
        <w:t xml:space="preserve"> burden</w:t>
      </w:r>
      <w:r w:rsidRPr="00C777CC">
        <w:t>.</w:t>
      </w:r>
      <w:r w:rsidRPr="00C777CC" w:rsidR="00420F6A">
        <w:t xml:space="preserve"> </w:t>
      </w:r>
    </w:p>
    <w:p w:rsidRPr="00C777CC" w:rsidR="00594FC0" w:rsidRDefault="00594FC0" w14:paraId="1E25F9A4" w14:textId="77777777"/>
    <w:p w:rsidRPr="00C777CC" w:rsidR="00FD31BB" w:rsidP="00222690" w:rsidRDefault="00FD31BB" w14:paraId="31E6B948" w14:textId="77777777">
      <w:pPr>
        <w:numPr>
          <w:ilvl w:val="0"/>
          <w:numId w:val="12"/>
        </w:numPr>
      </w:pPr>
      <w:r w:rsidRPr="00C777CC">
        <w:rPr>
          <w:u w:val="single"/>
        </w:rPr>
        <w:t>Anticipated Publication Plan and Schedule</w:t>
      </w:r>
    </w:p>
    <w:p w:rsidRPr="00C777CC" w:rsidR="00FD31BB" w:rsidRDefault="00FD31BB" w14:paraId="7B5EDB8A" w14:textId="77777777"/>
    <w:p w:rsidRPr="00C777CC" w:rsidR="00594FC0" w:rsidP="00FD31BB" w:rsidRDefault="00594FC0" w14:paraId="01193BEA" w14:textId="77777777">
      <w:pPr>
        <w:ind w:firstLine="720"/>
      </w:pPr>
      <w:r w:rsidRPr="00C777CC">
        <w:t>The results of this collection will not be published.</w:t>
      </w:r>
    </w:p>
    <w:p w:rsidRPr="00C777CC" w:rsidR="00594FC0" w:rsidRDefault="00594FC0" w14:paraId="401C405F" w14:textId="77777777"/>
    <w:p w:rsidRPr="00C777CC" w:rsidR="00FD31BB" w:rsidP="00222690" w:rsidRDefault="00FD31BB" w14:paraId="16DE577B" w14:textId="77777777">
      <w:pPr>
        <w:numPr>
          <w:ilvl w:val="0"/>
          <w:numId w:val="12"/>
        </w:numPr>
        <w:rPr>
          <w:u w:val="single"/>
        </w:rPr>
      </w:pPr>
      <w:r w:rsidRPr="00C777CC">
        <w:rPr>
          <w:u w:val="single"/>
        </w:rPr>
        <w:t>Display of Expiration Date</w:t>
      </w:r>
    </w:p>
    <w:p w:rsidRPr="00C777CC" w:rsidR="00FD31BB" w:rsidRDefault="00FD31BB" w14:paraId="6ACEB5E4" w14:textId="77777777">
      <w:pPr>
        <w:ind w:left="720" w:hanging="720"/>
      </w:pPr>
    </w:p>
    <w:p w:rsidRPr="00C777CC" w:rsidR="00594FC0" w:rsidP="00FD31BB" w:rsidRDefault="00594FC0" w14:paraId="1724CC1D" w14:textId="26E47822">
      <w:pPr>
        <w:ind w:left="720"/>
      </w:pPr>
      <w:r w:rsidRPr="00C777CC">
        <w:t xml:space="preserve">ATF does not request approval to </w:t>
      </w:r>
      <w:r w:rsidR="00B9504A">
        <w:t>omit</w:t>
      </w:r>
      <w:r w:rsidRPr="00C777CC">
        <w:t xml:space="preserve"> the </w:t>
      </w:r>
      <w:r w:rsidR="00B9504A">
        <w:t xml:space="preserve">Office of Management and Budget </w:t>
      </w:r>
      <w:r w:rsidRPr="00C777CC">
        <w:t>expiration date for this collection.</w:t>
      </w:r>
    </w:p>
    <w:p w:rsidRPr="00C777CC" w:rsidR="00594FC0" w:rsidRDefault="00594FC0" w14:paraId="79B737BE" w14:textId="77777777"/>
    <w:p w:rsidRPr="00C777CC" w:rsidR="00FD31BB" w:rsidP="00222690" w:rsidRDefault="00FD31BB" w14:paraId="04E2719B" w14:textId="77777777">
      <w:pPr>
        <w:numPr>
          <w:ilvl w:val="0"/>
          <w:numId w:val="12"/>
        </w:numPr>
        <w:rPr>
          <w:u w:val="single"/>
        </w:rPr>
      </w:pPr>
      <w:r w:rsidRPr="00C777CC">
        <w:rPr>
          <w:u w:val="single"/>
        </w:rPr>
        <w:t>Exception to the Certification Statement</w:t>
      </w:r>
    </w:p>
    <w:p w:rsidRPr="00C777CC" w:rsidR="00FD31BB" w:rsidRDefault="00FD31BB" w14:paraId="7E2D0B44" w14:textId="77777777">
      <w:pPr>
        <w:ind w:left="720" w:hanging="720"/>
      </w:pPr>
    </w:p>
    <w:p w:rsidRPr="00C777CC" w:rsidR="00594FC0" w:rsidP="00FD31BB" w:rsidRDefault="00594FC0" w14:paraId="2116263E" w14:textId="77777777">
      <w:pPr>
        <w:ind w:left="720"/>
      </w:pPr>
      <w:r w:rsidRPr="00C777CC">
        <w:t>There are no exceptions to the certification statement.</w:t>
      </w:r>
    </w:p>
    <w:p w:rsidRPr="00C777CC" w:rsidR="00FD31BB" w:rsidP="00FD31BB" w:rsidRDefault="00FD31BB" w14:paraId="69C5D9C9" w14:textId="77777777">
      <w:pPr>
        <w:ind w:left="720"/>
      </w:pPr>
    </w:p>
    <w:p w:rsidRPr="00C777CC" w:rsidR="00594FC0" w:rsidP="0002708F" w:rsidRDefault="00B9504A" w14:paraId="7143DCE8" w14:textId="11CFD88D">
      <w:pPr>
        <w:pStyle w:val="BodyText"/>
        <w:numPr>
          <w:ilvl w:val="0"/>
          <w:numId w:val="9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Pr="00C777CC" w:rsidR="00594FC0">
        <w:rPr>
          <w:rFonts w:ascii="Times New Roman" w:hAnsi="Times New Roman" w:cs="Times New Roman"/>
        </w:rPr>
        <w:t xml:space="preserve">Collections of Information </w:t>
      </w:r>
      <w:r>
        <w:rPr>
          <w:rFonts w:ascii="Times New Roman" w:hAnsi="Times New Roman" w:cs="Times New Roman"/>
        </w:rPr>
        <w:t xml:space="preserve">Does Not </w:t>
      </w:r>
      <w:r w:rsidRPr="00C777CC" w:rsidR="00594FC0">
        <w:rPr>
          <w:rFonts w:ascii="Times New Roman" w:hAnsi="Times New Roman" w:cs="Times New Roman"/>
        </w:rPr>
        <w:t>Employ Statistical Methods.</w:t>
      </w:r>
    </w:p>
    <w:sectPr w:rsidRPr="00C777CC" w:rsidR="00594FC0" w:rsidSect="0086611E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3D90" w14:textId="77777777" w:rsidR="00C5601D" w:rsidRDefault="00C5601D" w:rsidP="008353C9">
      <w:r>
        <w:separator/>
      </w:r>
    </w:p>
  </w:endnote>
  <w:endnote w:type="continuationSeparator" w:id="0">
    <w:p w14:paraId="0B8C9048" w14:textId="77777777" w:rsidR="00C5601D" w:rsidRDefault="00C5601D" w:rsidP="0083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583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28052B" w14:textId="0AADA012" w:rsidR="0086611E" w:rsidRDefault="008661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1F9844" w14:textId="77777777" w:rsidR="008353C9" w:rsidRDefault="00835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DFDA" w14:textId="77777777" w:rsidR="00C5601D" w:rsidRDefault="00C5601D" w:rsidP="008353C9">
      <w:r>
        <w:separator/>
      </w:r>
    </w:p>
  </w:footnote>
  <w:footnote w:type="continuationSeparator" w:id="0">
    <w:p w14:paraId="28864636" w14:textId="77777777" w:rsidR="00C5601D" w:rsidRDefault="00C5601D" w:rsidP="00835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DA7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87D40"/>
    <w:multiLevelType w:val="hybridMultilevel"/>
    <w:tmpl w:val="A55EB6D6"/>
    <w:lvl w:ilvl="0" w:tplc="04090015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CF5338"/>
    <w:multiLevelType w:val="hybridMultilevel"/>
    <w:tmpl w:val="339412C8"/>
    <w:lvl w:ilvl="0" w:tplc="D59A02BC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47F43"/>
    <w:multiLevelType w:val="hybridMultilevel"/>
    <w:tmpl w:val="7E703304"/>
    <w:lvl w:ilvl="0" w:tplc="C6D0CA0A">
      <w:start w:val="1"/>
      <w:numFmt w:val="upperLetter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1BB3"/>
    <w:multiLevelType w:val="hybridMultilevel"/>
    <w:tmpl w:val="7210537A"/>
    <w:lvl w:ilvl="0" w:tplc="CE7873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B69EA"/>
    <w:multiLevelType w:val="hybridMultilevel"/>
    <w:tmpl w:val="EED4E718"/>
    <w:lvl w:ilvl="0" w:tplc="A894D7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1469"/>
    <w:multiLevelType w:val="hybridMultilevel"/>
    <w:tmpl w:val="E4867F2E"/>
    <w:lvl w:ilvl="0" w:tplc="305C9C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904DE"/>
    <w:multiLevelType w:val="hybridMultilevel"/>
    <w:tmpl w:val="C89A4B4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55727"/>
    <w:multiLevelType w:val="hybridMultilevel"/>
    <w:tmpl w:val="D6DA01BE"/>
    <w:lvl w:ilvl="0" w:tplc="A3F80AD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9AC054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B29CD"/>
    <w:multiLevelType w:val="hybridMultilevel"/>
    <w:tmpl w:val="7442A604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41A0B98"/>
    <w:multiLevelType w:val="hybridMultilevel"/>
    <w:tmpl w:val="7CAC33CE"/>
    <w:lvl w:ilvl="0" w:tplc="E088810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0C15DC"/>
    <w:multiLevelType w:val="hybridMultilevel"/>
    <w:tmpl w:val="83A244F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B5090D"/>
    <w:multiLevelType w:val="hybridMultilevel"/>
    <w:tmpl w:val="DEE0C9D6"/>
    <w:lvl w:ilvl="0" w:tplc="632C1F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79124">
    <w:abstractNumId w:val="0"/>
  </w:num>
  <w:num w:numId="2" w16cid:durableId="1764186149">
    <w:abstractNumId w:val="8"/>
  </w:num>
  <w:num w:numId="3" w16cid:durableId="1976837583">
    <w:abstractNumId w:val="10"/>
  </w:num>
  <w:num w:numId="4" w16cid:durableId="929586004">
    <w:abstractNumId w:val="11"/>
  </w:num>
  <w:num w:numId="5" w16cid:durableId="1178353274">
    <w:abstractNumId w:val="9"/>
  </w:num>
  <w:num w:numId="6" w16cid:durableId="1639264237">
    <w:abstractNumId w:val="7"/>
  </w:num>
  <w:num w:numId="7" w16cid:durableId="1857887141">
    <w:abstractNumId w:val="2"/>
  </w:num>
  <w:num w:numId="8" w16cid:durableId="177080572">
    <w:abstractNumId w:val="1"/>
  </w:num>
  <w:num w:numId="9" w16cid:durableId="1517768492">
    <w:abstractNumId w:val="4"/>
  </w:num>
  <w:num w:numId="10" w16cid:durableId="429662368">
    <w:abstractNumId w:val="3"/>
  </w:num>
  <w:num w:numId="11" w16cid:durableId="19163052">
    <w:abstractNumId w:val="6"/>
  </w:num>
  <w:num w:numId="12" w16cid:durableId="1828664004">
    <w:abstractNumId w:val="5"/>
  </w:num>
  <w:num w:numId="13" w16cid:durableId="5154598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BB"/>
    <w:rsid w:val="0002708F"/>
    <w:rsid w:val="00050888"/>
    <w:rsid w:val="000879B2"/>
    <w:rsid w:val="000D61C9"/>
    <w:rsid w:val="0016050A"/>
    <w:rsid w:val="0018082D"/>
    <w:rsid w:val="001B0D7C"/>
    <w:rsid w:val="001C0059"/>
    <w:rsid w:val="001D210C"/>
    <w:rsid w:val="00222690"/>
    <w:rsid w:val="00230316"/>
    <w:rsid w:val="00232899"/>
    <w:rsid w:val="00257D3C"/>
    <w:rsid w:val="0028712C"/>
    <w:rsid w:val="002E77AD"/>
    <w:rsid w:val="00377A77"/>
    <w:rsid w:val="003B5924"/>
    <w:rsid w:val="00420F6A"/>
    <w:rsid w:val="00485483"/>
    <w:rsid w:val="004B6193"/>
    <w:rsid w:val="004C7F48"/>
    <w:rsid w:val="00567F07"/>
    <w:rsid w:val="00571F9F"/>
    <w:rsid w:val="00594FC0"/>
    <w:rsid w:val="005C60AC"/>
    <w:rsid w:val="0062593F"/>
    <w:rsid w:val="0070263A"/>
    <w:rsid w:val="007872A3"/>
    <w:rsid w:val="007E3385"/>
    <w:rsid w:val="0083254D"/>
    <w:rsid w:val="0083530B"/>
    <w:rsid w:val="008353C9"/>
    <w:rsid w:val="00845339"/>
    <w:rsid w:val="00846013"/>
    <w:rsid w:val="0085462E"/>
    <w:rsid w:val="0086611E"/>
    <w:rsid w:val="00894475"/>
    <w:rsid w:val="008A589A"/>
    <w:rsid w:val="008B6E9F"/>
    <w:rsid w:val="008D21C2"/>
    <w:rsid w:val="009A1EF3"/>
    <w:rsid w:val="009A22FC"/>
    <w:rsid w:val="009A73F7"/>
    <w:rsid w:val="009B1417"/>
    <w:rsid w:val="009B5696"/>
    <w:rsid w:val="009E21BE"/>
    <w:rsid w:val="009F79DA"/>
    <w:rsid w:val="00A30F3D"/>
    <w:rsid w:val="00AB45ED"/>
    <w:rsid w:val="00B5045A"/>
    <w:rsid w:val="00B72EF8"/>
    <w:rsid w:val="00B9504A"/>
    <w:rsid w:val="00BA7E71"/>
    <w:rsid w:val="00C01378"/>
    <w:rsid w:val="00C02182"/>
    <w:rsid w:val="00C45B4A"/>
    <w:rsid w:val="00C5601D"/>
    <w:rsid w:val="00C777CC"/>
    <w:rsid w:val="00CE1926"/>
    <w:rsid w:val="00CF5825"/>
    <w:rsid w:val="00D06F45"/>
    <w:rsid w:val="00D327F9"/>
    <w:rsid w:val="00D46262"/>
    <w:rsid w:val="00D530D7"/>
    <w:rsid w:val="00DD4771"/>
    <w:rsid w:val="00DD785B"/>
    <w:rsid w:val="00DF597C"/>
    <w:rsid w:val="00EA4DC0"/>
    <w:rsid w:val="00EF53FC"/>
    <w:rsid w:val="00F86C2A"/>
    <w:rsid w:val="00F96FBE"/>
    <w:rsid w:val="00FB789C"/>
    <w:rsid w:val="00FD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DF30B"/>
  <w15:docId w15:val="{90C16468-678C-4788-B9A6-4EA45D0A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urier New" w:hAnsi="Courier New" w:cs="Courier New"/>
      <w:b/>
      <w:bCs/>
    </w:rPr>
  </w:style>
  <w:style w:type="paragraph" w:styleId="BodyTextIndent">
    <w:name w:val="Body Text Indent"/>
    <w:basedOn w:val="Normal"/>
    <w:pPr>
      <w:ind w:left="360"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D462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46262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D462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62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6262"/>
  </w:style>
  <w:style w:type="paragraph" w:styleId="CommentSubject">
    <w:name w:val="annotation subject"/>
    <w:basedOn w:val="CommentText"/>
    <w:next w:val="CommentText"/>
    <w:link w:val="CommentSubjectChar"/>
    <w:rsid w:val="00D46262"/>
    <w:rPr>
      <w:b/>
      <w:bCs/>
    </w:rPr>
  </w:style>
  <w:style w:type="character" w:customStyle="1" w:styleId="CommentSubjectChar">
    <w:name w:val="Comment Subject Char"/>
    <w:link w:val="CommentSubject"/>
    <w:rsid w:val="00D46262"/>
    <w:rPr>
      <w:b/>
      <w:bCs/>
    </w:rPr>
  </w:style>
  <w:style w:type="paragraph" w:styleId="Header">
    <w:name w:val="header"/>
    <w:basedOn w:val="Normal"/>
    <w:link w:val="HeaderChar"/>
    <w:rsid w:val="008353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53C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53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53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F5454-1953-40D0-9D1D-2EBB5469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Treasury</vt:lpstr>
    </vt:vector>
  </TitlesOfParts>
  <Company>ATF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Treasury</dc:title>
  <dc:subject/>
  <dc:creator>ATF</dc:creator>
  <cp:keywords/>
  <dc:description/>
  <cp:lastModifiedBy>Bolton, Tamelia A. (Contractor)</cp:lastModifiedBy>
  <cp:revision>4</cp:revision>
  <cp:lastPrinted>2006-09-13T18:06:00Z</cp:lastPrinted>
  <dcterms:created xsi:type="dcterms:W3CDTF">2022-07-18T17:12:00Z</dcterms:created>
  <dcterms:modified xsi:type="dcterms:W3CDTF">2022-07-25T20:18:00Z</dcterms:modified>
</cp:coreProperties>
</file>