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B4D" w:rsidP="00156B4D" w:rsidRDefault="4E920CEB" w14:paraId="7CB4430F" w14:textId="77777777">
      <w:pPr>
        <w:spacing w:after="0" w:line="240" w:lineRule="auto"/>
        <w:jc w:val="center"/>
        <w:rPr>
          <w:rFonts w:ascii="Times New Roman" w:hAnsi="Times New Roman" w:eastAsia="Times New Roman" w:cs="Times New Roman"/>
          <w:b/>
          <w:bCs/>
          <w:color w:val="000000" w:themeColor="text1"/>
          <w:sz w:val="24"/>
          <w:szCs w:val="24"/>
        </w:rPr>
      </w:pPr>
      <w:r w:rsidRPr="4E920CEB">
        <w:rPr>
          <w:rFonts w:ascii="Times New Roman" w:hAnsi="Times New Roman" w:eastAsia="Times New Roman" w:cs="Times New Roman"/>
          <w:b/>
          <w:bCs/>
          <w:color w:val="000000" w:themeColor="text1"/>
          <w:sz w:val="24"/>
          <w:szCs w:val="24"/>
        </w:rPr>
        <w:t xml:space="preserve">SUPPORTING STATEMENT FOR </w:t>
      </w:r>
      <w:r w:rsidR="003357BA">
        <w:br/>
      </w:r>
      <w:r w:rsidRPr="4E920CEB">
        <w:rPr>
          <w:rFonts w:ascii="Times New Roman" w:hAnsi="Times New Roman" w:eastAsia="Times New Roman" w:cs="Times New Roman"/>
          <w:b/>
          <w:bCs/>
          <w:color w:val="000000" w:themeColor="text1"/>
          <w:sz w:val="24"/>
          <w:szCs w:val="24"/>
        </w:rPr>
        <w:t>PAPERWORK REDUCTION ACT SUBMISSION</w:t>
      </w:r>
      <w:r w:rsidR="003357BA">
        <w:br/>
      </w:r>
      <w:r w:rsidR="003357BA">
        <w:br/>
      </w:r>
      <w:r w:rsidRPr="00156B4D" w:rsidR="00156B4D">
        <w:rPr>
          <w:rFonts w:ascii="Times New Roman" w:hAnsi="Times New Roman" w:eastAsia="Times New Roman" w:cs="Times New Roman"/>
          <w:b/>
          <w:bCs/>
          <w:color w:val="000000" w:themeColor="text1"/>
          <w:sz w:val="24"/>
          <w:szCs w:val="24"/>
        </w:rPr>
        <w:t xml:space="preserve">Request to Change End User, End Use, and/or Destination of Hardware &amp; </w:t>
      </w:r>
    </w:p>
    <w:p w:rsidR="003357BA" w:rsidP="00156B4D" w:rsidRDefault="00156B4D" w14:paraId="2B463DB1" w14:textId="75384358">
      <w:pPr>
        <w:spacing w:after="0" w:line="240" w:lineRule="auto"/>
        <w:jc w:val="center"/>
        <w:rPr>
          <w:rFonts w:ascii="Times New Roman" w:hAnsi="Times New Roman" w:eastAsia="Times New Roman" w:cs="Times New Roman"/>
          <w:b/>
          <w:bCs/>
          <w:color w:val="000000" w:themeColor="text1"/>
          <w:sz w:val="24"/>
          <w:szCs w:val="24"/>
        </w:rPr>
      </w:pPr>
      <w:r w:rsidRPr="00156B4D">
        <w:rPr>
          <w:rFonts w:ascii="Times New Roman" w:hAnsi="Times New Roman" w:eastAsia="Times New Roman" w:cs="Times New Roman"/>
          <w:b/>
          <w:bCs/>
          <w:color w:val="000000" w:themeColor="text1"/>
          <w:sz w:val="24"/>
          <w:szCs w:val="24"/>
        </w:rPr>
        <w:t>Open General License Pilot Program</w:t>
      </w:r>
      <w:r w:rsidR="003357BA">
        <w:br/>
      </w:r>
      <w:r w:rsidRPr="4E920CEB" w:rsidR="4E920CEB">
        <w:rPr>
          <w:rFonts w:ascii="Times New Roman" w:hAnsi="Times New Roman" w:eastAsia="Times New Roman" w:cs="Times New Roman"/>
          <w:b/>
          <w:bCs/>
          <w:color w:val="000000" w:themeColor="text1"/>
          <w:sz w:val="24"/>
          <w:szCs w:val="24"/>
        </w:rPr>
        <w:t>OMB Number 1405-</w:t>
      </w:r>
      <w:r w:rsidR="00C17193">
        <w:rPr>
          <w:rFonts w:ascii="Times New Roman" w:hAnsi="Times New Roman" w:eastAsia="Times New Roman" w:cs="Times New Roman"/>
          <w:b/>
          <w:bCs/>
          <w:color w:val="000000" w:themeColor="text1"/>
          <w:sz w:val="24"/>
          <w:szCs w:val="24"/>
        </w:rPr>
        <w:t>0173</w:t>
      </w:r>
      <w:r w:rsidR="003357BA">
        <w:br/>
      </w:r>
      <w:r w:rsidR="003E4AE2">
        <w:rPr>
          <w:rFonts w:ascii="Times New Roman" w:hAnsi="Times New Roman" w:eastAsia="Times New Roman" w:cs="Times New Roman"/>
          <w:b/>
          <w:bCs/>
          <w:color w:val="000000" w:themeColor="text1"/>
          <w:sz w:val="24"/>
          <w:szCs w:val="24"/>
        </w:rPr>
        <w:t>Form DS-6004 &amp; Open General Licenses</w:t>
      </w:r>
    </w:p>
    <w:p w:rsidRPr="00156B4D" w:rsidR="003E4AE2" w:rsidP="00156B4D" w:rsidRDefault="003E4AE2" w14:paraId="2565E372" w14:textId="6039C88D">
      <w:pPr>
        <w:spacing w:after="0" w:line="240" w:lineRule="auto"/>
        <w:jc w:val="center"/>
        <w:rPr>
          <w:rFonts w:ascii="Times New Roman" w:hAnsi="Times New Roman" w:eastAsia="Times New Roman" w:cs="Times New Roman"/>
          <w:b/>
          <w:bCs/>
          <w:color w:val="000000" w:themeColor="text1"/>
          <w:sz w:val="24"/>
          <w:szCs w:val="24"/>
        </w:rPr>
      </w:pPr>
    </w:p>
    <w:p w:rsidR="003357BA" w:rsidP="4E920CEB" w:rsidRDefault="4E920CEB" w14:paraId="14517AA5" w14:textId="5AC6BCAE">
      <w:pPr>
        <w:pStyle w:val="Heading1"/>
        <w:spacing w:after="120" w:line="240" w:lineRule="auto"/>
        <w:rPr>
          <w:rFonts w:ascii="Times New Roman" w:hAnsi="Times New Roman" w:eastAsia="Times New Roman" w:cs="Times New Roman"/>
          <w:b/>
          <w:bCs/>
          <w:color w:val="000000" w:themeColor="text1"/>
          <w:sz w:val="24"/>
          <w:szCs w:val="24"/>
        </w:rPr>
      </w:pPr>
      <w:r w:rsidRPr="4E920CEB">
        <w:rPr>
          <w:rFonts w:ascii="Times New Roman" w:hAnsi="Times New Roman" w:eastAsia="Times New Roman" w:cs="Times New Roman"/>
          <w:b/>
          <w:bCs/>
          <w:color w:val="000000" w:themeColor="text1"/>
          <w:sz w:val="24"/>
          <w:szCs w:val="24"/>
        </w:rPr>
        <w:t>A.</w:t>
      </w:r>
      <w:r w:rsidR="003357BA">
        <w:tab/>
      </w:r>
      <w:r w:rsidRPr="4E920CEB">
        <w:rPr>
          <w:rFonts w:ascii="Times New Roman" w:hAnsi="Times New Roman" w:eastAsia="Times New Roman" w:cs="Times New Roman"/>
          <w:b/>
          <w:bCs/>
          <w:color w:val="000000" w:themeColor="text1"/>
          <w:sz w:val="24"/>
          <w:szCs w:val="24"/>
        </w:rPr>
        <w:t>JUSTIFICATION</w:t>
      </w:r>
    </w:p>
    <w:p w:rsidRPr="00D518FF" w:rsidR="003357BA" w:rsidP="4E920CEB" w:rsidRDefault="4E920CEB" w14:paraId="0C027BEB" w14:textId="1E6880D4">
      <w:pPr>
        <w:pStyle w:val="ListParagraph"/>
        <w:numPr>
          <w:ilvl w:val="0"/>
          <w:numId w:val="2"/>
        </w:numPr>
        <w:spacing w:after="12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Why is this collection necessary and what are the legal statutes that allow this?</w:t>
      </w:r>
    </w:p>
    <w:p w:rsidRPr="00D518FF" w:rsidR="001F7F77" w:rsidP="001F7F77" w:rsidRDefault="001F7F77" w14:paraId="788559FA" w14:textId="77777777">
      <w:pPr>
        <w:pStyle w:val="ListParagraph"/>
        <w:rPr>
          <w:rFonts w:ascii="Times New Roman" w:hAnsi="Times New Roman" w:eastAsia="Times New Roman" w:cs="Times New Roman"/>
          <w:sz w:val="24"/>
          <w:szCs w:val="24"/>
        </w:rPr>
      </w:pPr>
    </w:p>
    <w:p w:rsidRPr="00D518FF" w:rsidR="00012D2B" w:rsidP="009565DF" w:rsidRDefault="44694D6E" w14:paraId="0BE36BE3" w14:textId="00FBE9A0">
      <w:pPr>
        <w:pStyle w:val="ListParagraph"/>
        <w:ind w:firstLine="720"/>
        <w:rPr>
          <w:rFonts w:ascii="Times New Roman" w:hAnsi="Times New Roman" w:eastAsia="Times New Roman" w:cs="Times New Roman"/>
          <w:sz w:val="24"/>
          <w:szCs w:val="24"/>
        </w:rPr>
      </w:pPr>
      <w:r w:rsidRPr="1F958B82">
        <w:rPr>
          <w:rFonts w:ascii="Times New Roman" w:hAnsi="Times New Roman" w:eastAsia="Times New Roman" w:cs="Times New Roman"/>
          <w:sz w:val="24"/>
          <w:szCs w:val="24"/>
        </w:rPr>
        <w:t xml:space="preserve">In accordance with the Arms Export Control Act (AECA) (22 U.S.C. 2751 </w:t>
      </w:r>
      <w:r w:rsidRPr="1F958B82">
        <w:rPr>
          <w:rFonts w:ascii="Times New Roman" w:hAnsi="Times New Roman" w:eastAsia="Times New Roman" w:cs="Times New Roman"/>
          <w:i/>
          <w:iCs/>
          <w:sz w:val="24"/>
          <w:szCs w:val="24"/>
        </w:rPr>
        <w:t>et seq</w:t>
      </w:r>
      <w:r w:rsidRPr="1F958B82">
        <w:rPr>
          <w:rFonts w:ascii="Times New Roman" w:hAnsi="Times New Roman" w:eastAsia="Times New Roman" w:cs="Times New Roman"/>
          <w:sz w:val="24"/>
          <w:szCs w:val="24"/>
        </w:rPr>
        <w:t>.),</w:t>
      </w:r>
      <w:r w:rsidRPr="1F958B82" w:rsidR="220BC933">
        <w:rPr>
          <w:rFonts w:ascii="Times New Roman" w:hAnsi="Times New Roman" w:eastAsia="Times New Roman" w:cs="Times New Roman"/>
          <w:sz w:val="24"/>
          <w:szCs w:val="24"/>
        </w:rPr>
        <w:t xml:space="preserve"> </w:t>
      </w:r>
      <w:r w:rsidRPr="1F958B82">
        <w:rPr>
          <w:rFonts w:ascii="Times New Roman" w:hAnsi="Times New Roman" w:eastAsia="Times New Roman" w:cs="Times New Roman"/>
          <w:sz w:val="24"/>
          <w:szCs w:val="24"/>
        </w:rPr>
        <w:t>the International Traffic in Arms Regulations (ITAR) (22 CFR Parts 120-130), and associated delegations of authority, the Directorate of Defense Trade Controls (DDTC) in the Bureau of Political-Military Affairs in the U.S. Department of State is responsible for promulgating regulations for the export, reexport, retransfer, and temporary import of defense articles and defense services; taking final action on license applications and other requests to authorize transfers of defense articles and defense services via direct commercial sales; and ensuring compliance with U.S. laws and regulations and the provisions of specific authorizations.</w:t>
      </w:r>
    </w:p>
    <w:p w:rsidRPr="00D518FF" w:rsidR="00012D2B" w:rsidP="001F7F77" w:rsidRDefault="00012D2B" w14:paraId="2EAE8E07" w14:textId="3B1C7D40">
      <w:pPr>
        <w:pStyle w:val="ListParagraph"/>
        <w:rPr>
          <w:rFonts w:ascii="Times New Roman" w:hAnsi="Times New Roman" w:eastAsia="Times New Roman" w:cs="Times New Roman"/>
          <w:sz w:val="24"/>
          <w:szCs w:val="24"/>
        </w:rPr>
      </w:pPr>
    </w:p>
    <w:p w:rsidR="00442A08" w:rsidP="00F62A7B" w:rsidRDefault="552DDEF7" w14:paraId="65D8EB95" w14:textId="71AED157">
      <w:pPr>
        <w:pStyle w:val="ListParagraph"/>
        <w:ind w:firstLine="720"/>
        <w:rPr>
          <w:rFonts w:ascii="Times New Roman" w:hAnsi="Times New Roman" w:eastAsia="Times New Roman" w:cs="Times New Roman"/>
          <w:sz w:val="24"/>
          <w:szCs w:val="24"/>
        </w:rPr>
      </w:pPr>
      <w:r w:rsidRPr="6ADC932C">
        <w:rPr>
          <w:rFonts w:ascii="Times New Roman" w:hAnsi="Times New Roman" w:eastAsia="Times New Roman" w:cs="Times New Roman"/>
          <w:sz w:val="24"/>
          <w:szCs w:val="24"/>
        </w:rPr>
        <w:t>The statutory authority of the President to promulgate regulations with respect to the export and temporary import of defense articles and the provision of defense services was delegated to the Secretary of State by Executive Order 13637.  These regulations are primarily administered by the Deputy Assistant Secretary of State for Defense Trade and DDTC.</w:t>
      </w:r>
    </w:p>
    <w:p w:rsidR="00442A08" w:rsidP="003E4AE2" w:rsidRDefault="00442A08" w14:paraId="20C94A90" w14:textId="05E9A650">
      <w:pPr>
        <w:pStyle w:val="ListParagraph"/>
        <w:ind w:firstLine="720"/>
        <w:rPr>
          <w:rFonts w:ascii="Times New Roman" w:hAnsi="Times New Roman" w:eastAsia="Times New Roman" w:cs="Times New Roman"/>
          <w:sz w:val="24"/>
          <w:szCs w:val="24"/>
        </w:rPr>
      </w:pPr>
    </w:p>
    <w:p w:rsidRPr="009565DF" w:rsidR="00062AF6" w:rsidP="009565DF" w:rsidRDefault="00442A08" w14:paraId="21E9E121" w14:textId="0372D9C1">
      <w:pPr>
        <w:pStyle w:val="ListParagraph"/>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this supporting statement has been revised beyond </w:t>
      </w:r>
      <w:r w:rsidR="0018077A">
        <w:rPr>
          <w:rFonts w:ascii="Times New Roman" w:hAnsi="Times New Roman" w:eastAsia="Times New Roman" w:cs="Times New Roman"/>
          <w:sz w:val="24"/>
          <w:szCs w:val="24"/>
        </w:rPr>
        <w:t xml:space="preserve">being applicable to </w:t>
      </w:r>
      <w:r w:rsidR="00E5795A">
        <w:rPr>
          <w:rFonts w:ascii="Times New Roman" w:hAnsi="Times New Roman" w:eastAsia="Times New Roman" w:cs="Times New Roman"/>
          <w:sz w:val="24"/>
          <w:szCs w:val="24"/>
        </w:rPr>
        <w:t>a collection for</w:t>
      </w:r>
      <w:r>
        <w:rPr>
          <w:rFonts w:ascii="Times New Roman" w:hAnsi="Times New Roman" w:eastAsia="Times New Roman" w:cs="Times New Roman"/>
          <w:sz w:val="24"/>
          <w:szCs w:val="24"/>
        </w:rPr>
        <w:t xml:space="preserve"> a change to an end user, end use, or the destination of hardware, and now also includes</w:t>
      </w:r>
      <w:r w:rsidR="00E5795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similar collections that are part of </w:t>
      </w:r>
      <w:r w:rsidR="00E5795A">
        <w:rPr>
          <w:rFonts w:ascii="Times New Roman" w:hAnsi="Times New Roman" w:eastAsia="Times New Roman" w:cs="Times New Roman"/>
          <w:sz w:val="24"/>
          <w:szCs w:val="24"/>
        </w:rPr>
        <w:t>an</w:t>
      </w:r>
      <w:r>
        <w:rPr>
          <w:rFonts w:ascii="Times New Roman" w:hAnsi="Times New Roman" w:eastAsia="Times New Roman" w:cs="Times New Roman"/>
          <w:sz w:val="24"/>
          <w:szCs w:val="24"/>
        </w:rPr>
        <w:t xml:space="preserve"> Open General License pilot program</w:t>
      </w:r>
      <w:r w:rsidR="00E5795A">
        <w:rPr>
          <w:rFonts w:ascii="Times New Roman" w:hAnsi="Times New Roman" w:eastAsia="Times New Roman" w:cs="Times New Roman"/>
          <w:sz w:val="24"/>
          <w:szCs w:val="24"/>
        </w:rPr>
        <w:t xml:space="preserve"> for certain transfers</w:t>
      </w:r>
      <w:r>
        <w:rPr>
          <w:rFonts w:ascii="Times New Roman" w:hAnsi="Times New Roman" w:eastAsia="Times New Roman" w:cs="Times New Roman"/>
          <w:sz w:val="24"/>
          <w:szCs w:val="24"/>
        </w:rPr>
        <w:t>, each justification describes justifications for both collections.</w:t>
      </w:r>
    </w:p>
    <w:p w:rsidRPr="00062AF6" w:rsidR="003E4AE2" w:rsidP="009565DF" w:rsidRDefault="003E4AE2" w14:paraId="54C2A8ED" w14:textId="77777777">
      <w:pPr>
        <w:spacing w:after="120" w:line="240" w:lineRule="auto"/>
        <w:ind w:left="720" w:firstLine="720"/>
        <w:rPr>
          <w:rFonts w:ascii="Times New Roman" w:hAnsi="Times New Roman" w:eastAsia="Times New Roman" w:cs="Times New Roman"/>
          <w:sz w:val="24"/>
          <w:szCs w:val="24"/>
          <w:u w:val="single"/>
        </w:rPr>
      </w:pPr>
      <w:r w:rsidRPr="00062AF6">
        <w:rPr>
          <w:rFonts w:ascii="Times New Roman" w:hAnsi="Times New Roman" w:eastAsia="Times New Roman" w:cs="Times New Roman"/>
          <w:color w:val="000000" w:themeColor="text1"/>
          <w:sz w:val="24"/>
          <w:szCs w:val="24"/>
          <w:u w:val="single"/>
        </w:rPr>
        <w:t>A.  Request to Change End User, End Use, and/or Destination of Hardware</w:t>
      </w:r>
    </w:p>
    <w:p w:rsidR="003E4AE2" w:rsidP="00AF016E" w:rsidRDefault="003E4AE2" w14:paraId="01CD7B07" w14:textId="77777777">
      <w:pPr>
        <w:pStyle w:val="ListParagraph"/>
        <w:rPr>
          <w:rFonts w:ascii="Times New Roman" w:hAnsi="Times New Roman" w:eastAsia="Times New Roman" w:cs="Times New Roman"/>
          <w:sz w:val="24"/>
          <w:szCs w:val="24"/>
        </w:rPr>
      </w:pPr>
    </w:p>
    <w:p w:rsidRPr="00062AF6" w:rsidR="00062AF6" w:rsidP="009565DF" w:rsidRDefault="00062AF6" w14:paraId="2400AC1B" w14:textId="13B537BE">
      <w:pPr>
        <w:pStyle w:val="ListParagraph"/>
        <w:ind w:firstLine="720"/>
        <w:rPr>
          <w:rFonts w:ascii="Times New Roman" w:hAnsi="Times New Roman" w:eastAsia="Times New Roman" w:cs="Times New Roman"/>
          <w:sz w:val="24"/>
          <w:szCs w:val="24"/>
        </w:rPr>
      </w:pPr>
      <w:r w:rsidRPr="00062AF6">
        <w:rPr>
          <w:rFonts w:ascii="Times New Roman" w:hAnsi="Times New Roman" w:eastAsia="Times New Roman" w:cs="Times New Roman"/>
          <w:sz w:val="24"/>
          <w:szCs w:val="24"/>
        </w:rPr>
        <w:t>DDTC reviews license applications and technical assistance and manufacturing license agreement requests to determine, inter alia:</w:t>
      </w:r>
    </w:p>
    <w:p w:rsidRPr="00062AF6" w:rsidR="00062AF6" w:rsidP="00062AF6" w:rsidRDefault="00062AF6" w14:paraId="48D75B34" w14:textId="77777777">
      <w:pPr>
        <w:pStyle w:val="ListParagraph"/>
        <w:rPr>
          <w:rFonts w:ascii="Times New Roman" w:hAnsi="Times New Roman" w:eastAsia="Times New Roman" w:cs="Times New Roman"/>
          <w:sz w:val="24"/>
          <w:szCs w:val="24"/>
        </w:rPr>
      </w:pPr>
    </w:p>
    <w:p w:rsidRPr="00062AF6" w:rsidR="00062AF6" w:rsidP="00062AF6" w:rsidRDefault="00062AF6" w14:paraId="08D2BA1A" w14:textId="1B257C85">
      <w:pPr>
        <w:pStyle w:val="ListParagraph"/>
        <w:rPr>
          <w:rFonts w:ascii="Times New Roman" w:hAnsi="Times New Roman" w:eastAsia="Times New Roman" w:cs="Times New Roman"/>
          <w:sz w:val="24"/>
          <w:szCs w:val="24"/>
        </w:rPr>
      </w:pPr>
      <w:r w:rsidRPr="00062AF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062AF6">
        <w:rPr>
          <w:rFonts w:ascii="Times New Roman" w:hAnsi="Times New Roman" w:eastAsia="Times New Roman" w:cs="Times New Roman"/>
          <w:sz w:val="24"/>
          <w:szCs w:val="24"/>
        </w:rPr>
        <w:t>Whether the transactions further U.S. foreign policy objectives, national security interests, and world peace;</w:t>
      </w:r>
    </w:p>
    <w:p w:rsidRPr="00062AF6" w:rsidR="00062AF6" w:rsidP="00062AF6" w:rsidRDefault="00062AF6" w14:paraId="173A339E" w14:textId="77777777">
      <w:pPr>
        <w:pStyle w:val="ListParagraph"/>
        <w:rPr>
          <w:rFonts w:ascii="Times New Roman" w:hAnsi="Times New Roman" w:eastAsia="Times New Roman" w:cs="Times New Roman"/>
          <w:sz w:val="24"/>
          <w:szCs w:val="24"/>
        </w:rPr>
      </w:pPr>
    </w:p>
    <w:p w:rsidRPr="00062AF6" w:rsidR="00062AF6" w:rsidP="00062AF6" w:rsidRDefault="00062AF6" w14:paraId="2EDAE268" w14:textId="7093CC07">
      <w:pPr>
        <w:pStyle w:val="ListParagraph"/>
        <w:rPr>
          <w:rFonts w:ascii="Times New Roman" w:hAnsi="Times New Roman" w:eastAsia="Times New Roman" w:cs="Times New Roman"/>
          <w:sz w:val="24"/>
          <w:szCs w:val="24"/>
        </w:rPr>
      </w:pPr>
      <w:r w:rsidRPr="00062AF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062AF6">
        <w:rPr>
          <w:rFonts w:ascii="Times New Roman" w:hAnsi="Times New Roman" w:eastAsia="Times New Roman" w:cs="Times New Roman"/>
          <w:sz w:val="24"/>
          <w:szCs w:val="24"/>
        </w:rPr>
        <w:t>Eligibility of parties (e.g., applicants, consignees, end-users) to participate in U.S. defense trade;</w:t>
      </w:r>
    </w:p>
    <w:p w:rsidRPr="00062AF6" w:rsidR="00062AF6" w:rsidP="00062AF6" w:rsidRDefault="00062AF6" w14:paraId="1E2C777D" w14:textId="77777777">
      <w:pPr>
        <w:pStyle w:val="ListParagraph"/>
        <w:rPr>
          <w:rFonts w:ascii="Times New Roman" w:hAnsi="Times New Roman" w:eastAsia="Times New Roman" w:cs="Times New Roman"/>
          <w:sz w:val="24"/>
          <w:szCs w:val="24"/>
        </w:rPr>
      </w:pPr>
    </w:p>
    <w:p w:rsidRPr="00062AF6" w:rsidR="00062AF6" w:rsidP="00062AF6" w:rsidRDefault="00062AF6" w14:paraId="2AF0C9BB" w14:textId="39954B21">
      <w:pPr>
        <w:pStyle w:val="ListParagraph"/>
        <w:rPr>
          <w:rFonts w:ascii="Times New Roman" w:hAnsi="Times New Roman" w:eastAsia="Times New Roman" w:cs="Times New Roman"/>
          <w:sz w:val="24"/>
          <w:szCs w:val="24"/>
        </w:rPr>
      </w:pPr>
      <w:r w:rsidRPr="00062AF6">
        <w:rPr>
          <w:rFonts w:ascii="Times New Roman" w:hAnsi="Times New Roman" w:eastAsia="Times New Roman" w:cs="Times New Roman"/>
          <w:sz w:val="24"/>
          <w:szCs w:val="24"/>
        </w:rPr>
        <w:lastRenderedPageBreak/>
        <w:t>•</w:t>
      </w:r>
      <w:r>
        <w:rPr>
          <w:rFonts w:ascii="Times New Roman" w:hAnsi="Times New Roman" w:eastAsia="Times New Roman" w:cs="Times New Roman"/>
          <w:sz w:val="24"/>
          <w:szCs w:val="24"/>
        </w:rPr>
        <w:t xml:space="preserve"> </w:t>
      </w:r>
      <w:r w:rsidRPr="00062AF6">
        <w:rPr>
          <w:rFonts w:ascii="Times New Roman" w:hAnsi="Times New Roman" w:eastAsia="Times New Roman" w:cs="Times New Roman"/>
          <w:sz w:val="24"/>
          <w:szCs w:val="24"/>
        </w:rPr>
        <w:t xml:space="preserve">Appropriate end-use of commodities subject to U. S. Government approval of munitions exports and transfers; </w:t>
      </w:r>
    </w:p>
    <w:p w:rsidRPr="00062AF6" w:rsidR="00062AF6" w:rsidP="00062AF6" w:rsidRDefault="00062AF6" w14:paraId="7277E42C" w14:textId="77777777">
      <w:pPr>
        <w:pStyle w:val="ListParagraph"/>
        <w:rPr>
          <w:rFonts w:ascii="Times New Roman" w:hAnsi="Times New Roman" w:eastAsia="Times New Roman" w:cs="Times New Roman"/>
          <w:sz w:val="24"/>
          <w:szCs w:val="24"/>
        </w:rPr>
      </w:pPr>
    </w:p>
    <w:p w:rsidRPr="00062AF6" w:rsidR="00062AF6" w:rsidP="00062AF6" w:rsidRDefault="00062AF6" w14:paraId="7C7952A2" w14:textId="631013AF">
      <w:pPr>
        <w:pStyle w:val="ListParagraph"/>
        <w:rPr>
          <w:rFonts w:ascii="Times New Roman" w:hAnsi="Times New Roman" w:eastAsia="Times New Roman" w:cs="Times New Roman"/>
          <w:sz w:val="24"/>
          <w:szCs w:val="24"/>
        </w:rPr>
      </w:pPr>
      <w:r w:rsidRPr="00062AF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062AF6">
        <w:rPr>
          <w:rFonts w:ascii="Times New Roman" w:hAnsi="Times New Roman" w:eastAsia="Times New Roman" w:cs="Times New Roman"/>
          <w:sz w:val="24"/>
          <w:szCs w:val="24"/>
        </w:rPr>
        <w:t>Whether law enforcement concerns have been adequately addressed; and</w:t>
      </w:r>
    </w:p>
    <w:p w:rsidRPr="00062AF6" w:rsidR="00062AF6" w:rsidP="00062AF6" w:rsidRDefault="00062AF6" w14:paraId="55640B5C" w14:textId="77777777">
      <w:pPr>
        <w:pStyle w:val="ListParagraph"/>
        <w:rPr>
          <w:rFonts w:ascii="Times New Roman" w:hAnsi="Times New Roman" w:eastAsia="Times New Roman" w:cs="Times New Roman"/>
          <w:sz w:val="24"/>
          <w:szCs w:val="24"/>
        </w:rPr>
      </w:pPr>
    </w:p>
    <w:p w:rsidRPr="00062AF6" w:rsidR="00062AF6" w:rsidP="00062AF6" w:rsidRDefault="00062AF6" w14:paraId="7A14A1A9" w14:textId="43407F4F">
      <w:pPr>
        <w:pStyle w:val="ListParagraph"/>
        <w:rPr>
          <w:rFonts w:ascii="Times New Roman" w:hAnsi="Times New Roman" w:eastAsia="Times New Roman" w:cs="Times New Roman"/>
          <w:sz w:val="24"/>
          <w:szCs w:val="24"/>
        </w:rPr>
      </w:pPr>
      <w:r w:rsidRPr="00062AF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062AF6">
        <w:rPr>
          <w:rFonts w:ascii="Times New Roman" w:hAnsi="Times New Roman" w:eastAsia="Times New Roman" w:cs="Times New Roman"/>
          <w:sz w:val="24"/>
          <w:szCs w:val="24"/>
        </w:rPr>
        <w:t>Whether appropriate offers or payment of political contributions, gifts, commissions, and fees, have been adequately addressed.</w:t>
      </w:r>
    </w:p>
    <w:p w:rsidRPr="00062AF6" w:rsidR="00062AF6" w:rsidP="00062AF6" w:rsidRDefault="00062AF6" w14:paraId="048AB70D" w14:textId="77777777">
      <w:pPr>
        <w:pStyle w:val="ListParagraph"/>
        <w:rPr>
          <w:rFonts w:ascii="Times New Roman" w:hAnsi="Times New Roman" w:eastAsia="Times New Roman" w:cs="Times New Roman"/>
          <w:sz w:val="24"/>
          <w:szCs w:val="24"/>
        </w:rPr>
      </w:pPr>
    </w:p>
    <w:p w:rsidRPr="00D518FF" w:rsidR="00062AF6" w:rsidP="009565DF" w:rsidRDefault="00062AF6" w14:paraId="3E0BC8D1" w14:textId="589D1B81">
      <w:pPr>
        <w:pStyle w:val="ListParagraph"/>
        <w:ind w:firstLine="720"/>
        <w:rPr>
          <w:rFonts w:ascii="Times New Roman" w:hAnsi="Times New Roman" w:eastAsia="Times New Roman" w:cs="Times New Roman"/>
          <w:sz w:val="24"/>
          <w:szCs w:val="24"/>
        </w:rPr>
      </w:pPr>
      <w:r w:rsidRPr="00062AF6">
        <w:rPr>
          <w:rFonts w:ascii="Times New Roman" w:hAnsi="Times New Roman" w:eastAsia="Times New Roman" w:cs="Times New Roman"/>
          <w:sz w:val="24"/>
          <w:szCs w:val="24"/>
        </w:rPr>
        <w:t>The “Request to Change End-User, End-Use and/or Destination of Hardware” information collection is used to request DDTC approval prior to any sale, transfer, transshipment, or disposal, whether permanent or temporary, of classified or unclassified defense articles to any end-user, end-use or destination other than as stated on a license or other approval.</w:t>
      </w:r>
    </w:p>
    <w:p w:rsidR="001F7F77" w:rsidP="001F7F77" w:rsidRDefault="001F7F77" w14:paraId="1F9F0FF3" w14:textId="749C8997">
      <w:pPr>
        <w:pStyle w:val="ListParagraph"/>
        <w:rPr>
          <w:rFonts w:ascii="Times New Roman" w:hAnsi="Times New Roman" w:eastAsia="Times New Roman" w:cs="Times New Roman"/>
          <w:sz w:val="24"/>
          <w:szCs w:val="24"/>
        </w:rPr>
      </w:pPr>
    </w:p>
    <w:p w:rsidR="00062AF6" w:rsidP="009565DF" w:rsidRDefault="00F62A7B" w14:paraId="345757BF" w14:textId="6DD3B6BB">
      <w:pPr>
        <w:pStyle w:val="ListParagraph"/>
        <w:ind w:firstLine="7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B. </w:t>
      </w:r>
      <w:r w:rsidR="00062AF6">
        <w:rPr>
          <w:rFonts w:ascii="Times New Roman" w:hAnsi="Times New Roman" w:eastAsia="Times New Roman" w:cs="Times New Roman"/>
          <w:sz w:val="24"/>
          <w:szCs w:val="24"/>
          <w:u w:val="single"/>
        </w:rPr>
        <w:t>Open General Licenses</w:t>
      </w:r>
    </w:p>
    <w:p w:rsidRPr="00062AF6" w:rsidR="00062AF6" w:rsidP="001F7F77" w:rsidRDefault="00062AF6" w14:paraId="712E188A" w14:textId="77777777">
      <w:pPr>
        <w:pStyle w:val="ListParagraph"/>
        <w:rPr>
          <w:rFonts w:ascii="Times New Roman" w:hAnsi="Times New Roman" w:eastAsia="Times New Roman" w:cs="Times New Roman"/>
          <w:sz w:val="24"/>
          <w:szCs w:val="24"/>
          <w:u w:val="single"/>
        </w:rPr>
      </w:pPr>
    </w:p>
    <w:p w:rsidRPr="00D518FF" w:rsidR="00012D2B" w:rsidP="009565DF" w:rsidRDefault="44694D6E" w14:paraId="726CC41B" w14:textId="3E08334C">
      <w:pPr>
        <w:pStyle w:val="ListParagraph"/>
        <w:ind w:firstLine="720"/>
        <w:rPr>
          <w:rFonts w:ascii="Times New Roman" w:hAnsi="Times New Roman" w:eastAsia="Times New Roman" w:cs="Times New Roman"/>
          <w:sz w:val="24"/>
          <w:szCs w:val="24"/>
        </w:rPr>
      </w:pPr>
      <w:r w:rsidRPr="1F958B82">
        <w:rPr>
          <w:rFonts w:ascii="Times New Roman" w:hAnsi="Times New Roman" w:eastAsia="Times New Roman" w:cs="Times New Roman"/>
          <w:sz w:val="24"/>
          <w:szCs w:val="24"/>
        </w:rPr>
        <w:t xml:space="preserve">Under section 123.9(a) of the ITAR, unless an exemption applies, DDTC’s written approval must be obtained before reselling, transferring, reexporting, retransferring, transshipping, or disposing of a defense article to any end-user, end-use, or destination other than as stated on the export license or in the Electronic Export Information filing in cases where an exemption was claimed. Such approval is normally granted through case-by-case review of requests to authorize specific transfers. However, ITAR section 126.9(b) allows DDTC to provide export authorization for DDTC’s own initiatives, including pilot programs and other specifically anticipated circumstances for which DDTC considers special authorizations appropriate. DDTC is launching </w:t>
      </w:r>
      <w:bookmarkStart w:name="_Hlk109053137" w:id="0"/>
      <w:r w:rsidRPr="1F958B82">
        <w:rPr>
          <w:rFonts w:ascii="Times New Roman" w:hAnsi="Times New Roman" w:eastAsia="Times New Roman" w:cs="Times New Roman"/>
          <w:sz w:val="24"/>
          <w:szCs w:val="24"/>
        </w:rPr>
        <w:t xml:space="preserve">a pilot program pursuant to its authorities in ITAR section 126.9(b) in order to assess the concept of an Open General License (OGL) mechanism by which it may authorize certain transfers of defense articles to predetermined parties. </w:t>
      </w:r>
      <w:bookmarkEnd w:id="0"/>
      <w:r w:rsidRPr="1F958B82">
        <w:rPr>
          <w:rFonts w:ascii="Times New Roman" w:hAnsi="Times New Roman" w:eastAsia="Times New Roman" w:cs="Times New Roman"/>
          <w:sz w:val="24"/>
          <w:szCs w:val="24"/>
        </w:rPr>
        <w:t>OGLs would eliminate the need for the Department to individually review and approve certain lower-risk transactions involving certain recipients. DDTC believes the OGL pilot program will provide unprecedented flexibility for the U.S. defense industry and U.S. allies to operate consistent with the ITAR and will enhance their ability to maintain, repair, and store defense articles.</w:t>
      </w:r>
    </w:p>
    <w:p w:rsidR="1F958B82" w:rsidP="1F958B82" w:rsidRDefault="1F958B82" w14:paraId="6EAAC22F" w14:textId="613BBA05">
      <w:pPr>
        <w:pStyle w:val="ListParagraph"/>
        <w:rPr>
          <w:rFonts w:ascii="Times New Roman" w:hAnsi="Times New Roman" w:eastAsia="Times New Roman" w:cs="Times New Roman"/>
          <w:sz w:val="24"/>
          <w:szCs w:val="24"/>
        </w:rPr>
      </w:pPr>
    </w:p>
    <w:p w:rsidRPr="00D518FF" w:rsidR="00012D2B" w:rsidP="009565DF" w:rsidRDefault="44694D6E" w14:paraId="51AC2E54" w14:textId="595FEB30">
      <w:pPr>
        <w:pStyle w:val="ListParagraph"/>
        <w:ind w:firstLine="720"/>
        <w:rPr>
          <w:rFonts w:ascii="Times New Roman" w:hAnsi="Times New Roman" w:eastAsia="Times New Roman" w:cs="Times New Roman"/>
          <w:sz w:val="24"/>
          <w:szCs w:val="24"/>
        </w:rPr>
      </w:pPr>
      <w:r w:rsidRPr="1F958B82">
        <w:rPr>
          <w:rFonts w:ascii="Times New Roman" w:hAnsi="Times New Roman" w:eastAsia="Times New Roman" w:cs="Times New Roman"/>
          <w:sz w:val="24"/>
          <w:szCs w:val="24"/>
        </w:rPr>
        <w:t xml:space="preserve">Under ITAR section 123.1(c), DDTC may require pertinent documentation regarding the proposed transaction and proper completion of the application form.  This requires exporters to furnish information about the quantity and value of the defense article proposed for export and information on the proposed end-user, end-use, and ultimate destination. </w:t>
      </w:r>
      <w:r w:rsidRPr="1F958B82" w:rsidR="220BC933">
        <w:rPr>
          <w:rFonts w:ascii="Times New Roman" w:hAnsi="Times New Roman" w:eastAsia="Times New Roman" w:cs="Times New Roman"/>
          <w:sz w:val="24"/>
          <w:szCs w:val="24"/>
        </w:rPr>
        <w:t xml:space="preserve">Under </w:t>
      </w:r>
      <w:r w:rsidRPr="1F958B82">
        <w:rPr>
          <w:rFonts w:ascii="Times New Roman" w:hAnsi="Times New Roman" w:eastAsia="Times New Roman" w:cs="Times New Roman"/>
          <w:sz w:val="24"/>
          <w:szCs w:val="24"/>
        </w:rPr>
        <w:t xml:space="preserve">ITAR section 123.9(c), foreign persons who seek approval from DDTC to reexport or retransfer defense articles are required to submit a description, quantity, and value of the defense article; a description and identification of the new end-user, end-use, and destination. Under ITAR section 123.26 any foreign person engaging in any reexport or retransfer of a defense article pursuant to an exemption must maintain </w:t>
      </w:r>
      <w:r w:rsidRPr="1F958B82">
        <w:rPr>
          <w:rFonts w:ascii="Times New Roman" w:hAnsi="Times New Roman" w:eastAsia="Times New Roman" w:cs="Times New Roman"/>
          <w:sz w:val="24"/>
          <w:szCs w:val="24"/>
        </w:rPr>
        <w:lastRenderedPageBreak/>
        <w:t>records of each such transfer including the following information: A description of the defense article, including technical data, or defense service; the name and address of the end-user and other available contact information (e.g., telephone number and electronic mail address); the name of the natural person responsible for the transaction; the stated end-use of the defense article or defense service; the date of the transaction; and the method of transmission.</w:t>
      </w:r>
    </w:p>
    <w:p w:rsidRPr="00D518FF" w:rsidR="001F7F77" w:rsidP="001F7F77" w:rsidRDefault="001F7F77" w14:paraId="10115367" w14:textId="77777777">
      <w:pPr>
        <w:pStyle w:val="ListParagraph"/>
        <w:rPr>
          <w:rFonts w:ascii="Times New Roman" w:hAnsi="Times New Roman" w:eastAsia="Times New Roman" w:cs="Times New Roman"/>
          <w:sz w:val="24"/>
          <w:szCs w:val="24"/>
        </w:rPr>
      </w:pPr>
    </w:p>
    <w:p w:rsidRPr="00D518FF" w:rsidR="00012D2B" w:rsidP="009565DF" w:rsidRDefault="44694D6E" w14:paraId="557A235B" w14:textId="1EFDAD8D">
      <w:pPr>
        <w:pStyle w:val="ListParagraph"/>
        <w:ind w:firstLine="720"/>
        <w:rPr>
          <w:rFonts w:ascii="Times New Roman" w:hAnsi="Times New Roman" w:eastAsia="Times New Roman" w:cs="Times New Roman"/>
          <w:sz w:val="24"/>
          <w:szCs w:val="24"/>
        </w:rPr>
      </w:pPr>
      <w:r w:rsidRPr="1F958B82">
        <w:rPr>
          <w:rFonts w:ascii="Times New Roman" w:hAnsi="Times New Roman" w:eastAsia="Times New Roman" w:cs="Times New Roman"/>
          <w:sz w:val="24"/>
          <w:szCs w:val="24"/>
        </w:rPr>
        <w:t xml:space="preserve">DDTC seeks to ensure that foreign persons who rely on the OGLs to conduct reexports and retransfers abroad retain the same records as would be required if their transactions were authorized by either a specific license or an exemption. Accordingly, DDTC has restated the record-keeping requirements articulated in ITAR section 123.26 in the OGLs themselves. </w:t>
      </w:r>
    </w:p>
    <w:p w:rsidRPr="00D518FF" w:rsidR="001F7F77" w:rsidP="001F7F77" w:rsidRDefault="001F7F77" w14:paraId="768B4567" w14:textId="77777777">
      <w:pPr>
        <w:pStyle w:val="ListParagraph"/>
        <w:ind w:firstLine="720"/>
        <w:rPr>
          <w:rFonts w:ascii="Times New Roman" w:hAnsi="Times New Roman" w:eastAsia="Times New Roman" w:cs="Times New Roman"/>
          <w:sz w:val="24"/>
          <w:szCs w:val="24"/>
        </w:rPr>
      </w:pPr>
    </w:p>
    <w:p w:rsidRPr="00D518FF" w:rsidR="003357BA" w:rsidP="009565DF" w:rsidRDefault="4E920CEB" w14:paraId="5AAAAEAB" w14:textId="7F052C6E">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What business purpose is the information gathered going to be used for?</w:t>
      </w:r>
    </w:p>
    <w:p w:rsidR="00E5795A" w:rsidP="00E5795A" w:rsidRDefault="00E5795A" w14:paraId="739F2CC0" w14:textId="77777777">
      <w:pPr>
        <w:spacing w:after="0" w:line="240" w:lineRule="auto"/>
        <w:ind w:left="720" w:firstLine="720"/>
        <w:contextualSpacing/>
        <w:rPr>
          <w:rFonts w:ascii="Times New Roman" w:hAnsi="Times New Roman" w:eastAsia="Times New Roman" w:cs="Times New Roman"/>
          <w:color w:val="000000" w:themeColor="text1"/>
          <w:sz w:val="24"/>
          <w:szCs w:val="24"/>
          <w:u w:val="single"/>
        </w:rPr>
      </w:pPr>
      <w:bookmarkStart w:name="_Hlk109077268" w:id="1"/>
    </w:p>
    <w:p w:rsidRPr="00062AF6" w:rsidR="00156B4D" w:rsidP="009565DF" w:rsidRDefault="00156B4D" w14:paraId="65A58DFF" w14:textId="262BA67F">
      <w:pPr>
        <w:spacing w:after="0" w:line="240" w:lineRule="auto"/>
        <w:ind w:left="720" w:firstLine="720"/>
        <w:contextualSpacing/>
        <w:rPr>
          <w:rFonts w:ascii="Times New Roman" w:hAnsi="Times New Roman" w:eastAsia="Times New Roman" w:cs="Times New Roman"/>
          <w:sz w:val="24"/>
          <w:szCs w:val="24"/>
          <w:u w:val="single"/>
        </w:rPr>
      </w:pPr>
      <w:r w:rsidRPr="00062AF6">
        <w:rPr>
          <w:rFonts w:ascii="Times New Roman" w:hAnsi="Times New Roman" w:eastAsia="Times New Roman" w:cs="Times New Roman"/>
          <w:color w:val="000000" w:themeColor="text1"/>
          <w:sz w:val="24"/>
          <w:szCs w:val="24"/>
          <w:u w:val="single"/>
        </w:rPr>
        <w:t>A.  Request to Change End User, End Use, and/or Destination of Hardware</w:t>
      </w:r>
    </w:p>
    <w:bookmarkEnd w:id="1"/>
    <w:p w:rsidR="00442A08" w:rsidP="00442A08" w:rsidRDefault="00442A08" w14:paraId="6365B772" w14:textId="77777777">
      <w:pPr>
        <w:spacing w:after="0" w:line="240" w:lineRule="auto"/>
        <w:ind w:left="720" w:firstLine="720"/>
        <w:contextualSpacing/>
        <w:rPr>
          <w:rFonts w:ascii="Times New Roman" w:hAnsi="Times New Roman" w:eastAsia="Times New Roman" w:cs="Times New Roman"/>
          <w:sz w:val="24"/>
          <w:szCs w:val="24"/>
        </w:rPr>
      </w:pPr>
    </w:p>
    <w:p w:rsidR="00156B4D" w:rsidP="004040DB" w:rsidRDefault="00062AF6" w14:paraId="600A96A6" w14:textId="56FAB37A">
      <w:pPr>
        <w:spacing w:after="0" w:line="240" w:lineRule="auto"/>
        <w:ind w:left="720" w:firstLine="720"/>
        <w:contextualSpacing/>
        <w:rPr>
          <w:rFonts w:ascii="Times New Roman" w:hAnsi="Times New Roman" w:eastAsia="Times New Roman" w:cs="Times New Roman"/>
          <w:sz w:val="24"/>
          <w:szCs w:val="24"/>
        </w:rPr>
      </w:pPr>
      <w:r w:rsidRPr="00062AF6">
        <w:rPr>
          <w:rFonts w:ascii="Times New Roman" w:hAnsi="Times New Roman" w:eastAsia="Times New Roman" w:cs="Times New Roman"/>
          <w:sz w:val="24"/>
          <w:szCs w:val="24"/>
        </w:rPr>
        <w:t>DDTC reviews the request to change end-user, end-use and/or destination of hardware to determine whether to approve the request in accordance with foreign policy and national security interests.</w:t>
      </w:r>
    </w:p>
    <w:p w:rsidR="004040DB" w:rsidP="009565DF" w:rsidRDefault="004040DB" w14:paraId="6AC441F5" w14:textId="77777777">
      <w:pPr>
        <w:spacing w:after="0" w:line="240" w:lineRule="auto"/>
        <w:ind w:left="720" w:firstLine="720"/>
        <w:contextualSpacing/>
        <w:rPr>
          <w:rFonts w:ascii="Times New Roman" w:hAnsi="Times New Roman" w:eastAsia="Times New Roman" w:cs="Times New Roman"/>
          <w:sz w:val="24"/>
          <w:szCs w:val="24"/>
        </w:rPr>
      </w:pPr>
    </w:p>
    <w:p w:rsidRPr="00062AF6" w:rsidR="00156B4D" w:rsidP="009565DF" w:rsidRDefault="00062AF6" w14:paraId="0964A6BB" w14:textId="1BD0EBB1">
      <w:pPr>
        <w:spacing w:after="0" w:line="240" w:lineRule="auto"/>
        <w:ind w:left="720" w:firstLine="720"/>
        <w:contextualSpacing/>
        <w:rPr>
          <w:rFonts w:ascii="Times New Roman" w:hAnsi="Times New Roman" w:eastAsia="Times New Roman" w:cs="Times New Roman"/>
          <w:sz w:val="24"/>
          <w:szCs w:val="24"/>
          <w:u w:val="single"/>
        </w:rPr>
      </w:pPr>
      <w:bookmarkStart w:name="_Hlk109078303" w:id="2"/>
      <w:r w:rsidRPr="00062AF6">
        <w:rPr>
          <w:rFonts w:ascii="Times New Roman" w:hAnsi="Times New Roman" w:eastAsia="Times New Roman" w:cs="Times New Roman"/>
          <w:sz w:val="24"/>
          <w:szCs w:val="24"/>
          <w:u w:val="single"/>
        </w:rPr>
        <w:t>B.  Open General Licenses</w:t>
      </w:r>
    </w:p>
    <w:bookmarkEnd w:id="2"/>
    <w:p w:rsidR="004040DB" w:rsidP="004040DB" w:rsidRDefault="004040DB" w14:paraId="149802B8" w14:textId="77777777">
      <w:pPr>
        <w:spacing w:after="0" w:line="240" w:lineRule="auto"/>
        <w:ind w:left="720" w:firstLine="720"/>
        <w:contextualSpacing/>
        <w:rPr>
          <w:rFonts w:ascii="Times New Roman" w:hAnsi="Times New Roman" w:eastAsia="Times New Roman" w:cs="Times New Roman"/>
          <w:sz w:val="24"/>
          <w:szCs w:val="24"/>
        </w:rPr>
      </w:pPr>
    </w:p>
    <w:p w:rsidR="003357BA" w:rsidP="004040DB" w:rsidRDefault="001B0EB0" w14:paraId="686AC5BC" w14:textId="60876F6D">
      <w:pPr>
        <w:spacing w:after="0" w:line="240" w:lineRule="auto"/>
        <w:ind w:left="720" w:firstLine="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The Department is implementing a</w:t>
      </w:r>
      <w:r w:rsidRPr="1F958B82">
        <w:rPr>
          <w:rFonts w:ascii="Times New Roman" w:hAnsi="Times New Roman" w:eastAsia="Times New Roman" w:cs="Times New Roman"/>
          <w:sz w:val="24"/>
          <w:szCs w:val="24"/>
        </w:rPr>
        <w:t xml:space="preserve"> pilot program pursuant to its authorities in ITAR section 126.9(b) in order to assess the concept of an Open General License (OGL) mechanism by which it may authorize certain transfers of defense articles to predetermined parties. </w:t>
      </w:r>
      <w:r w:rsidRPr="1F958B82" w:rsidR="7886E1FE">
        <w:rPr>
          <w:rFonts w:ascii="Times New Roman" w:hAnsi="Times New Roman" w:eastAsia="Times New Roman" w:cs="Times New Roman"/>
          <w:sz w:val="24"/>
          <w:szCs w:val="24"/>
        </w:rPr>
        <w:t xml:space="preserve">DDTC will use the information it is requiring transferors to retain to assess industry’s compliance with the terms of the OGLs and to ensure that unauthorized transfers do not occur. The records the public will be required to retain through this collection may also be made available, upon request, to other U.S Government agencies in accordance with the AECA.  </w:t>
      </w:r>
    </w:p>
    <w:p w:rsidRPr="00D518FF" w:rsidR="004040DB" w:rsidP="009565DF" w:rsidRDefault="004040DB" w14:paraId="46CA850F" w14:textId="77777777">
      <w:pPr>
        <w:spacing w:after="0" w:line="240" w:lineRule="auto"/>
        <w:ind w:left="720" w:firstLine="720"/>
        <w:contextualSpacing/>
        <w:rPr>
          <w:rFonts w:ascii="Times New Roman" w:hAnsi="Times New Roman" w:eastAsia="Times New Roman" w:cs="Times New Roman"/>
          <w:color w:val="000000" w:themeColor="text1"/>
          <w:sz w:val="24"/>
          <w:szCs w:val="24"/>
        </w:rPr>
      </w:pPr>
    </w:p>
    <w:p w:rsidRPr="009565DF" w:rsidR="003357BA" w:rsidP="004040DB" w:rsidRDefault="4E920CEB" w14:paraId="741DD35A" w14:textId="3BCB1BF7">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Is this collection able to be completed electronically (e.g. through a website or application)?</w:t>
      </w:r>
    </w:p>
    <w:p w:rsidRPr="00D518FF" w:rsidR="004040DB" w:rsidP="009565DF" w:rsidRDefault="004040DB" w14:paraId="79FCB602" w14:textId="77777777">
      <w:pPr>
        <w:pStyle w:val="ListParagraph"/>
        <w:spacing w:after="0" w:line="240" w:lineRule="auto"/>
        <w:rPr>
          <w:rFonts w:ascii="Times New Roman" w:hAnsi="Times New Roman" w:cs="Times New Roman" w:eastAsiaTheme="minorEastAsia"/>
          <w:i/>
          <w:iCs/>
          <w:color w:val="000000" w:themeColor="text1"/>
          <w:sz w:val="24"/>
          <w:szCs w:val="24"/>
        </w:rPr>
      </w:pPr>
    </w:p>
    <w:p w:rsidRPr="009565DF" w:rsidR="00F62A7B" w:rsidP="009565DF" w:rsidRDefault="00F62A7B" w14:paraId="21ED7FE1" w14:textId="68407585">
      <w:pPr>
        <w:spacing w:after="0" w:line="240" w:lineRule="auto"/>
        <w:ind w:left="720" w:firstLine="720"/>
        <w:contextualSpacing/>
        <w:rPr>
          <w:rFonts w:ascii="Times New Roman" w:hAnsi="Times New Roman" w:eastAsia="Times New Roman" w:cs="Times New Roman"/>
          <w:sz w:val="24"/>
          <w:szCs w:val="24"/>
          <w:u w:val="single"/>
        </w:rPr>
      </w:pPr>
      <w:r w:rsidRPr="009565DF">
        <w:rPr>
          <w:rFonts w:ascii="Times New Roman" w:hAnsi="Times New Roman" w:eastAsia="Times New Roman" w:cs="Times New Roman"/>
          <w:sz w:val="24"/>
          <w:szCs w:val="24"/>
          <w:u w:val="single"/>
        </w:rPr>
        <w:t>A.  Request to Change End User, End Use, and/or Destination of Hardware</w:t>
      </w:r>
    </w:p>
    <w:p w:rsidR="00E5795A" w:rsidP="00E5795A" w:rsidRDefault="00E5795A" w14:paraId="74B220DD" w14:textId="77777777">
      <w:pPr>
        <w:spacing w:after="0" w:line="240" w:lineRule="auto"/>
        <w:ind w:left="720" w:firstLine="720"/>
        <w:contextualSpacing/>
        <w:rPr>
          <w:rFonts w:ascii="Times New Roman" w:hAnsi="Times New Roman" w:eastAsia="Times New Roman" w:cs="Times New Roman"/>
          <w:sz w:val="24"/>
          <w:szCs w:val="24"/>
        </w:rPr>
      </w:pPr>
    </w:p>
    <w:p w:rsidR="00F62A7B" w:rsidP="00E5795A" w:rsidRDefault="00F62A7B" w14:paraId="6FB40BF6" w14:textId="37CF3D03">
      <w:pPr>
        <w:spacing w:after="0" w:line="240" w:lineRule="auto"/>
        <w:ind w:left="720" w:firstLine="720"/>
        <w:contextualSpacing/>
        <w:rPr>
          <w:rFonts w:ascii="Times New Roman" w:hAnsi="Times New Roman" w:eastAsia="Times New Roman" w:cs="Times New Roman"/>
          <w:sz w:val="24"/>
          <w:szCs w:val="24"/>
        </w:rPr>
      </w:pPr>
      <w:r w:rsidRPr="00F62A7B">
        <w:rPr>
          <w:rFonts w:ascii="Times New Roman" w:hAnsi="Times New Roman" w:eastAsia="Times New Roman" w:cs="Times New Roman"/>
          <w:sz w:val="24"/>
          <w:szCs w:val="24"/>
        </w:rPr>
        <w:t>Applicants are referred to ITAR §123.9 for guidance on information to submit regarding the request to change the end-user, and to change the end-use and/or destination of hardware.  With the implementation of DDTC’s new case management system, the Defense Export Control and Compliance System (DECCS), applicants may provide this information electronically using form DS-6004.  Applicants will be able to access the form DS-6004 from DDTC’s website, complete it online, and submit it via the Internet.</w:t>
      </w:r>
    </w:p>
    <w:p w:rsidR="00E5795A" w:rsidP="009565DF" w:rsidRDefault="00E5795A" w14:paraId="24645F61" w14:textId="77777777">
      <w:pPr>
        <w:spacing w:after="0" w:line="240" w:lineRule="auto"/>
        <w:ind w:left="720" w:firstLine="720"/>
        <w:contextualSpacing/>
        <w:rPr>
          <w:rFonts w:ascii="Times New Roman" w:hAnsi="Times New Roman" w:eastAsia="Times New Roman" w:cs="Times New Roman"/>
          <w:sz w:val="24"/>
          <w:szCs w:val="24"/>
        </w:rPr>
      </w:pPr>
    </w:p>
    <w:p w:rsidRPr="009565DF" w:rsidR="00F62A7B" w:rsidP="009565DF" w:rsidRDefault="00F62A7B" w14:paraId="241A75B8" w14:textId="7E96858E">
      <w:pPr>
        <w:spacing w:after="0" w:line="240" w:lineRule="auto"/>
        <w:ind w:left="720" w:firstLine="720"/>
        <w:contextualSpacing/>
        <w:rPr>
          <w:rFonts w:ascii="Times New Roman" w:hAnsi="Times New Roman" w:eastAsia="Times New Roman" w:cs="Times New Roman"/>
          <w:sz w:val="24"/>
          <w:szCs w:val="24"/>
          <w:u w:val="single"/>
        </w:rPr>
      </w:pPr>
      <w:r w:rsidRPr="009565DF">
        <w:rPr>
          <w:rFonts w:ascii="Times New Roman" w:hAnsi="Times New Roman" w:eastAsia="Times New Roman" w:cs="Times New Roman"/>
          <w:sz w:val="24"/>
          <w:szCs w:val="24"/>
          <w:u w:val="single"/>
        </w:rPr>
        <w:lastRenderedPageBreak/>
        <w:t>B.  Open General Licenses</w:t>
      </w:r>
    </w:p>
    <w:p w:rsidR="00E5795A" w:rsidP="00E5795A" w:rsidRDefault="00E5795A" w14:paraId="169E8069" w14:textId="77777777">
      <w:pPr>
        <w:spacing w:after="0" w:line="240" w:lineRule="auto"/>
        <w:ind w:left="720" w:firstLine="720"/>
        <w:contextualSpacing/>
        <w:rPr>
          <w:rFonts w:ascii="Times New Roman" w:hAnsi="Times New Roman" w:eastAsia="Times New Roman" w:cs="Times New Roman"/>
          <w:sz w:val="24"/>
          <w:szCs w:val="24"/>
        </w:rPr>
      </w:pPr>
    </w:p>
    <w:p w:rsidR="003357BA" w:rsidP="00E5795A" w:rsidRDefault="00E5795A" w14:paraId="34A98312" w14:textId="7692F017">
      <w:pPr>
        <w:spacing w:after="0" w:line="240" w:lineRule="auto"/>
        <w:ind w:left="720" w:firstLine="720"/>
        <w:contextualSpacing/>
        <w:rPr>
          <w:rFonts w:ascii="Times New Roman" w:hAnsi="Times New Roman" w:eastAsia="Times New Roman" w:cs="Times New Roman"/>
          <w:color w:val="000000" w:themeColor="text1"/>
          <w:sz w:val="24"/>
          <w:szCs w:val="24"/>
        </w:rPr>
      </w:pPr>
      <w:r>
        <w:rPr>
          <w:rFonts w:ascii="Times New Roman" w:hAnsi="Times New Roman" w:eastAsia="Times New Roman" w:cs="Times New Roman"/>
          <w:sz w:val="24"/>
          <w:szCs w:val="24"/>
        </w:rPr>
        <w:t>For Open General Licenses, t</w:t>
      </w:r>
      <w:r w:rsidRPr="1F958B82" w:rsidR="012121E4">
        <w:rPr>
          <w:rFonts w:ascii="Times New Roman" w:hAnsi="Times New Roman" w:eastAsia="Times New Roman" w:cs="Times New Roman"/>
          <w:sz w:val="24"/>
          <w:szCs w:val="24"/>
        </w:rPr>
        <w:t xml:space="preserve">he public may retain records in electronic format and may produce those records, if requested by DDTC, in electronic format so long as the electronic records exhibit a high degree of legibility and readability consistent with the standards articulated in ITAR section 122.5. </w:t>
      </w:r>
      <w:r w:rsidRPr="1F958B82" w:rsidR="0A2545B2">
        <w:rPr>
          <w:rFonts w:ascii="Times New Roman" w:hAnsi="Times New Roman" w:eastAsia="Times New Roman" w:cs="Times New Roman"/>
          <w:color w:val="000000" w:themeColor="text1"/>
          <w:sz w:val="24"/>
          <w:szCs w:val="24"/>
        </w:rPr>
        <w:t xml:space="preserve">  </w:t>
      </w:r>
    </w:p>
    <w:p w:rsidRPr="00D518FF" w:rsidR="004040DB" w:rsidP="009565DF" w:rsidRDefault="004040DB" w14:paraId="6869B47A" w14:textId="77777777">
      <w:pPr>
        <w:spacing w:after="0" w:line="240" w:lineRule="auto"/>
        <w:ind w:left="720" w:firstLine="720"/>
        <w:contextualSpacing/>
        <w:rPr>
          <w:rFonts w:ascii="Times New Roman" w:hAnsi="Times New Roman" w:eastAsia="Times New Roman" w:cs="Times New Roman"/>
          <w:color w:val="000000" w:themeColor="text1"/>
          <w:sz w:val="24"/>
          <w:szCs w:val="24"/>
        </w:rPr>
      </w:pPr>
    </w:p>
    <w:p w:rsidRPr="00D518FF" w:rsidR="003357BA" w:rsidP="009565DF" w:rsidRDefault="4E920CEB" w14:paraId="073DA200" w14:textId="672195F6">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Does this collection duplicate any other collection of information?</w:t>
      </w:r>
    </w:p>
    <w:p w:rsidR="00F62A7B" w:rsidP="009565DF" w:rsidRDefault="00F62A7B" w14:paraId="7AFEB44C" w14:textId="77777777">
      <w:pPr>
        <w:spacing w:after="0" w:line="240" w:lineRule="auto"/>
        <w:ind w:left="720"/>
        <w:contextualSpacing/>
        <w:rPr>
          <w:rFonts w:ascii="Times New Roman" w:hAnsi="Times New Roman" w:eastAsia="Times New Roman" w:cs="Times New Roman"/>
          <w:sz w:val="24"/>
          <w:szCs w:val="24"/>
        </w:rPr>
      </w:pPr>
    </w:p>
    <w:p w:rsidRPr="009565DF" w:rsidR="00F62A7B" w:rsidP="009565DF" w:rsidRDefault="00F62A7B" w14:paraId="2BD969A4" w14:textId="77777777">
      <w:pPr>
        <w:spacing w:after="0" w:line="240" w:lineRule="auto"/>
        <w:ind w:left="720" w:firstLine="720"/>
        <w:contextualSpacing/>
        <w:rPr>
          <w:rFonts w:ascii="Times New Roman" w:hAnsi="Times New Roman" w:eastAsia="Times New Roman" w:cs="Times New Roman"/>
          <w:sz w:val="24"/>
          <w:szCs w:val="24"/>
          <w:u w:val="single"/>
        </w:rPr>
      </w:pPr>
      <w:r w:rsidRPr="009565DF">
        <w:rPr>
          <w:rFonts w:ascii="Times New Roman" w:hAnsi="Times New Roman" w:eastAsia="Times New Roman" w:cs="Times New Roman"/>
          <w:sz w:val="24"/>
          <w:szCs w:val="24"/>
          <w:u w:val="single"/>
        </w:rPr>
        <w:t>A.  Request to Change End User, End Use, and/or Destination of Hardware</w:t>
      </w:r>
    </w:p>
    <w:p w:rsidR="004040DB" w:rsidP="004040DB" w:rsidRDefault="004040DB" w14:paraId="57D9F3C6" w14:textId="77777777">
      <w:pPr>
        <w:spacing w:after="0" w:line="240" w:lineRule="auto"/>
        <w:ind w:left="720" w:firstLine="720"/>
        <w:contextualSpacing/>
        <w:rPr>
          <w:rFonts w:ascii="Times New Roman" w:hAnsi="Times New Roman" w:eastAsia="Times New Roman" w:cs="Times New Roman"/>
          <w:sz w:val="24"/>
          <w:szCs w:val="24"/>
        </w:rPr>
      </w:pPr>
    </w:p>
    <w:p w:rsidR="00F62A7B" w:rsidP="009565DF" w:rsidRDefault="00F62A7B" w14:paraId="36B454E4" w14:textId="3A152284">
      <w:pPr>
        <w:spacing w:after="0" w:line="240" w:lineRule="auto"/>
        <w:ind w:left="720" w:firstLine="720"/>
        <w:contextualSpacing/>
        <w:rPr>
          <w:rFonts w:ascii="Times New Roman" w:hAnsi="Times New Roman" w:eastAsia="Times New Roman" w:cs="Times New Roman"/>
          <w:sz w:val="24"/>
          <w:szCs w:val="24"/>
        </w:rPr>
      </w:pPr>
      <w:r w:rsidRPr="00F62A7B">
        <w:rPr>
          <w:rFonts w:ascii="Times New Roman" w:hAnsi="Times New Roman" w:eastAsia="Times New Roman" w:cs="Times New Roman"/>
          <w:sz w:val="24"/>
          <w:szCs w:val="24"/>
        </w:rPr>
        <w:t>The Department of State is unaware of any other U.S. Government requirements that would cause U.S. industry to duplicate this reporting requirement.</w:t>
      </w:r>
    </w:p>
    <w:p w:rsidR="00F62A7B" w:rsidP="009565DF" w:rsidRDefault="00F62A7B" w14:paraId="099695C9" w14:textId="77777777">
      <w:pPr>
        <w:spacing w:after="0" w:line="240" w:lineRule="auto"/>
        <w:ind w:left="720"/>
        <w:contextualSpacing/>
        <w:rPr>
          <w:rFonts w:ascii="Times New Roman" w:hAnsi="Times New Roman" w:eastAsia="Times New Roman" w:cs="Times New Roman"/>
          <w:sz w:val="24"/>
          <w:szCs w:val="24"/>
        </w:rPr>
      </w:pPr>
    </w:p>
    <w:p w:rsidRPr="009565DF" w:rsidR="00F62A7B" w:rsidP="009565DF" w:rsidRDefault="00F62A7B" w14:paraId="0781D3DF" w14:textId="763926E8">
      <w:pPr>
        <w:spacing w:after="0" w:line="240" w:lineRule="auto"/>
        <w:ind w:left="720" w:firstLine="720"/>
        <w:contextualSpacing/>
        <w:rPr>
          <w:rFonts w:ascii="Times New Roman" w:hAnsi="Times New Roman" w:eastAsia="Times New Roman" w:cs="Times New Roman"/>
          <w:sz w:val="24"/>
          <w:szCs w:val="24"/>
          <w:u w:val="single"/>
        </w:rPr>
      </w:pPr>
      <w:r w:rsidRPr="009565DF">
        <w:rPr>
          <w:rFonts w:ascii="Times New Roman" w:hAnsi="Times New Roman" w:eastAsia="Times New Roman" w:cs="Times New Roman"/>
          <w:sz w:val="24"/>
          <w:szCs w:val="24"/>
          <w:u w:val="single"/>
        </w:rPr>
        <w:t>B.  Open General Licenses</w:t>
      </w:r>
    </w:p>
    <w:p w:rsidR="004040DB" w:rsidP="004040DB" w:rsidRDefault="004040DB" w14:paraId="68CB100E" w14:textId="77777777">
      <w:pPr>
        <w:spacing w:after="0" w:line="240" w:lineRule="auto"/>
        <w:ind w:left="720" w:firstLine="720"/>
        <w:contextualSpacing/>
        <w:rPr>
          <w:rFonts w:ascii="Times New Roman" w:hAnsi="Times New Roman" w:eastAsia="Times New Roman" w:cs="Times New Roman"/>
          <w:sz w:val="24"/>
          <w:szCs w:val="24"/>
        </w:rPr>
      </w:pPr>
    </w:p>
    <w:p w:rsidR="003357BA" w:rsidP="004040DB" w:rsidRDefault="5847DF80" w14:paraId="36225126" w14:textId="7E11A314">
      <w:pPr>
        <w:spacing w:after="0" w:line="240" w:lineRule="auto"/>
        <w:ind w:left="720" w:firstLine="720"/>
        <w:contextualSpacing/>
        <w:rPr>
          <w:rFonts w:ascii="Times New Roman" w:hAnsi="Times New Roman" w:eastAsia="Times New Roman" w:cs="Times New Roman"/>
          <w:sz w:val="24"/>
          <w:szCs w:val="24"/>
        </w:rPr>
      </w:pPr>
      <w:r w:rsidRPr="1F958B82">
        <w:rPr>
          <w:rFonts w:ascii="Times New Roman" w:hAnsi="Times New Roman" w:eastAsia="Times New Roman" w:cs="Times New Roman"/>
          <w:sz w:val="24"/>
          <w:szCs w:val="24"/>
        </w:rPr>
        <w:t>As</w:t>
      </w:r>
      <w:r w:rsidR="00F62A7B">
        <w:rPr>
          <w:rFonts w:ascii="Times New Roman" w:hAnsi="Times New Roman" w:eastAsia="Times New Roman" w:cs="Times New Roman"/>
          <w:sz w:val="24"/>
          <w:szCs w:val="24"/>
        </w:rPr>
        <w:t xml:space="preserve"> also </w:t>
      </w:r>
      <w:r w:rsidR="00E5795A">
        <w:rPr>
          <w:rFonts w:ascii="Times New Roman" w:hAnsi="Times New Roman" w:eastAsia="Times New Roman" w:cs="Times New Roman"/>
          <w:sz w:val="24"/>
          <w:szCs w:val="24"/>
        </w:rPr>
        <w:t xml:space="preserve">partly </w:t>
      </w:r>
      <w:r w:rsidR="00F62A7B">
        <w:rPr>
          <w:rFonts w:ascii="Times New Roman" w:hAnsi="Times New Roman" w:eastAsia="Times New Roman" w:cs="Times New Roman"/>
          <w:sz w:val="24"/>
          <w:szCs w:val="24"/>
        </w:rPr>
        <w:t>described</w:t>
      </w:r>
      <w:r w:rsidRPr="1F958B82">
        <w:rPr>
          <w:rFonts w:ascii="Times New Roman" w:hAnsi="Times New Roman" w:eastAsia="Times New Roman" w:cs="Times New Roman"/>
          <w:sz w:val="24"/>
          <w:szCs w:val="24"/>
        </w:rPr>
        <w:t xml:space="preserve"> above, a number of existing provisions in the ITAR require the public to submit similar information in connection with a specific license application request or the use of an exemption. However, the Department of State is unaware of any other U.S. Government requirements that would cause foreign persons to retain such records when relying on an OGL to transfer defense articles subject to the ITAR.</w:t>
      </w:r>
    </w:p>
    <w:p w:rsidRPr="00D518FF" w:rsidR="004040DB" w:rsidP="009565DF" w:rsidRDefault="004040DB" w14:paraId="05C30842" w14:textId="77777777">
      <w:pPr>
        <w:spacing w:after="0" w:line="240" w:lineRule="auto"/>
        <w:ind w:left="720" w:firstLine="720"/>
        <w:contextualSpacing/>
        <w:rPr>
          <w:rFonts w:ascii="Times New Roman" w:hAnsi="Times New Roman" w:eastAsia="Times New Roman" w:cs="Times New Roman"/>
          <w:color w:val="000000" w:themeColor="text1"/>
          <w:sz w:val="24"/>
          <w:szCs w:val="24"/>
        </w:rPr>
      </w:pPr>
    </w:p>
    <w:p w:rsidRPr="009565DF" w:rsidR="003357BA" w:rsidP="004040DB" w:rsidRDefault="4E920CEB" w14:paraId="26AEE248" w14:textId="5F48ADD7">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Describe any impacts on small business.</w:t>
      </w:r>
    </w:p>
    <w:p w:rsidRPr="00D518FF" w:rsidR="004040DB" w:rsidP="009565DF" w:rsidRDefault="004040DB" w14:paraId="0241FC08" w14:textId="77777777">
      <w:pPr>
        <w:pStyle w:val="ListParagraph"/>
        <w:spacing w:after="0" w:line="240" w:lineRule="auto"/>
        <w:rPr>
          <w:rFonts w:ascii="Times New Roman" w:hAnsi="Times New Roman" w:cs="Times New Roman" w:eastAsiaTheme="minorEastAsia"/>
          <w:i/>
          <w:iCs/>
          <w:color w:val="000000" w:themeColor="text1"/>
          <w:sz w:val="24"/>
          <w:szCs w:val="24"/>
        </w:rPr>
      </w:pPr>
    </w:p>
    <w:p w:rsidR="00D62B93" w:rsidP="009565DF" w:rsidRDefault="00F62A7B" w14:paraId="10A510D6" w14:textId="05AA38DF">
      <w:pPr>
        <w:spacing w:after="0" w:line="240" w:lineRule="auto"/>
        <w:ind w:left="720" w:firstLine="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w:t>
      </w:r>
      <w:r w:rsidR="004040DB">
        <w:rPr>
          <w:rFonts w:ascii="Times New Roman" w:hAnsi="Times New Roman" w:eastAsia="Times New Roman" w:cs="Times New Roman"/>
          <w:sz w:val="24"/>
          <w:szCs w:val="24"/>
        </w:rPr>
        <w:t>all</w:t>
      </w:r>
      <w:r>
        <w:rPr>
          <w:rFonts w:ascii="Times New Roman" w:hAnsi="Times New Roman" w:eastAsia="Times New Roman" w:cs="Times New Roman"/>
          <w:sz w:val="24"/>
          <w:szCs w:val="24"/>
        </w:rPr>
        <w:t xml:space="preserve"> collections, e</w:t>
      </w:r>
      <w:r w:rsidRPr="1F958B82" w:rsidR="056E9AE1">
        <w:rPr>
          <w:rFonts w:ascii="Times New Roman" w:hAnsi="Times New Roman" w:eastAsia="Times New Roman" w:cs="Times New Roman"/>
          <w:sz w:val="24"/>
          <w:szCs w:val="24"/>
        </w:rPr>
        <w:t>xport control laws and regulations are applicable equally to large and small entities.  The burden imposed on respondents by this collection directly correlates with the number of qualifying</w:t>
      </w:r>
      <w:r>
        <w:rPr>
          <w:rFonts w:ascii="Times New Roman" w:hAnsi="Times New Roman" w:eastAsia="Times New Roman" w:cs="Times New Roman"/>
          <w:sz w:val="24"/>
          <w:szCs w:val="24"/>
        </w:rPr>
        <w:t xml:space="preserve"> applications or</w:t>
      </w:r>
      <w:r w:rsidRPr="1F958B82" w:rsidR="056E9AE1">
        <w:rPr>
          <w:rFonts w:ascii="Times New Roman" w:hAnsi="Times New Roman" w:eastAsia="Times New Roman" w:cs="Times New Roman"/>
          <w:sz w:val="24"/>
          <w:szCs w:val="24"/>
        </w:rPr>
        <w:t xml:space="preserve"> transfers by these entities, rather than the size of such entities.</w:t>
      </w:r>
    </w:p>
    <w:p w:rsidRPr="00D518FF" w:rsidR="004040DB" w:rsidP="009565DF" w:rsidRDefault="004040DB" w14:paraId="66221DCB" w14:textId="77777777">
      <w:pPr>
        <w:spacing w:after="0" w:line="240" w:lineRule="auto"/>
        <w:ind w:left="720"/>
        <w:contextualSpacing/>
        <w:rPr>
          <w:rFonts w:ascii="Times New Roman" w:hAnsi="Times New Roman" w:cs="Times New Roman" w:eastAsiaTheme="minorEastAsia"/>
          <w:i/>
          <w:iCs/>
          <w:color w:val="000000" w:themeColor="text1"/>
          <w:sz w:val="24"/>
          <w:szCs w:val="24"/>
        </w:rPr>
      </w:pPr>
    </w:p>
    <w:p w:rsidRPr="00D518FF" w:rsidR="003357BA" w:rsidP="009565DF" w:rsidRDefault="4E920CEB" w14:paraId="09840524" w14:textId="5A542C78">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What are consequences if this collection is not done?</w:t>
      </w:r>
    </w:p>
    <w:p w:rsidR="004040DB" w:rsidP="004040DB" w:rsidRDefault="004040DB" w14:paraId="61BA9F3C" w14:textId="5EB963E7">
      <w:pPr>
        <w:spacing w:after="0" w:line="240" w:lineRule="auto"/>
        <w:ind w:left="720"/>
        <w:contextualSpacing/>
        <w:rPr>
          <w:rFonts w:ascii="Times New Roman" w:hAnsi="Times New Roman" w:eastAsia="Times New Roman" w:cs="Times New Roman"/>
          <w:sz w:val="24"/>
          <w:szCs w:val="24"/>
        </w:rPr>
      </w:pPr>
    </w:p>
    <w:p w:rsidR="004040DB" w:rsidP="009565DF" w:rsidRDefault="004040DB" w14:paraId="093A7B33" w14:textId="5264667B">
      <w:pPr>
        <w:spacing w:after="0" w:line="240" w:lineRule="auto"/>
        <w:ind w:left="720" w:firstLine="720"/>
        <w:contextualSpacing/>
        <w:rPr>
          <w:rFonts w:ascii="Times New Roman" w:hAnsi="Times New Roman" w:eastAsia="Times New Roman" w:cs="Times New Roman"/>
          <w:sz w:val="24"/>
          <w:szCs w:val="24"/>
          <w:u w:val="single"/>
        </w:rPr>
      </w:pPr>
      <w:r w:rsidRPr="0033045C">
        <w:rPr>
          <w:rFonts w:ascii="Times New Roman" w:hAnsi="Times New Roman" w:eastAsia="Times New Roman" w:cs="Times New Roman"/>
          <w:sz w:val="24"/>
          <w:szCs w:val="24"/>
          <w:u w:val="single"/>
        </w:rPr>
        <w:t>A.  Request to Change End User, End Use, and/or Destination of Hardware</w:t>
      </w:r>
    </w:p>
    <w:p w:rsidR="004040DB" w:rsidP="004040DB" w:rsidRDefault="004040DB" w14:paraId="70BC4FA0" w14:textId="77777777">
      <w:pPr>
        <w:spacing w:after="0" w:line="240" w:lineRule="auto"/>
        <w:ind w:left="720"/>
        <w:contextualSpacing/>
        <w:rPr>
          <w:rFonts w:ascii="Times New Roman" w:hAnsi="Times New Roman" w:eastAsia="Times New Roman" w:cs="Times New Roman"/>
          <w:sz w:val="24"/>
          <w:szCs w:val="24"/>
        </w:rPr>
      </w:pPr>
    </w:p>
    <w:p w:rsidR="004040DB" w:rsidP="009565DF" w:rsidRDefault="004040DB" w14:paraId="5108B0EA" w14:textId="0E49E946">
      <w:pPr>
        <w:spacing w:after="0" w:line="240" w:lineRule="auto"/>
        <w:ind w:left="720" w:firstLine="720"/>
        <w:contextualSpacing/>
        <w:rPr>
          <w:rFonts w:ascii="Times New Roman" w:hAnsi="Times New Roman" w:eastAsia="Times New Roman" w:cs="Times New Roman"/>
          <w:sz w:val="24"/>
          <w:szCs w:val="24"/>
        </w:rPr>
      </w:pPr>
      <w:r w:rsidRPr="004040DB">
        <w:rPr>
          <w:rFonts w:ascii="Times New Roman" w:hAnsi="Times New Roman" w:eastAsia="Times New Roman" w:cs="Times New Roman"/>
          <w:sz w:val="24"/>
          <w:szCs w:val="24"/>
        </w:rPr>
        <w:t>The AECA and the ITAR established the frequency of information collection.  The information required for the proper assessment of a proposal to change the end-user, to change the end-use and/or destination of hardware is reviewed on a case-by-case basis and is specific to the transaction under consideration.  Absent this information, the Department would not have the information required for the process of reviewing and responding to such requests.</w:t>
      </w:r>
    </w:p>
    <w:p w:rsidR="004040DB" w:rsidP="004040DB" w:rsidRDefault="004040DB" w14:paraId="4AEA9097" w14:textId="77777777">
      <w:pPr>
        <w:spacing w:after="0" w:line="240" w:lineRule="auto"/>
        <w:ind w:left="720" w:firstLine="720"/>
        <w:contextualSpacing/>
        <w:rPr>
          <w:rFonts w:ascii="Times New Roman" w:hAnsi="Times New Roman" w:eastAsia="Times New Roman" w:cs="Times New Roman"/>
          <w:sz w:val="24"/>
          <w:szCs w:val="24"/>
          <w:u w:val="single"/>
        </w:rPr>
      </w:pPr>
    </w:p>
    <w:p w:rsidRPr="0033045C" w:rsidR="004040DB" w:rsidP="004040DB" w:rsidRDefault="004040DB" w14:paraId="0C6459B3" w14:textId="72E4B46C">
      <w:pPr>
        <w:spacing w:after="0" w:line="240" w:lineRule="auto"/>
        <w:ind w:left="720" w:firstLine="720"/>
        <w:contextualSpacing/>
        <w:rPr>
          <w:rFonts w:ascii="Times New Roman" w:hAnsi="Times New Roman" w:eastAsia="Times New Roman" w:cs="Times New Roman"/>
          <w:sz w:val="24"/>
          <w:szCs w:val="24"/>
          <w:u w:val="single"/>
        </w:rPr>
      </w:pPr>
      <w:bookmarkStart w:name="_Hlk109083921" w:id="3"/>
      <w:r w:rsidRPr="0033045C">
        <w:rPr>
          <w:rFonts w:ascii="Times New Roman" w:hAnsi="Times New Roman" w:eastAsia="Times New Roman" w:cs="Times New Roman"/>
          <w:sz w:val="24"/>
          <w:szCs w:val="24"/>
          <w:u w:val="single"/>
        </w:rPr>
        <w:t>B.  Open General Licenses</w:t>
      </w:r>
    </w:p>
    <w:bookmarkEnd w:id="3"/>
    <w:p w:rsidR="004040DB" w:rsidP="009565DF" w:rsidRDefault="004040DB" w14:paraId="0C2486E5" w14:textId="77777777">
      <w:pPr>
        <w:spacing w:after="0" w:line="240" w:lineRule="auto"/>
        <w:contextualSpacing/>
        <w:rPr>
          <w:rFonts w:ascii="Times New Roman" w:hAnsi="Times New Roman" w:eastAsia="Times New Roman" w:cs="Times New Roman"/>
          <w:sz w:val="24"/>
          <w:szCs w:val="24"/>
        </w:rPr>
      </w:pPr>
    </w:p>
    <w:p w:rsidR="003357BA" w:rsidP="004040DB" w:rsidRDefault="701A081D" w14:paraId="460EB33E" w14:textId="5EA20A6B">
      <w:pPr>
        <w:spacing w:after="0" w:line="240" w:lineRule="auto"/>
        <w:ind w:left="720" w:firstLine="720"/>
        <w:contextualSpacing/>
        <w:rPr>
          <w:rFonts w:ascii="Times New Roman" w:hAnsi="Times New Roman" w:cs="Times New Roman"/>
          <w:sz w:val="24"/>
          <w:szCs w:val="24"/>
        </w:rPr>
      </w:pPr>
      <w:r w:rsidRPr="1F958B82">
        <w:rPr>
          <w:rFonts w:ascii="Times New Roman" w:hAnsi="Times New Roman" w:eastAsia="Times New Roman" w:cs="Times New Roman"/>
          <w:sz w:val="24"/>
          <w:szCs w:val="24"/>
        </w:rPr>
        <w:t xml:space="preserve">Information will be collected and stored as a requirement of using an OGL to transfer a qualifying defense article.  DDTC may, at its discretion, require the public to furnish those records to the USG. Absent these recordkeeping and production </w:t>
      </w:r>
      <w:r w:rsidRPr="1F958B82">
        <w:rPr>
          <w:rFonts w:ascii="Times New Roman" w:hAnsi="Times New Roman" w:eastAsia="Times New Roman" w:cs="Times New Roman"/>
          <w:sz w:val="24"/>
          <w:szCs w:val="24"/>
        </w:rPr>
        <w:lastRenderedPageBreak/>
        <w:t>requirements, DDTC would not be able to meet its legally mandated responsibilities to ensure oversight of defense trade exports in furtherance of foreign policy objectives, national security interests, and world peace.</w:t>
      </w:r>
      <w:r w:rsidRPr="1F958B82">
        <w:rPr>
          <w:rFonts w:ascii="Times New Roman" w:hAnsi="Times New Roman" w:cs="Times New Roman"/>
          <w:sz w:val="24"/>
          <w:szCs w:val="24"/>
        </w:rPr>
        <w:t xml:space="preserve"> </w:t>
      </w:r>
    </w:p>
    <w:p w:rsidRPr="00D518FF" w:rsidR="004040DB" w:rsidP="009565DF" w:rsidRDefault="004040DB" w14:paraId="7D28972A" w14:textId="77777777">
      <w:pPr>
        <w:spacing w:after="0" w:line="240" w:lineRule="auto"/>
        <w:ind w:left="720" w:firstLine="720"/>
        <w:contextualSpacing/>
        <w:rPr>
          <w:rFonts w:ascii="Times New Roman" w:hAnsi="Times New Roman" w:cs="Times New Roman"/>
          <w:sz w:val="24"/>
          <w:szCs w:val="24"/>
        </w:rPr>
      </w:pPr>
    </w:p>
    <w:p w:rsidRPr="009565DF" w:rsidR="003357BA" w:rsidP="004040DB" w:rsidRDefault="4E920CEB" w14:paraId="0A6C6DA2" w14:textId="62523B87">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Are there any special collection circumstances?</w:t>
      </w:r>
    </w:p>
    <w:p w:rsidR="004040DB" w:rsidP="004040DB" w:rsidRDefault="004040DB" w14:paraId="07C29A70" w14:textId="6768BCD1">
      <w:pPr>
        <w:pStyle w:val="ListParagraph"/>
        <w:spacing w:after="0" w:line="240" w:lineRule="auto"/>
        <w:rPr>
          <w:rFonts w:ascii="Times New Roman" w:hAnsi="Times New Roman" w:cs="Times New Roman" w:eastAsiaTheme="minorEastAsia"/>
          <w:color w:val="000000" w:themeColor="text1"/>
          <w:sz w:val="24"/>
          <w:szCs w:val="24"/>
        </w:rPr>
      </w:pPr>
    </w:p>
    <w:p w:rsidRPr="0033045C" w:rsidR="00C22796" w:rsidP="00C22796" w:rsidRDefault="00C22796" w14:paraId="2D608916" w14:textId="77777777">
      <w:pPr>
        <w:spacing w:after="0" w:line="240" w:lineRule="auto"/>
        <w:ind w:left="720" w:firstLine="720"/>
        <w:contextualSpacing/>
        <w:rPr>
          <w:rFonts w:ascii="Times New Roman" w:hAnsi="Times New Roman" w:eastAsia="Times New Roman" w:cs="Times New Roman"/>
          <w:sz w:val="24"/>
          <w:szCs w:val="24"/>
          <w:u w:val="single"/>
        </w:rPr>
      </w:pPr>
      <w:r w:rsidRPr="0033045C">
        <w:rPr>
          <w:rFonts w:ascii="Times New Roman" w:hAnsi="Times New Roman" w:eastAsia="Times New Roman" w:cs="Times New Roman"/>
          <w:sz w:val="24"/>
          <w:szCs w:val="24"/>
          <w:u w:val="single"/>
        </w:rPr>
        <w:t>A.  Request to Change End User, End Use, and/or Destination of Hardware</w:t>
      </w:r>
    </w:p>
    <w:p w:rsidRPr="009565DF" w:rsidR="00C22796" w:rsidP="004040DB" w:rsidRDefault="00C22796" w14:paraId="38207A50" w14:textId="77777777">
      <w:pPr>
        <w:pStyle w:val="ListParagraph"/>
        <w:spacing w:after="0" w:line="240" w:lineRule="auto"/>
        <w:rPr>
          <w:rFonts w:ascii="Times New Roman" w:hAnsi="Times New Roman" w:cs="Times New Roman" w:eastAsiaTheme="minorEastAsia"/>
          <w:color w:val="000000" w:themeColor="text1"/>
          <w:sz w:val="24"/>
          <w:szCs w:val="24"/>
        </w:rPr>
      </w:pPr>
    </w:p>
    <w:p w:rsidRPr="009565DF" w:rsidR="004040DB" w:rsidP="009565DF" w:rsidRDefault="004040DB" w14:paraId="388D0E17" w14:textId="0CAC7599">
      <w:pPr>
        <w:pStyle w:val="ListParagraph"/>
        <w:spacing w:after="0" w:line="240" w:lineRule="auto"/>
        <w:ind w:firstLine="720"/>
        <w:rPr>
          <w:rFonts w:ascii="Times New Roman" w:hAnsi="Times New Roman" w:cs="Times New Roman" w:eastAsiaTheme="minorEastAsia"/>
          <w:color w:val="000000" w:themeColor="text1"/>
          <w:sz w:val="24"/>
          <w:szCs w:val="24"/>
        </w:rPr>
      </w:pPr>
      <w:r w:rsidRPr="009565DF">
        <w:rPr>
          <w:rFonts w:ascii="Times New Roman" w:hAnsi="Times New Roman" w:cs="Times New Roman" w:eastAsiaTheme="minorEastAsia"/>
          <w:color w:val="000000" w:themeColor="text1"/>
          <w:sz w:val="24"/>
          <w:szCs w:val="24"/>
        </w:rPr>
        <w:t>The ITAR requires maintenance of records for a minimum period of five years</w:t>
      </w:r>
      <w:r w:rsidR="00E842E4">
        <w:rPr>
          <w:rFonts w:ascii="Times New Roman" w:hAnsi="Times New Roman" w:cs="Times New Roman" w:eastAsiaTheme="minorEastAsia"/>
          <w:color w:val="000000" w:themeColor="text1"/>
          <w:sz w:val="24"/>
          <w:szCs w:val="24"/>
        </w:rPr>
        <w:t xml:space="preserve">. Under ITAR section 123.9 there are no other special collection circumstances. </w:t>
      </w:r>
    </w:p>
    <w:p w:rsidR="004040DB" w:rsidP="004040DB" w:rsidRDefault="004040DB" w14:paraId="52C5AE49" w14:textId="3B4004B5">
      <w:pPr>
        <w:pStyle w:val="ListParagraph"/>
        <w:spacing w:after="0" w:line="240" w:lineRule="auto"/>
        <w:rPr>
          <w:rFonts w:ascii="Times New Roman" w:hAnsi="Times New Roman" w:cs="Times New Roman" w:eastAsiaTheme="minorEastAsia"/>
          <w:i/>
          <w:iCs/>
          <w:color w:val="000000" w:themeColor="text1"/>
          <w:sz w:val="24"/>
          <w:szCs w:val="24"/>
        </w:rPr>
      </w:pPr>
    </w:p>
    <w:p w:rsidRPr="0033045C" w:rsidR="00C22796" w:rsidP="00C22796" w:rsidRDefault="00C22796" w14:paraId="03FDF8CC" w14:textId="77777777">
      <w:pPr>
        <w:spacing w:after="0" w:line="240" w:lineRule="auto"/>
        <w:ind w:left="720" w:firstLine="720"/>
        <w:contextualSpacing/>
        <w:rPr>
          <w:rFonts w:ascii="Times New Roman" w:hAnsi="Times New Roman" w:eastAsia="Times New Roman" w:cs="Times New Roman"/>
          <w:sz w:val="24"/>
          <w:szCs w:val="24"/>
          <w:u w:val="single"/>
        </w:rPr>
      </w:pPr>
      <w:r w:rsidRPr="0033045C">
        <w:rPr>
          <w:rFonts w:ascii="Times New Roman" w:hAnsi="Times New Roman" w:eastAsia="Times New Roman" w:cs="Times New Roman"/>
          <w:sz w:val="24"/>
          <w:szCs w:val="24"/>
          <w:u w:val="single"/>
        </w:rPr>
        <w:t>B.  Open General Licenses</w:t>
      </w:r>
    </w:p>
    <w:p w:rsidRPr="00D518FF" w:rsidR="00C22796" w:rsidP="009565DF" w:rsidRDefault="00C22796" w14:paraId="51BED826" w14:textId="77777777">
      <w:pPr>
        <w:pStyle w:val="ListParagraph"/>
        <w:spacing w:after="0" w:line="240" w:lineRule="auto"/>
        <w:rPr>
          <w:rFonts w:ascii="Times New Roman" w:hAnsi="Times New Roman" w:cs="Times New Roman" w:eastAsiaTheme="minorEastAsia"/>
          <w:i/>
          <w:iCs/>
          <w:color w:val="000000" w:themeColor="text1"/>
          <w:sz w:val="24"/>
          <w:szCs w:val="24"/>
        </w:rPr>
      </w:pPr>
    </w:p>
    <w:p w:rsidR="003357BA" w:rsidP="009565DF" w:rsidRDefault="00E842E4" w14:paraId="6C809EEE" w14:textId="23A2C239">
      <w:pPr>
        <w:spacing w:after="0" w:line="240" w:lineRule="auto"/>
        <w:ind w:left="720" w:firstLine="720"/>
        <w:contextualSpacing/>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U</w:t>
      </w:r>
      <w:r w:rsidR="00072066">
        <w:rPr>
          <w:rFonts w:ascii="Times New Roman" w:hAnsi="Times New Roman" w:eastAsia="Times New Roman" w:cs="Times New Roman"/>
          <w:color w:val="000000" w:themeColor="text1"/>
          <w:sz w:val="24"/>
          <w:szCs w:val="24"/>
        </w:rPr>
        <w:t xml:space="preserve">nder the OGL program </w:t>
      </w:r>
      <w:r w:rsidRPr="1F958B82" w:rsidR="4DE21454">
        <w:rPr>
          <w:rFonts w:ascii="Times New Roman" w:hAnsi="Times New Roman" w:eastAsia="Times New Roman" w:cs="Times New Roman"/>
          <w:sz w:val="24"/>
          <w:szCs w:val="24"/>
        </w:rPr>
        <w:t xml:space="preserve">respondents would be required to </w:t>
      </w:r>
      <w:r w:rsidRPr="1F958B82" w:rsidR="4DE21454">
        <w:rPr>
          <w:rFonts w:ascii="Times New Roman" w:hAnsi="Times New Roman" w:eastAsia="Times New Roman" w:cs="Times New Roman"/>
          <w:color w:val="000000" w:themeColor="text1"/>
          <w:sz w:val="24"/>
          <w:szCs w:val="24"/>
        </w:rPr>
        <w:t>maintain the records of each transfer and to ensure that such records are made available to DDTC upon request.</w:t>
      </w:r>
      <w:r w:rsidR="00072066">
        <w:rPr>
          <w:rFonts w:ascii="Times New Roman" w:hAnsi="Times New Roman" w:eastAsia="Times New Roman" w:cs="Times New Roman"/>
          <w:color w:val="000000" w:themeColor="text1"/>
          <w:sz w:val="24"/>
          <w:szCs w:val="24"/>
        </w:rPr>
        <w:t xml:space="preserve"> </w:t>
      </w:r>
    </w:p>
    <w:p w:rsidRPr="00D518FF" w:rsidR="004040DB" w:rsidP="009565DF" w:rsidRDefault="004040DB" w14:paraId="488C70B3" w14:textId="77777777">
      <w:pPr>
        <w:spacing w:after="0" w:line="240" w:lineRule="auto"/>
        <w:ind w:left="720"/>
        <w:contextualSpacing/>
        <w:rPr>
          <w:rFonts w:ascii="Times New Roman" w:hAnsi="Times New Roman" w:eastAsia="Times New Roman" w:cs="Times New Roman"/>
          <w:color w:val="000000" w:themeColor="text1"/>
          <w:sz w:val="24"/>
          <w:szCs w:val="24"/>
        </w:rPr>
      </w:pPr>
    </w:p>
    <w:p w:rsidRPr="00D518FF" w:rsidR="003357BA" w:rsidP="009565DF" w:rsidRDefault="4E920CEB" w14:paraId="112DFA1A" w14:textId="089B82B5">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Document publication (or intent to publish) a request for public comments in the Federal Register</w:t>
      </w:r>
    </w:p>
    <w:p w:rsidR="00C22796" w:rsidP="00C22796" w:rsidRDefault="00C22796" w14:paraId="6C0D8BA2" w14:textId="718D5CCC">
      <w:pPr>
        <w:spacing w:after="0" w:line="240" w:lineRule="auto"/>
        <w:ind w:left="720"/>
        <w:contextualSpacing/>
        <w:rPr>
          <w:rFonts w:ascii="Times New Roman" w:hAnsi="Times New Roman" w:eastAsia="Times New Roman" w:cs="Times New Roman"/>
          <w:sz w:val="24"/>
          <w:szCs w:val="24"/>
        </w:rPr>
      </w:pPr>
    </w:p>
    <w:p w:rsidRPr="009565DF" w:rsidR="00C22796" w:rsidP="009565DF" w:rsidRDefault="00C22796" w14:paraId="572DFA1D" w14:textId="433E3320">
      <w:pPr>
        <w:spacing w:after="0" w:line="240" w:lineRule="auto"/>
        <w:ind w:left="720" w:firstLine="720"/>
        <w:contextualSpacing/>
        <w:rPr>
          <w:rFonts w:ascii="Times New Roman" w:hAnsi="Times New Roman" w:eastAsia="Times New Roman" w:cs="Times New Roman"/>
          <w:sz w:val="24"/>
          <w:szCs w:val="24"/>
          <w:u w:val="single"/>
        </w:rPr>
      </w:pPr>
      <w:r w:rsidRPr="009565DF">
        <w:rPr>
          <w:rFonts w:ascii="Times New Roman" w:hAnsi="Times New Roman" w:eastAsia="Times New Roman" w:cs="Times New Roman"/>
          <w:sz w:val="24"/>
          <w:szCs w:val="24"/>
          <w:u w:val="single"/>
        </w:rPr>
        <w:t>A.  Request to Change End User, End Use, and/or Destination of Hardware</w:t>
      </w:r>
    </w:p>
    <w:p w:rsidR="00C22796" w:rsidP="00C22796" w:rsidRDefault="00C22796" w14:paraId="6AFE089E" w14:textId="77777777">
      <w:pPr>
        <w:spacing w:after="0" w:line="240" w:lineRule="auto"/>
        <w:ind w:left="720"/>
        <w:contextualSpacing/>
        <w:rPr>
          <w:rFonts w:ascii="Times New Roman" w:hAnsi="Times New Roman" w:eastAsia="Times New Roman" w:cs="Times New Roman"/>
          <w:sz w:val="24"/>
          <w:szCs w:val="24"/>
        </w:rPr>
      </w:pPr>
    </w:p>
    <w:p w:rsidR="00C22796" w:rsidP="00C22796" w:rsidRDefault="003D4B2B" w14:paraId="318FC45D" w14:textId="6439A9FE">
      <w:pPr>
        <w:spacing w:after="0" w:line="240" w:lineRule="auto"/>
        <w:ind w:left="720"/>
        <w:contextualSpacing/>
        <w:rPr>
          <w:rFonts w:ascii="Times New Roman" w:hAnsi="Times New Roman" w:eastAsia="Times New Roman" w:cs="Times New Roman"/>
          <w:sz w:val="24"/>
          <w:szCs w:val="24"/>
          <w:u w:val="single"/>
        </w:rPr>
      </w:pPr>
      <w:r w:rsidRPr="009565DF">
        <w:rPr>
          <w:rFonts w:ascii="Times New Roman" w:hAnsi="Times New Roman" w:eastAsia="Times New Roman" w:cs="Times New Roman"/>
          <w:sz w:val="24"/>
          <w:szCs w:val="24"/>
        </w:rPr>
        <w:tab/>
        <w:t>OMB Control No. 1405-0173 was published for comment for 60 and 30 days (85 FR 54613 and 85 FR 76651, respectively), and was approved by OIRA on March 11, 2022, for three years</w:t>
      </w:r>
      <w:r w:rsidR="00E37DB9">
        <w:rPr>
          <w:rFonts w:ascii="Times New Roman" w:hAnsi="Times New Roman" w:eastAsia="Times New Roman" w:cs="Times New Roman"/>
          <w:sz w:val="24"/>
          <w:szCs w:val="24"/>
        </w:rPr>
        <w:t>.</w:t>
      </w:r>
    </w:p>
    <w:p w:rsidR="003D4B2B" w:rsidP="00C22796" w:rsidRDefault="003D4B2B" w14:paraId="79A54F11" w14:textId="77777777">
      <w:pPr>
        <w:spacing w:after="0" w:line="240" w:lineRule="auto"/>
        <w:ind w:left="720"/>
        <w:contextualSpacing/>
        <w:rPr>
          <w:rFonts w:ascii="Times New Roman" w:hAnsi="Times New Roman" w:eastAsia="Times New Roman" w:cs="Times New Roman"/>
          <w:sz w:val="24"/>
          <w:szCs w:val="24"/>
          <w:u w:val="single"/>
        </w:rPr>
      </w:pPr>
    </w:p>
    <w:p w:rsidRPr="00C22796" w:rsidR="00C22796" w:rsidP="009565DF" w:rsidRDefault="00C22796" w14:paraId="534D68FD" w14:textId="64DDF1BD">
      <w:pPr>
        <w:spacing w:after="0" w:line="240" w:lineRule="auto"/>
        <w:ind w:left="720" w:firstLine="720"/>
        <w:contextualSpacing/>
        <w:rPr>
          <w:rFonts w:ascii="Times New Roman" w:hAnsi="Times New Roman" w:eastAsia="Times New Roman" w:cs="Times New Roman"/>
          <w:sz w:val="24"/>
          <w:szCs w:val="24"/>
          <w:u w:val="single"/>
        </w:rPr>
      </w:pPr>
      <w:r w:rsidRPr="00C22796">
        <w:rPr>
          <w:rFonts w:ascii="Times New Roman" w:hAnsi="Times New Roman" w:eastAsia="Times New Roman" w:cs="Times New Roman"/>
          <w:sz w:val="24"/>
          <w:szCs w:val="24"/>
          <w:u w:val="single"/>
        </w:rPr>
        <w:t>B.  Open General Licenses</w:t>
      </w:r>
    </w:p>
    <w:p w:rsidR="00C22796" w:rsidP="004040DB" w:rsidRDefault="00C22796" w14:paraId="7133F29B" w14:textId="77777777">
      <w:pPr>
        <w:spacing w:after="0" w:line="240" w:lineRule="auto"/>
        <w:ind w:left="720"/>
        <w:contextualSpacing/>
        <w:rPr>
          <w:rFonts w:ascii="Times New Roman" w:hAnsi="Times New Roman" w:eastAsia="Times New Roman" w:cs="Times New Roman"/>
          <w:sz w:val="24"/>
          <w:szCs w:val="24"/>
        </w:rPr>
      </w:pPr>
    </w:p>
    <w:p w:rsidR="00772B06" w:rsidP="009565DF" w:rsidRDefault="0FFF0FF0" w14:paraId="2FB3B56A" w14:textId="26E5EE1B">
      <w:pPr>
        <w:spacing w:after="0" w:line="240" w:lineRule="auto"/>
        <w:ind w:left="720" w:firstLine="720"/>
        <w:contextualSpacing/>
        <w:rPr>
          <w:rFonts w:ascii="Times New Roman" w:hAnsi="Times New Roman" w:eastAsia="Times New Roman" w:cs="Times New Roman"/>
          <w:sz w:val="24"/>
          <w:szCs w:val="24"/>
        </w:rPr>
      </w:pPr>
      <w:r w:rsidRPr="6ADC932C">
        <w:rPr>
          <w:rFonts w:ascii="Times New Roman" w:hAnsi="Times New Roman" w:eastAsia="Times New Roman" w:cs="Times New Roman"/>
          <w:sz w:val="24"/>
          <w:szCs w:val="24"/>
        </w:rPr>
        <w:t>While the Department is requesting emergency authorization for the subject collection, a notice in the Federal Register to solicit public comment will be published as soon as practicable</w:t>
      </w:r>
      <w:r w:rsidRPr="6ADC932C" w:rsidR="53A18966">
        <w:rPr>
          <w:rFonts w:ascii="Times New Roman" w:hAnsi="Times New Roman" w:eastAsia="Times New Roman" w:cs="Times New Roman"/>
          <w:sz w:val="24"/>
          <w:szCs w:val="24"/>
        </w:rPr>
        <w:t>.</w:t>
      </w:r>
    </w:p>
    <w:p w:rsidRPr="00D518FF" w:rsidR="004040DB" w:rsidP="009565DF" w:rsidRDefault="004040DB" w14:paraId="5DEC5983" w14:textId="77777777">
      <w:pPr>
        <w:spacing w:after="0" w:line="240" w:lineRule="auto"/>
        <w:ind w:left="720"/>
        <w:contextualSpacing/>
        <w:rPr>
          <w:rFonts w:ascii="Times New Roman" w:hAnsi="Times New Roman" w:cs="Times New Roman" w:eastAsiaTheme="minorEastAsia"/>
          <w:i/>
          <w:iCs/>
          <w:color w:val="000000" w:themeColor="text1"/>
          <w:sz w:val="24"/>
          <w:szCs w:val="24"/>
        </w:rPr>
      </w:pPr>
    </w:p>
    <w:p w:rsidRPr="00D518FF" w:rsidR="003357BA" w:rsidP="009565DF" w:rsidRDefault="4E920CEB" w14:paraId="7B6A7E7E" w14:textId="4611A28B">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Are payments or gifts given to the respondents?</w:t>
      </w:r>
    </w:p>
    <w:p w:rsidR="004040DB" w:rsidP="004040DB" w:rsidRDefault="004040DB" w14:paraId="7AAC9C4E" w14:textId="77777777">
      <w:pPr>
        <w:spacing w:after="0" w:line="240" w:lineRule="auto"/>
        <w:ind w:left="360" w:firstLine="360"/>
        <w:contextualSpacing/>
        <w:rPr>
          <w:rFonts w:ascii="Times New Roman" w:hAnsi="Times New Roman" w:eastAsia="Times New Roman" w:cs="Times New Roman"/>
          <w:color w:val="000000" w:themeColor="text1"/>
          <w:sz w:val="24"/>
          <w:szCs w:val="24"/>
        </w:rPr>
      </w:pPr>
    </w:p>
    <w:p w:rsidR="003357BA" w:rsidP="009565DF" w:rsidRDefault="4E920CEB" w14:paraId="14EFE7B1" w14:textId="5235E758">
      <w:pPr>
        <w:spacing w:after="0" w:line="240" w:lineRule="auto"/>
        <w:ind w:left="720" w:firstLine="720"/>
        <w:contextualSpacing/>
        <w:rPr>
          <w:rFonts w:ascii="Times New Roman" w:hAnsi="Times New Roman" w:eastAsia="Times New Roman" w:cs="Times New Roman"/>
          <w:color w:val="000000" w:themeColor="text1"/>
          <w:sz w:val="24"/>
          <w:szCs w:val="24"/>
        </w:rPr>
      </w:pPr>
      <w:r w:rsidRPr="00D518FF">
        <w:rPr>
          <w:rFonts w:ascii="Times New Roman" w:hAnsi="Times New Roman" w:eastAsia="Times New Roman" w:cs="Times New Roman"/>
          <w:color w:val="000000" w:themeColor="text1"/>
          <w:sz w:val="24"/>
          <w:szCs w:val="24"/>
        </w:rPr>
        <w:t>No</w:t>
      </w:r>
      <w:r w:rsidRPr="00D518FF" w:rsidR="0045632E">
        <w:rPr>
          <w:rFonts w:ascii="Times New Roman" w:hAnsi="Times New Roman" w:eastAsia="Times New Roman" w:cs="Times New Roman"/>
          <w:color w:val="000000" w:themeColor="text1"/>
          <w:sz w:val="24"/>
          <w:szCs w:val="24"/>
        </w:rPr>
        <w:t xml:space="preserve"> payment or gift </w:t>
      </w:r>
      <w:r w:rsidRPr="00D518FF" w:rsidR="00F8679F">
        <w:rPr>
          <w:rFonts w:ascii="Times New Roman" w:hAnsi="Times New Roman" w:eastAsia="Times New Roman" w:cs="Times New Roman"/>
          <w:color w:val="000000" w:themeColor="text1"/>
          <w:sz w:val="24"/>
          <w:szCs w:val="24"/>
        </w:rPr>
        <w:t>has been or will be provided to any respondent</w:t>
      </w:r>
      <w:r w:rsidR="00C22796">
        <w:rPr>
          <w:rFonts w:ascii="Times New Roman" w:hAnsi="Times New Roman" w:eastAsia="Times New Roman" w:cs="Times New Roman"/>
          <w:color w:val="000000" w:themeColor="text1"/>
          <w:sz w:val="24"/>
          <w:szCs w:val="24"/>
        </w:rPr>
        <w:t xml:space="preserve"> for any collection described herein. </w:t>
      </w:r>
    </w:p>
    <w:p w:rsidRPr="00D518FF" w:rsidR="004040DB" w:rsidP="009565DF" w:rsidRDefault="004040DB" w14:paraId="2A9FA962" w14:textId="77777777">
      <w:pPr>
        <w:spacing w:after="0" w:line="240" w:lineRule="auto"/>
        <w:ind w:left="360" w:firstLine="360"/>
        <w:contextualSpacing/>
        <w:rPr>
          <w:rFonts w:ascii="Times New Roman" w:hAnsi="Times New Roman" w:eastAsia="Times New Roman" w:cs="Times New Roman"/>
          <w:color w:val="000000" w:themeColor="text1"/>
          <w:sz w:val="24"/>
          <w:szCs w:val="24"/>
        </w:rPr>
      </w:pPr>
    </w:p>
    <w:p w:rsidRPr="00D518FF" w:rsidR="003357BA" w:rsidP="009565DF" w:rsidRDefault="4E920CEB" w14:paraId="332CD5D1" w14:textId="323264DC">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 xml:space="preserve"> Describe assurances of privacy/confidentiality</w:t>
      </w:r>
    </w:p>
    <w:p w:rsidR="004040DB" w:rsidP="004040DB" w:rsidRDefault="004040DB" w14:paraId="708B5702" w14:textId="77777777">
      <w:pPr>
        <w:spacing w:after="0" w:line="240" w:lineRule="auto"/>
        <w:ind w:left="720"/>
        <w:contextualSpacing/>
        <w:rPr>
          <w:rFonts w:ascii="Times New Roman" w:hAnsi="Times New Roman" w:eastAsia="Times New Roman" w:cs="Times New Roman"/>
          <w:sz w:val="24"/>
          <w:szCs w:val="24"/>
        </w:rPr>
      </w:pPr>
    </w:p>
    <w:p w:rsidR="00A021C4" w:rsidP="009565DF" w:rsidRDefault="748F523F" w14:paraId="47FAB162" w14:textId="78F8EE10">
      <w:pPr>
        <w:spacing w:after="0" w:line="240" w:lineRule="auto"/>
        <w:ind w:left="720" w:firstLine="720"/>
        <w:contextualSpacing/>
        <w:rPr>
          <w:rFonts w:ascii="Times New Roman" w:hAnsi="Times New Roman" w:eastAsia="Times New Roman" w:cs="Times New Roman"/>
          <w:sz w:val="24"/>
          <w:szCs w:val="24"/>
        </w:rPr>
      </w:pPr>
      <w:r w:rsidRPr="1F958B82">
        <w:rPr>
          <w:rFonts w:ascii="Times New Roman" w:hAnsi="Times New Roman" w:eastAsia="Times New Roman" w:cs="Times New Roman"/>
          <w:sz w:val="24"/>
          <w:szCs w:val="24"/>
        </w:rPr>
        <w:t xml:space="preserve">A privacy impact assessment (PIA) for DDTC’s electronic system was conducted in </w:t>
      </w:r>
      <w:r w:rsidRPr="1F958B82" w:rsidR="00C22796">
        <w:rPr>
          <w:rFonts w:ascii="Times New Roman" w:hAnsi="Times New Roman" w:eastAsia="Times New Roman" w:cs="Times New Roman"/>
          <w:sz w:val="24"/>
          <w:szCs w:val="24"/>
        </w:rPr>
        <w:t>20</w:t>
      </w:r>
      <w:r w:rsidR="00C22796">
        <w:rPr>
          <w:rFonts w:ascii="Times New Roman" w:hAnsi="Times New Roman" w:eastAsia="Times New Roman" w:cs="Times New Roman"/>
          <w:sz w:val="24"/>
          <w:szCs w:val="24"/>
        </w:rPr>
        <w:t>16</w:t>
      </w:r>
      <w:r w:rsidRPr="1F958B82" w:rsidR="00C22796">
        <w:rPr>
          <w:rFonts w:ascii="Times New Roman" w:hAnsi="Times New Roman" w:eastAsia="Times New Roman" w:cs="Times New Roman"/>
          <w:sz w:val="24"/>
          <w:szCs w:val="24"/>
        </w:rPr>
        <w:t xml:space="preserve"> </w:t>
      </w:r>
      <w:r w:rsidRPr="1F958B82">
        <w:rPr>
          <w:rFonts w:ascii="Times New Roman" w:hAnsi="Times New Roman" w:eastAsia="Times New Roman" w:cs="Times New Roman"/>
          <w:sz w:val="24"/>
          <w:szCs w:val="24"/>
        </w:rPr>
        <w:t xml:space="preserve">and can be viewed at </w:t>
      </w:r>
      <w:hyperlink r:id="rId7">
        <w:r w:rsidRPr="1F958B82">
          <w:rPr>
            <w:rStyle w:val="Hyperlink"/>
            <w:rFonts w:ascii="Times New Roman" w:hAnsi="Times New Roman" w:eastAsia="Times New Roman" w:cs="Times New Roman"/>
            <w:sz w:val="24"/>
            <w:szCs w:val="24"/>
          </w:rPr>
          <w:t>https://www.state.gov/privacy</w:t>
        </w:r>
      </w:hyperlink>
      <w:r w:rsidRPr="1F958B82">
        <w:rPr>
          <w:rFonts w:ascii="Times New Roman" w:hAnsi="Times New Roman" w:eastAsia="Times New Roman" w:cs="Times New Roman"/>
          <w:sz w:val="24"/>
          <w:szCs w:val="24"/>
        </w:rPr>
        <w:t xml:space="preserve">.  </w:t>
      </w:r>
      <w:r w:rsidR="00E626E0">
        <w:rPr>
          <w:rFonts w:ascii="Times New Roman" w:hAnsi="Times New Roman" w:eastAsia="Times New Roman" w:cs="Times New Roman"/>
          <w:sz w:val="24"/>
          <w:szCs w:val="24"/>
        </w:rPr>
        <w:t>Under</w:t>
      </w:r>
      <w:r w:rsidRPr="1F958B82">
        <w:rPr>
          <w:rFonts w:ascii="Times New Roman" w:hAnsi="Times New Roman" w:eastAsia="Times New Roman" w:cs="Times New Roman"/>
          <w:sz w:val="24"/>
          <w:szCs w:val="24"/>
        </w:rPr>
        <w:t xml:space="preserve"> DDTC’s system of records notice (SORN), State-42, information entered or transferred into DECCS will be covered under the relevant SORN and PIA.</w:t>
      </w:r>
    </w:p>
    <w:p w:rsidRPr="00D518FF" w:rsidR="00C22796" w:rsidP="009565DF" w:rsidRDefault="00C22796" w14:paraId="6C2AF20D" w14:textId="77777777">
      <w:pPr>
        <w:spacing w:after="0" w:line="240" w:lineRule="auto"/>
        <w:ind w:left="720"/>
        <w:contextualSpacing/>
        <w:rPr>
          <w:rFonts w:ascii="Times New Roman" w:hAnsi="Times New Roman" w:eastAsia="Times New Roman" w:cs="Times New Roman"/>
          <w:sz w:val="24"/>
          <w:szCs w:val="24"/>
        </w:rPr>
      </w:pPr>
    </w:p>
    <w:p w:rsidRPr="009565DF" w:rsidR="748F523F" w:rsidP="009565DF" w:rsidRDefault="00A021C4" w14:paraId="42C87708" w14:textId="31165336">
      <w:pPr>
        <w:spacing w:after="0" w:line="240" w:lineRule="auto"/>
        <w:ind w:left="720" w:firstLine="720"/>
        <w:rPr>
          <w:rFonts w:ascii="Times New Roman" w:hAnsi="Times New Roman" w:eastAsia="Times New Roman" w:cs="Times New Roman"/>
          <w:color w:val="000000" w:themeColor="text1"/>
          <w:sz w:val="24"/>
          <w:szCs w:val="24"/>
        </w:rPr>
      </w:pPr>
      <w:r w:rsidRPr="00D518FF">
        <w:rPr>
          <w:rFonts w:ascii="Times New Roman" w:hAnsi="Times New Roman" w:eastAsia="Times New Roman" w:cs="Times New Roman"/>
          <w:sz w:val="24"/>
          <w:szCs w:val="24"/>
        </w:rPr>
        <w:t xml:space="preserve">Respondents to </w:t>
      </w:r>
      <w:r w:rsidR="00897423">
        <w:rPr>
          <w:rFonts w:ascii="Times New Roman" w:hAnsi="Times New Roman" w:eastAsia="Times New Roman" w:cs="Times New Roman"/>
          <w:sz w:val="24"/>
          <w:szCs w:val="24"/>
        </w:rPr>
        <w:t>any</w:t>
      </w:r>
      <w:r w:rsidRPr="00D518FF">
        <w:rPr>
          <w:rFonts w:ascii="Times New Roman" w:hAnsi="Times New Roman" w:eastAsia="Times New Roman" w:cs="Times New Roman"/>
          <w:sz w:val="24"/>
          <w:szCs w:val="24"/>
        </w:rPr>
        <w:t xml:space="preserve"> collection</w:t>
      </w:r>
      <w:r w:rsidR="00897423">
        <w:rPr>
          <w:rFonts w:ascii="Times New Roman" w:hAnsi="Times New Roman" w:eastAsia="Times New Roman" w:cs="Times New Roman"/>
          <w:sz w:val="24"/>
          <w:szCs w:val="24"/>
        </w:rPr>
        <w:t xml:space="preserve"> by DDTC</w:t>
      </w:r>
      <w:r w:rsidRPr="00D518FF">
        <w:rPr>
          <w:rFonts w:ascii="Times New Roman" w:hAnsi="Times New Roman" w:eastAsia="Times New Roman" w:cs="Times New Roman"/>
          <w:sz w:val="24"/>
          <w:szCs w:val="24"/>
        </w:rPr>
        <w:t xml:space="preserve"> may review the following ITAR sections, which describe DDTC’s policy regarding the disclosure of information:</w:t>
      </w:r>
      <w:r w:rsidR="00C22796">
        <w:rPr>
          <w:rFonts w:ascii="Times New Roman" w:hAnsi="Times New Roman" w:eastAsia="Times New Roman" w:cs="Times New Roman"/>
          <w:sz w:val="24"/>
          <w:szCs w:val="24"/>
        </w:rPr>
        <w:t xml:space="preserve"> </w:t>
      </w:r>
      <w:r w:rsidRPr="009565DF">
        <w:rPr>
          <w:rFonts w:ascii="Times New Roman" w:hAnsi="Times New Roman" w:eastAsia="Times New Roman" w:cs="Times New Roman"/>
          <w:sz w:val="24"/>
          <w:szCs w:val="24"/>
        </w:rPr>
        <w:t>§</w:t>
      </w:r>
      <w:r w:rsidR="00897423">
        <w:rPr>
          <w:rFonts w:ascii="Times New Roman" w:hAnsi="Times New Roman" w:eastAsia="Times New Roman" w:cs="Times New Roman"/>
          <w:sz w:val="24"/>
          <w:szCs w:val="24"/>
        </w:rPr>
        <w:t> </w:t>
      </w:r>
      <w:r w:rsidRPr="009565DF">
        <w:rPr>
          <w:rFonts w:ascii="Times New Roman" w:hAnsi="Times New Roman" w:eastAsia="Times New Roman" w:cs="Times New Roman"/>
          <w:sz w:val="24"/>
          <w:szCs w:val="24"/>
        </w:rPr>
        <w:t>126.10,</w:t>
      </w:r>
      <w:r w:rsidR="00C22796">
        <w:rPr>
          <w:rFonts w:ascii="Times New Roman" w:hAnsi="Times New Roman" w:eastAsia="Times New Roman" w:cs="Times New Roman"/>
          <w:sz w:val="24"/>
          <w:szCs w:val="24"/>
        </w:rPr>
        <w:t xml:space="preserve"> </w:t>
      </w:r>
      <w:r w:rsidRPr="009565DF">
        <w:rPr>
          <w:rFonts w:ascii="Times New Roman" w:hAnsi="Times New Roman" w:eastAsia="Times New Roman" w:cs="Times New Roman"/>
          <w:sz w:val="24"/>
          <w:szCs w:val="24"/>
        </w:rPr>
        <w:t>§ 130.15,</w:t>
      </w:r>
      <w:r w:rsidR="00C22796">
        <w:rPr>
          <w:rFonts w:ascii="Times New Roman" w:hAnsi="Times New Roman" w:eastAsia="Times New Roman" w:cs="Times New Roman"/>
          <w:sz w:val="24"/>
          <w:szCs w:val="24"/>
        </w:rPr>
        <w:t xml:space="preserve"> and </w:t>
      </w:r>
      <w:r w:rsidRPr="009565DF" w:rsidR="748F523F">
        <w:rPr>
          <w:rFonts w:ascii="Times New Roman" w:hAnsi="Times New Roman" w:eastAsia="Times New Roman" w:cs="Times New Roman"/>
          <w:sz w:val="24"/>
          <w:szCs w:val="24"/>
        </w:rPr>
        <w:t>§ 130.17.</w:t>
      </w:r>
    </w:p>
    <w:p w:rsidR="1F958B82" w:rsidP="009565DF" w:rsidRDefault="1F958B82" w14:paraId="354902C5" w14:textId="02341F83">
      <w:pPr>
        <w:spacing w:after="0" w:line="240" w:lineRule="auto"/>
        <w:contextualSpacing/>
        <w:rPr>
          <w:rFonts w:ascii="Times New Roman" w:hAnsi="Times New Roman" w:eastAsia="Times New Roman" w:cs="Times New Roman"/>
          <w:sz w:val="24"/>
          <w:szCs w:val="24"/>
        </w:rPr>
      </w:pPr>
    </w:p>
    <w:p w:rsidRPr="00D518FF" w:rsidR="003357BA" w:rsidP="009565DF" w:rsidRDefault="4E920CEB" w14:paraId="45934F96" w14:textId="1471BF02">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Are any questions of a sensitive nature asked?</w:t>
      </w:r>
    </w:p>
    <w:p w:rsidR="004040DB" w:rsidP="009565DF" w:rsidRDefault="004040DB" w14:paraId="147F9F76" w14:textId="77777777">
      <w:pPr>
        <w:spacing w:after="0" w:line="240" w:lineRule="auto"/>
        <w:ind w:left="1440"/>
        <w:contextualSpacing/>
        <w:rPr>
          <w:rFonts w:ascii="Times New Roman" w:hAnsi="Times New Roman" w:eastAsia="Times New Roman" w:cs="Times New Roman"/>
          <w:sz w:val="24"/>
          <w:szCs w:val="24"/>
        </w:rPr>
      </w:pPr>
    </w:p>
    <w:p w:rsidR="00D518FF" w:rsidP="009565DF" w:rsidRDefault="00734A8C" w14:paraId="42648C8E" w14:textId="26EABBE9">
      <w:pPr>
        <w:spacing w:after="0" w:line="240" w:lineRule="auto"/>
        <w:ind w:left="720" w:firstLine="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Neither</w:t>
      </w:r>
      <w:r w:rsidRPr="1F958B82">
        <w:rPr>
          <w:rFonts w:ascii="Times New Roman" w:hAnsi="Times New Roman" w:eastAsia="Times New Roman" w:cs="Times New Roman"/>
          <w:sz w:val="24"/>
          <w:szCs w:val="24"/>
        </w:rPr>
        <w:t xml:space="preserve"> </w:t>
      </w:r>
      <w:r w:rsidRPr="1F958B82" w:rsidR="5DA3672B">
        <w:rPr>
          <w:rFonts w:ascii="Times New Roman" w:hAnsi="Times New Roman" w:eastAsia="Times New Roman" w:cs="Times New Roman"/>
          <w:sz w:val="24"/>
          <w:szCs w:val="24"/>
        </w:rPr>
        <w:t>information collection</w:t>
      </w:r>
      <w:r>
        <w:rPr>
          <w:rFonts w:ascii="Times New Roman" w:hAnsi="Times New Roman" w:eastAsia="Times New Roman" w:cs="Times New Roman"/>
          <w:sz w:val="24"/>
          <w:szCs w:val="24"/>
        </w:rPr>
        <w:t xml:space="preserve"> s</w:t>
      </w:r>
      <w:r w:rsidRPr="1F958B82" w:rsidR="5DA3672B">
        <w:rPr>
          <w:rFonts w:ascii="Times New Roman" w:hAnsi="Times New Roman" w:eastAsia="Times New Roman" w:cs="Times New Roman"/>
          <w:sz w:val="24"/>
          <w:szCs w:val="24"/>
        </w:rPr>
        <w:t>olicit</w:t>
      </w:r>
      <w:r>
        <w:rPr>
          <w:rFonts w:ascii="Times New Roman" w:hAnsi="Times New Roman" w:eastAsia="Times New Roman" w:cs="Times New Roman"/>
          <w:sz w:val="24"/>
          <w:szCs w:val="24"/>
        </w:rPr>
        <w:t>s</w:t>
      </w:r>
      <w:r w:rsidRPr="1F958B82" w:rsidR="5DA3672B">
        <w:rPr>
          <w:rFonts w:ascii="Times New Roman" w:hAnsi="Times New Roman" w:eastAsia="Times New Roman" w:cs="Times New Roman"/>
          <w:sz w:val="24"/>
          <w:szCs w:val="24"/>
        </w:rPr>
        <w:t xml:space="preserve"> any information regarding questions of a sensitive nature or matters commonly considered private</w:t>
      </w:r>
      <w:r w:rsidRPr="1F958B82" w:rsidR="53A18966">
        <w:rPr>
          <w:rFonts w:ascii="Times New Roman" w:hAnsi="Times New Roman" w:eastAsia="Times New Roman" w:cs="Times New Roman"/>
          <w:sz w:val="24"/>
          <w:szCs w:val="24"/>
        </w:rPr>
        <w:t>.</w:t>
      </w:r>
    </w:p>
    <w:p w:rsidRPr="00D518FF" w:rsidR="004040DB" w:rsidP="009565DF" w:rsidRDefault="004040DB" w14:paraId="70F77CC1" w14:textId="77777777">
      <w:pPr>
        <w:spacing w:after="0" w:line="240" w:lineRule="auto"/>
        <w:ind w:left="720"/>
        <w:contextualSpacing/>
        <w:rPr>
          <w:rFonts w:ascii="Times New Roman" w:hAnsi="Times New Roman" w:cs="Times New Roman" w:eastAsiaTheme="minorEastAsia"/>
          <w:i/>
          <w:iCs/>
          <w:color w:val="000000" w:themeColor="text1"/>
          <w:sz w:val="24"/>
          <w:szCs w:val="24"/>
        </w:rPr>
      </w:pPr>
    </w:p>
    <w:p w:rsidRPr="00D518FF" w:rsidR="003357BA" w:rsidP="009565DF" w:rsidRDefault="4E920CEB" w14:paraId="541E24D5" w14:textId="4A41D657">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Describe the hour time burden and the hour cost burden on the respondent needed to complete this collection</w:t>
      </w:r>
    </w:p>
    <w:p w:rsidR="004040DB" w:rsidP="004040DB" w:rsidRDefault="004040DB" w14:paraId="7F115F11" w14:textId="1B6ECB8D">
      <w:pPr>
        <w:spacing w:after="0" w:line="240" w:lineRule="auto"/>
        <w:ind w:left="720"/>
        <w:contextualSpacing/>
        <w:rPr>
          <w:rFonts w:ascii="Times New Roman" w:hAnsi="Times New Roman" w:eastAsia="Times New Roman" w:cs="Times New Roman"/>
          <w:sz w:val="24"/>
          <w:szCs w:val="24"/>
        </w:rPr>
      </w:pPr>
    </w:p>
    <w:p w:rsidR="00897423" w:rsidP="009565DF" w:rsidRDefault="00897423" w14:paraId="40457CBB" w14:textId="133B533D">
      <w:pPr>
        <w:pStyle w:val="ListParagraph"/>
        <w:numPr>
          <w:ilvl w:val="0"/>
          <w:numId w:val="4"/>
        </w:numPr>
        <w:spacing w:after="0" w:line="240" w:lineRule="auto"/>
        <w:rPr>
          <w:rFonts w:ascii="Times New Roman" w:hAnsi="Times New Roman" w:eastAsia="Times New Roman" w:cs="Times New Roman"/>
          <w:sz w:val="24"/>
          <w:szCs w:val="24"/>
          <w:u w:val="single"/>
        </w:rPr>
      </w:pPr>
      <w:r w:rsidRPr="009565DF">
        <w:rPr>
          <w:rFonts w:ascii="Times New Roman" w:hAnsi="Times New Roman" w:eastAsia="Times New Roman" w:cs="Times New Roman"/>
          <w:sz w:val="24"/>
          <w:szCs w:val="24"/>
          <w:u w:val="single"/>
        </w:rPr>
        <w:t>Request to Change End User, End Use, and/or Destination of Hardware</w:t>
      </w:r>
    </w:p>
    <w:p w:rsidRPr="009565DF" w:rsidR="00E37DB9" w:rsidP="00E37DB9" w:rsidRDefault="00E37DB9" w14:paraId="65F4F618" w14:textId="77777777">
      <w:pPr>
        <w:pStyle w:val="ListParagraph"/>
        <w:spacing w:after="0" w:line="240" w:lineRule="auto"/>
        <w:ind w:left="1800"/>
        <w:rPr>
          <w:rFonts w:ascii="Times New Roman" w:hAnsi="Times New Roman" w:eastAsia="Times New Roman" w:cs="Times New Roman"/>
          <w:sz w:val="24"/>
          <w:szCs w:val="24"/>
          <w:u w:val="single"/>
        </w:rPr>
      </w:pPr>
    </w:p>
    <w:p w:rsidRPr="009565DF" w:rsidR="00897423" w:rsidP="009565DF" w:rsidRDefault="00897423" w14:paraId="668C155F" w14:textId="77777777">
      <w:pPr>
        <w:ind w:left="720" w:firstLine="720"/>
        <w:rPr>
          <w:rFonts w:ascii="Times New Roman" w:hAnsi="Times New Roman" w:eastAsia="Times New Roman" w:cs="Times New Roman"/>
          <w:sz w:val="24"/>
          <w:szCs w:val="24"/>
        </w:rPr>
      </w:pPr>
      <w:r w:rsidRPr="009565DF">
        <w:rPr>
          <w:rFonts w:ascii="Times New Roman" w:hAnsi="Times New Roman" w:eastAsia="Times New Roman" w:cs="Times New Roman"/>
          <w:sz w:val="24"/>
          <w:szCs w:val="24"/>
        </w:rPr>
        <w:t>The Department of State has reason to believe that the information required is already available to U.S. industry in some form due to other needs and requirements (e.g., business transactional records, tax records, quality assurance and productivity, and legal issues posed by other federal laws).  An estimated 1,563 annual responses are expected from 1,563 respondents.  Frequency of response is on occasion.  The estimated time that each respondent devotes to each submission is approximately one hour.  The estimated annual hour burden is 1,563 hours.  According to the U.S. Department of Labor Bureau of Labor Statistics, the weighted median hourly wage for “Compliance Officers” in the United States is $69.72  per hour ($34.86 hourly wage x 2 multiplier = $69.72)  multiplied by the average annual hourly burden of 1,563 hours, the hour-cost burden for this information collection is $108,972.36 per year</w:t>
      </w:r>
    </w:p>
    <w:p w:rsidRPr="009565DF" w:rsidR="00897423" w:rsidP="009565DF" w:rsidRDefault="00897423" w14:paraId="191BEBE9" w14:textId="457E6A2A">
      <w:pPr>
        <w:spacing w:after="0" w:line="240" w:lineRule="auto"/>
        <w:ind w:left="720" w:firstLine="720"/>
        <w:rPr>
          <w:rFonts w:ascii="Times New Roman" w:hAnsi="Times New Roman" w:eastAsia="Times New Roman" w:cs="Times New Roman"/>
          <w:sz w:val="24"/>
          <w:szCs w:val="24"/>
          <w:u w:val="single"/>
        </w:rPr>
      </w:pPr>
      <w:r w:rsidRPr="00C22796">
        <w:rPr>
          <w:rFonts w:ascii="Times New Roman" w:hAnsi="Times New Roman" w:eastAsia="Times New Roman" w:cs="Times New Roman"/>
          <w:sz w:val="24"/>
          <w:szCs w:val="24"/>
          <w:u w:val="single"/>
        </w:rPr>
        <w:t>B.  Open General Licenses</w:t>
      </w:r>
    </w:p>
    <w:p w:rsidR="00897423" w:rsidP="004040DB" w:rsidRDefault="00897423" w14:paraId="0483ADB4" w14:textId="77777777">
      <w:pPr>
        <w:spacing w:after="0" w:line="240" w:lineRule="auto"/>
        <w:ind w:left="720"/>
        <w:contextualSpacing/>
        <w:rPr>
          <w:rFonts w:ascii="Times New Roman" w:hAnsi="Times New Roman" w:eastAsia="Times New Roman" w:cs="Times New Roman"/>
          <w:sz w:val="24"/>
          <w:szCs w:val="24"/>
        </w:rPr>
      </w:pPr>
    </w:p>
    <w:p w:rsidR="00897423" w:rsidP="00897423" w:rsidRDefault="00897423" w14:paraId="76BF06E0" w14:textId="6EDA591F">
      <w:pPr>
        <w:spacing w:after="0" w:line="240" w:lineRule="auto"/>
        <w:ind w:left="720" w:firstLine="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As to information collection under an OGL</w:t>
      </w:r>
      <w:r w:rsidR="0011485F">
        <w:rPr>
          <w:rFonts w:ascii="Times New Roman" w:hAnsi="Times New Roman" w:eastAsia="Times New Roman" w:cs="Times New Roman"/>
          <w:sz w:val="24"/>
          <w:szCs w:val="24"/>
        </w:rPr>
        <w:t xml:space="preserve">, </w:t>
      </w:r>
      <w:r w:rsidRPr="1F958B82" w:rsidR="588B70FA">
        <w:rPr>
          <w:rFonts w:ascii="Times New Roman" w:hAnsi="Times New Roman" w:eastAsia="Times New Roman" w:cs="Times New Roman"/>
          <w:sz w:val="24"/>
          <w:szCs w:val="24"/>
        </w:rPr>
        <w:t xml:space="preserve">DDTC expects to receive no more than </w:t>
      </w:r>
      <w:r w:rsidRPr="1F958B82" w:rsidR="66CB212C">
        <w:rPr>
          <w:rFonts w:ascii="Times New Roman" w:hAnsi="Times New Roman" w:eastAsia="Times New Roman" w:cs="Times New Roman"/>
          <w:sz w:val="24"/>
          <w:szCs w:val="24"/>
        </w:rPr>
        <w:t>671</w:t>
      </w:r>
      <w:r w:rsidRPr="1F958B82" w:rsidR="588B70FA">
        <w:rPr>
          <w:rFonts w:ascii="Times New Roman" w:hAnsi="Times New Roman" w:eastAsia="Times New Roman" w:cs="Times New Roman"/>
          <w:sz w:val="24"/>
          <w:szCs w:val="24"/>
        </w:rPr>
        <w:t xml:space="preserve"> </w:t>
      </w:r>
      <w:r w:rsidR="0011485F">
        <w:rPr>
          <w:rFonts w:ascii="Times New Roman" w:hAnsi="Times New Roman" w:eastAsia="Times New Roman" w:cs="Times New Roman"/>
          <w:sz w:val="24"/>
          <w:szCs w:val="24"/>
        </w:rPr>
        <w:t xml:space="preserve">additional </w:t>
      </w:r>
      <w:r w:rsidRPr="1F958B82" w:rsidR="588B70FA">
        <w:rPr>
          <w:rFonts w:ascii="Times New Roman" w:hAnsi="Times New Roman" w:eastAsia="Times New Roman" w:cs="Times New Roman"/>
          <w:sz w:val="24"/>
          <w:szCs w:val="24"/>
        </w:rPr>
        <w:t xml:space="preserve">responses annually from </w:t>
      </w:r>
      <w:r w:rsidRPr="1F958B82" w:rsidR="66CB212C">
        <w:rPr>
          <w:rFonts w:ascii="Times New Roman" w:hAnsi="Times New Roman" w:eastAsia="Times New Roman" w:cs="Times New Roman"/>
          <w:sz w:val="24"/>
          <w:szCs w:val="24"/>
        </w:rPr>
        <w:t>132</w:t>
      </w:r>
      <w:r w:rsidRPr="1F958B82" w:rsidR="588B70FA">
        <w:rPr>
          <w:rFonts w:ascii="Times New Roman" w:hAnsi="Times New Roman" w:eastAsia="Times New Roman" w:cs="Times New Roman"/>
          <w:sz w:val="24"/>
          <w:szCs w:val="24"/>
        </w:rPr>
        <w:t xml:space="preserve"> respondents.  DDTC estimates the burden for each response to be approximately 60 minutes.  </w:t>
      </w:r>
    </w:p>
    <w:p w:rsidR="00897423" w:rsidP="00897423" w:rsidRDefault="00897423" w14:paraId="16D02B2A" w14:textId="533F67FB">
      <w:pPr>
        <w:spacing w:after="0" w:line="240" w:lineRule="auto"/>
        <w:ind w:left="720" w:firstLine="720"/>
        <w:contextualSpacing/>
        <w:rPr>
          <w:rFonts w:ascii="Times New Roman" w:hAnsi="Times New Roman" w:eastAsia="Times New Roman" w:cs="Times New Roman"/>
          <w:sz w:val="24"/>
          <w:szCs w:val="24"/>
        </w:rPr>
      </w:pPr>
    </w:p>
    <w:p w:rsidRPr="009565DF" w:rsidR="00897423" w:rsidP="00897423" w:rsidRDefault="00897423" w14:paraId="4284E94A" w14:textId="119B9DCC">
      <w:pPr>
        <w:spacing w:after="0" w:line="240" w:lineRule="auto"/>
        <w:ind w:left="720" w:firstLine="720"/>
        <w:contextualSpacing/>
        <w:rPr>
          <w:rFonts w:ascii="Times New Roman" w:hAnsi="Times New Roman" w:eastAsia="Times New Roman" w:cs="Times New Roman"/>
          <w:sz w:val="24"/>
          <w:szCs w:val="24"/>
          <w:u w:val="single"/>
        </w:rPr>
      </w:pPr>
      <w:r w:rsidRPr="009565DF">
        <w:rPr>
          <w:rFonts w:ascii="Times New Roman" w:hAnsi="Times New Roman" w:eastAsia="Times New Roman" w:cs="Times New Roman"/>
          <w:sz w:val="24"/>
          <w:szCs w:val="24"/>
          <w:u w:val="single"/>
        </w:rPr>
        <w:t>C. Total</w:t>
      </w:r>
    </w:p>
    <w:p w:rsidR="00897423" w:rsidP="00897423" w:rsidRDefault="00897423" w14:paraId="4A32D3B1" w14:textId="77777777">
      <w:pPr>
        <w:spacing w:after="0" w:line="240" w:lineRule="auto"/>
        <w:ind w:left="720" w:firstLine="720"/>
        <w:contextualSpacing/>
        <w:rPr>
          <w:rFonts w:ascii="Times New Roman" w:hAnsi="Times New Roman" w:eastAsia="Times New Roman" w:cs="Times New Roman"/>
          <w:sz w:val="24"/>
          <w:szCs w:val="24"/>
        </w:rPr>
      </w:pPr>
    </w:p>
    <w:p w:rsidRPr="00D518FF" w:rsidR="003357BA" w:rsidP="009565DF" w:rsidRDefault="588B70FA" w14:paraId="1DAC0FA6" w14:textId="235D54D8">
      <w:pPr>
        <w:spacing w:after="0" w:line="240" w:lineRule="auto"/>
        <w:ind w:left="720" w:firstLine="720"/>
        <w:contextualSpacing/>
        <w:rPr>
          <w:rFonts w:ascii="Times New Roman" w:hAnsi="Times New Roman" w:eastAsia="Times New Roman" w:cs="Times New Roman"/>
          <w:color w:val="000000" w:themeColor="text1"/>
          <w:sz w:val="24"/>
          <w:szCs w:val="24"/>
        </w:rPr>
      </w:pPr>
      <w:r w:rsidRPr="1F958B82">
        <w:rPr>
          <w:rFonts w:ascii="Times New Roman" w:hAnsi="Times New Roman" w:eastAsia="Times New Roman" w:cs="Times New Roman"/>
          <w:sz w:val="24"/>
          <w:szCs w:val="24"/>
        </w:rPr>
        <w:t xml:space="preserve">Based on this information DDTC estimates the </w:t>
      </w:r>
      <w:r w:rsidR="0011485F">
        <w:rPr>
          <w:rFonts w:ascii="Times New Roman" w:hAnsi="Times New Roman" w:eastAsia="Times New Roman" w:cs="Times New Roman"/>
          <w:sz w:val="24"/>
          <w:szCs w:val="24"/>
        </w:rPr>
        <w:t>revised</w:t>
      </w:r>
      <w:r w:rsidR="00897423">
        <w:rPr>
          <w:rFonts w:ascii="Times New Roman" w:hAnsi="Times New Roman" w:eastAsia="Times New Roman" w:cs="Times New Roman"/>
          <w:sz w:val="24"/>
          <w:szCs w:val="24"/>
        </w:rPr>
        <w:t xml:space="preserve"> total</w:t>
      </w:r>
      <w:r w:rsidR="0011485F">
        <w:rPr>
          <w:rFonts w:ascii="Times New Roman" w:hAnsi="Times New Roman" w:eastAsia="Times New Roman" w:cs="Times New Roman"/>
          <w:sz w:val="24"/>
          <w:szCs w:val="24"/>
        </w:rPr>
        <w:t xml:space="preserve"> </w:t>
      </w:r>
      <w:r w:rsidRPr="1F958B82">
        <w:rPr>
          <w:rFonts w:ascii="Times New Roman" w:hAnsi="Times New Roman" w:eastAsia="Times New Roman" w:cs="Times New Roman"/>
          <w:sz w:val="24"/>
          <w:szCs w:val="24"/>
        </w:rPr>
        <w:t>annual hour burden for this collection to be</w:t>
      </w:r>
      <w:r w:rsidR="0011485F">
        <w:rPr>
          <w:rFonts w:ascii="Times New Roman" w:hAnsi="Times New Roman" w:eastAsia="Times New Roman" w:cs="Times New Roman"/>
          <w:sz w:val="24"/>
          <w:szCs w:val="24"/>
        </w:rPr>
        <w:t xml:space="preserve"> 2,234</w:t>
      </w:r>
      <w:r w:rsidRPr="1F958B82">
        <w:rPr>
          <w:rFonts w:ascii="Times New Roman" w:hAnsi="Times New Roman" w:eastAsia="Times New Roman" w:cs="Times New Roman"/>
          <w:sz w:val="24"/>
          <w:szCs w:val="24"/>
        </w:rPr>
        <w:t xml:space="preserve"> hours. According to the Department of Labor’s Bureau of Labor Statistics, the average hourly wage (weighted) for a “Compliance Officer” is $69.72. This was calculated by multiplying the average hourly wage ($34.86) by 2 to account for overhead costs.  Therefore, DDTC estimates the annual hour-cost burden to respondents to be $</w:t>
      </w:r>
      <w:r w:rsidR="0011485F">
        <w:rPr>
          <w:rFonts w:ascii="Times New Roman" w:hAnsi="Times New Roman" w:eastAsia="Times New Roman" w:cs="Times New Roman"/>
          <w:sz w:val="24"/>
          <w:szCs w:val="24"/>
        </w:rPr>
        <w:t>155,754</w:t>
      </w:r>
      <w:r w:rsidRPr="1F958B82">
        <w:rPr>
          <w:rFonts w:ascii="Times New Roman" w:hAnsi="Times New Roman" w:eastAsia="Times New Roman" w:cs="Times New Roman"/>
          <w:sz w:val="24"/>
          <w:szCs w:val="24"/>
        </w:rPr>
        <w:t xml:space="preserve"> (</w:t>
      </w:r>
      <w:r w:rsidR="0011485F">
        <w:rPr>
          <w:rFonts w:ascii="Times New Roman" w:hAnsi="Times New Roman" w:eastAsia="Times New Roman" w:cs="Times New Roman"/>
          <w:sz w:val="24"/>
          <w:szCs w:val="24"/>
        </w:rPr>
        <w:t>2,234</w:t>
      </w:r>
      <w:r w:rsidRPr="1F958B82">
        <w:rPr>
          <w:rFonts w:ascii="Times New Roman" w:hAnsi="Times New Roman" w:eastAsia="Times New Roman" w:cs="Times New Roman"/>
          <w:sz w:val="24"/>
          <w:szCs w:val="24"/>
        </w:rPr>
        <w:t xml:space="preserve"> annual burden hours x $69.72).</w:t>
      </w:r>
      <w:r w:rsidR="005D59BE">
        <w:br/>
      </w:r>
      <w:r w:rsidRPr="1F958B82" w:rsidR="0A2545B2">
        <w:rPr>
          <w:rStyle w:val="normaltextrun"/>
          <w:rFonts w:ascii="Times New Roman" w:hAnsi="Times New Roman" w:eastAsia="Times New Roman" w:cs="Times New Roman"/>
          <w:color w:val="000000" w:themeColor="text1"/>
          <w:sz w:val="24"/>
          <w:szCs w:val="24"/>
        </w:rPr>
        <w:t xml:space="preserve">  </w:t>
      </w:r>
    </w:p>
    <w:p w:rsidRPr="00D518FF" w:rsidR="003357BA" w:rsidP="009565DF" w:rsidRDefault="4E920CEB" w14:paraId="57BA929F" w14:textId="203297AA">
      <w:pPr>
        <w:pStyle w:val="ListParagraph"/>
        <w:numPr>
          <w:ilvl w:val="0"/>
          <w:numId w:val="2"/>
        </w:numPr>
        <w:spacing w:after="0" w:line="240" w:lineRule="auto"/>
        <w:rPr>
          <w:rFonts w:ascii="Times New Roman" w:hAnsi="Times New Roman" w:cs="Times New Roman" w:eastAsiaTheme="minorEastAsia"/>
          <w:color w:val="000000" w:themeColor="text1"/>
          <w:sz w:val="24"/>
          <w:szCs w:val="24"/>
        </w:rPr>
      </w:pPr>
      <w:r w:rsidRPr="00D518FF">
        <w:rPr>
          <w:rFonts w:ascii="Times New Roman" w:hAnsi="Times New Roman" w:eastAsia="Times New Roman" w:cs="Times New Roman"/>
          <w:color w:val="000000" w:themeColor="text1"/>
          <w:sz w:val="24"/>
          <w:szCs w:val="24"/>
        </w:rPr>
        <w:t xml:space="preserve"> </w:t>
      </w:r>
      <w:r w:rsidRPr="00D518FF">
        <w:rPr>
          <w:rFonts w:ascii="Times New Roman" w:hAnsi="Times New Roman" w:eastAsia="Times New Roman" w:cs="Times New Roman"/>
          <w:i/>
          <w:iCs/>
          <w:color w:val="000000" w:themeColor="text1"/>
          <w:sz w:val="24"/>
          <w:szCs w:val="24"/>
        </w:rPr>
        <w:t>Describe the monetary burden to respondents (out of pocket costs) needed to complete this collection.</w:t>
      </w:r>
    </w:p>
    <w:p w:rsidR="004040DB" w:rsidP="004040DB" w:rsidRDefault="004040DB" w14:paraId="0DBEF05B" w14:textId="77777777">
      <w:pPr>
        <w:spacing w:after="0" w:line="240" w:lineRule="auto"/>
        <w:ind w:left="720"/>
        <w:contextualSpacing/>
        <w:rPr>
          <w:rFonts w:ascii="Times New Roman" w:hAnsi="Times New Roman" w:eastAsia="Times New Roman" w:cs="Times New Roman"/>
          <w:sz w:val="24"/>
          <w:szCs w:val="24"/>
        </w:rPr>
      </w:pPr>
    </w:p>
    <w:p w:rsidRPr="00D518FF" w:rsidR="003357BA" w:rsidP="009565DF" w:rsidRDefault="4B4306A7" w14:paraId="222B49EF" w14:textId="338C3495">
      <w:pPr>
        <w:spacing w:after="0" w:line="240" w:lineRule="auto"/>
        <w:ind w:left="720" w:firstLine="720"/>
        <w:contextualSpacing/>
        <w:rPr>
          <w:rFonts w:ascii="Times New Roman" w:hAnsi="Times New Roman" w:eastAsia="Times New Roman" w:cs="Times New Roman"/>
          <w:sz w:val="24"/>
          <w:szCs w:val="24"/>
        </w:rPr>
      </w:pPr>
      <w:r w:rsidRPr="1F958B82">
        <w:rPr>
          <w:rFonts w:ascii="Times New Roman" w:hAnsi="Times New Roman" w:eastAsia="Times New Roman" w:cs="Times New Roman"/>
          <w:sz w:val="24"/>
          <w:szCs w:val="24"/>
        </w:rPr>
        <w:t>DDTC believes there are no monetary costs to respondents associated with</w:t>
      </w:r>
      <w:r w:rsidR="00434D44">
        <w:rPr>
          <w:rFonts w:ascii="Times New Roman" w:hAnsi="Times New Roman" w:eastAsia="Times New Roman" w:cs="Times New Roman"/>
          <w:sz w:val="24"/>
          <w:szCs w:val="24"/>
        </w:rPr>
        <w:t xml:space="preserve"> either </w:t>
      </w:r>
      <w:r w:rsidR="00897423">
        <w:rPr>
          <w:rFonts w:ascii="Times New Roman" w:hAnsi="Times New Roman" w:eastAsia="Times New Roman" w:cs="Times New Roman"/>
          <w:sz w:val="24"/>
          <w:szCs w:val="24"/>
        </w:rPr>
        <w:t xml:space="preserve">collection, either via submitting certain records, or </w:t>
      </w:r>
      <w:r w:rsidRPr="1F958B82">
        <w:rPr>
          <w:rFonts w:ascii="Times New Roman" w:hAnsi="Times New Roman" w:eastAsia="Times New Roman" w:cs="Times New Roman"/>
          <w:sz w:val="24"/>
          <w:szCs w:val="24"/>
        </w:rPr>
        <w:t xml:space="preserve">retaining </w:t>
      </w:r>
      <w:r w:rsidR="00897423">
        <w:rPr>
          <w:rFonts w:ascii="Times New Roman" w:hAnsi="Times New Roman" w:eastAsia="Times New Roman" w:cs="Times New Roman"/>
          <w:sz w:val="24"/>
          <w:szCs w:val="24"/>
        </w:rPr>
        <w:t>them</w:t>
      </w:r>
      <w:r w:rsidRPr="1F958B82">
        <w:rPr>
          <w:rFonts w:ascii="Times New Roman" w:hAnsi="Times New Roman" w:eastAsia="Times New Roman" w:cs="Times New Roman"/>
          <w:sz w:val="24"/>
          <w:szCs w:val="24"/>
        </w:rPr>
        <w:t xml:space="preserve"> and submitting them to the Department upon request.</w:t>
      </w:r>
    </w:p>
    <w:p w:rsidRPr="00D518FF" w:rsidR="009748A6" w:rsidP="009565DF" w:rsidRDefault="009748A6" w14:paraId="5D2AF46D" w14:textId="77777777">
      <w:pPr>
        <w:spacing w:after="0" w:line="240" w:lineRule="auto"/>
        <w:ind w:left="360"/>
        <w:contextualSpacing/>
        <w:rPr>
          <w:rFonts w:ascii="Times New Roman" w:hAnsi="Times New Roman" w:eastAsia="Times New Roman" w:cs="Times New Roman"/>
          <w:color w:val="000000" w:themeColor="text1"/>
          <w:sz w:val="24"/>
          <w:szCs w:val="24"/>
        </w:rPr>
      </w:pPr>
    </w:p>
    <w:p w:rsidRPr="00D518FF" w:rsidR="003357BA" w:rsidP="009565DF" w:rsidRDefault="4E920CEB" w14:paraId="35F9DE8C" w14:textId="7B7C6F6D">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Describe the cost incurred by the Federal Government to complete this collection.</w:t>
      </w:r>
    </w:p>
    <w:p w:rsidR="004040DB" w:rsidP="004040DB" w:rsidRDefault="004040DB" w14:paraId="135E6846" w14:textId="332267B8">
      <w:pPr>
        <w:spacing w:after="0" w:line="240" w:lineRule="auto"/>
        <w:ind w:left="720"/>
        <w:contextualSpacing/>
        <w:rPr>
          <w:rFonts w:ascii="Times New Roman" w:hAnsi="Times New Roman" w:eastAsia="Times New Roman" w:cs="Times New Roman"/>
          <w:sz w:val="24"/>
          <w:szCs w:val="24"/>
        </w:rPr>
      </w:pPr>
    </w:p>
    <w:p w:rsidRPr="009565DF" w:rsidR="00FF1524" w:rsidP="009565DF" w:rsidRDefault="00FF1524" w14:paraId="49F1DBF4" w14:textId="2D841205">
      <w:pPr>
        <w:pStyle w:val="ListParagraph"/>
        <w:numPr>
          <w:ilvl w:val="0"/>
          <w:numId w:val="5"/>
        </w:numPr>
        <w:spacing w:after="0" w:line="240" w:lineRule="auto"/>
        <w:rPr>
          <w:rFonts w:ascii="Times New Roman" w:hAnsi="Times New Roman" w:eastAsia="Times New Roman" w:cs="Times New Roman"/>
          <w:sz w:val="24"/>
          <w:szCs w:val="24"/>
          <w:u w:val="single"/>
        </w:rPr>
      </w:pPr>
      <w:r w:rsidRPr="0033045C">
        <w:rPr>
          <w:rFonts w:ascii="Times New Roman" w:hAnsi="Times New Roman" w:eastAsia="Times New Roman" w:cs="Times New Roman"/>
          <w:sz w:val="24"/>
          <w:szCs w:val="24"/>
          <w:u w:val="single"/>
        </w:rPr>
        <w:t>Request to Change End User, End Use, and/or Destination of Hardware</w:t>
      </w:r>
    </w:p>
    <w:p w:rsidR="00FF1524" w:rsidP="004040DB" w:rsidRDefault="00FF1524" w14:paraId="22D4F3F7" w14:textId="77777777">
      <w:pPr>
        <w:spacing w:after="0" w:line="240" w:lineRule="auto"/>
        <w:ind w:left="720"/>
        <w:contextualSpacing/>
        <w:rPr>
          <w:rFonts w:ascii="Times New Roman" w:hAnsi="Times New Roman" w:eastAsia="Times New Roman" w:cs="Times New Roman"/>
          <w:sz w:val="24"/>
          <w:szCs w:val="24"/>
        </w:rPr>
      </w:pPr>
    </w:p>
    <w:p w:rsidR="00FF1524" w:rsidP="009565DF" w:rsidRDefault="00FF1524" w14:paraId="066355C7" w14:textId="4B2DE228">
      <w:pPr>
        <w:spacing w:after="0" w:line="240" w:lineRule="auto"/>
        <w:ind w:left="720" w:firstLine="720"/>
        <w:contextualSpacing/>
        <w:rPr>
          <w:rFonts w:ascii="Times New Roman" w:hAnsi="Times New Roman" w:eastAsia="Times New Roman" w:cs="Times New Roman"/>
          <w:sz w:val="24"/>
          <w:szCs w:val="24"/>
        </w:rPr>
      </w:pPr>
      <w:r w:rsidRPr="00FF1524">
        <w:rPr>
          <w:rFonts w:ascii="Times New Roman" w:hAnsi="Times New Roman" w:eastAsia="Times New Roman" w:cs="Times New Roman"/>
          <w:sz w:val="24"/>
          <w:szCs w:val="24"/>
        </w:rPr>
        <w:t xml:space="preserve">Twelve Licensing Officers (GS-13 or equivalent) review and process DS-6004 General Correspondence, which account for 4.4% of the cases reviewed.  At an average annual cost of $116,353 per employee, DDTC estimates the total cost to the Federal Government to be $61,434.38.  (12 employees x $116,353 = 1,396,236 x 4.4% workload = $61,434.38).  </w:t>
      </w:r>
    </w:p>
    <w:p w:rsidR="00FF1524" w:rsidP="004040DB" w:rsidRDefault="00FF1524" w14:paraId="090750FA" w14:textId="62AB8DD8">
      <w:pPr>
        <w:spacing w:after="0" w:line="240" w:lineRule="auto"/>
        <w:ind w:left="720"/>
        <w:contextualSpacing/>
        <w:rPr>
          <w:rFonts w:ascii="Times New Roman" w:hAnsi="Times New Roman" w:eastAsia="Times New Roman" w:cs="Times New Roman"/>
          <w:sz w:val="24"/>
          <w:szCs w:val="24"/>
        </w:rPr>
      </w:pPr>
    </w:p>
    <w:p w:rsidR="00FF1524" w:rsidP="009565DF" w:rsidRDefault="00FF1524" w14:paraId="6A6D8F47" w14:textId="6940753A">
      <w:pPr>
        <w:spacing w:after="0" w:line="240" w:lineRule="auto"/>
        <w:ind w:left="720" w:firstLine="720"/>
        <w:contextualSpacing/>
        <w:rPr>
          <w:rFonts w:ascii="Times New Roman" w:hAnsi="Times New Roman" w:eastAsia="Times New Roman" w:cs="Times New Roman"/>
          <w:sz w:val="24"/>
          <w:szCs w:val="24"/>
        </w:rPr>
      </w:pPr>
      <w:r w:rsidRPr="00C22796">
        <w:rPr>
          <w:rFonts w:ascii="Times New Roman" w:hAnsi="Times New Roman" w:eastAsia="Times New Roman" w:cs="Times New Roman"/>
          <w:sz w:val="24"/>
          <w:szCs w:val="24"/>
          <w:u w:val="single"/>
        </w:rPr>
        <w:t>B.  Open General Licenses</w:t>
      </w:r>
    </w:p>
    <w:p w:rsidR="00FF1524" w:rsidP="004040DB" w:rsidRDefault="00FF1524" w14:paraId="4AFBA4A3" w14:textId="77777777">
      <w:pPr>
        <w:spacing w:after="0" w:line="240" w:lineRule="auto"/>
        <w:ind w:left="720"/>
        <w:contextualSpacing/>
        <w:rPr>
          <w:rFonts w:ascii="Times New Roman" w:hAnsi="Times New Roman" w:eastAsia="Times New Roman" w:cs="Times New Roman"/>
          <w:sz w:val="24"/>
          <w:szCs w:val="24"/>
        </w:rPr>
      </w:pPr>
    </w:p>
    <w:p w:rsidRPr="00D518FF" w:rsidR="007A3ED8" w:rsidP="009565DF" w:rsidRDefault="1F958B82" w14:paraId="0652FCA0" w14:textId="24C9FF76">
      <w:pPr>
        <w:spacing w:after="0" w:line="240" w:lineRule="auto"/>
        <w:ind w:left="720" w:firstLine="720"/>
        <w:contextualSpacing/>
        <w:rPr>
          <w:rFonts w:ascii="Times New Roman" w:hAnsi="Times New Roman" w:cs="Times New Roman" w:eastAsiaTheme="minorEastAsia"/>
          <w:i/>
          <w:iCs/>
          <w:color w:val="000000" w:themeColor="text1"/>
          <w:sz w:val="24"/>
          <w:szCs w:val="24"/>
        </w:rPr>
      </w:pPr>
      <w:r w:rsidRPr="6ADC932C">
        <w:rPr>
          <w:rFonts w:ascii="Times New Roman" w:hAnsi="Times New Roman" w:eastAsia="Times New Roman" w:cs="Times New Roman"/>
          <w:sz w:val="24"/>
          <w:szCs w:val="24"/>
        </w:rPr>
        <w:t>There will be no new cost to the federal government to set up th</w:t>
      </w:r>
      <w:r w:rsidR="00FF1524">
        <w:rPr>
          <w:rFonts w:ascii="Times New Roman" w:hAnsi="Times New Roman" w:eastAsia="Times New Roman" w:cs="Times New Roman"/>
          <w:sz w:val="24"/>
          <w:szCs w:val="24"/>
        </w:rPr>
        <w:t>e OGL</w:t>
      </w:r>
      <w:r w:rsidRPr="6ADC932C">
        <w:rPr>
          <w:rFonts w:ascii="Times New Roman" w:hAnsi="Times New Roman" w:eastAsia="Times New Roman" w:cs="Times New Roman"/>
          <w:sz w:val="24"/>
          <w:szCs w:val="24"/>
        </w:rPr>
        <w:t xml:space="preserve"> collection.  The records will only be provided to the Department upon request. The records will be reviewed by Department employees in the normal course of their duties, including routine end-use monitoring and reviews to assess mechanisms to streamline existing licensing mechanisms.</w:t>
      </w:r>
    </w:p>
    <w:p w:rsidRPr="00D518FF" w:rsidR="007A3ED8" w:rsidP="009565DF" w:rsidRDefault="1A23B464" w14:paraId="312B4A08" w14:textId="21A1BB53">
      <w:pPr>
        <w:spacing w:after="0" w:line="240" w:lineRule="auto"/>
        <w:ind w:left="720"/>
        <w:contextualSpacing/>
        <w:rPr>
          <w:rFonts w:ascii="Times New Roman" w:hAnsi="Times New Roman" w:cs="Times New Roman" w:eastAsiaTheme="minorEastAsia"/>
          <w:i/>
          <w:iCs/>
          <w:color w:val="000000" w:themeColor="text1"/>
          <w:sz w:val="24"/>
          <w:szCs w:val="24"/>
        </w:rPr>
      </w:pPr>
      <w:r w:rsidRPr="1F958B82">
        <w:rPr>
          <w:rFonts w:ascii="Times New Roman" w:hAnsi="Times New Roman" w:eastAsia="Times New Roman" w:cs="Times New Roman"/>
          <w:sz w:val="24"/>
          <w:szCs w:val="24"/>
        </w:rPr>
        <w:t xml:space="preserve"> </w:t>
      </w:r>
    </w:p>
    <w:p w:rsidRPr="00D518FF" w:rsidR="003357BA" w:rsidP="009565DF" w:rsidRDefault="4E920CEB" w14:paraId="6F4C14EC" w14:textId="6BDA47BF">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Explain any changes/adjustments to this collection since the previous submission</w:t>
      </w:r>
    </w:p>
    <w:p w:rsidR="004040DB" w:rsidP="004040DB" w:rsidRDefault="004040DB" w14:paraId="4CE4759D" w14:textId="77777777">
      <w:pPr>
        <w:spacing w:after="0" w:line="240" w:lineRule="auto"/>
        <w:ind w:left="720"/>
        <w:contextualSpacing/>
        <w:rPr>
          <w:rFonts w:ascii="Times New Roman" w:hAnsi="Times New Roman" w:eastAsia="Times New Roman" w:cs="Times New Roman"/>
          <w:color w:val="000000" w:themeColor="text1"/>
          <w:sz w:val="24"/>
          <w:szCs w:val="24"/>
        </w:rPr>
      </w:pPr>
    </w:p>
    <w:p w:rsidR="003357BA" w:rsidP="009565DF" w:rsidRDefault="00062AF6" w14:paraId="4E474E13" w14:textId="745A28B5">
      <w:pPr>
        <w:spacing w:after="0" w:line="240" w:lineRule="auto"/>
        <w:ind w:left="720" w:firstLine="720"/>
        <w:contextualSpacing/>
        <w:rPr>
          <w:rFonts w:ascii="Times New Roman" w:hAnsi="Times New Roman" w:eastAsia="Times New Roman" w:cs="Times New Roman"/>
          <w:color w:val="000000" w:themeColor="text1"/>
          <w:sz w:val="24"/>
          <w:szCs w:val="24"/>
        </w:rPr>
      </w:pPr>
      <w:r w:rsidRPr="00FE402E">
        <w:rPr>
          <w:rFonts w:ascii="Times New Roman" w:hAnsi="Times New Roman" w:eastAsia="Times New Roman" w:cs="Times New Roman"/>
          <w:color w:val="000000" w:themeColor="text1"/>
          <w:sz w:val="24"/>
          <w:szCs w:val="24"/>
        </w:rPr>
        <w:t>This information collection is being revised to include the public burden associated with</w:t>
      </w:r>
      <w:r w:rsidRPr="009565DF" w:rsidR="00FE402E">
        <w:rPr>
          <w:rFonts w:ascii="Times New Roman" w:hAnsi="Times New Roman" w:cs="Times New Roman"/>
        </w:rPr>
        <w:t xml:space="preserve"> the Department’s</w:t>
      </w:r>
      <w:r w:rsidRPr="00FE402E" w:rsidR="00FE402E">
        <w:rPr>
          <w:rFonts w:ascii="Times New Roman" w:hAnsi="Times New Roman" w:eastAsia="Times New Roman" w:cs="Times New Roman"/>
          <w:color w:val="000000" w:themeColor="text1"/>
          <w:sz w:val="24"/>
          <w:szCs w:val="24"/>
        </w:rPr>
        <w:t xml:space="preserve"> pilot program pursuant to its authorities in ITAR section 126.9(b)</w:t>
      </w:r>
      <w:r w:rsidR="00FE402E">
        <w:rPr>
          <w:rFonts w:ascii="Times New Roman" w:hAnsi="Times New Roman" w:eastAsia="Times New Roman" w:cs="Times New Roman"/>
          <w:color w:val="000000" w:themeColor="text1"/>
          <w:sz w:val="24"/>
          <w:szCs w:val="24"/>
        </w:rPr>
        <w:t>,</w:t>
      </w:r>
      <w:r w:rsidRPr="00FE402E" w:rsidR="00FE402E">
        <w:rPr>
          <w:rFonts w:ascii="Times New Roman" w:hAnsi="Times New Roman" w:eastAsia="Times New Roman" w:cs="Times New Roman"/>
          <w:color w:val="000000" w:themeColor="text1"/>
          <w:sz w:val="24"/>
          <w:szCs w:val="24"/>
        </w:rPr>
        <w:t xml:space="preserve"> in order to assess the concept of an Open General License (OGL) mechanism by which it may authorize certain transfers of defense articles to predetermined parties</w:t>
      </w:r>
      <w:r w:rsidRPr="00FE402E" w:rsidR="00054729">
        <w:rPr>
          <w:rFonts w:ascii="Times New Roman" w:hAnsi="Times New Roman" w:eastAsia="Times New Roman" w:cs="Times New Roman"/>
          <w:color w:val="000000" w:themeColor="text1"/>
          <w:sz w:val="24"/>
          <w:szCs w:val="24"/>
        </w:rPr>
        <w:t>.</w:t>
      </w:r>
    </w:p>
    <w:p w:rsidR="00FF1524" w:rsidP="004040DB" w:rsidRDefault="00FF1524" w14:paraId="30B7A053" w14:textId="6588626A">
      <w:pPr>
        <w:spacing w:after="0" w:line="240" w:lineRule="auto"/>
        <w:ind w:left="720"/>
        <w:contextualSpacing/>
        <w:rPr>
          <w:rFonts w:ascii="Times New Roman" w:hAnsi="Times New Roman" w:eastAsia="Times New Roman" w:cs="Times New Roman"/>
          <w:color w:val="000000" w:themeColor="text1"/>
          <w:sz w:val="24"/>
          <w:szCs w:val="24"/>
        </w:rPr>
      </w:pPr>
    </w:p>
    <w:p w:rsidR="00FF1524" w:rsidP="009565DF" w:rsidRDefault="00FF1524" w14:paraId="6CAC976B" w14:textId="19FAE686">
      <w:pPr>
        <w:spacing w:after="0" w:line="240" w:lineRule="auto"/>
        <w:ind w:left="720" w:firstLine="720"/>
        <w:contextualSpacing/>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The previous submission, exclusively for</w:t>
      </w:r>
      <w:r w:rsidRPr="00FF1524">
        <w:t xml:space="preserve"> </w:t>
      </w:r>
      <w:r>
        <w:rPr>
          <w:rFonts w:ascii="Times New Roman" w:hAnsi="Times New Roman" w:eastAsia="Times New Roman" w:cs="Times New Roman"/>
          <w:color w:val="000000" w:themeColor="text1"/>
          <w:sz w:val="24"/>
          <w:szCs w:val="24"/>
        </w:rPr>
        <w:t>r</w:t>
      </w:r>
      <w:r w:rsidRPr="00FF1524">
        <w:rPr>
          <w:rFonts w:ascii="Times New Roman" w:hAnsi="Times New Roman" w:eastAsia="Times New Roman" w:cs="Times New Roman"/>
          <w:color w:val="000000" w:themeColor="text1"/>
          <w:sz w:val="24"/>
          <w:szCs w:val="24"/>
        </w:rPr>
        <w:t>equest</w:t>
      </w:r>
      <w:r>
        <w:rPr>
          <w:rFonts w:ascii="Times New Roman" w:hAnsi="Times New Roman" w:eastAsia="Times New Roman" w:cs="Times New Roman"/>
          <w:color w:val="000000" w:themeColor="text1"/>
          <w:sz w:val="24"/>
          <w:szCs w:val="24"/>
        </w:rPr>
        <w:t>s</w:t>
      </w:r>
      <w:r w:rsidRPr="00FF1524">
        <w:rPr>
          <w:rFonts w:ascii="Times New Roman" w:hAnsi="Times New Roman" w:eastAsia="Times New Roman" w:cs="Times New Roman"/>
          <w:color w:val="000000" w:themeColor="text1"/>
          <w:sz w:val="24"/>
          <w:szCs w:val="24"/>
        </w:rPr>
        <w:t xml:space="preserve"> to </w:t>
      </w:r>
      <w:r>
        <w:rPr>
          <w:rFonts w:ascii="Times New Roman" w:hAnsi="Times New Roman" w:eastAsia="Times New Roman" w:cs="Times New Roman"/>
          <w:color w:val="000000" w:themeColor="text1"/>
          <w:sz w:val="24"/>
          <w:szCs w:val="24"/>
        </w:rPr>
        <w:t>c</w:t>
      </w:r>
      <w:r w:rsidRPr="00FF1524">
        <w:rPr>
          <w:rFonts w:ascii="Times New Roman" w:hAnsi="Times New Roman" w:eastAsia="Times New Roman" w:cs="Times New Roman"/>
          <w:color w:val="000000" w:themeColor="text1"/>
          <w:sz w:val="24"/>
          <w:szCs w:val="24"/>
        </w:rPr>
        <w:t xml:space="preserve">hange </w:t>
      </w:r>
      <w:r>
        <w:rPr>
          <w:rFonts w:ascii="Times New Roman" w:hAnsi="Times New Roman" w:eastAsia="Times New Roman" w:cs="Times New Roman"/>
          <w:color w:val="000000" w:themeColor="text1"/>
          <w:sz w:val="24"/>
          <w:szCs w:val="24"/>
        </w:rPr>
        <w:t>e</w:t>
      </w:r>
      <w:r w:rsidRPr="00FF1524">
        <w:rPr>
          <w:rFonts w:ascii="Times New Roman" w:hAnsi="Times New Roman" w:eastAsia="Times New Roman" w:cs="Times New Roman"/>
          <w:color w:val="000000" w:themeColor="text1"/>
          <w:sz w:val="24"/>
          <w:szCs w:val="24"/>
        </w:rPr>
        <w:t xml:space="preserve">nd </w:t>
      </w:r>
      <w:r>
        <w:rPr>
          <w:rFonts w:ascii="Times New Roman" w:hAnsi="Times New Roman" w:eastAsia="Times New Roman" w:cs="Times New Roman"/>
          <w:color w:val="000000" w:themeColor="text1"/>
          <w:sz w:val="24"/>
          <w:szCs w:val="24"/>
        </w:rPr>
        <w:t>u</w:t>
      </w:r>
      <w:r w:rsidRPr="00FF1524">
        <w:rPr>
          <w:rFonts w:ascii="Times New Roman" w:hAnsi="Times New Roman" w:eastAsia="Times New Roman" w:cs="Times New Roman"/>
          <w:color w:val="000000" w:themeColor="text1"/>
          <w:sz w:val="24"/>
          <w:szCs w:val="24"/>
        </w:rPr>
        <w:t>ser</w:t>
      </w:r>
      <w:r>
        <w:rPr>
          <w:rFonts w:ascii="Times New Roman" w:hAnsi="Times New Roman" w:eastAsia="Times New Roman" w:cs="Times New Roman"/>
          <w:color w:val="000000" w:themeColor="text1"/>
          <w:sz w:val="24"/>
          <w:szCs w:val="24"/>
        </w:rPr>
        <w:t>s</w:t>
      </w:r>
      <w:r w:rsidRPr="00FF1524">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e</w:t>
      </w:r>
      <w:r w:rsidRPr="00FF1524">
        <w:rPr>
          <w:rFonts w:ascii="Times New Roman" w:hAnsi="Times New Roman" w:eastAsia="Times New Roman" w:cs="Times New Roman"/>
          <w:color w:val="000000" w:themeColor="text1"/>
          <w:sz w:val="24"/>
          <w:szCs w:val="24"/>
        </w:rPr>
        <w:t xml:space="preserve">nd </w:t>
      </w:r>
      <w:r>
        <w:rPr>
          <w:rFonts w:ascii="Times New Roman" w:hAnsi="Times New Roman" w:eastAsia="Times New Roman" w:cs="Times New Roman"/>
          <w:color w:val="000000" w:themeColor="text1"/>
          <w:sz w:val="24"/>
          <w:szCs w:val="24"/>
        </w:rPr>
        <w:t>u</w:t>
      </w:r>
      <w:r w:rsidRPr="00FF1524">
        <w:rPr>
          <w:rFonts w:ascii="Times New Roman" w:hAnsi="Times New Roman" w:eastAsia="Times New Roman" w:cs="Times New Roman"/>
          <w:color w:val="000000" w:themeColor="text1"/>
          <w:sz w:val="24"/>
          <w:szCs w:val="24"/>
        </w:rPr>
        <w:t xml:space="preserve">se, and/or </w:t>
      </w:r>
      <w:r>
        <w:rPr>
          <w:rFonts w:ascii="Times New Roman" w:hAnsi="Times New Roman" w:eastAsia="Times New Roman" w:cs="Times New Roman"/>
          <w:color w:val="000000" w:themeColor="text1"/>
          <w:sz w:val="24"/>
          <w:szCs w:val="24"/>
        </w:rPr>
        <w:t>d</w:t>
      </w:r>
      <w:r w:rsidRPr="00FF1524">
        <w:rPr>
          <w:rFonts w:ascii="Times New Roman" w:hAnsi="Times New Roman" w:eastAsia="Times New Roman" w:cs="Times New Roman"/>
          <w:color w:val="000000" w:themeColor="text1"/>
          <w:sz w:val="24"/>
          <w:szCs w:val="24"/>
        </w:rPr>
        <w:t xml:space="preserve">estination of </w:t>
      </w:r>
      <w:r>
        <w:rPr>
          <w:rFonts w:ascii="Times New Roman" w:hAnsi="Times New Roman" w:eastAsia="Times New Roman" w:cs="Times New Roman"/>
          <w:color w:val="000000" w:themeColor="text1"/>
          <w:sz w:val="24"/>
          <w:szCs w:val="24"/>
        </w:rPr>
        <w:t>h</w:t>
      </w:r>
      <w:r w:rsidRPr="00FF1524">
        <w:rPr>
          <w:rFonts w:ascii="Times New Roman" w:hAnsi="Times New Roman" w:eastAsia="Times New Roman" w:cs="Times New Roman"/>
          <w:color w:val="000000" w:themeColor="text1"/>
          <w:sz w:val="24"/>
          <w:szCs w:val="24"/>
        </w:rPr>
        <w:t>ardware</w:t>
      </w:r>
      <w:r>
        <w:rPr>
          <w:rFonts w:ascii="Times New Roman" w:hAnsi="Times New Roman" w:eastAsia="Times New Roman" w:cs="Times New Roman"/>
          <w:color w:val="000000" w:themeColor="text1"/>
          <w:sz w:val="24"/>
          <w:szCs w:val="24"/>
        </w:rPr>
        <w:t xml:space="preserve"> associated with applications was previously</w:t>
      </w:r>
      <w:r w:rsidRPr="00FF1524">
        <w:rPr>
          <w:rFonts w:ascii="Times New Roman" w:hAnsi="Times New Roman" w:eastAsia="Times New Roman" w:cs="Times New Roman"/>
          <w:color w:val="000000" w:themeColor="text1"/>
          <w:sz w:val="24"/>
          <w:szCs w:val="24"/>
        </w:rPr>
        <w:t xml:space="preserve"> adjusted from 500 to 1,563 in the most recent estimate.  Total annual responses have been adjusted from 500 to 1,563.  Consequently, total annual hours requested have been adjusted to 1,563.  The revised respondent number </w:t>
      </w:r>
      <w:r>
        <w:rPr>
          <w:rFonts w:ascii="Times New Roman" w:hAnsi="Times New Roman" w:eastAsia="Times New Roman" w:cs="Times New Roman"/>
          <w:color w:val="000000" w:themeColor="text1"/>
          <w:sz w:val="24"/>
          <w:szCs w:val="24"/>
        </w:rPr>
        <w:t>wa</w:t>
      </w:r>
      <w:r w:rsidRPr="00FF1524">
        <w:rPr>
          <w:rFonts w:ascii="Times New Roman" w:hAnsi="Times New Roman" w:eastAsia="Times New Roman" w:cs="Times New Roman"/>
          <w:color w:val="000000" w:themeColor="text1"/>
          <w:sz w:val="24"/>
          <w:szCs w:val="24"/>
        </w:rPr>
        <w:t xml:space="preserve">s based on the submissions identified during a review of the database.  DDTC has added a submission type ‘Other’ to the DS-6004 and will allow for electronic upload of supporting documentation.  </w:t>
      </w:r>
    </w:p>
    <w:p w:rsidRPr="00FE402E" w:rsidR="004040DB" w:rsidP="009565DF" w:rsidRDefault="004040DB" w14:paraId="43B3A7D7" w14:textId="77777777">
      <w:pPr>
        <w:spacing w:after="0" w:line="240" w:lineRule="auto"/>
        <w:ind w:left="720"/>
        <w:contextualSpacing/>
        <w:rPr>
          <w:rFonts w:ascii="Times New Roman" w:hAnsi="Times New Roman" w:eastAsia="Times New Roman" w:cs="Times New Roman"/>
          <w:color w:val="000000" w:themeColor="text1"/>
          <w:sz w:val="24"/>
          <w:szCs w:val="24"/>
        </w:rPr>
      </w:pPr>
    </w:p>
    <w:p w:rsidRPr="00D518FF" w:rsidR="003357BA" w:rsidP="009565DF" w:rsidRDefault="4E920CEB" w14:paraId="4C872BC9" w14:textId="65F6D21B">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FE402E">
        <w:rPr>
          <w:rFonts w:ascii="Times New Roman" w:hAnsi="Times New Roman" w:eastAsia="Times New Roman" w:cs="Times New Roman"/>
          <w:i/>
          <w:iCs/>
          <w:color w:val="000000" w:themeColor="text1"/>
          <w:sz w:val="24"/>
          <w:szCs w:val="24"/>
        </w:rPr>
        <w:t>Specify if the data gathered</w:t>
      </w:r>
      <w:r w:rsidRPr="00D518FF">
        <w:rPr>
          <w:rFonts w:ascii="Times New Roman" w:hAnsi="Times New Roman" w:eastAsia="Times New Roman" w:cs="Times New Roman"/>
          <w:i/>
          <w:iCs/>
          <w:color w:val="000000" w:themeColor="text1"/>
          <w:sz w:val="24"/>
          <w:szCs w:val="24"/>
        </w:rPr>
        <w:t xml:space="preserve"> by this collection will be published.</w:t>
      </w:r>
    </w:p>
    <w:p w:rsidR="004040DB" w:rsidP="004040DB" w:rsidRDefault="004040DB" w14:paraId="4AFCEACC" w14:textId="77777777">
      <w:pPr>
        <w:spacing w:after="0" w:line="240" w:lineRule="auto"/>
        <w:ind w:left="360" w:firstLine="360"/>
        <w:contextualSpacing/>
        <w:rPr>
          <w:rFonts w:ascii="Times New Roman" w:hAnsi="Times New Roman" w:eastAsia="Times New Roman" w:cs="Times New Roman"/>
          <w:color w:val="000000" w:themeColor="text1"/>
          <w:sz w:val="24"/>
          <w:szCs w:val="24"/>
        </w:rPr>
      </w:pPr>
    </w:p>
    <w:p w:rsidR="003357BA" w:rsidP="00FA4BB6" w:rsidRDefault="4E920CEB" w14:paraId="13F8637E" w14:textId="41D89599">
      <w:pPr>
        <w:spacing w:after="0" w:line="240" w:lineRule="auto"/>
        <w:ind w:left="1080" w:firstLine="360"/>
        <w:contextualSpacing/>
        <w:rPr>
          <w:rFonts w:ascii="Times New Roman" w:hAnsi="Times New Roman" w:eastAsia="Times New Roman" w:cs="Times New Roman"/>
          <w:color w:val="000000" w:themeColor="text1"/>
          <w:sz w:val="24"/>
          <w:szCs w:val="24"/>
        </w:rPr>
      </w:pPr>
      <w:r w:rsidRPr="00D518FF">
        <w:rPr>
          <w:rFonts w:ascii="Times New Roman" w:hAnsi="Times New Roman" w:eastAsia="Times New Roman" w:cs="Times New Roman"/>
          <w:color w:val="000000" w:themeColor="text1"/>
          <w:sz w:val="24"/>
          <w:szCs w:val="24"/>
        </w:rPr>
        <w:t xml:space="preserve">The information collected pursuant to </w:t>
      </w:r>
      <w:r w:rsidR="00FF1524">
        <w:rPr>
          <w:rFonts w:ascii="Times New Roman" w:hAnsi="Times New Roman" w:eastAsia="Times New Roman" w:cs="Times New Roman"/>
          <w:color w:val="000000" w:themeColor="text1"/>
          <w:sz w:val="24"/>
          <w:szCs w:val="24"/>
        </w:rPr>
        <w:t>any</w:t>
      </w:r>
      <w:r w:rsidRPr="00D518FF">
        <w:rPr>
          <w:rFonts w:ascii="Times New Roman" w:hAnsi="Times New Roman" w:eastAsia="Times New Roman" w:cs="Times New Roman"/>
          <w:color w:val="000000" w:themeColor="text1"/>
          <w:sz w:val="24"/>
          <w:szCs w:val="24"/>
        </w:rPr>
        <w:t xml:space="preserve"> collection</w:t>
      </w:r>
      <w:r w:rsidR="00FF1524">
        <w:rPr>
          <w:rFonts w:ascii="Times New Roman" w:hAnsi="Times New Roman" w:eastAsia="Times New Roman" w:cs="Times New Roman"/>
          <w:color w:val="000000" w:themeColor="text1"/>
          <w:sz w:val="24"/>
          <w:szCs w:val="24"/>
        </w:rPr>
        <w:t xml:space="preserve"> here</w:t>
      </w:r>
      <w:r w:rsidRPr="00D518FF">
        <w:rPr>
          <w:rFonts w:ascii="Times New Roman" w:hAnsi="Times New Roman" w:eastAsia="Times New Roman" w:cs="Times New Roman"/>
          <w:color w:val="000000" w:themeColor="text1"/>
          <w:sz w:val="24"/>
          <w:szCs w:val="24"/>
        </w:rPr>
        <w:t xml:space="preserve"> will not be published.</w:t>
      </w:r>
    </w:p>
    <w:p w:rsidRPr="00D518FF" w:rsidR="004040DB" w:rsidP="009565DF" w:rsidRDefault="004040DB" w14:paraId="1EA7FC89" w14:textId="77777777">
      <w:pPr>
        <w:spacing w:after="0" w:line="240" w:lineRule="auto"/>
        <w:ind w:left="360" w:firstLine="360"/>
        <w:contextualSpacing/>
        <w:rPr>
          <w:rFonts w:ascii="Times New Roman" w:hAnsi="Times New Roman" w:eastAsia="Times New Roman" w:cs="Times New Roman"/>
          <w:color w:val="000000" w:themeColor="text1"/>
          <w:sz w:val="24"/>
          <w:szCs w:val="24"/>
        </w:rPr>
      </w:pPr>
    </w:p>
    <w:p w:rsidRPr="00D518FF" w:rsidR="003357BA" w:rsidP="009565DF" w:rsidRDefault="4E920CEB" w14:paraId="35648D65" w14:textId="0C597489">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If applicable, explain the reason(s) for seeking approval to not display the OMB expiration date.  Otherwise, write “The Department will display the OMB expiration date.”</w:t>
      </w:r>
    </w:p>
    <w:p w:rsidR="004040DB" w:rsidP="004040DB" w:rsidRDefault="004040DB" w14:paraId="1C31C9D7" w14:textId="48A1BF02">
      <w:pPr>
        <w:spacing w:after="0" w:line="240" w:lineRule="auto"/>
        <w:ind w:left="720"/>
        <w:contextualSpacing/>
        <w:rPr>
          <w:rFonts w:ascii="Times New Roman" w:hAnsi="Times New Roman" w:eastAsia="Times New Roman" w:cs="Times New Roman"/>
          <w:sz w:val="24"/>
          <w:szCs w:val="24"/>
        </w:rPr>
      </w:pPr>
    </w:p>
    <w:p w:rsidRPr="0033045C" w:rsidR="00FF1524" w:rsidP="00FF1524" w:rsidRDefault="00FF1524" w14:paraId="4111F219" w14:textId="77777777">
      <w:pPr>
        <w:pStyle w:val="ListParagraph"/>
        <w:numPr>
          <w:ilvl w:val="0"/>
          <w:numId w:val="6"/>
        </w:numPr>
        <w:spacing w:after="0" w:line="240" w:lineRule="auto"/>
        <w:rPr>
          <w:rFonts w:ascii="Times New Roman" w:hAnsi="Times New Roman" w:eastAsia="Times New Roman" w:cs="Times New Roman"/>
          <w:sz w:val="24"/>
          <w:szCs w:val="24"/>
          <w:u w:val="single"/>
        </w:rPr>
      </w:pPr>
      <w:r w:rsidRPr="0033045C">
        <w:rPr>
          <w:rFonts w:ascii="Times New Roman" w:hAnsi="Times New Roman" w:eastAsia="Times New Roman" w:cs="Times New Roman"/>
          <w:sz w:val="24"/>
          <w:szCs w:val="24"/>
          <w:u w:val="single"/>
        </w:rPr>
        <w:t>Request to Change End User, End Use, and/or Destination of Hardware</w:t>
      </w:r>
    </w:p>
    <w:p w:rsidR="00FF1524" w:rsidP="004040DB" w:rsidRDefault="00FF1524" w14:paraId="31810ABC" w14:textId="27B1A7A2">
      <w:pPr>
        <w:spacing w:after="0" w:line="240" w:lineRule="auto"/>
        <w:ind w:left="720"/>
        <w:contextualSpacing/>
        <w:rPr>
          <w:rFonts w:ascii="Times New Roman" w:hAnsi="Times New Roman" w:eastAsia="Times New Roman" w:cs="Times New Roman"/>
          <w:sz w:val="24"/>
          <w:szCs w:val="24"/>
        </w:rPr>
      </w:pPr>
    </w:p>
    <w:p w:rsidR="00FF1524" w:rsidP="009565DF" w:rsidRDefault="00FF1524" w14:paraId="6578CAB7" w14:textId="35FF01E8">
      <w:pPr>
        <w:spacing w:after="0" w:line="240" w:lineRule="auto"/>
        <w:ind w:left="720" w:firstLine="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this specific collection, </w:t>
      </w:r>
      <w:r w:rsidRPr="00FF1524">
        <w:rPr>
          <w:rFonts w:ascii="Times New Roman" w:hAnsi="Times New Roman" w:eastAsia="Times New Roman" w:cs="Times New Roman"/>
          <w:sz w:val="24"/>
          <w:szCs w:val="24"/>
        </w:rPr>
        <w:t>DDTC will display the expiration date for OMB approval of the information collection.</w:t>
      </w:r>
    </w:p>
    <w:p w:rsidR="00FF1524" w:rsidP="004040DB" w:rsidRDefault="00FF1524" w14:paraId="7C0AE3E8" w14:textId="77777777">
      <w:pPr>
        <w:spacing w:after="0" w:line="240" w:lineRule="auto"/>
        <w:ind w:left="720"/>
        <w:contextualSpacing/>
        <w:rPr>
          <w:rFonts w:ascii="Times New Roman" w:hAnsi="Times New Roman" w:eastAsia="Times New Roman" w:cs="Times New Roman"/>
          <w:sz w:val="24"/>
          <w:szCs w:val="24"/>
        </w:rPr>
      </w:pPr>
    </w:p>
    <w:p w:rsidR="00FF1524" w:rsidP="00FF1524" w:rsidRDefault="00FF1524" w14:paraId="7EB07E2D" w14:textId="77777777">
      <w:pPr>
        <w:spacing w:after="0" w:line="240" w:lineRule="auto"/>
        <w:ind w:left="720" w:firstLine="720"/>
        <w:contextualSpacing/>
        <w:rPr>
          <w:rFonts w:ascii="Times New Roman" w:hAnsi="Times New Roman" w:eastAsia="Times New Roman" w:cs="Times New Roman"/>
          <w:sz w:val="24"/>
          <w:szCs w:val="24"/>
        </w:rPr>
      </w:pPr>
      <w:r w:rsidRPr="00C22796">
        <w:rPr>
          <w:rFonts w:ascii="Times New Roman" w:hAnsi="Times New Roman" w:eastAsia="Times New Roman" w:cs="Times New Roman"/>
          <w:sz w:val="24"/>
          <w:szCs w:val="24"/>
          <w:u w:val="single"/>
        </w:rPr>
        <w:t>B.  Open General Licenses</w:t>
      </w:r>
    </w:p>
    <w:p w:rsidR="00FF1524" w:rsidP="004040DB" w:rsidRDefault="00FF1524" w14:paraId="5755D92F" w14:textId="77777777">
      <w:pPr>
        <w:spacing w:after="0" w:line="240" w:lineRule="auto"/>
        <w:ind w:left="720"/>
        <w:contextualSpacing/>
        <w:rPr>
          <w:rFonts w:ascii="Times New Roman" w:hAnsi="Times New Roman" w:eastAsia="Times New Roman" w:cs="Times New Roman"/>
          <w:sz w:val="24"/>
          <w:szCs w:val="24"/>
        </w:rPr>
      </w:pPr>
    </w:p>
    <w:p w:rsidR="003357BA" w:rsidP="009565DF" w:rsidRDefault="51ADA09B" w14:paraId="188BE6C2" w14:textId="67C2B4AB">
      <w:pPr>
        <w:spacing w:after="0" w:line="240" w:lineRule="auto"/>
        <w:ind w:left="720" w:firstLine="720"/>
        <w:contextualSpacing/>
        <w:rPr>
          <w:rFonts w:ascii="Times New Roman" w:hAnsi="Times New Roman" w:eastAsia="Times New Roman" w:cs="Times New Roman"/>
          <w:sz w:val="24"/>
          <w:szCs w:val="24"/>
        </w:rPr>
      </w:pPr>
      <w:r w:rsidRPr="1F958B82">
        <w:rPr>
          <w:rFonts w:ascii="Times New Roman" w:hAnsi="Times New Roman" w:eastAsia="Times New Roman" w:cs="Times New Roman"/>
          <w:sz w:val="24"/>
          <w:szCs w:val="24"/>
        </w:rPr>
        <w:t>The Department of State requests approval to not display the OMB expiration date</w:t>
      </w:r>
      <w:r w:rsidR="00FF1524">
        <w:rPr>
          <w:rFonts w:ascii="Times New Roman" w:hAnsi="Times New Roman" w:eastAsia="Times New Roman" w:cs="Times New Roman"/>
          <w:sz w:val="24"/>
          <w:szCs w:val="24"/>
        </w:rPr>
        <w:t xml:space="preserve"> on </w:t>
      </w:r>
      <w:r w:rsidR="002F02C7">
        <w:rPr>
          <w:rFonts w:ascii="Times New Roman" w:hAnsi="Times New Roman" w:eastAsia="Times New Roman" w:cs="Times New Roman"/>
          <w:sz w:val="24"/>
          <w:szCs w:val="24"/>
        </w:rPr>
        <w:t xml:space="preserve">OGL </w:t>
      </w:r>
      <w:r w:rsidR="00FF1524">
        <w:rPr>
          <w:rFonts w:ascii="Times New Roman" w:hAnsi="Times New Roman" w:eastAsia="Times New Roman" w:cs="Times New Roman"/>
          <w:sz w:val="24"/>
          <w:szCs w:val="24"/>
        </w:rPr>
        <w:t>records retained and later submitted upon request</w:t>
      </w:r>
      <w:r w:rsidRPr="1F958B82">
        <w:rPr>
          <w:rFonts w:ascii="Times New Roman" w:hAnsi="Times New Roman" w:eastAsia="Times New Roman" w:cs="Times New Roman"/>
          <w:sz w:val="24"/>
          <w:szCs w:val="24"/>
        </w:rPr>
        <w:t>.  Submissions made pursuant to this collection will not be submitted to DDTC via a standardized form.</w:t>
      </w:r>
      <w:r w:rsidRPr="1F958B82" w:rsidR="53A18966">
        <w:rPr>
          <w:rFonts w:ascii="Times New Roman" w:hAnsi="Times New Roman" w:eastAsia="Times New Roman" w:cs="Times New Roman"/>
          <w:sz w:val="24"/>
          <w:szCs w:val="24"/>
        </w:rPr>
        <w:t xml:space="preserve"> </w:t>
      </w:r>
      <w:r w:rsidRPr="1F958B82">
        <w:rPr>
          <w:rFonts w:ascii="Times New Roman" w:hAnsi="Times New Roman" w:eastAsia="Times New Roman" w:cs="Times New Roman"/>
          <w:sz w:val="24"/>
          <w:szCs w:val="24"/>
        </w:rPr>
        <w:t>Thus, there is no form on which to provide an expiration date.</w:t>
      </w:r>
      <w:r w:rsidR="00FF1524">
        <w:rPr>
          <w:rFonts w:ascii="Times New Roman" w:hAnsi="Times New Roman" w:eastAsia="Times New Roman" w:cs="Times New Roman"/>
          <w:sz w:val="24"/>
          <w:szCs w:val="24"/>
        </w:rPr>
        <w:t xml:space="preserve"> </w:t>
      </w:r>
    </w:p>
    <w:p w:rsidRPr="00D518FF" w:rsidR="004040DB" w:rsidP="009565DF" w:rsidRDefault="004040DB" w14:paraId="0BA9D900" w14:textId="77777777">
      <w:pPr>
        <w:spacing w:after="0" w:line="240" w:lineRule="auto"/>
        <w:ind w:left="720"/>
        <w:contextualSpacing/>
        <w:rPr>
          <w:rFonts w:ascii="Times New Roman" w:hAnsi="Times New Roman" w:eastAsia="Times New Roman" w:cs="Times New Roman"/>
          <w:color w:val="000000" w:themeColor="text1"/>
          <w:sz w:val="24"/>
          <w:szCs w:val="24"/>
        </w:rPr>
      </w:pPr>
    </w:p>
    <w:p w:rsidRPr="009565DF" w:rsidR="003357BA" w:rsidP="004040DB" w:rsidRDefault="4E920CEB" w14:paraId="50F1977B" w14:textId="33C67A33">
      <w:pPr>
        <w:pStyle w:val="ListParagraph"/>
        <w:numPr>
          <w:ilvl w:val="0"/>
          <w:numId w:val="2"/>
        </w:numPr>
        <w:spacing w:after="0" w:line="240" w:lineRule="auto"/>
        <w:rPr>
          <w:rFonts w:ascii="Times New Roman" w:hAnsi="Times New Roman" w:cs="Times New Roman" w:eastAsiaTheme="minorEastAsia"/>
          <w:i/>
          <w:iCs/>
          <w:color w:val="000000" w:themeColor="text1"/>
          <w:sz w:val="24"/>
          <w:szCs w:val="24"/>
        </w:rPr>
      </w:pPr>
      <w:r w:rsidRPr="00D518FF">
        <w:rPr>
          <w:rFonts w:ascii="Times New Roman" w:hAnsi="Times New Roman" w:eastAsia="Times New Roman" w:cs="Times New Roman"/>
          <w:i/>
          <w:iCs/>
          <w:color w:val="000000" w:themeColor="text1"/>
          <w:sz w:val="24"/>
          <w:szCs w:val="24"/>
        </w:rPr>
        <w:t>Explain any exceptions to the OMB certification statement below.  If there are no exceptions, write “The Department is not seeking exceptions to the certification statement”.</w:t>
      </w:r>
    </w:p>
    <w:p w:rsidRPr="00D518FF" w:rsidR="004040DB" w:rsidP="009565DF" w:rsidRDefault="004040DB" w14:paraId="604AD28A" w14:textId="77777777">
      <w:pPr>
        <w:pStyle w:val="ListParagraph"/>
        <w:spacing w:after="0" w:line="240" w:lineRule="auto"/>
        <w:rPr>
          <w:rFonts w:ascii="Times New Roman" w:hAnsi="Times New Roman" w:cs="Times New Roman" w:eastAsiaTheme="minorEastAsia"/>
          <w:i/>
          <w:iCs/>
          <w:color w:val="000000" w:themeColor="text1"/>
          <w:sz w:val="24"/>
          <w:szCs w:val="24"/>
        </w:rPr>
      </w:pPr>
    </w:p>
    <w:p w:rsidR="003357BA" w:rsidP="009565DF" w:rsidRDefault="53A18966" w14:paraId="6579D2E4" w14:textId="0C5DB5C5">
      <w:pPr>
        <w:spacing w:after="0" w:line="240" w:lineRule="auto"/>
        <w:ind w:left="720" w:firstLine="720"/>
        <w:contextualSpacing/>
        <w:rPr>
          <w:rFonts w:ascii="Times New Roman" w:hAnsi="Times New Roman" w:eastAsia="Times New Roman" w:cs="Times New Roman"/>
          <w:sz w:val="24"/>
          <w:szCs w:val="24"/>
        </w:rPr>
      </w:pPr>
      <w:r w:rsidRPr="6ADC932C">
        <w:rPr>
          <w:rFonts w:ascii="Times New Roman" w:hAnsi="Times New Roman" w:eastAsia="Times New Roman" w:cs="Times New Roman"/>
          <w:sz w:val="24"/>
          <w:szCs w:val="24"/>
        </w:rPr>
        <w:t xml:space="preserve">The Department of State </w:t>
      </w:r>
      <w:r w:rsidR="002F02C7">
        <w:rPr>
          <w:rFonts w:ascii="Times New Roman" w:hAnsi="Times New Roman" w:eastAsia="Times New Roman" w:cs="Times New Roman"/>
          <w:sz w:val="24"/>
          <w:szCs w:val="24"/>
        </w:rPr>
        <w:t>is not</w:t>
      </w:r>
      <w:r w:rsidRPr="6ADC932C">
        <w:rPr>
          <w:rFonts w:ascii="Times New Roman" w:hAnsi="Times New Roman" w:eastAsia="Times New Roman" w:cs="Times New Roman"/>
          <w:sz w:val="24"/>
          <w:szCs w:val="24"/>
        </w:rPr>
        <w:t xml:space="preserve"> seek</w:t>
      </w:r>
      <w:r w:rsidR="002F02C7">
        <w:rPr>
          <w:rFonts w:ascii="Times New Roman" w:hAnsi="Times New Roman" w:eastAsia="Times New Roman" w:cs="Times New Roman"/>
          <w:sz w:val="24"/>
          <w:szCs w:val="24"/>
        </w:rPr>
        <w:t>ing</w:t>
      </w:r>
      <w:r w:rsidRPr="6ADC932C">
        <w:rPr>
          <w:rFonts w:ascii="Times New Roman" w:hAnsi="Times New Roman" w:eastAsia="Times New Roman" w:cs="Times New Roman"/>
          <w:sz w:val="24"/>
          <w:szCs w:val="24"/>
        </w:rPr>
        <w:t xml:space="preserve"> exception</w:t>
      </w:r>
      <w:r w:rsidR="002F02C7">
        <w:rPr>
          <w:rFonts w:ascii="Times New Roman" w:hAnsi="Times New Roman" w:eastAsia="Times New Roman" w:cs="Times New Roman"/>
          <w:sz w:val="24"/>
          <w:szCs w:val="24"/>
        </w:rPr>
        <w:t>s</w:t>
      </w:r>
      <w:r w:rsidRPr="6ADC932C">
        <w:rPr>
          <w:rFonts w:ascii="Times New Roman" w:hAnsi="Times New Roman" w:eastAsia="Times New Roman" w:cs="Times New Roman"/>
          <w:sz w:val="24"/>
          <w:szCs w:val="24"/>
        </w:rPr>
        <w:t xml:space="preserve"> to the certification statement.</w:t>
      </w:r>
    </w:p>
    <w:p w:rsidRPr="00D518FF" w:rsidR="004040DB" w:rsidP="009565DF" w:rsidRDefault="004040DB" w14:paraId="5F87C517" w14:textId="77777777">
      <w:pPr>
        <w:spacing w:after="0" w:line="240" w:lineRule="auto"/>
        <w:ind w:left="720"/>
        <w:contextualSpacing/>
        <w:rPr>
          <w:rFonts w:ascii="Times New Roman" w:hAnsi="Times New Roman" w:eastAsia="Times New Roman" w:cs="Times New Roman"/>
          <w:b/>
          <w:bCs/>
          <w:color w:val="000000" w:themeColor="text1"/>
          <w:sz w:val="24"/>
          <w:szCs w:val="24"/>
        </w:rPr>
      </w:pPr>
    </w:p>
    <w:p w:rsidR="003357BA" w:rsidP="009565DF" w:rsidRDefault="4E920CEB" w14:paraId="718C15E1" w14:textId="359E764E">
      <w:pPr>
        <w:pStyle w:val="Heading1"/>
        <w:spacing w:before="0" w:line="240" w:lineRule="auto"/>
        <w:contextualSpacing/>
        <w:rPr>
          <w:rFonts w:ascii="Times New Roman" w:hAnsi="Times New Roman" w:eastAsia="Times New Roman" w:cs="Times New Roman"/>
          <w:b/>
          <w:bCs/>
          <w:color w:val="000000" w:themeColor="text1"/>
          <w:sz w:val="24"/>
          <w:szCs w:val="24"/>
        </w:rPr>
      </w:pPr>
      <w:r w:rsidRPr="4E920CEB">
        <w:rPr>
          <w:rFonts w:ascii="Times New Roman" w:hAnsi="Times New Roman" w:eastAsia="Times New Roman" w:cs="Times New Roman"/>
          <w:b/>
          <w:bCs/>
          <w:color w:val="000000" w:themeColor="text1"/>
          <w:sz w:val="24"/>
          <w:szCs w:val="24"/>
        </w:rPr>
        <w:t>B.</w:t>
      </w:r>
      <w:r w:rsidR="003357BA">
        <w:tab/>
      </w:r>
      <w:r w:rsidRPr="4E920CEB">
        <w:rPr>
          <w:rFonts w:ascii="Times New Roman" w:hAnsi="Times New Roman" w:eastAsia="Times New Roman" w:cs="Times New Roman"/>
          <w:b/>
          <w:bCs/>
          <w:color w:val="000000" w:themeColor="text1"/>
          <w:sz w:val="24"/>
          <w:szCs w:val="24"/>
        </w:rPr>
        <w:t>COLLECTION OF INFORMATION EMPLOYING STATISTICAL METHODS</w:t>
      </w:r>
    </w:p>
    <w:p w:rsidR="002F02C7" w:rsidP="004040DB" w:rsidRDefault="002F02C7" w14:paraId="60EF4145" w14:textId="77777777">
      <w:pPr>
        <w:spacing w:after="0" w:line="240" w:lineRule="auto"/>
        <w:ind w:firstLine="720"/>
        <w:contextualSpacing/>
        <w:rPr>
          <w:rFonts w:ascii="Times New Roman" w:hAnsi="Times New Roman" w:eastAsia="Times New Roman" w:cs="Times New Roman"/>
          <w:color w:val="000000" w:themeColor="text1"/>
          <w:sz w:val="24"/>
          <w:szCs w:val="24"/>
        </w:rPr>
      </w:pPr>
    </w:p>
    <w:p w:rsidRPr="009001A7" w:rsidR="003357BA" w:rsidP="009565DF" w:rsidRDefault="4E920CEB" w14:paraId="2C078E63" w14:textId="7432EE5C">
      <w:pPr>
        <w:spacing w:after="0" w:line="240" w:lineRule="auto"/>
        <w:ind w:left="720" w:firstLine="720"/>
        <w:contextualSpacing/>
        <w:rPr>
          <w:rFonts w:ascii="Times New Roman" w:hAnsi="Times New Roman" w:eastAsia="Times New Roman" w:cs="Times New Roman"/>
          <w:color w:val="000000" w:themeColor="text1"/>
          <w:sz w:val="24"/>
          <w:szCs w:val="24"/>
        </w:rPr>
      </w:pPr>
      <w:r w:rsidRPr="4E920CEB">
        <w:rPr>
          <w:rFonts w:ascii="Times New Roman" w:hAnsi="Times New Roman" w:eastAsia="Times New Roman" w:cs="Times New Roman"/>
          <w:color w:val="000000" w:themeColor="text1"/>
          <w:sz w:val="24"/>
          <w:szCs w:val="24"/>
        </w:rPr>
        <w:t xml:space="preserve">This collection does not employ statistical methods. </w:t>
      </w:r>
    </w:p>
    <w:sectPr w:rsidRPr="009001A7" w:rsidR="003357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A585" w14:textId="77777777" w:rsidR="00B35DE0" w:rsidRDefault="00B35DE0" w:rsidP="00FD3F65">
      <w:pPr>
        <w:spacing w:after="0" w:line="240" w:lineRule="auto"/>
      </w:pPr>
      <w:r>
        <w:separator/>
      </w:r>
    </w:p>
  </w:endnote>
  <w:endnote w:type="continuationSeparator" w:id="0">
    <w:p w14:paraId="4819FCDF" w14:textId="77777777" w:rsidR="00B35DE0" w:rsidRDefault="00B35DE0" w:rsidP="00FD3F65">
      <w:pPr>
        <w:spacing w:after="0" w:line="240" w:lineRule="auto"/>
      </w:pPr>
      <w:r>
        <w:continuationSeparator/>
      </w:r>
    </w:p>
  </w:endnote>
  <w:endnote w:type="continuationNotice" w:id="1">
    <w:p w14:paraId="2681A426" w14:textId="77777777" w:rsidR="00B35DE0" w:rsidRDefault="00B35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0FB8" w14:textId="2F7B015D" w:rsidR="00FD3F65" w:rsidRDefault="00C0446A">
    <w:pPr>
      <w:pStyle w:val="Footer"/>
    </w:pPr>
    <w:r>
      <w:rPr>
        <w:noProof/>
      </w:rPr>
      <mc:AlternateContent>
        <mc:Choice Requires="wps">
          <w:drawing>
            <wp:anchor distT="0" distB="0" distL="114300" distR="114300" simplePos="0" relativeHeight="251659264" behindDoc="0" locked="0" layoutInCell="0" allowOverlap="1" wp14:anchorId="1CF02833" wp14:editId="762874D2">
              <wp:simplePos x="0" y="0"/>
              <wp:positionH relativeFrom="page">
                <wp:posOffset>0</wp:posOffset>
              </wp:positionH>
              <wp:positionV relativeFrom="page">
                <wp:posOffset>9617075</wp:posOffset>
              </wp:positionV>
              <wp:extent cx="7772400" cy="250190"/>
              <wp:effectExtent l="0" t="0" r="0" b="0"/>
              <wp:wrapNone/>
              <wp:docPr id="4" name="MSIPCMd3f342e4a455b0eb1b451fd3"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0DB034" w14:textId="5533394A" w:rsidR="00C0446A" w:rsidRPr="00C0446A" w:rsidRDefault="009565DF" w:rsidP="00C0446A">
                          <w:pPr>
                            <w:spacing w:after="0"/>
                            <w:jc w:val="center"/>
                            <w:rPr>
                              <w:rFonts w:ascii="Times New Roman" w:hAnsi="Times New Roman" w:cs="Times New Roman"/>
                              <w:color w:val="000000"/>
                              <w:sz w:val="20"/>
                            </w:rPr>
                          </w:pPr>
                          <w:r>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F02833" id="_x0000_t202" coordsize="21600,21600" o:spt="202" path="m,l,21600r21600,l21600,xe">
              <v:stroke joinstyle="miter"/>
              <v:path gradientshapeok="t" o:connecttype="rect"/>
            </v:shapetype>
            <v:shape id="MSIPCMd3f342e4a455b0eb1b451fd3" o:spid="_x0000_s1026" type="#_x0000_t202" alt="{&quot;HashCode&quot;:-1445854450,&quot;Height&quot;:792.0,&quot;Width&quot;:612.0,&quot;Placement&quot;:&quot;Footer&quot;,&quot;Index&quot;:&quot;Primary&quot;,&quot;Section&quot;:1,&quot;Top&quot;:0.0,&quot;Left&quot;:0.0}" style="position:absolute;margin-left:0;margin-top:757.25pt;width:612pt;height:19.7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" o:allowincell="f" filled="f" stroked="f" strokeweight=".5pt">
              <v:textbox inset=",0,,0">
                <w:txbxContent>
                  <w:p w14:paraId="580DB034" w14:textId="5533394A" w:rsidR="00C0446A" w:rsidRPr="00C0446A" w:rsidRDefault="009565DF" w:rsidP="00C0446A">
                    <w:pPr>
                      <w:spacing w:after="0"/>
                      <w:jc w:val="center"/>
                      <w:rPr>
                        <w:rFonts w:ascii="Times New Roman" w:hAnsi="Times New Roman" w:cs="Times New Roman"/>
                        <w:color w:val="000000"/>
                        <w:sz w:val="20"/>
                      </w:rPr>
                    </w:pPr>
                    <w:r>
                      <w:rPr>
                        <w:rFonts w:ascii="Times New Roman" w:hAnsi="Times New Roman" w:cs="Times New Roman"/>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798D" w14:textId="77777777" w:rsidR="00B35DE0" w:rsidRDefault="00B35DE0" w:rsidP="00FD3F65">
      <w:pPr>
        <w:spacing w:after="0" w:line="240" w:lineRule="auto"/>
      </w:pPr>
      <w:r>
        <w:separator/>
      </w:r>
    </w:p>
  </w:footnote>
  <w:footnote w:type="continuationSeparator" w:id="0">
    <w:p w14:paraId="0EA61384" w14:textId="77777777" w:rsidR="00B35DE0" w:rsidRDefault="00B35DE0" w:rsidP="00FD3F65">
      <w:pPr>
        <w:spacing w:after="0" w:line="240" w:lineRule="auto"/>
      </w:pPr>
      <w:r>
        <w:continuationSeparator/>
      </w:r>
    </w:p>
  </w:footnote>
  <w:footnote w:type="continuationNotice" w:id="1">
    <w:p w14:paraId="1178490F" w14:textId="77777777" w:rsidR="00B35DE0" w:rsidRDefault="00B35D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7B49"/>
    <w:multiLevelType w:val="hybridMultilevel"/>
    <w:tmpl w:val="57249B92"/>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9312412"/>
    <w:multiLevelType w:val="hybridMultilevel"/>
    <w:tmpl w:val="FFFFFFFF"/>
    <w:lvl w:ilvl="0" w:tplc="18B64C44">
      <w:start w:val="1"/>
      <w:numFmt w:val="bullet"/>
      <w:lvlText w:val="·"/>
      <w:lvlJc w:val="left"/>
      <w:pPr>
        <w:ind w:left="720" w:hanging="360"/>
      </w:pPr>
      <w:rPr>
        <w:rFonts w:ascii="Symbol" w:hAnsi="Symbol" w:hint="default"/>
      </w:rPr>
    </w:lvl>
    <w:lvl w:ilvl="1" w:tplc="3C5AB4DA">
      <w:start w:val="1"/>
      <w:numFmt w:val="bullet"/>
      <w:lvlText w:val="o"/>
      <w:lvlJc w:val="left"/>
      <w:pPr>
        <w:ind w:left="1440" w:hanging="360"/>
      </w:pPr>
      <w:rPr>
        <w:rFonts w:ascii="Courier New" w:hAnsi="Courier New" w:hint="default"/>
      </w:rPr>
    </w:lvl>
    <w:lvl w:ilvl="2" w:tplc="AC1E7524">
      <w:start w:val="1"/>
      <w:numFmt w:val="bullet"/>
      <w:lvlText w:val=""/>
      <w:lvlJc w:val="left"/>
      <w:pPr>
        <w:ind w:left="2160" w:hanging="360"/>
      </w:pPr>
      <w:rPr>
        <w:rFonts w:ascii="Wingdings" w:hAnsi="Wingdings" w:hint="default"/>
      </w:rPr>
    </w:lvl>
    <w:lvl w:ilvl="3" w:tplc="4C8E5E3A">
      <w:start w:val="1"/>
      <w:numFmt w:val="bullet"/>
      <w:lvlText w:val=""/>
      <w:lvlJc w:val="left"/>
      <w:pPr>
        <w:ind w:left="2880" w:hanging="360"/>
      </w:pPr>
      <w:rPr>
        <w:rFonts w:ascii="Symbol" w:hAnsi="Symbol" w:hint="default"/>
      </w:rPr>
    </w:lvl>
    <w:lvl w:ilvl="4" w:tplc="4D1242F4">
      <w:start w:val="1"/>
      <w:numFmt w:val="bullet"/>
      <w:lvlText w:val="o"/>
      <w:lvlJc w:val="left"/>
      <w:pPr>
        <w:ind w:left="3600" w:hanging="360"/>
      </w:pPr>
      <w:rPr>
        <w:rFonts w:ascii="Courier New" w:hAnsi="Courier New" w:hint="default"/>
      </w:rPr>
    </w:lvl>
    <w:lvl w:ilvl="5" w:tplc="DE20F0EC">
      <w:start w:val="1"/>
      <w:numFmt w:val="bullet"/>
      <w:lvlText w:val=""/>
      <w:lvlJc w:val="left"/>
      <w:pPr>
        <w:ind w:left="4320" w:hanging="360"/>
      </w:pPr>
      <w:rPr>
        <w:rFonts w:ascii="Wingdings" w:hAnsi="Wingdings" w:hint="default"/>
      </w:rPr>
    </w:lvl>
    <w:lvl w:ilvl="6" w:tplc="19FAEE0C">
      <w:start w:val="1"/>
      <w:numFmt w:val="bullet"/>
      <w:lvlText w:val=""/>
      <w:lvlJc w:val="left"/>
      <w:pPr>
        <w:ind w:left="5040" w:hanging="360"/>
      </w:pPr>
      <w:rPr>
        <w:rFonts w:ascii="Symbol" w:hAnsi="Symbol" w:hint="default"/>
      </w:rPr>
    </w:lvl>
    <w:lvl w:ilvl="7" w:tplc="C8B67B5E">
      <w:start w:val="1"/>
      <w:numFmt w:val="bullet"/>
      <w:lvlText w:val="o"/>
      <w:lvlJc w:val="left"/>
      <w:pPr>
        <w:ind w:left="5760" w:hanging="360"/>
      </w:pPr>
      <w:rPr>
        <w:rFonts w:ascii="Courier New" w:hAnsi="Courier New" w:hint="default"/>
      </w:rPr>
    </w:lvl>
    <w:lvl w:ilvl="8" w:tplc="298C4380">
      <w:start w:val="1"/>
      <w:numFmt w:val="bullet"/>
      <w:lvlText w:val=""/>
      <w:lvlJc w:val="left"/>
      <w:pPr>
        <w:ind w:left="6480" w:hanging="360"/>
      </w:pPr>
      <w:rPr>
        <w:rFonts w:ascii="Wingdings" w:hAnsi="Wingdings" w:hint="default"/>
      </w:rPr>
    </w:lvl>
  </w:abstractNum>
  <w:abstractNum w:abstractNumId="2" w15:restartNumberingAfterBreak="0">
    <w:nsid w:val="289C2FA2"/>
    <w:multiLevelType w:val="hybridMultilevel"/>
    <w:tmpl w:val="57249B92"/>
    <w:lvl w:ilvl="0" w:tplc="F438CF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9E7C7F"/>
    <w:multiLevelType w:val="hybridMultilevel"/>
    <w:tmpl w:val="FFFFFFFF"/>
    <w:lvl w:ilvl="0" w:tplc="C7AE0D08">
      <w:start w:val="1"/>
      <w:numFmt w:val="decimal"/>
      <w:lvlText w:val="%1."/>
      <w:lvlJc w:val="left"/>
      <w:pPr>
        <w:ind w:left="720" w:hanging="360"/>
      </w:pPr>
    </w:lvl>
    <w:lvl w:ilvl="1" w:tplc="2840737C">
      <w:start w:val="1"/>
      <w:numFmt w:val="lowerLetter"/>
      <w:lvlText w:val="%2."/>
      <w:lvlJc w:val="left"/>
      <w:pPr>
        <w:ind w:left="1440" w:hanging="360"/>
      </w:pPr>
    </w:lvl>
    <w:lvl w:ilvl="2" w:tplc="B7B65F14">
      <w:start w:val="1"/>
      <w:numFmt w:val="lowerRoman"/>
      <w:lvlText w:val="%3."/>
      <w:lvlJc w:val="right"/>
      <w:pPr>
        <w:ind w:left="2160" w:hanging="180"/>
      </w:pPr>
    </w:lvl>
    <w:lvl w:ilvl="3" w:tplc="0A248192">
      <w:start w:val="1"/>
      <w:numFmt w:val="decimal"/>
      <w:lvlText w:val="%4."/>
      <w:lvlJc w:val="left"/>
      <w:pPr>
        <w:ind w:left="2880" w:hanging="360"/>
      </w:pPr>
    </w:lvl>
    <w:lvl w:ilvl="4" w:tplc="50B0C618">
      <w:start w:val="1"/>
      <w:numFmt w:val="lowerLetter"/>
      <w:lvlText w:val="%5."/>
      <w:lvlJc w:val="left"/>
      <w:pPr>
        <w:ind w:left="3600" w:hanging="360"/>
      </w:pPr>
    </w:lvl>
    <w:lvl w:ilvl="5" w:tplc="39921C84">
      <w:start w:val="1"/>
      <w:numFmt w:val="lowerRoman"/>
      <w:lvlText w:val="%6."/>
      <w:lvlJc w:val="right"/>
      <w:pPr>
        <w:ind w:left="4320" w:hanging="180"/>
      </w:pPr>
    </w:lvl>
    <w:lvl w:ilvl="6" w:tplc="628E6864">
      <w:start w:val="1"/>
      <w:numFmt w:val="decimal"/>
      <w:lvlText w:val="%7."/>
      <w:lvlJc w:val="left"/>
      <w:pPr>
        <w:ind w:left="5040" w:hanging="360"/>
      </w:pPr>
    </w:lvl>
    <w:lvl w:ilvl="7" w:tplc="35D44EEA">
      <w:start w:val="1"/>
      <w:numFmt w:val="lowerLetter"/>
      <w:lvlText w:val="%8."/>
      <w:lvlJc w:val="left"/>
      <w:pPr>
        <w:ind w:left="5760" w:hanging="360"/>
      </w:pPr>
    </w:lvl>
    <w:lvl w:ilvl="8" w:tplc="C908C4B2">
      <w:start w:val="1"/>
      <w:numFmt w:val="lowerRoman"/>
      <w:lvlText w:val="%9."/>
      <w:lvlJc w:val="right"/>
      <w:pPr>
        <w:ind w:left="6480" w:hanging="180"/>
      </w:pPr>
    </w:lvl>
  </w:abstractNum>
  <w:abstractNum w:abstractNumId="4" w15:restartNumberingAfterBreak="0">
    <w:nsid w:val="47BE0E1B"/>
    <w:multiLevelType w:val="hybridMultilevel"/>
    <w:tmpl w:val="57249B92"/>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80D629F"/>
    <w:multiLevelType w:val="hybridMultilevel"/>
    <w:tmpl w:val="5526078E"/>
    <w:lvl w:ilvl="0" w:tplc="295E6A7E">
      <w:start w:val="1"/>
      <w:numFmt w:val="decimal"/>
      <w:lvlText w:val="%1."/>
      <w:lvlJc w:val="left"/>
      <w:pPr>
        <w:ind w:left="720" w:hanging="360"/>
      </w:pPr>
    </w:lvl>
    <w:lvl w:ilvl="1" w:tplc="F8BE3920">
      <w:start w:val="1"/>
      <w:numFmt w:val="lowerLetter"/>
      <w:lvlText w:val="%2."/>
      <w:lvlJc w:val="left"/>
      <w:pPr>
        <w:ind w:left="1440" w:hanging="360"/>
      </w:pPr>
    </w:lvl>
    <w:lvl w:ilvl="2" w:tplc="F31C2E58">
      <w:start w:val="1"/>
      <w:numFmt w:val="lowerRoman"/>
      <w:lvlText w:val="%3."/>
      <w:lvlJc w:val="right"/>
      <w:pPr>
        <w:ind w:left="2160" w:hanging="180"/>
      </w:pPr>
    </w:lvl>
    <w:lvl w:ilvl="3" w:tplc="453A44CA">
      <w:start w:val="1"/>
      <w:numFmt w:val="decimal"/>
      <w:lvlText w:val="%4."/>
      <w:lvlJc w:val="left"/>
      <w:pPr>
        <w:ind w:left="2880" w:hanging="360"/>
      </w:pPr>
    </w:lvl>
    <w:lvl w:ilvl="4" w:tplc="7062B798">
      <w:start w:val="1"/>
      <w:numFmt w:val="lowerLetter"/>
      <w:lvlText w:val="%5."/>
      <w:lvlJc w:val="left"/>
      <w:pPr>
        <w:ind w:left="3600" w:hanging="360"/>
      </w:pPr>
    </w:lvl>
    <w:lvl w:ilvl="5" w:tplc="D8C6A2F0">
      <w:start w:val="1"/>
      <w:numFmt w:val="lowerRoman"/>
      <w:lvlText w:val="%6."/>
      <w:lvlJc w:val="right"/>
      <w:pPr>
        <w:ind w:left="4320" w:hanging="180"/>
      </w:pPr>
    </w:lvl>
    <w:lvl w:ilvl="6" w:tplc="47503C4A">
      <w:start w:val="1"/>
      <w:numFmt w:val="decimal"/>
      <w:lvlText w:val="%7."/>
      <w:lvlJc w:val="left"/>
      <w:pPr>
        <w:ind w:left="5040" w:hanging="360"/>
      </w:pPr>
    </w:lvl>
    <w:lvl w:ilvl="7" w:tplc="73CA6F02">
      <w:start w:val="1"/>
      <w:numFmt w:val="lowerLetter"/>
      <w:lvlText w:val="%8."/>
      <w:lvlJc w:val="left"/>
      <w:pPr>
        <w:ind w:left="5760" w:hanging="360"/>
      </w:pPr>
    </w:lvl>
    <w:lvl w:ilvl="8" w:tplc="0536697C">
      <w:start w:val="1"/>
      <w:numFmt w:val="lowerRoman"/>
      <w:lvlText w:val="%9."/>
      <w:lvlJc w:val="right"/>
      <w:pPr>
        <w:ind w:left="6480" w:hanging="180"/>
      </w:pPr>
    </w:lvl>
  </w:abstractNum>
  <w:num w:numId="1" w16cid:durableId="1447113852">
    <w:abstractNumId w:val="5"/>
  </w:num>
  <w:num w:numId="2" w16cid:durableId="1210845019">
    <w:abstractNumId w:val="3"/>
  </w:num>
  <w:num w:numId="3" w16cid:durableId="590549063">
    <w:abstractNumId w:val="1"/>
  </w:num>
  <w:num w:numId="4" w16cid:durableId="2105102087">
    <w:abstractNumId w:val="2"/>
  </w:num>
  <w:num w:numId="5" w16cid:durableId="1266764427">
    <w:abstractNumId w:val="4"/>
  </w:num>
  <w:num w:numId="6" w16cid:durableId="165317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99989F"/>
    <w:rsid w:val="00005D32"/>
    <w:rsid w:val="00012D2B"/>
    <w:rsid w:val="00022DFF"/>
    <w:rsid w:val="00054729"/>
    <w:rsid w:val="00062AF6"/>
    <w:rsid w:val="00072066"/>
    <w:rsid w:val="0010269F"/>
    <w:rsid w:val="0011485F"/>
    <w:rsid w:val="0012679E"/>
    <w:rsid w:val="00156B4D"/>
    <w:rsid w:val="0018077A"/>
    <w:rsid w:val="001A1814"/>
    <w:rsid w:val="001B0EB0"/>
    <w:rsid w:val="001F7F77"/>
    <w:rsid w:val="00203964"/>
    <w:rsid w:val="002769B0"/>
    <w:rsid w:val="002F02C7"/>
    <w:rsid w:val="003357BA"/>
    <w:rsid w:val="003D4B2B"/>
    <w:rsid w:val="003D547D"/>
    <w:rsid w:val="003E4AE2"/>
    <w:rsid w:val="003E7A96"/>
    <w:rsid w:val="003F2E1C"/>
    <w:rsid w:val="004040DB"/>
    <w:rsid w:val="00434D44"/>
    <w:rsid w:val="00442A08"/>
    <w:rsid w:val="0045632E"/>
    <w:rsid w:val="00551153"/>
    <w:rsid w:val="00563274"/>
    <w:rsid w:val="005A65EE"/>
    <w:rsid w:val="005B4B73"/>
    <w:rsid w:val="005D59BE"/>
    <w:rsid w:val="00602B5F"/>
    <w:rsid w:val="006263B6"/>
    <w:rsid w:val="006F1E53"/>
    <w:rsid w:val="007031A5"/>
    <w:rsid w:val="00714594"/>
    <w:rsid w:val="00734A8C"/>
    <w:rsid w:val="00772B06"/>
    <w:rsid w:val="007A3ED8"/>
    <w:rsid w:val="007C68C7"/>
    <w:rsid w:val="008348CE"/>
    <w:rsid w:val="00897423"/>
    <w:rsid w:val="009001A7"/>
    <w:rsid w:val="00941946"/>
    <w:rsid w:val="009565DF"/>
    <w:rsid w:val="009748A6"/>
    <w:rsid w:val="00993738"/>
    <w:rsid w:val="009D4CB7"/>
    <w:rsid w:val="00A021C4"/>
    <w:rsid w:val="00AF016E"/>
    <w:rsid w:val="00B132D0"/>
    <w:rsid w:val="00B35DE0"/>
    <w:rsid w:val="00BD1D48"/>
    <w:rsid w:val="00BD633E"/>
    <w:rsid w:val="00C0446A"/>
    <w:rsid w:val="00C17193"/>
    <w:rsid w:val="00C22796"/>
    <w:rsid w:val="00C641F5"/>
    <w:rsid w:val="00C7113C"/>
    <w:rsid w:val="00C91DC5"/>
    <w:rsid w:val="00C94C40"/>
    <w:rsid w:val="00D24349"/>
    <w:rsid w:val="00D518FF"/>
    <w:rsid w:val="00D62B93"/>
    <w:rsid w:val="00DB340C"/>
    <w:rsid w:val="00E00609"/>
    <w:rsid w:val="00E37DB9"/>
    <w:rsid w:val="00E5795A"/>
    <w:rsid w:val="00E626E0"/>
    <w:rsid w:val="00E70D8D"/>
    <w:rsid w:val="00E842E4"/>
    <w:rsid w:val="00ED4036"/>
    <w:rsid w:val="00EF6C41"/>
    <w:rsid w:val="00F17169"/>
    <w:rsid w:val="00F27392"/>
    <w:rsid w:val="00F61B22"/>
    <w:rsid w:val="00F62A7B"/>
    <w:rsid w:val="00F8679F"/>
    <w:rsid w:val="00FA4BB6"/>
    <w:rsid w:val="00FB563A"/>
    <w:rsid w:val="00FD3F65"/>
    <w:rsid w:val="00FD76AF"/>
    <w:rsid w:val="00FE402E"/>
    <w:rsid w:val="00FF1524"/>
    <w:rsid w:val="012121E4"/>
    <w:rsid w:val="0162A5C0"/>
    <w:rsid w:val="02197BDE"/>
    <w:rsid w:val="02EA6DE8"/>
    <w:rsid w:val="030E045D"/>
    <w:rsid w:val="03FAEFE8"/>
    <w:rsid w:val="056E9AE1"/>
    <w:rsid w:val="05881528"/>
    <w:rsid w:val="06ED0243"/>
    <w:rsid w:val="08602B40"/>
    <w:rsid w:val="086DD9FF"/>
    <w:rsid w:val="093697F1"/>
    <w:rsid w:val="0940557C"/>
    <w:rsid w:val="0A2545B2"/>
    <w:rsid w:val="0A3A0224"/>
    <w:rsid w:val="0A4ED368"/>
    <w:rsid w:val="0DC747CC"/>
    <w:rsid w:val="0E243828"/>
    <w:rsid w:val="0ECA7F2E"/>
    <w:rsid w:val="0F1ABCA7"/>
    <w:rsid w:val="0F9963FB"/>
    <w:rsid w:val="0FFF0FF0"/>
    <w:rsid w:val="1099989F"/>
    <w:rsid w:val="11564944"/>
    <w:rsid w:val="11F7FDBE"/>
    <w:rsid w:val="12562164"/>
    <w:rsid w:val="12B67102"/>
    <w:rsid w:val="15804B38"/>
    <w:rsid w:val="174720DD"/>
    <w:rsid w:val="175F1A4A"/>
    <w:rsid w:val="18229FD0"/>
    <w:rsid w:val="1A23B464"/>
    <w:rsid w:val="1AF313F0"/>
    <w:rsid w:val="1B32DFE0"/>
    <w:rsid w:val="1B48EBA7"/>
    <w:rsid w:val="1B4D6E69"/>
    <w:rsid w:val="1DA02F5C"/>
    <w:rsid w:val="1DE02E1D"/>
    <w:rsid w:val="1EA3998F"/>
    <w:rsid w:val="1F958B82"/>
    <w:rsid w:val="204D4AC8"/>
    <w:rsid w:val="21170496"/>
    <w:rsid w:val="220BC933"/>
    <w:rsid w:val="23845412"/>
    <w:rsid w:val="23C755ED"/>
    <w:rsid w:val="2511AC23"/>
    <w:rsid w:val="25247A91"/>
    <w:rsid w:val="25BAB5B0"/>
    <w:rsid w:val="26A193EA"/>
    <w:rsid w:val="278549FB"/>
    <w:rsid w:val="27F498F9"/>
    <w:rsid w:val="29FEC133"/>
    <w:rsid w:val="2B451233"/>
    <w:rsid w:val="2DA0E96F"/>
    <w:rsid w:val="304E37AC"/>
    <w:rsid w:val="30904501"/>
    <w:rsid w:val="32150D51"/>
    <w:rsid w:val="321CC806"/>
    <w:rsid w:val="322053DB"/>
    <w:rsid w:val="3225EE19"/>
    <w:rsid w:val="3385C213"/>
    <w:rsid w:val="338F598B"/>
    <w:rsid w:val="354A13C5"/>
    <w:rsid w:val="36624F3C"/>
    <w:rsid w:val="36C404F5"/>
    <w:rsid w:val="3736CE47"/>
    <w:rsid w:val="38311267"/>
    <w:rsid w:val="38FA9964"/>
    <w:rsid w:val="39D10615"/>
    <w:rsid w:val="3A4C8540"/>
    <w:rsid w:val="3AE9418C"/>
    <w:rsid w:val="3E26D658"/>
    <w:rsid w:val="3E4529F7"/>
    <w:rsid w:val="3EB71E68"/>
    <w:rsid w:val="3F49C7F1"/>
    <w:rsid w:val="3FD86208"/>
    <w:rsid w:val="3FD9A407"/>
    <w:rsid w:val="40B894FE"/>
    <w:rsid w:val="417C3341"/>
    <w:rsid w:val="42E0ED8B"/>
    <w:rsid w:val="42EB7129"/>
    <w:rsid w:val="44694D6E"/>
    <w:rsid w:val="44D75068"/>
    <w:rsid w:val="44E7C1F1"/>
    <w:rsid w:val="44F6F69C"/>
    <w:rsid w:val="4642F181"/>
    <w:rsid w:val="481CC865"/>
    <w:rsid w:val="48F00CED"/>
    <w:rsid w:val="49BB65E5"/>
    <w:rsid w:val="49C48BF8"/>
    <w:rsid w:val="4A50677C"/>
    <w:rsid w:val="4A9ED627"/>
    <w:rsid w:val="4ADEE7E6"/>
    <w:rsid w:val="4B4306A7"/>
    <w:rsid w:val="4C8DC41E"/>
    <w:rsid w:val="4CFB9542"/>
    <w:rsid w:val="4DE21454"/>
    <w:rsid w:val="4E920CEB"/>
    <w:rsid w:val="4F652713"/>
    <w:rsid w:val="50F2FF76"/>
    <w:rsid w:val="51ADA09B"/>
    <w:rsid w:val="53A18966"/>
    <w:rsid w:val="544EE7E1"/>
    <w:rsid w:val="54A4BF98"/>
    <w:rsid w:val="550862F7"/>
    <w:rsid w:val="5529E71E"/>
    <w:rsid w:val="552DDEF7"/>
    <w:rsid w:val="56405290"/>
    <w:rsid w:val="5847DF80"/>
    <w:rsid w:val="588B70FA"/>
    <w:rsid w:val="59309E40"/>
    <w:rsid w:val="59775BDA"/>
    <w:rsid w:val="59F5D05D"/>
    <w:rsid w:val="5A229B0E"/>
    <w:rsid w:val="5A330C97"/>
    <w:rsid w:val="5A7D4C08"/>
    <w:rsid w:val="5AF17FDB"/>
    <w:rsid w:val="5BD535EC"/>
    <w:rsid w:val="5CE02803"/>
    <w:rsid w:val="5DA3672B"/>
    <w:rsid w:val="5E034658"/>
    <w:rsid w:val="5EF9CAD7"/>
    <w:rsid w:val="60152E77"/>
    <w:rsid w:val="623DB9D5"/>
    <w:rsid w:val="62978208"/>
    <w:rsid w:val="6305532C"/>
    <w:rsid w:val="63379141"/>
    <w:rsid w:val="636DEEB9"/>
    <w:rsid w:val="66B29C75"/>
    <w:rsid w:val="66CB212C"/>
    <w:rsid w:val="688656CB"/>
    <w:rsid w:val="68919D55"/>
    <w:rsid w:val="69950788"/>
    <w:rsid w:val="6A58A5CB"/>
    <w:rsid w:val="6ADC932C"/>
    <w:rsid w:val="6C025704"/>
    <w:rsid w:val="6DC4347B"/>
    <w:rsid w:val="701A081D"/>
    <w:rsid w:val="70379F82"/>
    <w:rsid w:val="715CC0AD"/>
    <w:rsid w:val="727608F9"/>
    <w:rsid w:val="73A85931"/>
    <w:rsid w:val="73AD1B53"/>
    <w:rsid w:val="73BB5A70"/>
    <w:rsid w:val="748F523F"/>
    <w:rsid w:val="77A0FDE8"/>
    <w:rsid w:val="7802D912"/>
    <w:rsid w:val="781A7A3D"/>
    <w:rsid w:val="7886E1FE"/>
    <w:rsid w:val="7AECD876"/>
    <w:rsid w:val="7C3CC17C"/>
    <w:rsid w:val="7CC971E1"/>
    <w:rsid w:val="7D402B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989F"/>
  <w15:chartTrackingRefBased/>
  <w15:docId w15:val="{59B6ACF2-8CD0-429D-9A03-1B992B91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F65"/>
  </w:style>
  <w:style w:type="paragraph" w:styleId="Footer">
    <w:name w:val="footer"/>
    <w:basedOn w:val="Normal"/>
    <w:link w:val="FooterChar"/>
    <w:uiPriority w:val="99"/>
    <w:unhideWhenUsed/>
    <w:rsid w:val="00FD3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F65"/>
  </w:style>
  <w:style w:type="character" w:customStyle="1" w:styleId="normaltextrun">
    <w:name w:val="normaltextrun"/>
    <w:basedOn w:val="DefaultParagraphFont"/>
    <w:rsid w:val="4E920CEB"/>
  </w:style>
  <w:style w:type="character" w:customStyle="1" w:styleId="superscript">
    <w:name w:val="superscript"/>
    <w:basedOn w:val="DefaultParagraphFont"/>
    <w:rsid w:val="4E920CEB"/>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5D59BE"/>
    <w:rPr>
      <w:sz w:val="16"/>
      <w:szCs w:val="16"/>
    </w:rPr>
  </w:style>
  <w:style w:type="paragraph" w:styleId="CommentText">
    <w:name w:val="annotation text"/>
    <w:basedOn w:val="Normal"/>
    <w:link w:val="CommentTextChar"/>
    <w:uiPriority w:val="99"/>
    <w:semiHidden/>
    <w:unhideWhenUsed/>
    <w:rsid w:val="005D59BE"/>
    <w:pPr>
      <w:spacing w:line="240" w:lineRule="auto"/>
    </w:pPr>
    <w:rPr>
      <w:sz w:val="20"/>
      <w:szCs w:val="20"/>
    </w:rPr>
  </w:style>
  <w:style w:type="character" w:customStyle="1" w:styleId="CommentTextChar">
    <w:name w:val="Comment Text Char"/>
    <w:basedOn w:val="DefaultParagraphFont"/>
    <w:link w:val="CommentText"/>
    <w:uiPriority w:val="99"/>
    <w:semiHidden/>
    <w:rsid w:val="005D59BE"/>
    <w:rPr>
      <w:sz w:val="20"/>
      <w:szCs w:val="20"/>
    </w:rPr>
  </w:style>
  <w:style w:type="paragraph" w:styleId="CommentSubject">
    <w:name w:val="annotation subject"/>
    <w:basedOn w:val="CommentText"/>
    <w:next w:val="CommentText"/>
    <w:link w:val="CommentSubjectChar"/>
    <w:uiPriority w:val="99"/>
    <w:semiHidden/>
    <w:unhideWhenUsed/>
    <w:rsid w:val="005D59BE"/>
    <w:rPr>
      <w:b/>
      <w:bCs/>
    </w:rPr>
  </w:style>
  <w:style w:type="character" w:customStyle="1" w:styleId="CommentSubjectChar">
    <w:name w:val="Comment Subject Char"/>
    <w:basedOn w:val="CommentTextChar"/>
    <w:link w:val="CommentSubject"/>
    <w:uiPriority w:val="99"/>
    <w:semiHidden/>
    <w:rsid w:val="005D59BE"/>
    <w:rPr>
      <w:b/>
      <w:bCs/>
      <w:sz w:val="20"/>
      <w:szCs w:val="20"/>
    </w:rPr>
  </w:style>
  <w:style w:type="character" w:styleId="Mention">
    <w:name w:val="Mention"/>
    <w:basedOn w:val="DefaultParagraphFont"/>
    <w:uiPriority w:val="99"/>
    <w:unhideWhenUsed/>
    <w:rsid w:val="007A3ED8"/>
    <w:rPr>
      <w:color w:val="2B579A"/>
      <w:shd w:val="clear" w:color="auto" w:fill="E6E6E6"/>
    </w:rPr>
  </w:style>
  <w:style w:type="paragraph" w:styleId="Revision">
    <w:name w:val="Revision"/>
    <w:hidden/>
    <w:uiPriority w:val="99"/>
    <w:semiHidden/>
    <w:rsid w:val="0011485F"/>
    <w:pPr>
      <w:spacing w:after="0" w:line="240" w:lineRule="auto"/>
    </w:pPr>
  </w:style>
  <w:style w:type="character" w:styleId="FollowedHyperlink">
    <w:name w:val="FollowedHyperlink"/>
    <w:basedOn w:val="DefaultParagraphFont"/>
    <w:uiPriority w:val="99"/>
    <w:semiHidden/>
    <w:unhideWhenUsed/>
    <w:rsid w:val="00C22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32693">
      <w:bodyDiv w:val="1"/>
      <w:marLeft w:val="0"/>
      <w:marRight w:val="0"/>
      <w:marTop w:val="0"/>
      <w:marBottom w:val="0"/>
      <w:divBdr>
        <w:top w:val="none" w:sz="0" w:space="0" w:color="auto"/>
        <w:left w:val="none" w:sz="0" w:space="0" w:color="auto"/>
        <w:bottom w:val="none" w:sz="0" w:space="0" w:color="auto"/>
        <w:right w:val="none" w:sz="0" w:space="0" w:color="auto"/>
      </w:divBdr>
    </w:div>
    <w:div w:id="19944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tate.gov/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2565</Words>
  <Characters>14624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Nicholas T</dc:creator>
  <cp:keywords/>
  <dc:description/>
  <cp:lastModifiedBy>Migala, Stephen J</cp:lastModifiedBy>
  <cp:revision>2</cp:revision>
  <dcterms:created xsi:type="dcterms:W3CDTF">2022-07-19T14:48:00Z</dcterms:created>
  <dcterms:modified xsi:type="dcterms:W3CDTF">2022-07-19T14:48:00Z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etDate">
    <vt:lpwstr>2022-07-19T14:48:13Z</vt:lpwstr>
  </property>
  <property fmtid="{D5CDD505-2E9C-101B-9397-08002B2CF9AE}" pid="4" name="MSIP_Label_0d3cdd76-ed86-4455-8be3-c27733367ace_Method">
    <vt:lpwstr>Privileged</vt:lpwstr>
  </property>
  <property fmtid="{D5CDD505-2E9C-101B-9397-08002B2CF9AE}" pid="5" name="MSIP_Label_0d3cdd76-ed86-4455-8be3-c27733367ace_Name">
    <vt:lpwstr>0d3cdd76-ed86-4455-8be3-c27733367ace</vt:lpwstr>
  </property>
  <property fmtid="{D5CDD505-2E9C-101B-9397-08002B2CF9AE}" pid="6" name="MSIP_Label_0d3cdd76-ed86-4455-8be3-c27733367ace_SiteId">
    <vt:lpwstr>66cf5074-5afe-48d1-a691-a12b2121f44b</vt:lpwstr>
  </property>
  <property fmtid="{D5CDD505-2E9C-101B-9397-08002B2CF9AE}" pid="7" name="MSIP_Label_0d3cdd76-ed86-4455-8be3-c27733367ace_ActionId">
    <vt:lpwstr>7be43f84-3002-4209-b736-eceb9d56bee5</vt:lpwstr>
  </property>
  <property fmtid="{D5CDD505-2E9C-101B-9397-08002B2CF9AE}" pid="8" name="MSIP_Label_0d3cdd76-ed86-4455-8be3-c27733367ace_ContentBits">
    <vt:lpwstr>2</vt:lpwstr>
  </property>
</Properties>
</file>