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E4ECE" w:rsidR="00AF1157" w:rsidP="00D73D2D" w:rsidRDefault="00AF1157" w14:paraId="4CDB21DA" w14:textId="77777777">
      <w:pPr>
        <w:suppressAutoHyphens/>
        <w:jc w:val="center"/>
        <w:rPr>
          <w:rFonts w:ascii="Arial" w:hAnsi="Arial" w:cs="Arial"/>
          <w:b/>
          <w:sz w:val="22"/>
          <w:szCs w:val="22"/>
        </w:rPr>
      </w:pPr>
      <w:r w:rsidRPr="002E4ECE">
        <w:rPr>
          <w:rFonts w:ascii="Arial" w:hAnsi="Arial" w:cs="Arial"/>
          <w:b/>
          <w:sz w:val="22"/>
          <w:szCs w:val="22"/>
        </w:rPr>
        <w:t>DEPARTMENT OF THE TREASURY</w:t>
      </w:r>
      <w:r w:rsidRPr="002E4ECE" w:rsidR="00D73D2D">
        <w:rPr>
          <w:rFonts w:ascii="Arial" w:hAnsi="Arial" w:cs="Arial"/>
          <w:b/>
          <w:sz w:val="22"/>
          <w:szCs w:val="22"/>
        </w:rPr>
        <w:t xml:space="preserve"> </w:t>
      </w:r>
    </w:p>
    <w:p w:rsidRPr="002E4ECE" w:rsidR="00AF1157" w:rsidP="00D73D2D" w:rsidRDefault="00AF1157" w14:paraId="0DAE820A" w14:textId="77777777">
      <w:pPr>
        <w:suppressAutoHyphens/>
        <w:jc w:val="center"/>
        <w:rPr>
          <w:rFonts w:ascii="Arial" w:hAnsi="Arial" w:cs="Arial"/>
        </w:rPr>
      </w:pPr>
    </w:p>
    <w:p w:rsidRPr="002E4ECE" w:rsidR="00AF1157" w:rsidP="00D73D2D" w:rsidRDefault="00AF1157" w14:paraId="7ABF64F0" w14:textId="77777777">
      <w:pPr>
        <w:suppressAutoHyphens/>
        <w:jc w:val="center"/>
        <w:rPr>
          <w:rFonts w:ascii="Arial" w:hAnsi="Arial" w:cs="Arial"/>
          <w:b/>
          <w:sz w:val="22"/>
          <w:szCs w:val="22"/>
        </w:rPr>
      </w:pPr>
      <w:r w:rsidRPr="002E4ECE">
        <w:rPr>
          <w:rFonts w:ascii="Arial" w:hAnsi="Arial" w:cs="Arial"/>
          <w:b/>
          <w:sz w:val="22"/>
          <w:szCs w:val="22"/>
        </w:rPr>
        <w:t xml:space="preserve">ALCOHOL </w:t>
      </w:r>
      <w:r w:rsidRPr="002E4ECE" w:rsidR="00D004D6">
        <w:rPr>
          <w:rFonts w:ascii="Arial" w:hAnsi="Arial" w:cs="Arial"/>
          <w:b/>
          <w:sz w:val="22"/>
          <w:szCs w:val="22"/>
        </w:rPr>
        <w:t xml:space="preserve">AND </w:t>
      </w:r>
      <w:r w:rsidRPr="002E4ECE">
        <w:rPr>
          <w:rFonts w:ascii="Arial" w:hAnsi="Arial" w:cs="Arial"/>
          <w:b/>
          <w:sz w:val="22"/>
          <w:szCs w:val="22"/>
        </w:rPr>
        <w:t>TOBACCO TAX AND TRADE BUREAU</w:t>
      </w:r>
      <w:r w:rsidRPr="002E4ECE" w:rsidR="00D73D2D">
        <w:rPr>
          <w:rFonts w:ascii="Arial" w:hAnsi="Arial" w:cs="Arial"/>
          <w:b/>
          <w:sz w:val="22"/>
          <w:szCs w:val="22"/>
        </w:rPr>
        <w:t xml:space="preserve"> </w:t>
      </w:r>
    </w:p>
    <w:p w:rsidRPr="002E4ECE" w:rsidR="00AF1157" w:rsidP="00D73D2D" w:rsidRDefault="00AF1157" w14:paraId="1B904AF1" w14:textId="77777777">
      <w:pPr>
        <w:suppressAutoHyphens/>
        <w:jc w:val="center"/>
        <w:rPr>
          <w:rFonts w:ascii="Arial" w:hAnsi="Arial" w:cs="Arial"/>
          <w:sz w:val="28"/>
          <w:szCs w:val="28"/>
        </w:rPr>
      </w:pPr>
    </w:p>
    <w:p w:rsidRPr="002E4ECE" w:rsidR="00AF1157" w:rsidP="00D73D2D" w:rsidRDefault="00AF1157" w14:paraId="0997CDDB" w14:textId="77777777">
      <w:pPr>
        <w:suppressAutoHyphens/>
        <w:jc w:val="center"/>
        <w:rPr>
          <w:rFonts w:ascii="Arial" w:hAnsi="Arial" w:cs="Arial"/>
          <w:b/>
          <w:sz w:val="22"/>
          <w:szCs w:val="22"/>
        </w:rPr>
      </w:pPr>
      <w:r w:rsidRPr="002E4ECE">
        <w:rPr>
          <w:rFonts w:ascii="Arial" w:hAnsi="Arial" w:cs="Arial"/>
          <w:b/>
          <w:sz w:val="22"/>
          <w:szCs w:val="22"/>
        </w:rPr>
        <w:t xml:space="preserve">Supporting Statement </w:t>
      </w:r>
      <w:r w:rsidRPr="002E4ECE" w:rsidR="00D73D2D">
        <w:rPr>
          <w:rFonts w:ascii="Arial" w:hAnsi="Arial" w:cs="Arial"/>
          <w:b/>
          <w:sz w:val="22"/>
          <w:szCs w:val="22"/>
        </w:rPr>
        <w:t>––</w:t>
      </w:r>
      <w:r w:rsidRPr="002E4ECE">
        <w:rPr>
          <w:rFonts w:ascii="Arial" w:hAnsi="Arial" w:cs="Arial"/>
          <w:b/>
          <w:sz w:val="22"/>
          <w:szCs w:val="22"/>
        </w:rPr>
        <w:t xml:space="preserve"> Information Collection Request</w:t>
      </w:r>
      <w:r w:rsidRPr="002E4ECE" w:rsidR="00D73D2D">
        <w:rPr>
          <w:rFonts w:ascii="Arial" w:hAnsi="Arial" w:cs="Arial"/>
          <w:b/>
          <w:sz w:val="22"/>
          <w:szCs w:val="22"/>
        </w:rPr>
        <w:t xml:space="preserve"> </w:t>
      </w:r>
    </w:p>
    <w:p w:rsidRPr="002E4ECE" w:rsidR="00AF1157" w:rsidP="00D73D2D" w:rsidRDefault="00AF1157" w14:paraId="1FC0F6EB" w14:textId="77777777">
      <w:pPr>
        <w:suppressAutoHyphens/>
        <w:jc w:val="center"/>
        <w:rPr>
          <w:rFonts w:ascii="Arial" w:hAnsi="Arial" w:cs="Arial"/>
          <w:sz w:val="28"/>
          <w:szCs w:val="28"/>
        </w:rPr>
      </w:pPr>
    </w:p>
    <w:p w:rsidRPr="002E4ECE" w:rsidR="00AF1157" w:rsidP="00D73D2D" w:rsidRDefault="00AF1157" w14:paraId="48CD5D3A" w14:textId="77777777">
      <w:pPr>
        <w:suppressAutoHyphens/>
        <w:jc w:val="center"/>
        <w:rPr>
          <w:rFonts w:ascii="Arial" w:hAnsi="Arial" w:cs="Arial"/>
          <w:b/>
          <w:sz w:val="22"/>
          <w:szCs w:val="22"/>
          <w:u w:val="single"/>
        </w:rPr>
      </w:pPr>
      <w:r w:rsidRPr="002E4ECE">
        <w:rPr>
          <w:rFonts w:ascii="Arial" w:hAnsi="Arial" w:cs="Arial"/>
          <w:b/>
          <w:sz w:val="22"/>
          <w:szCs w:val="22"/>
          <w:u w:val="single"/>
        </w:rPr>
        <w:t>OMB Control Number 1513</w:t>
      </w:r>
      <w:r w:rsidRPr="002E4ECE" w:rsidR="00D73D2D">
        <w:rPr>
          <w:rFonts w:ascii="Arial" w:hAnsi="Arial" w:cs="Arial"/>
          <w:b/>
          <w:sz w:val="22"/>
          <w:szCs w:val="22"/>
          <w:u w:val="single"/>
        </w:rPr>
        <w:t>–</w:t>
      </w:r>
      <w:r w:rsidRPr="002E4ECE" w:rsidR="00A2564D">
        <w:rPr>
          <w:rFonts w:ascii="Arial" w:hAnsi="Arial" w:cs="Arial"/>
          <w:b/>
          <w:sz w:val="22"/>
          <w:szCs w:val="22"/>
          <w:u w:val="single"/>
        </w:rPr>
        <w:t>0049</w:t>
      </w:r>
      <w:r w:rsidRPr="002E4ECE" w:rsidR="00987432">
        <w:rPr>
          <w:rFonts w:ascii="Arial" w:hAnsi="Arial" w:cs="Arial"/>
          <w:b/>
          <w:sz w:val="22"/>
          <w:szCs w:val="22"/>
          <w:u w:val="single"/>
        </w:rPr>
        <w:t xml:space="preserve"> </w:t>
      </w:r>
    </w:p>
    <w:p w:rsidRPr="002E4ECE" w:rsidR="00AF1157" w:rsidP="003309F7" w:rsidRDefault="00AF1157" w14:paraId="097E5B55" w14:textId="77777777">
      <w:pPr>
        <w:suppressAutoHyphens/>
        <w:jc w:val="center"/>
        <w:rPr>
          <w:rFonts w:ascii="Arial" w:hAnsi="Arial" w:cs="Arial"/>
          <w:sz w:val="28"/>
          <w:szCs w:val="28"/>
          <w:u w:val="single"/>
        </w:rPr>
      </w:pPr>
    </w:p>
    <w:p w:rsidRPr="002E4ECE" w:rsidR="003309F7" w:rsidP="003309F7" w:rsidRDefault="009F3A6B" w14:paraId="4F827683" w14:textId="77777777">
      <w:pPr>
        <w:spacing w:after="80"/>
        <w:jc w:val="center"/>
        <w:rPr>
          <w:rFonts w:ascii="Arial" w:hAnsi="Arial" w:cs="Arial"/>
          <w:b/>
          <w:sz w:val="22"/>
          <w:szCs w:val="22"/>
        </w:rPr>
      </w:pPr>
      <w:r w:rsidRPr="002E4ECE">
        <w:rPr>
          <w:rFonts w:ascii="Arial" w:hAnsi="Arial" w:cs="Arial"/>
          <w:b/>
          <w:sz w:val="22"/>
          <w:szCs w:val="22"/>
        </w:rPr>
        <w:t>Distilled Spirits Plant Denaturation Records</w:t>
      </w:r>
      <w:r w:rsidRPr="002E4ECE" w:rsidR="003309F7">
        <w:rPr>
          <w:rFonts w:ascii="Arial" w:hAnsi="Arial" w:cs="Arial"/>
          <w:b/>
          <w:sz w:val="22"/>
          <w:szCs w:val="22"/>
        </w:rPr>
        <w:t xml:space="preserve"> (</w:t>
      </w:r>
      <w:r w:rsidRPr="002E4ECE">
        <w:rPr>
          <w:rFonts w:ascii="Arial" w:hAnsi="Arial" w:cs="Arial"/>
          <w:b/>
          <w:sz w:val="22"/>
          <w:szCs w:val="22"/>
        </w:rPr>
        <w:t>TTB REC 5110/04</w:t>
      </w:r>
      <w:r w:rsidRPr="002E4ECE" w:rsidR="003309F7">
        <w:rPr>
          <w:rFonts w:ascii="Arial" w:hAnsi="Arial" w:cs="Arial"/>
          <w:b/>
          <w:sz w:val="22"/>
          <w:szCs w:val="22"/>
        </w:rPr>
        <w:t xml:space="preserve">), and </w:t>
      </w:r>
    </w:p>
    <w:p w:rsidRPr="002E4ECE" w:rsidR="009A6532" w:rsidP="003309F7" w:rsidRDefault="003309F7" w14:paraId="5B0966FD" w14:textId="77777777">
      <w:pPr>
        <w:jc w:val="center"/>
        <w:rPr>
          <w:rFonts w:ascii="Arial" w:hAnsi="Arial" w:cs="Arial"/>
          <w:b/>
          <w:sz w:val="22"/>
          <w:szCs w:val="22"/>
          <w:highlight w:val="yellow"/>
        </w:rPr>
      </w:pPr>
      <w:r w:rsidRPr="002E4ECE">
        <w:rPr>
          <w:rFonts w:ascii="Arial" w:hAnsi="Arial" w:cs="Arial"/>
          <w:b/>
          <w:sz w:val="22"/>
          <w:szCs w:val="22"/>
        </w:rPr>
        <w:t>Monthly Report of Processing (Denaturing) Operations</w:t>
      </w:r>
      <w:r w:rsidRPr="002E4ECE" w:rsidR="004C38A1">
        <w:rPr>
          <w:rFonts w:ascii="Arial" w:hAnsi="Arial" w:cs="Arial"/>
          <w:b/>
          <w:sz w:val="22"/>
          <w:szCs w:val="22"/>
        </w:rPr>
        <w:t xml:space="preserve"> (TTB F 5110.43)</w:t>
      </w:r>
      <w:r w:rsidRPr="002E4ECE" w:rsidR="003A4DFA">
        <w:rPr>
          <w:rFonts w:ascii="Arial" w:hAnsi="Arial" w:cs="Arial"/>
          <w:b/>
          <w:sz w:val="22"/>
          <w:szCs w:val="22"/>
        </w:rPr>
        <w:t>.</w:t>
      </w:r>
    </w:p>
    <w:p w:rsidRPr="002E4ECE" w:rsidR="005822E3" w:rsidP="005801CF" w:rsidRDefault="005822E3" w14:paraId="5A941C96" w14:textId="77777777">
      <w:pPr>
        <w:suppressAutoHyphens/>
        <w:rPr>
          <w:rFonts w:ascii="Arial" w:hAnsi="Arial" w:cs="Arial"/>
          <w:sz w:val="22"/>
          <w:szCs w:val="22"/>
        </w:rPr>
      </w:pPr>
    </w:p>
    <w:p w:rsidRPr="002E4ECE" w:rsidR="005822E3" w:rsidP="005801CF" w:rsidRDefault="005822E3" w14:paraId="7F199CCD" w14:textId="77777777">
      <w:pPr>
        <w:suppressAutoHyphens/>
        <w:rPr>
          <w:rFonts w:ascii="Arial" w:hAnsi="Arial" w:cs="Arial"/>
          <w:sz w:val="22"/>
          <w:szCs w:val="22"/>
        </w:rPr>
      </w:pPr>
    </w:p>
    <w:p w:rsidRPr="002E4ECE" w:rsidR="005822E3" w:rsidP="005801CF" w:rsidRDefault="005822E3" w14:paraId="14A15D69" w14:textId="77777777">
      <w:pPr>
        <w:rPr>
          <w:rFonts w:ascii="Arial" w:hAnsi="Arial" w:cs="Arial"/>
          <w:b/>
          <w:sz w:val="22"/>
          <w:szCs w:val="22"/>
          <w:u w:val="single"/>
        </w:rPr>
      </w:pPr>
      <w:r w:rsidRPr="002E4ECE">
        <w:rPr>
          <w:rFonts w:ascii="Arial" w:hAnsi="Arial" w:cs="Arial"/>
          <w:b/>
          <w:sz w:val="22"/>
          <w:szCs w:val="22"/>
          <w:u w:val="single"/>
        </w:rPr>
        <w:t xml:space="preserve">Changes Since Last Approval </w:t>
      </w:r>
    </w:p>
    <w:p w:rsidRPr="002E4ECE" w:rsidR="005822E3" w:rsidP="005801CF" w:rsidRDefault="005822E3" w14:paraId="0D893F38" w14:textId="77777777">
      <w:pPr>
        <w:rPr>
          <w:rFonts w:ascii="Arial" w:hAnsi="Arial" w:cs="Arial"/>
          <w:sz w:val="22"/>
          <w:szCs w:val="22"/>
        </w:rPr>
      </w:pPr>
    </w:p>
    <w:p w:rsidRPr="002E4ECE" w:rsidR="005822E3" w:rsidP="005801CF" w:rsidRDefault="005822E3" w14:paraId="654AF20D" w14:textId="77777777">
      <w:pPr>
        <w:ind w:left="360"/>
        <w:rPr>
          <w:rFonts w:ascii="Arial" w:hAnsi="Arial" w:cs="Arial"/>
          <w:sz w:val="22"/>
          <w:szCs w:val="22"/>
        </w:rPr>
      </w:pPr>
      <w:r w:rsidRPr="002E4ECE">
        <w:rPr>
          <w:rFonts w:ascii="Arial" w:hAnsi="Arial" w:cs="Arial"/>
          <w:sz w:val="22"/>
          <w:szCs w:val="22"/>
        </w:rPr>
        <w:t xml:space="preserve">Changes made to the Supporting Statement since this collection’s last approval: </w:t>
      </w:r>
    </w:p>
    <w:p w:rsidRPr="002E4ECE" w:rsidR="005822E3" w:rsidP="005801CF" w:rsidRDefault="005822E3" w14:paraId="0734CB19" w14:textId="77777777">
      <w:pPr>
        <w:ind w:left="360"/>
        <w:rPr>
          <w:rFonts w:ascii="Arial" w:hAnsi="Arial" w:cs="Arial"/>
          <w:sz w:val="22"/>
          <w:szCs w:val="22"/>
        </w:rPr>
      </w:pPr>
    </w:p>
    <w:p w:rsidRPr="002E4ECE" w:rsidR="005822E3" w:rsidP="005801CF" w:rsidRDefault="005822E3" w14:paraId="0F60208D" w14:textId="77777777">
      <w:pPr>
        <w:numPr>
          <w:ilvl w:val="0"/>
          <w:numId w:val="6"/>
        </w:numPr>
        <w:spacing w:after="120"/>
        <w:rPr>
          <w:rFonts w:ascii="Arial" w:hAnsi="Arial" w:cs="Arial"/>
          <w:sz w:val="22"/>
          <w:szCs w:val="22"/>
        </w:rPr>
      </w:pPr>
      <w:r w:rsidRPr="002E4ECE">
        <w:rPr>
          <w:rFonts w:ascii="Arial" w:hAnsi="Arial" w:cs="Arial"/>
          <w:sz w:val="22"/>
          <w:szCs w:val="22"/>
        </w:rPr>
        <w:t xml:space="preserve">Throughout the Supporting Statement, TTB is making minor editorial and grammatical changes for clarity. </w:t>
      </w:r>
    </w:p>
    <w:p w:rsidRPr="002E4ECE" w:rsidR="005822E3" w:rsidP="005801CF" w:rsidRDefault="005822E3" w14:paraId="75CD89FA" w14:textId="731CC4A8">
      <w:pPr>
        <w:numPr>
          <w:ilvl w:val="0"/>
          <w:numId w:val="6"/>
        </w:numPr>
        <w:spacing w:after="120"/>
        <w:rPr>
          <w:rFonts w:ascii="Arial" w:hAnsi="Arial" w:cs="Arial"/>
          <w:sz w:val="22"/>
          <w:szCs w:val="22"/>
        </w:rPr>
      </w:pPr>
      <w:r w:rsidRPr="002E4ECE">
        <w:rPr>
          <w:rFonts w:ascii="Arial" w:hAnsi="Arial" w:cs="Arial"/>
          <w:sz w:val="22"/>
          <w:szCs w:val="22"/>
        </w:rPr>
        <w:t xml:space="preserve">In Question 12, TTB is </w:t>
      </w:r>
      <w:r w:rsidRPr="002E4ECE" w:rsidR="005801CF">
        <w:rPr>
          <w:rFonts w:ascii="Arial" w:hAnsi="Arial" w:cs="Arial"/>
          <w:sz w:val="22"/>
          <w:szCs w:val="22"/>
        </w:rPr>
        <w:t xml:space="preserve">updating the respondent burden estimate for this collection, is </w:t>
      </w:r>
      <w:r w:rsidRPr="002E4ECE">
        <w:rPr>
          <w:rFonts w:ascii="Arial" w:hAnsi="Arial" w:cs="Arial"/>
          <w:sz w:val="22"/>
          <w:szCs w:val="22"/>
        </w:rPr>
        <w:t>providing an estimate of respondent labor costs</w:t>
      </w:r>
      <w:r w:rsidRPr="002E4ECE" w:rsidR="005801CF">
        <w:rPr>
          <w:rFonts w:ascii="Arial" w:hAnsi="Arial" w:cs="Arial"/>
          <w:sz w:val="22"/>
          <w:szCs w:val="22"/>
        </w:rPr>
        <w:t xml:space="preserve">, </w:t>
      </w:r>
      <w:r w:rsidRPr="002E4ECE">
        <w:rPr>
          <w:rFonts w:ascii="Arial" w:hAnsi="Arial" w:cs="Arial"/>
          <w:sz w:val="22"/>
          <w:szCs w:val="22"/>
        </w:rPr>
        <w:t xml:space="preserve">and is stating its recordkeeping burden. </w:t>
      </w:r>
    </w:p>
    <w:p w:rsidRPr="002E4ECE" w:rsidR="005822E3" w:rsidP="005801CF" w:rsidRDefault="005822E3" w14:paraId="693323F8" w14:textId="77777777">
      <w:pPr>
        <w:numPr>
          <w:ilvl w:val="0"/>
          <w:numId w:val="6"/>
        </w:numPr>
        <w:spacing w:after="120"/>
        <w:rPr>
          <w:rFonts w:ascii="Arial" w:hAnsi="Arial" w:cs="Arial"/>
          <w:sz w:val="22"/>
          <w:szCs w:val="22"/>
        </w:rPr>
      </w:pPr>
      <w:r w:rsidRPr="002E4ECE">
        <w:rPr>
          <w:rFonts w:ascii="Arial" w:hAnsi="Arial" w:cs="Arial"/>
          <w:sz w:val="22"/>
          <w:szCs w:val="22"/>
        </w:rPr>
        <w:t xml:space="preserve">In Question 13, TTB is estimating the non-labor costs to respondents for this collection. </w:t>
      </w:r>
    </w:p>
    <w:p w:rsidRPr="002E4ECE" w:rsidR="005822E3" w:rsidP="005801CF" w:rsidRDefault="005822E3" w14:paraId="69F7CD83" w14:textId="671B7E47">
      <w:pPr>
        <w:numPr>
          <w:ilvl w:val="0"/>
          <w:numId w:val="6"/>
        </w:numPr>
        <w:spacing w:after="120"/>
        <w:rPr>
          <w:rFonts w:ascii="Arial" w:hAnsi="Arial" w:cs="Arial"/>
          <w:sz w:val="22"/>
          <w:szCs w:val="22"/>
        </w:rPr>
      </w:pPr>
      <w:r w:rsidRPr="002E4ECE">
        <w:rPr>
          <w:rFonts w:ascii="Arial" w:hAnsi="Arial" w:cs="Arial"/>
          <w:sz w:val="22"/>
          <w:szCs w:val="22"/>
        </w:rPr>
        <w:t xml:space="preserve">In Question 14, TTB is providing a more detailed estimate of its costs for this collection. </w:t>
      </w:r>
    </w:p>
    <w:p w:rsidRPr="002E4ECE" w:rsidR="005801CF" w:rsidP="005801CF" w:rsidRDefault="005801CF" w14:paraId="24C86906" w14:textId="0EDBA1A0">
      <w:pPr>
        <w:numPr>
          <w:ilvl w:val="0"/>
          <w:numId w:val="6"/>
        </w:numPr>
        <w:rPr>
          <w:rFonts w:ascii="Arial" w:hAnsi="Arial" w:cs="Arial"/>
          <w:sz w:val="22"/>
          <w:szCs w:val="22"/>
        </w:rPr>
      </w:pPr>
      <w:r w:rsidRPr="002E4ECE">
        <w:rPr>
          <w:rFonts w:ascii="Arial" w:hAnsi="Arial" w:cs="Arial"/>
          <w:sz w:val="22"/>
          <w:szCs w:val="22"/>
        </w:rPr>
        <w:t xml:space="preserve">In Question 15, TTB is explaining the adjustments to this collection’s estimated burden. </w:t>
      </w:r>
    </w:p>
    <w:p w:rsidRPr="002E4ECE" w:rsidR="005822E3" w:rsidP="005801CF" w:rsidRDefault="005822E3" w14:paraId="6294146C" w14:textId="77777777">
      <w:pPr>
        <w:suppressAutoHyphens/>
        <w:rPr>
          <w:rFonts w:ascii="Arial" w:hAnsi="Arial" w:cs="Arial"/>
          <w:sz w:val="22"/>
          <w:szCs w:val="22"/>
        </w:rPr>
      </w:pPr>
    </w:p>
    <w:p w:rsidRPr="002E4ECE" w:rsidR="005822E3" w:rsidP="005801CF" w:rsidRDefault="005822E3" w14:paraId="65E05A69" w14:textId="77777777">
      <w:pPr>
        <w:suppressAutoHyphens/>
        <w:rPr>
          <w:rFonts w:ascii="Arial" w:hAnsi="Arial" w:cs="Arial"/>
          <w:sz w:val="22"/>
          <w:szCs w:val="22"/>
        </w:rPr>
      </w:pPr>
    </w:p>
    <w:p w:rsidRPr="002E4ECE" w:rsidR="005822E3" w:rsidP="005822E3" w:rsidRDefault="005822E3" w14:paraId="6AF94C8D" w14:textId="77777777">
      <w:pPr>
        <w:suppressAutoHyphens/>
        <w:rPr>
          <w:rFonts w:ascii="Arial" w:hAnsi="Arial" w:cs="Arial"/>
          <w:b/>
          <w:sz w:val="22"/>
          <w:szCs w:val="22"/>
          <w:u w:val="single"/>
        </w:rPr>
      </w:pPr>
      <w:r w:rsidRPr="002E4ECE">
        <w:rPr>
          <w:rFonts w:ascii="Arial" w:hAnsi="Arial" w:cs="Arial"/>
          <w:b/>
          <w:sz w:val="22"/>
          <w:szCs w:val="22"/>
          <w:u w:val="single"/>
        </w:rPr>
        <w:t xml:space="preserve">A.  Justification </w:t>
      </w:r>
    </w:p>
    <w:p w:rsidRPr="002E4ECE" w:rsidR="005822E3" w:rsidP="005822E3" w:rsidRDefault="005822E3" w14:paraId="78FAB854" w14:textId="77777777">
      <w:pPr>
        <w:suppressAutoHyphens/>
        <w:rPr>
          <w:rFonts w:ascii="Arial" w:hAnsi="Arial" w:cs="Arial"/>
          <w:sz w:val="22"/>
          <w:szCs w:val="22"/>
        </w:rPr>
      </w:pPr>
    </w:p>
    <w:p w:rsidRPr="002E4ECE" w:rsidR="005822E3" w:rsidP="005822E3" w:rsidRDefault="005822E3" w14:paraId="457E5923" w14:textId="77777777">
      <w:pPr>
        <w:tabs>
          <w:tab w:val="left" w:pos="360"/>
        </w:tabs>
        <w:suppressAutoHyphens/>
        <w:rPr>
          <w:rFonts w:ascii="Arial" w:hAnsi="Arial" w:cs="Arial"/>
          <w:i/>
          <w:sz w:val="22"/>
          <w:szCs w:val="22"/>
        </w:rPr>
      </w:pPr>
      <w:r w:rsidRPr="002E4ECE">
        <w:rPr>
          <w:rFonts w:ascii="Arial" w:hAnsi="Arial" w:cs="Arial"/>
          <w:i/>
          <w:sz w:val="22"/>
          <w:szCs w:val="22"/>
        </w:rPr>
        <w:t xml:space="preserve">1.  What are the circumstances that make this collection of information necessary, and what legal or administrative requirements necessitate the collection?  Also align the information collection to TTB’s Line of Business/Sub-function and IT Investment, if one is used. </w:t>
      </w:r>
    </w:p>
    <w:p w:rsidRPr="002E4ECE" w:rsidR="005822E3" w:rsidP="005822E3" w:rsidRDefault="005822E3" w14:paraId="1B2E7FD7" w14:textId="77777777">
      <w:pPr>
        <w:rPr>
          <w:rFonts w:ascii="Arial" w:hAnsi="Arial" w:cs="Arial"/>
          <w:sz w:val="22"/>
          <w:szCs w:val="22"/>
        </w:rPr>
      </w:pPr>
    </w:p>
    <w:p w:rsidRPr="002E4ECE" w:rsidR="005822E3" w:rsidP="005822E3" w:rsidRDefault="005822E3" w14:paraId="61EB12B3" w14:textId="77777777">
      <w:pPr>
        <w:ind w:left="360"/>
        <w:rPr>
          <w:rFonts w:ascii="Arial" w:hAnsi="Arial" w:cs="Arial"/>
          <w:sz w:val="22"/>
          <w:szCs w:val="22"/>
        </w:rPr>
      </w:pPr>
      <w:r w:rsidRPr="002E4ECE">
        <w:rPr>
          <w:rFonts w:ascii="Arial" w:hAnsi="Arial" w:cs="Arial"/>
          <w:sz w:val="22"/>
          <w:szCs w:val="22"/>
        </w:rPr>
        <w:t xml:space="preserve">The Alcohol and Tobacco Tax and Trade Bureau (TTB) administers chapter 51 (distilled spirits, wine, and beer), chapter 52 (tobacco products, processed tobacco, and cigarette papers and tubes), and sections 4181–4182 (firearms and ammunition excise taxes) of the Internal Revenue Code of 1986 (IRC, 26 U.S.C.).  TTB administers those IRC provisions pursuant to section 1111(d) of the Homeland Security Act of 2002, as codified at 6 U.S.C. 531(d).  In addition, the Secretary of the Treasury (the Secretary) has delegated certain IRC administrative and enforcement authorities to TTB through Treasury Order 120–01. </w:t>
      </w:r>
    </w:p>
    <w:p w:rsidRPr="002E4ECE" w:rsidR="005822E3" w:rsidP="005822E3" w:rsidRDefault="005822E3" w14:paraId="123954B1" w14:textId="42CCABB8">
      <w:pPr>
        <w:ind w:left="360"/>
        <w:rPr>
          <w:rFonts w:ascii="Arial" w:hAnsi="Arial" w:cs="Arial"/>
          <w:sz w:val="22"/>
          <w:szCs w:val="22"/>
        </w:rPr>
      </w:pPr>
    </w:p>
    <w:p w:rsidRPr="002E4ECE" w:rsidR="00525C00" w:rsidP="00525C00" w:rsidRDefault="00525C00" w14:paraId="7169E16F" w14:textId="0ED6310D">
      <w:pPr>
        <w:ind w:left="360"/>
        <w:rPr>
          <w:rFonts w:ascii="Arial" w:hAnsi="Arial" w:cs="Arial"/>
          <w:sz w:val="22"/>
          <w:szCs w:val="22"/>
        </w:rPr>
      </w:pPr>
      <w:r w:rsidRPr="002E4ECE">
        <w:rPr>
          <w:rFonts w:ascii="Arial" w:hAnsi="Arial" w:cs="Arial"/>
          <w:sz w:val="22"/>
          <w:szCs w:val="22"/>
        </w:rPr>
        <w:t xml:space="preserve">In general, the IRC at 26 U.S.C. 5001 imposes Federal excise tax </w:t>
      </w:r>
      <w:r w:rsidRPr="002E4ECE" w:rsidR="005822E3">
        <w:rPr>
          <w:rFonts w:ascii="Arial" w:hAnsi="Arial" w:cs="Arial"/>
          <w:sz w:val="22"/>
          <w:szCs w:val="22"/>
        </w:rPr>
        <w:t>o</w:t>
      </w:r>
      <w:r w:rsidRPr="002E4ECE">
        <w:rPr>
          <w:rFonts w:ascii="Arial" w:hAnsi="Arial" w:cs="Arial"/>
          <w:sz w:val="22"/>
          <w:szCs w:val="22"/>
        </w:rPr>
        <w:t>n distilled spirits produced in the United States</w:t>
      </w:r>
      <w:r w:rsidRPr="002E4ECE" w:rsidR="00B1139F">
        <w:rPr>
          <w:rFonts w:ascii="Arial" w:hAnsi="Arial" w:cs="Arial"/>
          <w:sz w:val="22"/>
          <w:szCs w:val="22"/>
        </w:rPr>
        <w:t>, and, t</w:t>
      </w:r>
      <w:r w:rsidRPr="002E4ECE" w:rsidR="0091596F">
        <w:rPr>
          <w:rFonts w:ascii="Arial" w:hAnsi="Arial" w:cs="Arial"/>
          <w:sz w:val="22"/>
          <w:szCs w:val="22"/>
        </w:rPr>
        <w:t>o safeguard th</w:t>
      </w:r>
      <w:r w:rsidRPr="002E4ECE" w:rsidR="00B1139F">
        <w:rPr>
          <w:rFonts w:ascii="Arial" w:hAnsi="Arial" w:cs="Arial"/>
          <w:sz w:val="22"/>
          <w:szCs w:val="22"/>
        </w:rPr>
        <w:t>at</w:t>
      </w:r>
      <w:r w:rsidRPr="002E4ECE" w:rsidR="0091596F">
        <w:rPr>
          <w:rFonts w:ascii="Arial" w:hAnsi="Arial" w:cs="Arial"/>
          <w:sz w:val="22"/>
          <w:szCs w:val="22"/>
        </w:rPr>
        <w:t xml:space="preserve"> revenue, 26 U.S.C. 5207 requires</w:t>
      </w:r>
      <w:r w:rsidRPr="002E4ECE" w:rsidR="006844F7">
        <w:rPr>
          <w:rFonts w:ascii="Arial" w:hAnsi="Arial" w:cs="Arial"/>
          <w:sz w:val="22"/>
          <w:szCs w:val="22"/>
        </w:rPr>
        <w:t xml:space="preserve"> distilled spirits plant</w:t>
      </w:r>
      <w:r w:rsidRPr="002E4ECE" w:rsidR="0091596F">
        <w:rPr>
          <w:rFonts w:ascii="Arial" w:hAnsi="Arial" w:cs="Arial"/>
          <w:sz w:val="22"/>
          <w:szCs w:val="22"/>
        </w:rPr>
        <w:t xml:space="preserve"> </w:t>
      </w:r>
      <w:r w:rsidRPr="002E4ECE" w:rsidR="006844F7">
        <w:rPr>
          <w:rFonts w:ascii="Arial" w:hAnsi="Arial" w:cs="Arial"/>
          <w:sz w:val="22"/>
          <w:szCs w:val="22"/>
        </w:rPr>
        <w:t>(</w:t>
      </w:r>
      <w:r w:rsidRPr="002E4ECE" w:rsidR="0091596F">
        <w:rPr>
          <w:rFonts w:ascii="Arial" w:hAnsi="Arial" w:cs="Arial"/>
          <w:sz w:val="22"/>
          <w:szCs w:val="22"/>
        </w:rPr>
        <w:t>DSP</w:t>
      </w:r>
      <w:r w:rsidRPr="002E4ECE" w:rsidR="006844F7">
        <w:rPr>
          <w:rFonts w:ascii="Arial" w:hAnsi="Arial" w:cs="Arial"/>
          <w:sz w:val="22"/>
          <w:szCs w:val="22"/>
        </w:rPr>
        <w:t>)</w:t>
      </w:r>
      <w:r w:rsidRPr="002E4ECE" w:rsidR="0091596F">
        <w:rPr>
          <w:rFonts w:ascii="Arial" w:hAnsi="Arial" w:cs="Arial"/>
          <w:sz w:val="22"/>
          <w:szCs w:val="22"/>
        </w:rPr>
        <w:t xml:space="preserve"> proprietors to maintain records and submit reports </w:t>
      </w:r>
      <w:r w:rsidRPr="002E4ECE" w:rsidR="00B1139F">
        <w:rPr>
          <w:rFonts w:ascii="Arial" w:hAnsi="Arial" w:cs="Arial"/>
          <w:sz w:val="22"/>
          <w:szCs w:val="22"/>
        </w:rPr>
        <w:t xml:space="preserve">of their production, storage, denaturation, and processing activities </w:t>
      </w:r>
      <w:r w:rsidRPr="002E4ECE" w:rsidR="005822E3">
        <w:rPr>
          <w:rFonts w:ascii="Arial" w:hAnsi="Arial" w:cs="Arial"/>
          <w:sz w:val="22"/>
          <w:szCs w:val="22"/>
        </w:rPr>
        <w:t xml:space="preserve">as the </w:t>
      </w:r>
      <w:r w:rsidRPr="002E4ECE" w:rsidR="0091596F">
        <w:rPr>
          <w:rFonts w:ascii="Arial" w:hAnsi="Arial" w:cs="Arial"/>
          <w:sz w:val="22"/>
          <w:szCs w:val="22"/>
        </w:rPr>
        <w:t xml:space="preserve">Secretary </w:t>
      </w:r>
      <w:r w:rsidRPr="002E4ECE" w:rsidR="005822E3">
        <w:rPr>
          <w:rFonts w:ascii="Arial" w:hAnsi="Arial" w:cs="Arial"/>
          <w:sz w:val="22"/>
          <w:szCs w:val="22"/>
        </w:rPr>
        <w:t xml:space="preserve">requires by </w:t>
      </w:r>
      <w:r w:rsidRPr="002E4ECE" w:rsidR="0091596F">
        <w:rPr>
          <w:rFonts w:ascii="Arial" w:hAnsi="Arial" w:cs="Arial"/>
          <w:sz w:val="22"/>
          <w:szCs w:val="22"/>
        </w:rPr>
        <w:lastRenderedPageBreak/>
        <w:t>regulation</w:t>
      </w:r>
      <w:r w:rsidRPr="002E4ECE" w:rsidR="005822E3">
        <w:rPr>
          <w:rFonts w:ascii="Arial" w:hAnsi="Arial" w:cs="Arial"/>
          <w:sz w:val="22"/>
          <w:szCs w:val="22"/>
        </w:rPr>
        <w:t xml:space="preserve">.  Additionally, </w:t>
      </w:r>
      <w:r w:rsidRPr="002E4ECE" w:rsidR="0091596F">
        <w:rPr>
          <w:rFonts w:ascii="Arial" w:hAnsi="Arial" w:cs="Arial"/>
          <w:sz w:val="22"/>
          <w:szCs w:val="22"/>
        </w:rPr>
        <w:t xml:space="preserve">the IRC at 26 U.S.C. 5214 authorizes the </w:t>
      </w:r>
      <w:r w:rsidRPr="002E4ECE" w:rsidR="005822E3">
        <w:rPr>
          <w:rFonts w:ascii="Arial" w:hAnsi="Arial" w:cs="Arial"/>
          <w:sz w:val="22"/>
          <w:szCs w:val="22"/>
        </w:rPr>
        <w:t xml:space="preserve">tax-free </w:t>
      </w:r>
      <w:r w:rsidRPr="002E4ECE" w:rsidR="0091596F">
        <w:rPr>
          <w:rFonts w:ascii="Arial" w:hAnsi="Arial" w:cs="Arial"/>
          <w:sz w:val="22"/>
          <w:szCs w:val="22"/>
        </w:rPr>
        <w:t>withdrawal of denatured distilled spirits from a bonded premises for certain specified uses</w:t>
      </w:r>
      <w:r w:rsidRPr="002E4ECE" w:rsidR="005822E3">
        <w:rPr>
          <w:rFonts w:ascii="Arial" w:hAnsi="Arial" w:cs="Arial"/>
          <w:sz w:val="22"/>
          <w:szCs w:val="22"/>
        </w:rPr>
        <w:t xml:space="preserve">, subject to regulations prescribed by the Secretary. </w:t>
      </w:r>
    </w:p>
    <w:p w:rsidRPr="002E4ECE" w:rsidR="00B1139F" w:rsidP="00525C00" w:rsidRDefault="00B1139F" w14:paraId="7A2AE60C" w14:textId="77777777">
      <w:pPr>
        <w:ind w:left="360"/>
        <w:rPr>
          <w:rFonts w:ascii="Arial" w:hAnsi="Arial" w:cs="Arial"/>
          <w:sz w:val="22"/>
          <w:szCs w:val="22"/>
        </w:rPr>
      </w:pPr>
    </w:p>
    <w:p w:rsidRPr="002E4ECE" w:rsidR="00CE655A" w:rsidP="00CE655A" w:rsidRDefault="00B1139F" w14:paraId="21E79ED8" w14:textId="39CDCBC0">
      <w:pPr>
        <w:ind w:left="360"/>
        <w:rPr>
          <w:rFonts w:ascii="Arial" w:hAnsi="Arial" w:cs="Arial"/>
          <w:sz w:val="22"/>
          <w:szCs w:val="22"/>
        </w:rPr>
      </w:pPr>
      <w:r w:rsidRPr="002E4ECE">
        <w:rPr>
          <w:rFonts w:ascii="Arial" w:hAnsi="Arial" w:cs="Arial"/>
          <w:sz w:val="22"/>
          <w:szCs w:val="22"/>
        </w:rPr>
        <w:t>Under those IRC authorities, t</w:t>
      </w:r>
      <w:r w:rsidRPr="002E4ECE" w:rsidR="00525C00">
        <w:rPr>
          <w:rFonts w:ascii="Arial" w:hAnsi="Arial" w:cs="Arial"/>
          <w:sz w:val="22"/>
          <w:szCs w:val="22"/>
        </w:rPr>
        <w:t xml:space="preserve">he TTB regulations </w:t>
      </w:r>
      <w:r w:rsidRPr="002E4ECE">
        <w:rPr>
          <w:rFonts w:ascii="Arial" w:hAnsi="Arial" w:cs="Arial"/>
          <w:sz w:val="22"/>
          <w:szCs w:val="22"/>
        </w:rPr>
        <w:t xml:space="preserve">in 27 CFR part 19 require DSP proprietors to keep certain records and submit reports regarding their production, receipt, loss, transfer, and withdrawal of denatured spirits.  </w:t>
      </w:r>
      <w:r w:rsidRPr="002E4ECE" w:rsidR="00525C00">
        <w:rPr>
          <w:rFonts w:ascii="Arial" w:hAnsi="Arial" w:cs="Arial"/>
          <w:sz w:val="22"/>
          <w:szCs w:val="22"/>
        </w:rPr>
        <w:t>Specific</w:t>
      </w:r>
      <w:r w:rsidRPr="002E4ECE" w:rsidR="00927EE2">
        <w:rPr>
          <w:rFonts w:ascii="Arial" w:hAnsi="Arial" w:cs="Arial"/>
          <w:sz w:val="22"/>
          <w:szCs w:val="22"/>
        </w:rPr>
        <w:t xml:space="preserve">ally, </w:t>
      </w:r>
      <w:r w:rsidRPr="002E4ECE" w:rsidR="003D2892">
        <w:rPr>
          <w:rFonts w:ascii="Arial" w:hAnsi="Arial" w:cs="Arial"/>
          <w:sz w:val="22"/>
          <w:szCs w:val="22"/>
        </w:rPr>
        <w:t>§ </w:t>
      </w:r>
      <w:r w:rsidRPr="002E4ECE" w:rsidR="00052D0B">
        <w:rPr>
          <w:rFonts w:ascii="Arial" w:hAnsi="Arial" w:cs="Arial"/>
          <w:sz w:val="22"/>
          <w:szCs w:val="22"/>
        </w:rPr>
        <w:t>19.606</w:t>
      </w:r>
      <w:r w:rsidRPr="002E4ECE" w:rsidR="00BC2343">
        <w:rPr>
          <w:rFonts w:ascii="Arial" w:hAnsi="Arial" w:cs="Arial"/>
          <w:sz w:val="22"/>
          <w:szCs w:val="22"/>
        </w:rPr>
        <w:t>, Denaturation records,</w:t>
      </w:r>
      <w:r w:rsidRPr="002E4ECE" w:rsidR="003F5596">
        <w:rPr>
          <w:rFonts w:ascii="Arial" w:hAnsi="Arial" w:cs="Arial"/>
          <w:sz w:val="22"/>
          <w:szCs w:val="22"/>
        </w:rPr>
        <w:t xml:space="preserve"> and </w:t>
      </w:r>
      <w:r w:rsidRPr="002E4ECE" w:rsidR="003D2892">
        <w:rPr>
          <w:rFonts w:ascii="Arial" w:hAnsi="Arial" w:cs="Arial"/>
          <w:sz w:val="22"/>
          <w:szCs w:val="22"/>
        </w:rPr>
        <w:t>§ </w:t>
      </w:r>
      <w:r w:rsidRPr="002E4ECE" w:rsidR="003F5596">
        <w:rPr>
          <w:rFonts w:ascii="Arial" w:hAnsi="Arial" w:cs="Arial"/>
          <w:sz w:val="22"/>
          <w:szCs w:val="22"/>
        </w:rPr>
        <w:t>19.607</w:t>
      </w:r>
      <w:r w:rsidRPr="002E4ECE" w:rsidR="00C2475F">
        <w:rPr>
          <w:rFonts w:ascii="Arial" w:hAnsi="Arial" w:cs="Arial"/>
          <w:sz w:val="22"/>
          <w:szCs w:val="22"/>
        </w:rPr>
        <w:t xml:space="preserve">, </w:t>
      </w:r>
      <w:r w:rsidRPr="002E4ECE" w:rsidR="00BC2343">
        <w:rPr>
          <w:rFonts w:ascii="Arial" w:hAnsi="Arial" w:cs="Arial"/>
          <w:sz w:val="22"/>
          <w:szCs w:val="22"/>
        </w:rPr>
        <w:t xml:space="preserve">Article manufacture records, </w:t>
      </w:r>
      <w:r w:rsidRPr="002E4ECE" w:rsidR="00C2475F">
        <w:rPr>
          <w:rFonts w:ascii="Arial" w:hAnsi="Arial" w:cs="Arial"/>
          <w:sz w:val="22"/>
          <w:szCs w:val="22"/>
        </w:rPr>
        <w:t>as amplified by §§</w:t>
      </w:r>
      <w:r w:rsidRPr="002E4ECE" w:rsidR="003D2892">
        <w:rPr>
          <w:rFonts w:ascii="Arial" w:hAnsi="Arial" w:cs="Arial"/>
          <w:sz w:val="22"/>
          <w:szCs w:val="22"/>
        </w:rPr>
        <w:t> </w:t>
      </w:r>
      <w:r w:rsidRPr="002E4ECE" w:rsidR="00C2475F">
        <w:rPr>
          <w:rFonts w:ascii="Arial" w:hAnsi="Arial" w:cs="Arial"/>
          <w:sz w:val="22"/>
          <w:szCs w:val="22"/>
        </w:rPr>
        <w:t>19.381 through 19.396,</w:t>
      </w:r>
      <w:r w:rsidRPr="002E4ECE" w:rsidR="003F5596">
        <w:rPr>
          <w:rFonts w:ascii="Arial" w:hAnsi="Arial" w:cs="Arial"/>
          <w:sz w:val="22"/>
          <w:szCs w:val="22"/>
        </w:rPr>
        <w:t xml:space="preserve"> </w:t>
      </w:r>
      <w:r w:rsidRPr="002E4ECE" w:rsidR="00525C00">
        <w:rPr>
          <w:rFonts w:ascii="Arial" w:hAnsi="Arial" w:cs="Arial"/>
          <w:sz w:val="22"/>
          <w:szCs w:val="22"/>
        </w:rPr>
        <w:t>prescribe th</w:t>
      </w:r>
      <w:r w:rsidRPr="002E4ECE" w:rsidR="005822E3">
        <w:rPr>
          <w:rFonts w:ascii="Arial" w:hAnsi="Arial" w:cs="Arial"/>
          <w:sz w:val="22"/>
          <w:szCs w:val="22"/>
        </w:rPr>
        <w:t xml:space="preserve">e </w:t>
      </w:r>
      <w:r w:rsidRPr="002E4ECE" w:rsidR="00525C00">
        <w:rPr>
          <w:rFonts w:ascii="Arial" w:hAnsi="Arial" w:cs="Arial"/>
          <w:sz w:val="22"/>
          <w:szCs w:val="22"/>
        </w:rPr>
        <w:t xml:space="preserve">records unique to </w:t>
      </w:r>
      <w:r w:rsidRPr="002E4ECE" w:rsidR="003F5596">
        <w:rPr>
          <w:rFonts w:ascii="Arial" w:hAnsi="Arial" w:cs="Arial"/>
          <w:sz w:val="22"/>
          <w:szCs w:val="22"/>
        </w:rPr>
        <w:t xml:space="preserve">denaturing operations at </w:t>
      </w:r>
      <w:r w:rsidRPr="002E4ECE" w:rsidR="00525C00">
        <w:rPr>
          <w:rFonts w:ascii="Arial" w:hAnsi="Arial" w:cs="Arial"/>
          <w:sz w:val="22"/>
          <w:szCs w:val="22"/>
        </w:rPr>
        <w:t>DSP</w:t>
      </w:r>
      <w:r w:rsidRPr="002E4ECE" w:rsidR="003F5596">
        <w:rPr>
          <w:rFonts w:ascii="Arial" w:hAnsi="Arial" w:cs="Arial"/>
          <w:sz w:val="22"/>
          <w:szCs w:val="22"/>
        </w:rPr>
        <w:t>s</w:t>
      </w:r>
      <w:r w:rsidRPr="002E4ECE" w:rsidR="00C2475F">
        <w:rPr>
          <w:rFonts w:ascii="Arial" w:hAnsi="Arial" w:cs="Arial"/>
          <w:sz w:val="22"/>
          <w:szCs w:val="22"/>
        </w:rPr>
        <w:t>.</w:t>
      </w:r>
      <w:r w:rsidRPr="002E4ECE" w:rsidR="00927EE2">
        <w:rPr>
          <w:rStyle w:val="FootnoteReference"/>
          <w:rFonts w:ascii="Arial" w:hAnsi="Arial" w:cs="Arial"/>
          <w:sz w:val="22"/>
          <w:szCs w:val="22"/>
        </w:rPr>
        <w:footnoteReference w:id="1"/>
      </w:r>
      <w:r w:rsidRPr="002E4ECE" w:rsidR="00C2475F">
        <w:rPr>
          <w:rFonts w:ascii="Arial" w:hAnsi="Arial" w:cs="Arial"/>
          <w:sz w:val="22"/>
          <w:szCs w:val="22"/>
        </w:rPr>
        <w:t xml:space="preserve">  </w:t>
      </w:r>
      <w:r w:rsidRPr="002E4ECE" w:rsidR="00927EE2">
        <w:rPr>
          <w:rFonts w:ascii="Arial" w:hAnsi="Arial" w:cs="Arial"/>
          <w:sz w:val="22"/>
          <w:szCs w:val="22"/>
        </w:rPr>
        <w:t xml:space="preserve">Additionally, </w:t>
      </w:r>
      <w:r w:rsidRPr="002E4ECE" w:rsidR="003F5596">
        <w:rPr>
          <w:rFonts w:ascii="Arial" w:hAnsi="Arial" w:cs="Arial"/>
          <w:sz w:val="22"/>
          <w:szCs w:val="22"/>
        </w:rPr>
        <w:t xml:space="preserve">regulations at </w:t>
      </w:r>
      <w:r w:rsidRPr="002E4ECE" w:rsidR="003D2892">
        <w:rPr>
          <w:rFonts w:ascii="Arial" w:hAnsi="Arial" w:cs="Arial"/>
          <w:sz w:val="22"/>
          <w:szCs w:val="22"/>
        </w:rPr>
        <w:t>§§ </w:t>
      </w:r>
      <w:r w:rsidRPr="002E4ECE" w:rsidR="003F5596">
        <w:rPr>
          <w:rFonts w:ascii="Arial" w:hAnsi="Arial" w:cs="Arial"/>
          <w:sz w:val="22"/>
          <w:szCs w:val="22"/>
        </w:rPr>
        <w:t>19.571 through 19.576 and §§</w:t>
      </w:r>
      <w:r w:rsidRPr="002E4ECE" w:rsidR="003D2892">
        <w:rPr>
          <w:rFonts w:ascii="Arial" w:hAnsi="Arial" w:cs="Arial"/>
          <w:sz w:val="22"/>
          <w:szCs w:val="22"/>
        </w:rPr>
        <w:t> </w:t>
      </w:r>
      <w:r w:rsidRPr="002E4ECE" w:rsidR="003F5596">
        <w:rPr>
          <w:rFonts w:ascii="Arial" w:hAnsi="Arial" w:cs="Arial"/>
          <w:sz w:val="22"/>
          <w:szCs w:val="22"/>
        </w:rPr>
        <w:t xml:space="preserve">19.580 </w:t>
      </w:r>
      <w:r w:rsidRPr="002E4ECE" w:rsidR="00025D26">
        <w:rPr>
          <w:rFonts w:ascii="Arial" w:hAnsi="Arial" w:cs="Arial"/>
          <w:sz w:val="22"/>
          <w:szCs w:val="22"/>
        </w:rPr>
        <w:t xml:space="preserve">and </w:t>
      </w:r>
      <w:r w:rsidRPr="002E4ECE" w:rsidR="003F5596">
        <w:rPr>
          <w:rFonts w:ascii="Arial" w:hAnsi="Arial" w:cs="Arial"/>
          <w:sz w:val="22"/>
          <w:szCs w:val="22"/>
        </w:rPr>
        <w:t xml:space="preserve">19.581 specify the general requirements for the content, format, organization, maintenance, and retention of DSP account records, including those related to denaturing </w:t>
      </w:r>
      <w:r w:rsidRPr="002E4ECE" w:rsidR="00C2475F">
        <w:rPr>
          <w:rFonts w:ascii="Arial" w:hAnsi="Arial" w:cs="Arial"/>
          <w:sz w:val="22"/>
          <w:szCs w:val="22"/>
        </w:rPr>
        <w:t>operations</w:t>
      </w:r>
      <w:r w:rsidRPr="002E4ECE" w:rsidR="003F5596">
        <w:rPr>
          <w:rFonts w:ascii="Arial" w:hAnsi="Arial" w:cs="Arial"/>
          <w:sz w:val="22"/>
          <w:szCs w:val="22"/>
        </w:rPr>
        <w:t xml:space="preserve">. </w:t>
      </w:r>
      <w:r w:rsidRPr="002E4ECE" w:rsidR="00925BE1">
        <w:rPr>
          <w:rFonts w:ascii="Arial" w:hAnsi="Arial" w:cs="Arial"/>
          <w:sz w:val="22"/>
          <w:szCs w:val="22"/>
        </w:rPr>
        <w:t xml:space="preserve"> </w:t>
      </w:r>
      <w:r w:rsidRPr="002E4ECE" w:rsidR="003A446D">
        <w:rPr>
          <w:rFonts w:ascii="Arial" w:hAnsi="Arial" w:cs="Arial"/>
          <w:sz w:val="22"/>
          <w:szCs w:val="22"/>
        </w:rPr>
        <w:t xml:space="preserve">DSP proprietors maintain the collected information under recordkeeping requirement TTB REC 5110/04, Distilled Spirits Plant Denaturation Records.  </w:t>
      </w:r>
      <w:r w:rsidRPr="002E4ECE" w:rsidR="00925BE1">
        <w:rPr>
          <w:rFonts w:ascii="Arial" w:hAnsi="Arial" w:cs="Arial"/>
          <w:sz w:val="22"/>
          <w:szCs w:val="22"/>
        </w:rPr>
        <w:t xml:space="preserve">In addition, as required by § 19.632, </w:t>
      </w:r>
      <w:r w:rsidRPr="002E4ECE" w:rsidR="00927EE2">
        <w:rPr>
          <w:rFonts w:ascii="Arial" w:hAnsi="Arial" w:cs="Arial"/>
          <w:sz w:val="22"/>
          <w:szCs w:val="22"/>
        </w:rPr>
        <w:t>DSP proprietors use th</w:t>
      </w:r>
      <w:r w:rsidRPr="002E4ECE" w:rsidR="003A446D">
        <w:rPr>
          <w:rFonts w:ascii="Arial" w:hAnsi="Arial" w:cs="Arial"/>
          <w:sz w:val="22"/>
          <w:szCs w:val="22"/>
        </w:rPr>
        <w:t xml:space="preserve">e recorded information </w:t>
      </w:r>
      <w:r w:rsidRPr="002E4ECE" w:rsidR="00925BE1">
        <w:rPr>
          <w:rFonts w:ascii="Arial" w:hAnsi="Arial" w:cs="Arial"/>
          <w:sz w:val="22"/>
          <w:szCs w:val="22"/>
        </w:rPr>
        <w:t xml:space="preserve">to </w:t>
      </w:r>
      <w:r w:rsidRPr="002E4ECE" w:rsidR="00525C00">
        <w:rPr>
          <w:rFonts w:ascii="Arial" w:hAnsi="Arial" w:cs="Arial"/>
          <w:sz w:val="22"/>
          <w:szCs w:val="22"/>
        </w:rPr>
        <w:t xml:space="preserve">report their </w:t>
      </w:r>
      <w:r w:rsidRPr="002E4ECE" w:rsidR="003F5596">
        <w:rPr>
          <w:rFonts w:ascii="Arial" w:hAnsi="Arial" w:cs="Arial"/>
          <w:sz w:val="22"/>
          <w:szCs w:val="22"/>
        </w:rPr>
        <w:t>denaturing a</w:t>
      </w:r>
      <w:r w:rsidRPr="002E4ECE" w:rsidR="00525C00">
        <w:rPr>
          <w:rFonts w:ascii="Arial" w:hAnsi="Arial" w:cs="Arial"/>
          <w:sz w:val="22"/>
          <w:szCs w:val="22"/>
        </w:rPr>
        <w:t>ctivities to TTB on a</w:t>
      </w:r>
      <w:r w:rsidRPr="002E4ECE" w:rsidR="00C2475F">
        <w:rPr>
          <w:rFonts w:ascii="Arial" w:hAnsi="Arial" w:cs="Arial"/>
          <w:sz w:val="22"/>
          <w:szCs w:val="22"/>
        </w:rPr>
        <w:t xml:space="preserve"> monthly basis using form TTB F </w:t>
      </w:r>
      <w:r w:rsidRPr="002E4ECE" w:rsidR="00525C00">
        <w:rPr>
          <w:rFonts w:ascii="Arial" w:hAnsi="Arial" w:cs="Arial"/>
          <w:sz w:val="22"/>
          <w:szCs w:val="22"/>
        </w:rPr>
        <w:t>5110.</w:t>
      </w:r>
      <w:r w:rsidRPr="002E4ECE" w:rsidR="003F5596">
        <w:rPr>
          <w:rFonts w:ascii="Arial" w:hAnsi="Arial" w:cs="Arial"/>
          <w:sz w:val="22"/>
          <w:szCs w:val="22"/>
        </w:rPr>
        <w:t>43</w:t>
      </w:r>
      <w:r w:rsidRPr="002E4ECE" w:rsidR="00525C00">
        <w:rPr>
          <w:rFonts w:ascii="Arial" w:hAnsi="Arial" w:cs="Arial"/>
          <w:sz w:val="22"/>
          <w:szCs w:val="22"/>
        </w:rPr>
        <w:t xml:space="preserve">, Monthly Report of </w:t>
      </w:r>
      <w:r w:rsidRPr="002E4ECE" w:rsidR="003F5596">
        <w:rPr>
          <w:rFonts w:ascii="Arial" w:hAnsi="Arial" w:cs="Arial"/>
          <w:sz w:val="22"/>
          <w:szCs w:val="22"/>
        </w:rPr>
        <w:t xml:space="preserve">Processing (Denaturing) </w:t>
      </w:r>
      <w:r w:rsidRPr="002E4ECE" w:rsidR="00925BE1">
        <w:rPr>
          <w:rFonts w:ascii="Arial" w:hAnsi="Arial" w:cs="Arial"/>
          <w:sz w:val="22"/>
          <w:szCs w:val="22"/>
        </w:rPr>
        <w:t xml:space="preserve">Operations. </w:t>
      </w:r>
    </w:p>
    <w:p w:rsidRPr="002E4ECE" w:rsidR="003A446D" w:rsidP="00CE655A" w:rsidRDefault="003A446D" w14:paraId="4A7E10BE" w14:textId="77777777">
      <w:pPr>
        <w:ind w:left="360"/>
        <w:rPr>
          <w:rFonts w:ascii="Arial" w:hAnsi="Arial" w:cs="Arial"/>
          <w:sz w:val="22"/>
          <w:szCs w:val="22"/>
        </w:rPr>
      </w:pPr>
    </w:p>
    <w:p w:rsidRPr="002E4ECE" w:rsidR="00B1139F" w:rsidP="00CE655A" w:rsidRDefault="00B1139F" w14:paraId="5640BB83" w14:textId="5D9F44EC">
      <w:pPr>
        <w:ind w:left="360"/>
        <w:rPr>
          <w:rFonts w:ascii="Arial" w:hAnsi="Arial" w:cs="Arial"/>
          <w:sz w:val="22"/>
          <w:szCs w:val="22"/>
        </w:rPr>
      </w:pPr>
      <w:r w:rsidRPr="002E4ECE">
        <w:rPr>
          <w:rFonts w:ascii="Arial" w:hAnsi="Arial" w:cs="Arial"/>
          <w:sz w:val="22"/>
          <w:szCs w:val="22"/>
        </w:rPr>
        <w:t xml:space="preserve">Because proprietors may remove denatured spirits from a DSP tax-free, accounting </w:t>
      </w:r>
      <w:r w:rsidRPr="002E4ECE" w:rsidR="003A446D">
        <w:rPr>
          <w:rFonts w:ascii="Arial" w:hAnsi="Arial" w:cs="Arial"/>
          <w:sz w:val="22"/>
          <w:szCs w:val="22"/>
        </w:rPr>
        <w:t xml:space="preserve">for </w:t>
      </w:r>
      <w:r w:rsidRPr="002E4ECE">
        <w:rPr>
          <w:rFonts w:ascii="Arial" w:hAnsi="Arial" w:cs="Arial"/>
          <w:sz w:val="22"/>
          <w:szCs w:val="22"/>
        </w:rPr>
        <w:t xml:space="preserve">a DSP’s denaturation operations is necessary to ensure that the tax provisions of the IRC are appropriately applied and to </w:t>
      </w:r>
      <w:r w:rsidRPr="002E4ECE" w:rsidR="003A446D">
        <w:rPr>
          <w:rFonts w:ascii="Arial" w:hAnsi="Arial" w:cs="Arial"/>
          <w:sz w:val="22"/>
          <w:szCs w:val="22"/>
        </w:rPr>
        <w:t xml:space="preserve">detect </w:t>
      </w:r>
      <w:r w:rsidRPr="002E4ECE">
        <w:rPr>
          <w:rFonts w:ascii="Arial" w:hAnsi="Arial" w:cs="Arial"/>
          <w:sz w:val="22"/>
          <w:szCs w:val="22"/>
        </w:rPr>
        <w:t>diversion of untaxed spirits to taxable uses.</w:t>
      </w:r>
      <w:r w:rsidRPr="002E4ECE" w:rsidR="003A446D">
        <w:rPr>
          <w:rFonts w:ascii="Arial" w:hAnsi="Arial" w:cs="Arial"/>
          <w:sz w:val="22"/>
          <w:szCs w:val="22"/>
        </w:rPr>
        <w:t xml:space="preserve"> </w:t>
      </w:r>
    </w:p>
    <w:p w:rsidRPr="002E4ECE" w:rsidR="00B1139F" w:rsidP="00CE655A" w:rsidRDefault="00B1139F" w14:paraId="05923B00" w14:textId="6BEAE63F">
      <w:pPr>
        <w:ind w:left="360"/>
        <w:rPr>
          <w:rFonts w:ascii="Arial" w:hAnsi="Arial" w:cs="Arial"/>
          <w:sz w:val="22"/>
          <w:szCs w:val="22"/>
        </w:rPr>
      </w:pPr>
    </w:p>
    <w:p w:rsidRPr="002E4ECE" w:rsidR="005E4F99" w:rsidP="003309F7" w:rsidRDefault="005E4F99" w14:paraId="4DC59AB6" w14:textId="77777777">
      <w:pPr>
        <w:suppressAutoHyphens/>
        <w:ind w:left="360"/>
        <w:rPr>
          <w:rFonts w:ascii="Arial" w:hAnsi="Arial" w:cs="Arial"/>
          <w:sz w:val="22"/>
          <w:szCs w:val="22"/>
        </w:rPr>
      </w:pPr>
      <w:r w:rsidRPr="002E4ECE">
        <w:rPr>
          <w:rFonts w:ascii="Arial" w:hAnsi="Arial" w:cs="Arial"/>
          <w:sz w:val="22"/>
          <w:szCs w:val="22"/>
        </w:rPr>
        <w:t>Th</w:t>
      </w:r>
      <w:r w:rsidRPr="002E4ECE" w:rsidR="00095F53">
        <w:rPr>
          <w:rFonts w:ascii="Arial" w:hAnsi="Arial" w:cs="Arial"/>
          <w:sz w:val="22"/>
          <w:szCs w:val="22"/>
        </w:rPr>
        <w:t>is</w:t>
      </w:r>
      <w:r w:rsidRPr="002E4ECE">
        <w:rPr>
          <w:rFonts w:ascii="Arial" w:hAnsi="Arial" w:cs="Arial"/>
          <w:sz w:val="22"/>
          <w:szCs w:val="22"/>
        </w:rPr>
        <w:t xml:space="preserve"> information collection is aligned with</w:t>
      </w:r>
      <w:r w:rsidRPr="002E4ECE" w:rsidR="00D73D2D">
        <w:rPr>
          <w:rFonts w:ascii="Arial" w:hAnsi="Arial" w:cs="Arial"/>
          <w:sz w:val="22"/>
          <w:szCs w:val="22"/>
        </w:rPr>
        <w:t xml:space="preserve"> –– </w:t>
      </w:r>
    </w:p>
    <w:p w:rsidRPr="002E4ECE" w:rsidR="003309F7" w:rsidP="003309F7" w:rsidRDefault="003309F7" w14:paraId="30CD1494" w14:textId="77777777">
      <w:pPr>
        <w:suppressAutoHyphens/>
        <w:ind w:left="360"/>
        <w:rPr>
          <w:rFonts w:ascii="Arial" w:hAnsi="Arial" w:cs="Arial"/>
          <w:sz w:val="22"/>
          <w:szCs w:val="22"/>
        </w:rPr>
      </w:pPr>
    </w:p>
    <w:p w:rsidRPr="002E4ECE" w:rsidR="00ED4A03" w:rsidP="003309F7" w:rsidRDefault="00ED4A03" w14:paraId="469B5126" w14:textId="77777777">
      <w:pPr>
        <w:numPr>
          <w:ilvl w:val="0"/>
          <w:numId w:val="1"/>
        </w:numPr>
        <w:suppressAutoHyphens/>
        <w:ind w:left="1080"/>
        <w:rPr>
          <w:rFonts w:ascii="Arial" w:hAnsi="Arial" w:cs="Arial"/>
          <w:sz w:val="22"/>
          <w:szCs w:val="22"/>
        </w:rPr>
      </w:pPr>
      <w:r w:rsidRPr="002E4ECE">
        <w:rPr>
          <w:rFonts w:ascii="Arial" w:hAnsi="Arial" w:cs="Arial"/>
          <w:sz w:val="22"/>
          <w:szCs w:val="22"/>
          <w:u w:val="single"/>
        </w:rPr>
        <w:t>Line of Business/Sub-function:</w:t>
      </w:r>
      <w:r w:rsidRPr="002E4ECE">
        <w:rPr>
          <w:rFonts w:ascii="Arial" w:hAnsi="Arial" w:cs="Arial"/>
          <w:sz w:val="22"/>
          <w:szCs w:val="22"/>
        </w:rPr>
        <w:t xml:space="preserve">  </w:t>
      </w:r>
      <w:r w:rsidRPr="002E4ECE" w:rsidR="00CE655A">
        <w:rPr>
          <w:rFonts w:ascii="Arial" w:hAnsi="Arial" w:cs="Arial"/>
          <w:sz w:val="22"/>
          <w:szCs w:val="22"/>
        </w:rPr>
        <w:t>General Government/Taxation Management</w:t>
      </w:r>
      <w:r w:rsidRPr="002E4ECE" w:rsidR="00987432">
        <w:rPr>
          <w:rFonts w:ascii="Arial" w:hAnsi="Arial" w:cs="Arial"/>
          <w:sz w:val="22"/>
          <w:szCs w:val="22"/>
        </w:rPr>
        <w:t>.</w:t>
      </w:r>
      <w:r w:rsidRPr="002E4ECE">
        <w:rPr>
          <w:rFonts w:ascii="Arial" w:hAnsi="Arial" w:cs="Arial"/>
          <w:sz w:val="22"/>
          <w:szCs w:val="22"/>
        </w:rPr>
        <w:t xml:space="preserve"> </w:t>
      </w:r>
    </w:p>
    <w:p w:rsidRPr="002E4ECE" w:rsidR="003309F7" w:rsidP="003309F7" w:rsidRDefault="003309F7" w14:paraId="4F850169" w14:textId="77777777">
      <w:pPr>
        <w:suppressAutoHyphens/>
        <w:ind w:left="1080"/>
        <w:rPr>
          <w:rFonts w:ascii="Arial" w:hAnsi="Arial" w:cs="Arial"/>
          <w:sz w:val="22"/>
          <w:szCs w:val="22"/>
        </w:rPr>
      </w:pPr>
    </w:p>
    <w:p w:rsidRPr="002E4ECE" w:rsidR="005E4F99" w:rsidP="003309F7" w:rsidRDefault="00ED4A03" w14:paraId="3C93F47C" w14:textId="77777777">
      <w:pPr>
        <w:numPr>
          <w:ilvl w:val="0"/>
          <w:numId w:val="1"/>
        </w:numPr>
        <w:suppressAutoHyphens/>
        <w:ind w:left="1080"/>
        <w:rPr>
          <w:rFonts w:ascii="Arial" w:hAnsi="Arial" w:cs="Arial"/>
          <w:sz w:val="22"/>
          <w:szCs w:val="22"/>
        </w:rPr>
      </w:pPr>
      <w:r w:rsidRPr="002E4ECE">
        <w:rPr>
          <w:rFonts w:ascii="Arial" w:hAnsi="Arial" w:cs="Arial"/>
          <w:sz w:val="22"/>
          <w:szCs w:val="22"/>
          <w:u w:val="single"/>
        </w:rPr>
        <w:t>IT Investment:</w:t>
      </w:r>
      <w:r w:rsidRPr="002E4ECE">
        <w:rPr>
          <w:rFonts w:ascii="Arial" w:hAnsi="Arial" w:cs="Arial"/>
          <w:sz w:val="22"/>
          <w:szCs w:val="22"/>
        </w:rPr>
        <w:t xml:space="preserve">  </w:t>
      </w:r>
      <w:r w:rsidRPr="002E4ECE" w:rsidR="00CE655A">
        <w:rPr>
          <w:rFonts w:ascii="Arial" w:hAnsi="Arial" w:cs="Arial"/>
          <w:sz w:val="22"/>
          <w:szCs w:val="22"/>
        </w:rPr>
        <w:t>Tax Major Application Systems</w:t>
      </w:r>
      <w:r w:rsidRPr="002E4ECE" w:rsidR="00987432">
        <w:rPr>
          <w:rFonts w:ascii="Arial" w:hAnsi="Arial" w:cs="Arial"/>
          <w:sz w:val="22"/>
          <w:szCs w:val="22"/>
        </w:rPr>
        <w:t xml:space="preserve">. </w:t>
      </w:r>
    </w:p>
    <w:p w:rsidRPr="002E4ECE" w:rsidR="005E4F99" w:rsidP="003309F7" w:rsidRDefault="005E4F99" w14:paraId="1316FCA3" w14:textId="77777777">
      <w:pPr>
        <w:suppressAutoHyphens/>
        <w:rPr>
          <w:rFonts w:ascii="Arial" w:hAnsi="Arial" w:cs="Arial"/>
          <w:sz w:val="28"/>
          <w:szCs w:val="28"/>
        </w:rPr>
      </w:pPr>
    </w:p>
    <w:p w:rsidRPr="002E4ECE" w:rsidR="00AF1157" w:rsidP="00D73D2D" w:rsidRDefault="00AF1157" w14:paraId="73E6A68B" w14:textId="77777777">
      <w:pPr>
        <w:suppressAutoHyphens/>
        <w:rPr>
          <w:rFonts w:ascii="Arial" w:hAnsi="Arial" w:cs="Arial"/>
          <w:i/>
          <w:sz w:val="22"/>
          <w:szCs w:val="22"/>
        </w:rPr>
      </w:pPr>
      <w:r w:rsidRPr="002E4ECE">
        <w:rPr>
          <w:rFonts w:ascii="Arial" w:hAnsi="Arial" w:cs="Arial"/>
          <w:i/>
          <w:sz w:val="22"/>
          <w:szCs w:val="22"/>
        </w:rPr>
        <w:t>2.  How, by whom</w:t>
      </w:r>
      <w:r w:rsidRPr="002E4ECE" w:rsidR="00101DE7">
        <w:rPr>
          <w:rFonts w:ascii="Arial" w:hAnsi="Arial" w:cs="Arial"/>
          <w:i/>
          <w:sz w:val="22"/>
          <w:szCs w:val="22"/>
        </w:rPr>
        <w:t>,</w:t>
      </w:r>
      <w:r w:rsidRPr="002E4ECE">
        <w:rPr>
          <w:rFonts w:ascii="Arial" w:hAnsi="Arial" w:cs="Arial"/>
          <w:i/>
          <w:sz w:val="22"/>
          <w:szCs w:val="22"/>
        </w:rPr>
        <w:t xml:space="preserve"> and for what purpose is this information used?</w:t>
      </w:r>
      <w:r w:rsidRPr="002E4ECE" w:rsidR="00D73D2D">
        <w:rPr>
          <w:rFonts w:ascii="Arial" w:hAnsi="Arial" w:cs="Arial"/>
          <w:i/>
          <w:sz w:val="22"/>
          <w:szCs w:val="22"/>
        </w:rPr>
        <w:t xml:space="preserve"> </w:t>
      </w:r>
    </w:p>
    <w:p w:rsidRPr="002E4ECE" w:rsidR="00AF1157" w:rsidP="00BC2343" w:rsidRDefault="00AF1157" w14:paraId="72901E93" w14:textId="77777777">
      <w:pPr>
        <w:suppressAutoHyphens/>
        <w:ind w:left="360"/>
        <w:rPr>
          <w:rFonts w:ascii="Arial" w:hAnsi="Arial" w:cs="Arial"/>
          <w:sz w:val="22"/>
          <w:szCs w:val="22"/>
        </w:rPr>
      </w:pPr>
    </w:p>
    <w:p w:rsidRPr="002E4ECE" w:rsidR="00BC2343" w:rsidP="00BC2343" w:rsidRDefault="00925BE1" w14:paraId="1DF1E5D1" w14:textId="2BC0188F">
      <w:pPr>
        <w:suppressAutoHyphens/>
        <w:ind w:left="360"/>
        <w:rPr>
          <w:rFonts w:ascii="Arial" w:hAnsi="Arial" w:cs="Arial"/>
          <w:sz w:val="22"/>
          <w:szCs w:val="22"/>
        </w:rPr>
      </w:pPr>
      <w:r w:rsidRPr="002E4ECE">
        <w:rPr>
          <w:rFonts w:ascii="Arial" w:hAnsi="Arial" w:cs="Arial"/>
          <w:sz w:val="22"/>
          <w:szCs w:val="22"/>
        </w:rPr>
        <w:t>To protect the revenue, TTB uses t</w:t>
      </w:r>
      <w:r w:rsidRPr="002E4ECE" w:rsidR="00BC2343">
        <w:rPr>
          <w:rFonts w:ascii="Arial" w:hAnsi="Arial" w:cs="Arial"/>
          <w:sz w:val="22"/>
          <w:szCs w:val="22"/>
        </w:rPr>
        <w:t xml:space="preserve">he </w:t>
      </w:r>
      <w:r w:rsidRPr="002E4ECE">
        <w:rPr>
          <w:rFonts w:ascii="Arial" w:hAnsi="Arial" w:cs="Arial"/>
          <w:sz w:val="22"/>
          <w:szCs w:val="22"/>
        </w:rPr>
        <w:t xml:space="preserve">information </w:t>
      </w:r>
      <w:r w:rsidRPr="002E4ECE" w:rsidR="00BC2343">
        <w:rPr>
          <w:rFonts w:ascii="Arial" w:hAnsi="Arial" w:cs="Arial"/>
          <w:sz w:val="22"/>
          <w:szCs w:val="22"/>
        </w:rPr>
        <w:t xml:space="preserve">regarding DSP denaturing operations required under this collection </w:t>
      </w:r>
      <w:r w:rsidRPr="002E4ECE">
        <w:rPr>
          <w:rFonts w:ascii="Arial" w:hAnsi="Arial" w:cs="Arial"/>
          <w:sz w:val="22"/>
          <w:szCs w:val="22"/>
        </w:rPr>
        <w:t>to ensure that the tax provisions of the IRC regarding distilled spirits are appropriately applied and to</w:t>
      </w:r>
      <w:r w:rsidRPr="002E4ECE" w:rsidR="005801CF">
        <w:rPr>
          <w:rFonts w:ascii="Arial" w:hAnsi="Arial" w:cs="Arial"/>
          <w:sz w:val="22"/>
          <w:szCs w:val="22"/>
        </w:rPr>
        <w:t xml:space="preserve"> detect </w:t>
      </w:r>
      <w:r w:rsidRPr="002E4ECE">
        <w:rPr>
          <w:rFonts w:ascii="Arial" w:hAnsi="Arial" w:cs="Arial"/>
          <w:sz w:val="22"/>
          <w:szCs w:val="22"/>
        </w:rPr>
        <w:t xml:space="preserve">diversion of untaxed spirits to taxable uses.  In addition, TTB personnel use the collected information to </w:t>
      </w:r>
      <w:r w:rsidRPr="002E4ECE" w:rsidR="00BC2343">
        <w:rPr>
          <w:rFonts w:ascii="Arial" w:hAnsi="Arial" w:cs="Arial"/>
          <w:sz w:val="22"/>
          <w:szCs w:val="22"/>
        </w:rPr>
        <w:t xml:space="preserve">analyze industry trends, effectively allocate TTB field resources, and compile </w:t>
      </w:r>
      <w:r w:rsidRPr="002E4ECE" w:rsidR="00446986">
        <w:rPr>
          <w:rFonts w:ascii="Arial" w:hAnsi="Arial" w:cs="Arial"/>
          <w:sz w:val="22"/>
          <w:szCs w:val="22"/>
        </w:rPr>
        <w:t xml:space="preserve">generalized </w:t>
      </w:r>
      <w:r w:rsidRPr="002E4ECE" w:rsidR="00BC2343">
        <w:rPr>
          <w:rFonts w:ascii="Arial" w:hAnsi="Arial" w:cs="Arial"/>
          <w:sz w:val="22"/>
          <w:szCs w:val="22"/>
        </w:rPr>
        <w:t xml:space="preserve">industry statistics. </w:t>
      </w:r>
    </w:p>
    <w:p w:rsidRPr="002E4ECE" w:rsidR="00AF1157" w:rsidP="00D73D2D" w:rsidRDefault="00AF1157" w14:paraId="38454A79" w14:textId="77777777">
      <w:pPr>
        <w:ind w:left="576" w:hanging="576"/>
        <w:rPr>
          <w:rFonts w:ascii="Arial" w:hAnsi="Arial" w:cs="Arial"/>
          <w:sz w:val="28"/>
          <w:szCs w:val="28"/>
        </w:rPr>
      </w:pPr>
    </w:p>
    <w:p w:rsidRPr="002E4ECE" w:rsidR="00AF1157" w:rsidP="00D73D2D" w:rsidRDefault="00CA7E3C" w14:paraId="5546C91D" w14:textId="32CA69A6">
      <w:pPr>
        <w:suppressAutoHyphens/>
        <w:rPr>
          <w:rFonts w:ascii="Arial" w:hAnsi="Arial" w:cs="Arial"/>
          <w:i/>
          <w:sz w:val="22"/>
          <w:szCs w:val="22"/>
        </w:rPr>
      </w:pPr>
      <w:r w:rsidRPr="002E4ECE">
        <w:rPr>
          <w:rFonts w:ascii="Arial" w:hAnsi="Arial" w:cs="Arial"/>
          <w:i/>
          <w:sz w:val="22"/>
          <w:szCs w:val="22"/>
        </w:rPr>
        <w:t xml:space="preserve">3.  </w:t>
      </w:r>
      <w:r w:rsidRPr="002E4ECE" w:rsidR="00AF1157">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2E4ECE">
        <w:rPr>
          <w:rFonts w:ascii="Arial" w:hAnsi="Arial" w:cs="Arial"/>
          <w:i/>
          <w:sz w:val="22"/>
          <w:szCs w:val="22"/>
        </w:rPr>
        <w:t xml:space="preserve"> </w:t>
      </w:r>
    </w:p>
    <w:p w:rsidRPr="002E4ECE" w:rsidR="00AF1157" w:rsidP="00D73D2D" w:rsidRDefault="00AF1157" w14:paraId="179E507A" w14:textId="77777777">
      <w:pPr>
        <w:suppressAutoHyphens/>
        <w:rPr>
          <w:rFonts w:ascii="Arial" w:hAnsi="Arial" w:cs="Arial"/>
          <w:sz w:val="22"/>
          <w:szCs w:val="22"/>
        </w:rPr>
      </w:pPr>
    </w:p>
    <w:p w:rsidRPr="002E4ECE" w:rsidR="004D41B1" w:rsidP="004D41B1" w:rsidRDefault="008332AE" w14:paraId="5C844467" w14:textId="53DA0ADF">
      <w:pPr>
        <w:tabs>
          <w:tab w:val="left" w:pos="8496"/>
        </w:tabs>
        <w:suppressAutoHyphens/>
        <w:spacing w:line="240" w:lineRule="atLeast"/>
        <w:ind w:left="360"/>
        <w:rPr>
          <w:rFonts w:ascii="Arial" w:hAnsi="Arial" w:cs="Arial"/>
          <w:sz w:val="22"/>
          <w:szCs w:val="22"/>
        </w:rPr>
      </w:pPr>
      <w:r>
        <w:rPr>
          <w:rFonts w:ascii="Arial" w:hAnsi="Arial" w:cs="Arial"/>
          <w:sz w:val="22"/>
          <w:szCs w:val="22"/>
        </w:rPr>
        <w:t>Respondents may submit form TTB F 5110.43 to TTB electronically via the Pay.gov website (</w:t>
      </w:r>
      <w:r w:rsidRPr="008332AE">
        <w:rPr>
          <w:rFonts w:ascii="Arial" w:hAnsi="Arial" w:cs="Arial"/>
          <w:i/>
          <w:sz w:val="22"/>
          <w:szCs w:val="22"/>
        </w:rPr>
        <w:t>www.pay.gov</w:t>
      </w:r>
      <w:r>
        <w:rPr>
          <w:rFonts w:ascii="Arial" w:hAnsi="Arial" w:cs="Arial"/>
          <w:sz w:val="22"/>
          <w:szCs w:val="22"/>
        </w:rPr>
        <w:t>).  In addition, t</w:t>
      </w:r>
      <w:r w:rsidRPr="002E4ECE" w:rsidR="00446986">
        <w:rPr>
          <w:rFonts w:ascii="Arial" w:hAnsi="Arial" w:cs="Arial"/>
          <w:sz w:val="22"/>
          <w:szCs w:val="22"/>
        </w:rPr>
        <w:t xml:space="preserve">he TTB regulations at 27 CFR 19.572 and 19.573 provide that </w:t>
      </w:r>
      <w:r>
        <w:rPr>
          <w:rFonts w:ascii="Arial" w:hAnsi="Arial" w:cs="Arial"/>
          <w:sz w:val="22"/>
          <w:szCs w:val="22"/>
        </w:rPr>
        <w:t xml:space="preserve">DSP </w:t>
      </w:r>
      <w:r w:rsidRPr="002E4ECE" w:rsidR="00446986">
        <w:rPr>
          <w:rFonts w:ascii="Arial" w:hAnsi="Arial" w:cs="Arial"/>
          <w:sz w:val="22"/>
          <w:szCs w:val="22"/>
        </w:rPr>
        <w:t xml:space="preserve">proprietors may keep information required under part 19 electronically and may </w:t>
      </w:r>
      <w:r>
        <w:rPr>
          <w:rFonts w:ascii="Arial" w:hAnsi="Arial" w:cs="Arial"/>
          <w:sz w:val="22"/>
          <w:szCs w:val="22"/>
        </w:rPr>
        <w:t>maintain that information at the</w:t>
      </w:r>
      <w:r w:rsidRPr="002E4ECE" w:rsidR="00446986">
        <w:rPr>
          <w:rFonts w:ascii="Arial" w:hAnsi="Arial" w:cs="Arial"/>
          <w:sz w:val="22"/>
          <w:szCs w:val="22"/>
        </w:rPr>
        <w:t xml:space="preserve"> DSP or at a central recordkeeping location.  Section </w:t>
      </w:r>
      <w:r w:rsidRPr="002E4ECE" w:rsidR="004D41B1">
        <w:rPr>
          <w:rFonts w:ascii="Arial" w:hAnsi="Arial" w:cs="Arial"/>
          <w:sz w:val="22"/>
          <w:szCs w:val="22"/>
        </w:rPr>
        <w:t>19.634 allow</w:t>
      </w:r>
      <w:r w:rsidRPr="002E4ECE" w:rsidR="00446986">
        <w:rPr>
          <w:rFonts w:ascii="Arial" w:hAnsi="Arial" w:cs="Arial"/>
          <w:sz w:val="22"/>
          <w:szCs w:val="22"/>
        </w:rPr>
        <w:t>s</w:t>
      </w:r>
      <w:r w:rsidRPr="002E4ECE" w:rsidR="004D41B1">
        <w:rPr>
          <w:rFonts w:ascii="Arial" w:hAnsi="Arial" w:cs="Arial"/>
          <w:sz w:val="22"/>
          <w:szCs w:val="22"/>
        </w:rPr>
        <w:t xml:space="preserve"> proprietors to provide TTB with computer-generate</w:t>
      </w:r>
      <w:r w:rsidRPr="002E4ECE" w:rsidR="004566C3">
        <w:rPr>
          <w:rFonts w:ascii="Arial" w:hAnsi="Arial" w:cs="Arial"/>
          <w:sz w:val="22"/>
          <w:szCs w:val="22"/>
        </w:rPr>
        <w:t>d</w:t>
      </w:r>
      <w:r w:rsidRPr="002E4ECE" w:rsidR="004D41B1">
        <w:rPr>
          <w:rFonts w:ascii="Arial" w:hAnsi="Arial" w:cs="Arial"/>
          <w:sz w:val="22"/>
          <w:szCs w:val="22"/>
        </w:rPr>
        <w:t xml:space="preserve"> reports of operations, </w:t>
      </w:r>
      <w:r w:rsidRPr="002E4ECE" w:rsidR="00446986">
        <w:rPr>
          <w:rFonts w:ascii="Arial" w:hAnsi="Arial" w:cs="Arial"/>
          <w:sz w:val="22"/>
          <w:szCs w:val="22"/>
        </w:rPr>
        <w:t xml:space="preserve">including </w:t>
      </w:r>
      <w:r>
        <w:rPr>
          <w:rFonts w:ascii="Arial" w:hAnsi="Arial" w:cs="Arial"/>
          <w:sz w:val="22"/>
          <w:szCs w:val="22"/>
        </w:rPr>
        <w:t xml:space="preserve">the </w:t>
      </w:r>
      <w:r w:rsidRPr="008332AE">
        <w:rPr>
          <w:rFonts w:ascii="Arial" w:hAnsi="Arial" w:cs="Arial"/>
          <w:sz w:val="22"/>
          <w:szCs w:val="22"/>
        </w:rPr>
        <w:t>Monthly Report of Processing (Denaturing) Operations</w:t>
      </w:r>
      <w:r w:rsidRPr="002E4ECE" w:rsidR="004D41B1">
        <w:rPr>
          <w:rFonts w:ascii="Arial" w:hAnsi="Arial" w:cs="Arial"/>
          <w:sz w:val="22"/>
          <w:szCs w:val="22"/>
        </w:rPr>
        <w:t xml:space="preserve">, without TTB’s preapproval if the resulting document approximates the physical layout, matches each line, and contains the penalty of perjury statement of the corresponding TTB report or form. </w:t>
      </w:r>
    </w:p>
    <w:p w:rsidRPr="002E4ECE" w:rsidR="00AF1157" w:rsidP="00D73D2D" w:rsidRDefault="00AF1157" w14:paraId="5C4BE45D" w14:textId="77777777">
      <w:pPr>
        <w:suppressAutoHyphens/>
        <w:rPr>
          <w:rFonts w:ascii="Arial" w:hAnsi="Arial" w:cs="Arial"/>
          <w:sz w:val="28"/>
          <w:szCs w:val="28"/>
        </w:rPr>
      </w:pPr>
    </w:p>
    <w:p w:rsidRPr="002E4ECE" w:rsidR="00AF1157" w:rsidP="004D41B1" w:rsidRDefault="00CA7E3C" w14:paraId="6684A185" w14:textId="77777777">
      <w:pPr>
        <w:rPr>
          <w:rFonts w:ascii="Arial" w:hAnsi="Arial" w:cs="Arial"/>
          <w:i/>
          <w:sz w:val="22"/>
          <w:szCs w:val="22"/>
        </w:rPr>
      </w:pPr>
      <w:r w:rsidRPr="002E4ECE">
        <w:rPr>
          <w:rFonts w:ascii="Arial" w:hAnsi="Arial" w:cs="Arial"/>
          <w:i/>
          <w:sz w:val="22"/>
          <w:szCs w:val="22"/>
        </w:rPr>
        <w:t xml:space="preserve">4.  </w:t>
      </w:r>
      <w:r w:rsidRPr="002E4ECE" w:rsidR="00AF1157">
        <w:rPr>
          <w:rFonts w:ascii="Arial" w:hAnsi="Arial" w:cs="Arial"/>
          <w:i/>
          <w:sz w:val="22"/>
          <w:szCs w:val="22"/>
        </w:rPr>
        <w:t>What efforts are used to identi</w:t>
      </w:r>
      <w:r w:rsidRPr="002E4ECE" w:rsidR="009E4E4C">
        <w:rPr>
          <w:rFonts w:ascii="Arial" w:hAnsi="Arial" w:cs="Arial"/>
          <w:i/>
          <w:sz w:val="22"/>
          <w:szCs w:val="22"/>
        </w:rPr>
        <w:t>f</w:t>
      </w:r>
      <w:r w:rsidRPr="002E4ECE" w:rsidR="00AF1157">
        <w:rPr>
          <w:rFonts w:ascii="Arial" w:hAnsi="Arial" w:cs="Arial"/>
          <w:i/>
          <w:sz w:val="22"/>
          <w:szCs w:val="22"/>
        </w:rPr>
        <w:t xml:space="preserve">y duplication?  </w:t>
      </w:r>
      <w:r w:rsidRPr="002E4ECE" w:rsidR="007A5D4B">
        <w:rPr>
          <w:rFonts w:ascii="Arial" w:hAnsi="Arial" w:cs="Arial"/>
          <w:i/>
          <w:sz w:val="22"/>
          <w:szCs w:val="22"/>
        </w:rPr>
        <w:t xml:space="preserve">Can </w:t>
      </w:r>
      <w:r w:rsidRPr="002E4ECE" w:rsidR="00AF1157">
        <w:rPr>
          <w:rFonts w:ascii="Arial" w:hAnsi="Arial" w:cs="Arial"/>
          <w:i/>
          <w:sz w:val="22"/>
          <w:szCs w:val="22"/>
        </w:rPr>
        <w:t>similar information</w:t>
      </w:r>
      <w:r w:rsidRPr="002E4ECE" w:rsidR="00DF5F98">
        <w:rPr>
          <w:rFonts w:ascii="Arial" w:hAnsi="Arial" w:cs="Arial"/>
          <w:i/>
          <w:sz w:val="22"/>
          <w:szCs w:val="22"/>
        </w:rPr>
        <w:t xml:space="preserve"> </w:t>
      </w:r>
      <w:r w:rsidRPr="002E4ECE" w:rsidR="00AF1157">
        <w:rPr>
          <w:rFonts w:ascii="Arial" w:hAnsi="Arial" w:cs="Arial"/>
          <w:i/>
          <w:sz w:val="22"/>
          <w:szCs w:val="22"/>
        </w:rPr>
        <w:t>already available be used or modified for use for</w:t>
      </w:r>
      <w:r w:rsidRPr="002E4ECE" w:rsidR="00DF5F98">
        <w:rPr>
          <w:rFonts w:ascii="Arial" w:hAnsi="Arial" w:cs="Arial"/>
          <w:i/>
          <w:sz w:val="22"/>
          <w:szCs w:val="22"/>
        </w:rPr>
        <w:t xml:space="preserve"> the purposes described in Item </w:t>
      </w:r>
      <w:r w:rsidRPr="002E4ECE" w:rsidR="00AF1157">
        <w:rPr>
          <w:rFonts w:ascii="Arial" w:hAnsi="Arial" w:cs="Arial"/>
          <w:i/>
          <w:sz w:val="22"/>
          <w:szCs w:val="22"/>
        </w:rPr>
        <w:t>2</w:t>
      </w:r>
      <w:r w:rsidRPr="002E4ECE" w:rsidR="00DF5F98">
        <w:rPr>
          <w:rFonts w:ascii="Arial" w:hAnsi="Arial" w:cs="Arial"/>
          <w:i/>
          <w:sz w:val="22"/>
          <w:szCs w:val="22"/>
        </w:rPr>
        <w:t xml:space="preserve"> </w:t>
      </w:r>
      <w:r w:rsidRPr="002E4ECE" w:rsidR="00AF1157">
        <w:rPr>
          <w:rFonts w:ascii="Arial" w:hAnsi="Arial" w:cs="Arial"/>
          <w:i/>
          <w:sz w:val="22"/>
          <w:szCs w:val="22"/>
        </w:rPr>
        <w:t>above?</w:t>
      </w:r>
      <w:r w:rsidRPr="002E4ECE" w:rsidR="00DF5F98">
        <w:rPr>
          <w:rFonts w:ascii="Arial" w:hAnsi="Arial" w:cs="Arial"/>
          <w:i/>
          <w:sz w:val="22"/>
          <w:szCs w:val="22"/>
        </w:rPr>
        <w:t xml:space="preserve"> </w:t>
      </w:r>
    </w:p>
    <w:p w:rsidRPr="002E4ECE" w:rsidR="00AF1157" w:rsidP="004D41B1" w:rsidRDefault="00AF1157" w14:paraId="09354E13" w14:textId="77777777">
      <w:pPr>
        <w:rPr>
          <w:rFonts w:ascii="Arial" w:hAnsi="Arial" w:cs="Arial"/>
          <w:sz w:val="22"/>
          <w:szCs w:val="22"/>
        </w:rPr>
      </w:pPr>
    </w:p>
    <w:p w:rsidRPr="002E4ECE" w:rsidR="00D50640" w:rsidP="00D50640" w:rsidRDefault="00CE655A" w14:paraId="5D00F1D0" w14:textId="3CE7DE64">
      <w:pPr>
        <w:ind w:left="360"/>
        <w:rPr>
          <w:rFonts w:ascii="Arial" w:hAnsi="Arial" w:cs="Arial"/>
          <w:sz w:val="22"/>
          <w:szCs w:val="22"/>
        </w:rPr>
      </w:pPr>
      <w:r w:rsidRPr="002E4ECE">
        <w:rPr>
          <w:rFonts w:ascii="Arial" w:hAnsi="Arial" w:cs="Arial"/>
          <w:sz w:val="22"/>
          <w:szCs w:val="22"/>
        </w:rPr>
        <w:t>This information collection</w:t>
      </w:r>
      <w:r w:rsidRPr="002E4ECE" w:rsidR="00D414AB">
        <w:rPr>
          <w:rFonts w:ascii="Arial" w:hAnsi="Arial" w:cs="Arial"/>
          <w:sz w:val="22"/>
          <w:szCs w:val="22"/>
        </w:rPr>
        <w:t xml:space="preserve"> </w:t>
      </w:r>
      <w:r w:rsidRPr="002E4ECE" w:rsidR="00D50640">
        <w:rPr>
          <w:rFonts w:ascii="Arial" w:hAnsi="Arial" w:cs="Arial"/>
          <w:sz w:val="22"/>
          <w:szCs w:val="22"/>
        </w:rPr>
        <w:t>contain</w:t>
      </w:r>
      <w:r w:rsidRPr="002E4ECE" w:rsidR="00030CEB">
        <w:rPr>
          <w:rFonts w:ascii="Arial" w:hAnsi="Arial" w:cs="Arial"/>
          <w:sz w:val="22"/>
          <w:szCs w:val="22"/>
        </w:rPr>
        <w:t>s</w:t>
      </w:r>
      <w:r w:rsidRPr="002E4ECE" w:rsidR="00D50640">
        <w:rPr>
          <w:rFonts w:ascii="Arial" w:hAnsi="Arial" w:cs="Arial"/>
          <w:sz w:val="22"/>
          <w:szCs w:val="22"/>
        </w:rPr>
        <w:t xml:space="preserve"> information pertinent to each respondent and applicable to the specific issue of </w:t>
      </w:r>
      <w:r w:rsidRPr="002E4ECE" w:rsidR="00F87D99">
        <w:rPr>
          <w:rFonts w:ascii="Arial" w:hAnsi="Arial" w:cs="Arial"/>
          <w:sz w:val="22"/>
          <w:szCs w:val="22"/>
        </w:rPr>
        <w:t xml:space="preserve">their distilled spirits </w:t>
      </w:r>
      <w:r w:rsidRPr="002E4ECE" w:rsidR="00340D0A">
        <w:rPr>
          <w:rFonts w:ascii="Arial" w:hAnsi="Arial" w:cs="Arial"/>
          <w:sz w:val="22"/>
          <w:szCs w:val="22"/>
        </w:rPr>
        <w:t>denaturing</w:t>
      </w:r>
      <w:r w:rsidRPr="002E4ECE" w:rsidR="004156B0">
        <w:rPr>
          <w:rFonts w:ascii="Arial" w:hAnsi="Arial" w:cs="Arial"/>
          <w:sz w:val="22"/>
          <w:szCs w:val="22"/>
        </w:rPr>
        <w:t xml:space="preserve"> operations</w:t>
      </w:r>
      <w:r w:rsidRPr="002E4ECE" w:rsidR="00F10C50">
        <w:rPr>
          <w:rFonts w:ascii="Arial" w:hAnsi="Arial" w:cs="Arial"/>
          <w:sz w:val="22"/>
          <w:szCs w:val="22"/>
        </w:rPr>
        <w:t>.</w:t>
      </w:r>
      <w:r w:rsidRPr="002E4ECE" w:rsidR="00D50640">
        <w:rPr>
          <w:rFonts w:ascii="Arial" w:hAnsi="Arial" w:cs="Arial"/>
          <w:sz w:val="22"/>
          <w:szCs w:val="22"/>
        </w:rPr>
        <w:t xml:space="preserve">  As far as TTB is able to determine, similar information is not available elsewhere. </w:t>
      </w:r>
    </w:p>
    <w:p w:rsidRPr="002E4ECE" w:rsidR="007A5D4B" w:rsidP="007A5D4B" w:rsidRDefault="007A5D4B" w14:paraId="08499A46" w14:textId="77777777">
      <w:pPr>
        <w:suppressAutoHyphens/>
        <w:rPr>
          <w:rFonts w:ascii="Arial" w:hAnsi="Arial" w:cs="Arial"/>
          <w:sz w:val="28"/>
          <w:szCs w:val="28"/>
        </w:rPr>
      </w:pPr>
    </w:p>
    <w:p w:rsidRPr="002E4ECE" w:rsidR="00AF1157" w:rsidP="00D73D2D" w:rsidRDefault="007A5D4B" w14:paraId="0AB01D84" w14:textId="77777777">
      <w:pPr>
        <w:suppressAutoHyphens/>
        <w:rPr>
          <w:rFonts w:ascii="Arial" w:hAnsi="Arial" w:cs="Arial"/>
          <w:i/>
          <w:sz w:val="22"/>
          <w:szCs w:val="22"/>
        </w:rPr>
      </w:pPr>
      <w:r w:rsidRPr="002E4ECE">
        <w:rPr>
          <w:rFonts w:ascii="Arial" w:hAnsi="Arial" w:cs="Arial"/>
          <w:i/>
          <w:sz w:val="22"/>
          <w:szCs w:val="22"/>
        </w:rPr>
        <w:t xml:space="preserve">5.  </w:t>
      </w:r>
      <w:r w:rsidRPr="002E4ECE" w:rsidR="00AF1157">
        <w:rPr>
          <w:rFonts w:ascii="Arial" w:hAnsi="Arial" w:cs="Arial"/>
          <w:i/>
          <w:sz w:val="22"/>
          <w:szCs w:val="22"/>
        </w:rPr>
        <w:t>If this collection of information impacts small businesses or other small entities,</w:t>
      </w:r>
      <w:r w:rsidRPr="002E4ECE" w:rsidR="00DF5F98">
        <w:rPr>
          <w:rFonts w:ascii="Arial" w:hAnsi="Arial" w:cs="Arial"/>
          <w:i/>
          <w:sz w:val="22"/>
          <w:szCs w:val="22"/>
        </w:rPr>
        <w:t xml:space="preserve"> </w:t>
      </w:r>
      <w:r w:rsidRPr="002E4ECE" w:rsidR="00AF1157">
        <w:rPr>
          <w:rFonts w:ascii="Arial" w:hAnsi="Arial" w:cs="Arial"/>
          <w:i/>
          <w:sz w:val="22"/>
          <w:szCs w:val="22"/>
        </w:rPr>
        <w:t>what methods are used to minimize burden?</w:t>
      </w:r>
      <w:r w:rsidRPr="002E4ECE">
        <w:rPr>
          <w:rFonts w:ascii="Arial" w:hAnsi="Arial" w:cs="Arial"/>
          <w:i/>
          <w:sz w:val="22"/>
          <w:szCs w:val="22"/>
        </w:rPr>
        <w:t xml:space="preserve"> </w:t>
      </w:r>
    </w:p>
    <w:p w:rsidRPr="002E4ECE" w:rsidR="007A5D4B" w:rsidP="007A5D4B" w:rsidRDefault="007A5D4B" w14:paraId="2168F944" w14:textId="77777777">
      <w:pPr>
        <w:suppressAutoHyphens/>
        <w:ind w:left="480" w:hanging="480"/>
        <w:rPr>
          <w:rFonts w:ascii="Arial" w:hAnsi="Arial" w:cs="Arial"/>
          <w:sz w:val="22"/>
          <w:szCs w:val="22"/>
        </w:rPr>
      </w:pPr>
    </w:p>
    <w:p w:rsidRPr="002E4ECE" w:rsidR="004156B0" w:rsidP="004156B0" w:rsidRDefault="00AE5E70" w14:paraId="532F74E7" w14:textId="30C88334">
      <w:pPr>
        <w:autoSpaceDE w:val="0"/>
        <w:autoSpaceDN w:val="0"/>
        <w:adjustRightInd w:val="0"/>
        <w:ind w:left="360"/>
        <w:rPr>
          <w:rFonts w:ascii="Arial" w:hAnsi="Arial" w:cs="Arial"/>
          <w:sz w:val="22"/>
          <w:szCs w:val="22"/>
        </w:rPr>
      </w:pPr>
      <w:r w:rsidRPr="002E4ECE">
        <w:rPr>
          <w:rFonts w:ascii="Arial" w:hAnsi="Arial" w:cs="Arial"/>
          <w:sz w:val="22"/>
          <w:szCs w:val="22"/>
        </w:rPr>
        <w:t>T</w:t>
      </w:r>
      <w:r w:rsidRPr="002E4ECE" w:rsidR="004156B0">
        <w:rPr>
          <w:rFonts w:ascii="Arial" w:hAnsi="Arial" w:cs="Arial"/>
          <w:sz w:val="22"/>
          <w:szCs w:val="22"/>
        </w:rPr>
        <w:t xml:space="preserve">he </w:t>
      </w:r>
      <w:r w:rsidRPr="002E4ECE" w:rsidR="00446986">
        <w:rPr>
          <w:rFonts w:ascii="Arial" w:hAnsi="Arial" w:cs="Arial"/>
          <w:sz w:val="22"/>
          <w:szCs w:val="22"/>
        </w:rPr>
        <w:t xml:space="preserve">required </w:t>
      </w:r>
      <w:r w:rsidRPr="002E4ECE" w:rsidR="004156B0">
        <w:rPr>
          <w:rFonts w:ascii="Arial" w:hAnsi="Arial" w:cs="Arial"/>
          <w:sz w:val="22"/>
          <w:szCs w:val="22"/>
        </w:rPr>
        <w:t xml:space="preserve">information </w:t>
      </w:r>
      <w:r w:rsidRPr="002E4ECE">
        <w:rPr>
          <w:rFonts w:ascii="Arial" w:hAnsi="Arial" w:cs="Arial"/>
          <w:sz w:val="22"/>
          <w:szCs w:val="22"/>
        </w:rPr>
        <w:t xml:space="preserve">is the minimum necessary to account for all denatured spirits produced, used, and disposed of by DSPs.  As such, </w:t>
      </w:r>
      <w:r w:rsidRPr="002E4ECE" w:rsidR="004156B0">
        <w:rPr>
          <w:rFonts w:ascii="Arial" w:hAnsi="Arial" w:cs="Arial"/>
          <w:sz w:val="22"/>
          <w:szCs w:val="22"/>
        </w:rPr>
        <w:t>TTB cannot reduce th</w:t>
      </w:r>
      <w:r w:rsidRPr="002E4ECE" w:rsidR="00446986">
        <w:rPr>
          <w:rFonts w:ascii="Arial" w:hAnsi="Arial" w:cs="Arial"/>
          <w:sz w:val="22"/>
          <w:szCs w:val="22"/>
        </w:rPr>
        <w:t xml:space="preserve">is collection’s </w:t>
      </w:r>
      <w:r w:rsidRPr="002E4ECE" w:rsidR="004156B0">
        <w:rPr>
          <w:rFonts w:ascii="Arial" w:hAnsi="Arial" w:cs="Arial"/>
          <w:sz w:val="22"/>
          <w:szCs w:val="22"/>
        </w:rPr>
        <w:t xml:space="preserve">requirements </w:t>
      </w:r>
      <w:r w:rsidRPr="002E4ECE" w:rsidR="00446986">
        <w:rPr>
          <w:rFonts w:ascii="Arial" w:hAnsi="Arial" w:cs="Arial"/>
          <w:sz w:val="22"/>
          <w:szCs w:val="22"/>
        </w:rPr>
        <w:t xml:space="preserve">based on </w:t>
      </w:r>
      <w:r w:rsidRPr="002E4ECE" w:rsidR="004156B0">
        <w:rPr>
          <w:rFonts w:ascii="Arial" w:hAnsi="Arial" w:cs="Arial"/>
          <w:sz w:val="22"/>
          <w:szCs w:val="22"/>
        </w:rPr>
        <w:t xml:space="preserve">the size of the </w:t>
      </w:r>
      <w:r w:rsidRPr="002E4ECE" w:rsidR="00446986">
        <w:rPr>
          <w:rFonts w:ascii="Arial" w:hAnsi="Arial" w:cs="Arial"/>
          <w:sz w:val="22"/>
          <w:szCs w:val="22"/>
        </w:rPr>
        <w:t xml:space="preserve">respondent </w:t>
      </w:r>
      <w:r w:rsidRPr="002E4ECE" w:rsidR="004156B0">
        <w:rPr>
          <w:rFonts w:ascii="Arial" w:hAnsi="Arial" w:cs="Arial"/>
          <w:sz w:val="22"/>
          <w:szCs w:val="22"/>
        </w:rPr>
        <w:t>entity</w:t>
      </w:r>
      <w:r w:rsidRPr="002E4ECE" w:rsidR="00DE6F98">
        <w:rPr>
          <w:rFonts w:ascii="Arial" w:hAnsi="Arial" w:cs="Arial"/>
          <w:sz w:val="22"/>
          <w:szCs w:val="22"/>
        </w:rPr>
        <w:t>.  H</w:t>
      </w:r>
      <w:r w:rsidRPr="002E4ECE" w:rsidR="004156B0">
        <w:rPr>
          <w:rFonts w:ascii="Arial" w:hAnsi="Arial" w:cs="Arial"/>
          <w:sz w:val="22"/>
          <w:szCs w:val="22"/>
        </w:rPr>
        <w:t>owever, small</w:t>
      </w:r>
      <w:r w:rsidRPr="002E4ECE">
        <w:rPr>
          <w:rFonts w:ascii="Arial" w:hAnsi="Arial" w:cs="Arial"/>
          <w:sz w:val="22"/>
          <w:szCs w:val="22"/>
        </w:rPr>
        <w:t>er</w:t>
      </w:r>
      <w:r w:rsidRPr="002E4ECE" w:rsidR="004156B0">
        <w:rPr>
          <w:rFonts w:ascii="Arial" w:hAnsi="Arial" w:cs="Arial"/>
          <w:sz w:val="22"/>
          <w:szCs w:val="22"/>
        </w:rPr>
        <w:t xml:space="preserve"> DSP</w:t>
      </w:r>
      <w:r w:rsidRPr="002E4ECE">
        <w:rPr>
          <w:rFonts w:ascii="Arial" w:hAnsi="Arial" w:cs="Arial"/>
          <w:sz w:val="22"/>
          <w:szCs w:val="22"/>
        </w:rPr>
        <w:t>s</w:t>
      </w:r>
      <w:r w:rsidRPr="002E4ECE" w:rsidR="004156B0">
        <w:rPr>
          <w:rFonts w:ascii="Arial" w:hAnsi="Arial" w:cs="Arial"/>
          <w:sz w:val="22"/>
          <w:szCs w:val="22"/>
        </w:rPr>
        <w:t xml:space="preserve"> </w:t>
      </w:r>
      <w:r w:rsidRPr="002E4ECE">
        <w:rPr>
          <w:rFonts w:ascii="Arial" w:hAnsi="Arial" w:cs="Arial"/>
          <w:sz w:val="22"/>
          <w:szCs w:val="22"/>
        </w:rPr>
        <w:t xml:space="preserve">will </w:t>
      </w:r>
      <w:r w:rsidRPr="002E4ECE" w:rsidR="004156B0">
        <w:rPr>
          <w:rFonts w:ascii="Arial" w:hAnsi="Arial" w:cs="Arial"/>
          <w:sz w:val="22"/>
          <w:szCs w:val="22"/>
        </w:rPr>
        <w:t>have fewer and smaller transactions, and</w:t>
      </w:r>
      <w:r w:rsidRPr="002E4ECE" w:rsidR="005801CF">
        <w:rPr>
          <w:rFonts w:ascii="Arial" w:hAnsi="Arial" w:cs="Arial"/>
          <w:sz w:val="22"/>
          <w:szCs w:val="22"/>
        </w:rPr>
        <w:t>, as such,</w:t>
      </w:r>
      <w:r w:rsidRPr="002E4ECE" w:rsidR="004156B0">
        <w:rPr>
          <w:rFonts w:ascii="Arial" w:hAnsi="Arial" w:cs="Arial"/>
          <w:sz w:val="22"/>
          <w:szCs w:val="22"/>
        </w:rPr>
        <w:t xml:space="preserve"> the</w:t>
      </w:r>
      <w:r w:rsidRPr="002E4ECE">
        <w:rPr>
          <w:rFonts w:ascii="Arial" w:hAnsi="Arial" w:cs="Arial"/>
          <w:sz w:val="22"/>
          <w:szCs w:val="22"/>
        </w:rPr>
        <w:t>ir</w:t>
      </w:r>
      <w:r w:rsidRPr="002E4ECE" w:rsidR="004156B0">
        <w:rPr>
          <w:rFonts w:ascii="Arial" w:hAnsi="Arial" w:cs="Arial"/>
          <w:sz w:val="22"/>
          <w:szCs w:val="22"/>
        </w:rPr>
        <w:t xml:space="preserve"> recordkeeping burden </w:t>
      </w:r>
      <w:r w:rsidRPr="002E4ECE">
        <w:rPr>
          <w:rFonts w:ascii="Arial" w:hAnsi="Arial" w:cs="Arial"/>
          <w:sz w:val="22"/>
          <w:szCs w:val="22"/>
        </w:rPr>
        <w:t xml:space="preserve">will be </w:t>
      </w:r>
      <w:r w:rsidRPr="002E4ECE" w:rsidR="004156B0">
        <w:rPr>
          <w:rFonts w:ascii="Arial" w:hAnsi="Arial" w:cs="Arial"/>
          <w:sz w:val="22"/>
          <w:szCs w:val="22"/>
        </w:rPr>
        <w:t xml:space="preserve">less. </w:t>
      </w:r>
      <w:r w:rsidRPr="002E4ECE" w:rsidR="004D41B1">
        <w:rPr>
          <w:rFonts w:ascii="Arial" w:hAnsi="Arial" w:cs="Arial"/>
          <w:sz w:val="22"/>
          <w:szCs w:val="22"/>
        </w:rPr>
        <w:t xml:space="preserve"> </w:t>
      </w:r>
      <w:r w:rsidRPr="002E4ECE">
        <w:rPr>
          <w:rFonts w:ascii="Arial" w:hAnsi="Arial" w:cs="Arial"/>
          <w:sz w:val="22"/>
          <w:szCs w:val="22"/>
        </w:rPr>
        <w:t xml:space="preserve">Additionally, </w:t>
      </w:r>
      <w:r w:rsidRPr="002E4ECE" w:rsidR="00DE6F98">
        <w:rPr>
          <w:rFonts w:ascii="Arial" w:hAnsi="Arial" w:cs="Arial"/>
          <w:sz w:val="22"/>
          <w:szCs w:val="22"/>
        </w:rPr>
        <w:t xml:space="preserve">the 27 CFR part 19 </w:t>
      </w:r>
      <w:r w:rsidRPr="002E4ECE">
        <w:rPr>
          <w:rFonts w:ascii="Arial" w:hAnsi="Arial" w:cs="Arial"/>
          <w:sz w:val="22"/>
          <w:szCs w:val="22"/>
        </w:rPr>
        <w:t xml:space="preserve">regulations </w:t>
      </w:r>
      <w:r w:rsidRPr="002E4ECE" w:rsidR="00DE6F98">
        <w:rPr>
          <w:rFonts w:ascii="Arial" w:hAnsi="Arial" w:cs="Arial"/>
          <w:sz w:val="22"/>
          <w:szCs w:val="22"/>
        </w:rPr>
        <w:t xml:space="preserve">allow for the use of electronic recordkeeping systems </w:t>
      </w:r>
      <w:r w:rsidRPr="002E4ECE">
        <w:rPr>
          <w:rFonts w:ascii="Arial" w:hAnsi="Arial" w:cs="Arial"/>
          <w:sz w:val="22"/>
          <w:szCs w:val="22"/>
        </w:rPr>
        <w:t xml:space="preserve">and reporting systems </w:t>
      </w:r>
      <w:r w:rsidRPr="002E4ECE" w:rsidR="00DE6F98">
        <w:rPr>
          <w:rFonts w:ascii="Arial" w:hAnsi="Arial" w:cs="Arial"/>
          <w:sz w:val="22"/>
          <w:szCs w:val="22"/>
        </w:rPr>
        <w:t xml:space="preserve">at the respondent’s discretion. </w:t>
      </w:r>
    </w:p>
    <w:p w:rsidRPr="002E4ECE" w:rsidR="007A5D4B" w:rsidP="007A5D4B" w:rsidRDefault="007A5D4B" w14:paraId="5EA49B88" w14:textId="77777777">
      <w:pPr>
        <w:suppressAutoHyphens/>
        <w:rPr>
          <w:rFonts w:ascii="Arial" w:hAnsi="Arial" w:cs="Arial"/>
          <w:sz w:val="28"/>
          <w:szCs w:val="28"/>
        </w:rPr>
      </w:pPr>
    </w:p>
    <w:p w:rsidRPr="002E4ECE" w:rsidR="00AF1157" w:rsidP="00D73D2D" w:rsidRDefault="007A5D4B" w14:paraId="6BEF9389" w14:textId="77777777">
      <w:pPr>
        <w:suppressAutoHyphens/>
        <w:rPr>
          <w:rFonts w:ascii="Arial" w:hAnsi="Arial" w:cs="Arial"/>
          <w:i/>
          <w:sz w:val="22"/>
          <w:szCs w:val="22"/>
        </w:rPr>
      </w:pPr>
      <w:r w:rsidRPr="002E4ECE">
        <w:rPr>
          <w:rFonts w:ascii="Arial" w:hAnsi="Arial" w:cs="Arial"/>
          <w:i/>
          <w:sz w:val="22"/>
          <w:szCs w:val="22"/>
        </w:rPr>
        <w:t xml:space="preserve">6.  </w:t>
      </w:r>
      <w:r w:rsidRPr="002E4ECE" w:rsidR="00AF1157">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2E4ECE">
        <w:rPr>
          <w:rFonts w:ascii="Arial" w:hAnsi="Arial" w:cs="Arial"/>
          <w:i/>
          <w:sz w:val="22"/>
          <w:szCs w:val="22"/>
        </w:rPr>
        <w:t xml:space="preserve"> </w:t>
      </w:r>
    </w:p>
    <w:p w:rsidRPr="002E4ECE" w:rsidR="00AF1157" w:rsidP="00D73D2D" w:rsidRDefault="00AF1157" w14:paraId="60FBD485" w14:textId="77777777">
      <w:pPr>
        <w:suppressAutoHyphens/>
        <w:ind w:left="480" w:hanging="480"/>
        <w:rPr>
          <w:rFonts w:ascii="Arial" w:hAnsi="Arial" w:cs="Arial"/>
          <w:sz w:val="22"/>
          <w:szCs w:val="22"/>
        </w:rPr>
      </w:pPr>
    </w:p>
    <w:p w:rsidRPr="002E4ECE" w:rsidR="004156B0" w:rsidP="004156B0" w:rsidRDefault="004156B0" w14:paraId="3814E5EE" w14:textId="75D0FCA1">
      <w:pPr>
        <w:ind w:left="360"/>
        <w:rPr>
          <w:rFonts w:ascii="Arial" w:hAnsi="Arial" w:cs="Arial"/>
          <w:sz w:val="22"/>
          <w:szCs w:val="22"/>
        </w:rPr>
      </w:pPr>
      <w:r w:rsidRPr="002E4ECE">
        <w:rPr>
          <w:rFonts w:ascii="Arial" w:hAnsi="Arial" w:cs="Arial"/>
          <w:sz w:val="22"/>
          <w:szCs w:val="22"/>
        </w:rPr>
        <w:t xml:space="preserve">Without the records and reports </w:t>
      </w:r>
      <w:r w:rsidRPr="002E4ECE" w:rsidR="00AE5E70">
        <w:rPr>
          <w:rFonts w:ascii="Arial" w:hAnsi="Arial" w:cs="Arial"/>
          <w:sz w:val="22"/>
          <w:szCs w:val="22"/>
        </w:rPr>
        <w:t xml:space="preserve">required under this collection, or with their less frequent collection, </w:t>
      </w:r>
      <w:r w:rsidRPr="002E4ECE">
        <w:rPr>
          <w:rFonts w:ascii="Arial" w:hAnsi="Arial" w:cs="Arial"/>
          <w:sz w:val="22"/>
          <w:szCs w:val="22"/>
        </w:rPr>
        <w:t xml:space="preserve">TTB would not be able to </w:t>
      </w:r>
      <w:r w:rsidRPr="002E4ECE" w:rsidR="00AE5E70">
        <w:rPr>
          <w:rFonts w:ascii="Arial" w:hAnsi="Arial" w:cs="Arial"/>
          <w:sz w:val="22"/>
          <w:szCs w:val="22"/>
        </w:rPr>
        <w:t xml:space="preserve">account </w:t>
      </w:r>
      <w:r w:rsidRPr="002E4ECE" w:rsidR="003517FD">
        <w:rPr>
          <w:rFonts w:ascii="Arial" w:hAnsi="Arial" w:cs="Arial"/>
          <w:sz w:val="22"/>
          <w:szCs w:val="22"/>
        </w:rPr>
        <w:t xml:space="preserve">for the denatured spirits produced, used, and disposed of by DSPs in a timely manner.  Additionally, </w:t>
      </w:r>
      <w:r w:rsidRPr="002E4ECE">
        <w:rPr>
          <w:rFonts w:ascii="Arial" w:hAnsi="Arial" w:cs="Arial"/>
          <w:sz w:val="22"/>
          <w:szCs w:val="22"/>
        </w:rPr>
        <w:t xml:space="preserve">TTB </w:t>
      </w:r>
      <w:r w:rsidRPr="002E4ECE" w:rsidR="00DE6F98">
        <w:rPr>
          <w:rFonts w:ascii="Arial" w:hAnsi="Arial" w:cs="Arial"/>
          <w:sz w:val="22"/>
          <w:szCs w:val="22"/>
        </w:rPr>
        <w:t xml:space="preserve">would </w:t>
      </w:r>
      <w:r w:rsidRPr="002E4ECE" w:rsidR="003517FD">
        <w:rPr>
          <w:rFonts w:ascii="Arial" w:hAnsi="Arial" w:cs="Arial"/>
          <w:sz w:val="22"/>
          <w:szCs w:val="22"/>
        </w:rPr>
        <w:t xml:space="preserve">be unable </w:t>
      </w:r>
      <w:r w:rsidRPr="002E4ECE" w:rsidR="00DE6F98">
        <w:rPr>
          <w:rFonts w:ascii="Arial" w:hAnsi="Arial" w:cs="Arial"/>
          <w:sz w:val="22"/>
          <w:szCs w:val="22"/>
        </w:rPr>
        <w:t xml:space="preserve">to produce </w:t>
      </w:r>
      <w:r w:rsidRPr="002E4ECE" w:rsidR="003517FD">
        <w:rPr>
          <w:rFonts w:ascii="Arial" w:hAnsi="Arial" w:cs="Arial"/>
          <w:sz w:val="22"/>
          <w:szCs w:val="22"/>
        </w:rPr>
        <w:t>its</w:t>
      </w:r>
      <w:r w:rsidRPr="002E4ECE" w:rsidR="00F87D99">
        <w:rPr>
          <w:rFonts w:ascii="Arial" w:hAnsi="Arial" w:cs="Arial"/>
          <w:sz w:val="22"/>
          <w:szCs w:val="22"/>
        </w:rPr>
        <w:t xml:space="preserve"> generalized distilled spirits </w:t>
      </w:r>
      <w:r w:rsidRPr="002E4ECE" w:rsidR="00DE6F98">
        <w:rPr>
          <w:rFonts w:ascii="Arial" w:hAnsi="Arial" w:cs="Arial"/>
          <w:sz w:val="22"/>
          <w:szCs w:val="22"/>
        </w:rPr>
        <w:t>statistical reports</w:t>
      </w:r>
      <w:r w:rsidRPr="002E4ECE" w:rsidR="003517FD">
        <w:rPr>
          <w:rFonts w:ascii="Arial" w:hAnsi="Arial" w:cs="Arial"/>
          <w:sz w:val="22"/>
          <w:szCs w:val="22"/>
        </w:rPr>
        <w:t>, which are</w:t>
      </w:r>
      <w:r w:rsidRPr="002E4ECE" w:rsidR="00DE6F98">
        <w:rPr>
          <w:rFonts w:ascii="Arial" w:hAnsi="Arial" w:cs="Arial"/>
          <w:sz w:val="22"/>
          <w:szCs w:val="22"/>
        </w:rPr>
        <w:t xml:space="preserve"> used by </w:t>
      </w:r>
      <w:r w:rsidRPr="002E4ECE">
        <w:rPr>
          <w:rFonts w:ascii="Arial" w:hAnsi="Arial" w:cs="Arial"/>
          <w:sz w:val="22"/>
          <w:szCs w:val="22"/>
        </w:rPr>
        <w:t>government</w:t>
      </w:r>
      <w:r w:rsidRPr="002E4ECE" w:rsidR="00DE6F98">
        <w:rPr>
          <w:rFonts w:ascii="Arial" w:hAnsi="Arial" w:cs="Arial"/>
          <w:sz w:val="22"/>
          <w:szCs w:val="22"/>
        </w:rPr>
        <w:t>, industry, and the public</w:t>
      </w:r>
      <w:r w:rsidRPr="002E4ECE" w:rsidR="003517FD">
        <w:rPr>
          <w:rFonts w:ascii="Arial" w:hAnsi="Arial" w:cs="Arial"/>
          <w:sz w:val="22"/>
          <w:szCs w:val="22"/>
        </w:rPr>
        <w:t xml:space="preserve"> </w:t>
      </w:r>
      <w:r w:rsidRPr="002E4ECE">
        <w:rPr>
          <w:rFonts w:ascii="Arial" w:hAnsi="Arial" w:cs="Arial"/>
          <w:sz w:val="22"/>
          <w:szCs w:val="22"/>
        </w:rPr>
        <w:t>for economic planning and analysis</w:t>
      </w:r>
      <w:r w:rsidRPr="002E4ECE" w:rsidR="00AE5E70">
        <w:rPr>
          <w:rFonts w:ascii="Arial" w:hAnsi="Arial" w:cs="Arial"/>
          <w:sz w:val="22"/>
          <w:szCs w:val="22"/>
        </w:rPr>
        <w:t xml:space="preserve"> purposes</w:t>
      </w:r>
      <w:r w:rsidRPr="002E4ECE">
        <w:rPr>
          <w:rFonts w:ascii="Arial" w:hAnsi="Arial" w:cs="Arial"/>
          <w:sz w:val="22"/>
          <w:szCs w:val="22"/>
        </w:rPr>
        <w:t xml:space="preserve">. </w:t>
      </w:r>
    </w:p>
    <w:p w:rsidRPr="002E4ECE" w:rsidR="007A5D4B" w:rsidP="007A5D4B" w:rsidRDefault="007A5D4B" w14:paraId="14C5BFB8" w14:textId="77777777">
      <w:pPr>
        <w:suppressAutoHyphens/>
        <w:rPr>
          <w:rFonts w:ascii="Arial" w:hAnsi="Arial" w:cs="Arial"/>
          <w:sz w:val="28"/>
          <w:szCs w:val="28"/>
        </w:rPr>
      </w:pPr>
    </w:p>
    <w:p w:rsidRPr="002E4ECE" w:rsidR="00A5755A" w:rsidP="00A5755A" w:rsidRDefault="00A5755A" w14:paraId="70CB4083" w14:textId="30033D73">
      <w:pPr>
        <w:rPr>
          <w:rFonts w:ascii="Arial" w:hAnsi="Arial" w:cs="Arial"/>
          <w:i/>
          <w:iCs/>
          <w:sz w:val="22"/>
          <w:szCs w:val="22"/>
        </w:rPr>
      </w:pPr>
      <w:r w:rsidRPr="002E4ECE">
        <w:rPr>
          <w:rFonts w:ascii="Arial" w:hAnsi="Arial" w:cs="Arial"/>
          <w:i/>
          <w:iCs/>
          <w:sz w:val="22"/>
          <w:szCs w:val="22"/>
        </w:rPr>
        <w:t xml:space="preserve">7.  Are there any special circumstances associated with this information collection that would require it to be conducted in a manner inconsistent with OMB guidelines?  (See 5 CFR 1320.5(d)(2).) </w:t>
      </w:r>
    </w:p>
    <w:p w:rsidRPr="002E4ECE" w:rsidR="00A5755A" w:rsidP="00A5755A" w:rsidRDefault="00A5755A" w14:paraId="4076D1E8" w14:textId="77777777">
      <w:pPr>
        <w:rPr>
          <w:rFonts w:ascii="Arial" w:hAnsi="Arial" w:cs="Arial"/>
          <w:sz w:val="22"/>
          <w:szCs w:val="22"/>
        </w:rPr>
      </w:pPr>
    </w:p>
    <w:p w:rsidRPr="002E4ECE" w:rsidR="00A82537" w:rsidP="00A82537" w:rsidRDefault="00E92487" w14:paraId="08947A4B" w14:textId="77907AEB">
      <w:pPr>
        <w:ind w:left="360"/>
        <w:rPr>
          <w:rFonts w:ascii="Arial" w:hAnsi="Arial" w:cs="Arial"/>
          <w:sz w:val="22"/>
          <w:szCs w:val="22"/>
        </w:rPr>
      </w:pPr>
      <w:r w:rsidRPr="002E4ECE">
        <w:rPr>
          <w:rFonts w:ascii="Arial" w:hAnsi="Arial" w:cs="Arial"/>
          <w:sz w:val="22"/>
          <w:szCs w:val="22"/>
        </w:rPr>
        <w:t xml:space="preserve">Under OMB guidelines, requiring reporting more often than quarterly is considered a special circumstance.  </w:t>
      </w:r>
      <w:r w:rsidRPr="002E4ECE" w:rsidR="00A82537">
        <w:rPr>
          <w:rFonts w:ascii="Arial" w:hAnsi="Arial" w:cs="Arial"/>
          <w:sz w:val="22"/>
          <w:szCs w:val="22"/>
        </w:rPr>
        <w:t xml:space="preserve">DSP proprietors </w:t>
      </w:r>
      <w:r w:rsidRPr="002E4ECE" w:rsidR="009A6A1C">
        <w:rPr>
          <w:rFonts w:ascii="Arial" w:hAnsi="Arial" w:cs="Arial"/>
          <w:sz w:val="22"/>
          <w:szCs w:val="22"/>
        </w:rPr>
        <w:t xml:space="preserve">conducting denaturing operations </w:t>
      </w:r>
      <w:r w:rsidRPr="002E4ECE" w:rsidR="00A82537">
        <w:rPr>
          <w:rFonts w:ascii="Arial" w:hAnsi="Arial" w:cs="Arial"/>
          <w:sz w:val="22"/>
          <w:szCs w:val="22"/>
        </w:rPr>
        <w:t xml:space="preserve">are required </w:t>
      </w:r>
      <w:r w:rsidRPr="002E4ECE" w:rsidR="004566C3">
        <w:rPr>
          <w:rFonts w:ascii="Arial" w:hAnsi="Arial" w:cs="Arial"/>
          <w:sz w:val="22"/>
          <w:szCs w:val="22"/>
        </w:rPr>
        <w:t xml:space="preserve">by regulation at 27 CFR 19.632 </w:t>
      </w:r>
      <w:r w:rsidRPr="002E4ECE" w:rsidR="00A82537">
        <w:rPr>
          <w:rFonts w:ascii="Arial" w:hAnsi="Arial" w:cs="Arial"/>
          <w:sz w:val="22"/>
          <w:szCs w:val="22"/>
        </w:rPr>
        <w:t>to submit TTB F 5110.</w:t>
      </w:r>
      <w:r w:rsidRPr="002E4ECE" w:rsidR="009A6A1C">
        <w:rPr>
          <w:rFonts w:ascii="Arial" w:hAnsi="Arial" w:cs="Arial"/>
          <w:sz w:val="22"/>
          <w:szCs w:val="22"/>
        </w:rPr>
        <w:t>43</w:t>
      </w:r>
      <w:r w:rsidRPr="002E4ECE" w:rsidR="00A82537">
        <w:rPr>
          <w:rFonts w:ascii="Arial" w:hAnsi="Arial" w:cs="Arial"/>
          <w:sz w:val="22"/>
          <w:szCs w:val="22"/>
        </w:rPr>
        <w:t xml:space="preserve"> on a monthly basis. </w:t>
      </w:r>
      <w:r w:rsidRPr="002E4ECE">
        <w:rPr>
          <w:rFonts w:ascii="Arial" w:hAnsi="Arial" w:cs="Arial"/>
          <w:sz w:val="22"/>
          <w:szCs w:val="22"/>
        </w:rPr>
        <w:t xml:space="preserve"> This </w:t>
      </w:r>
      <w:r w:rsidRPr="002E4ECE" w:rsidR="00AE5E70">
        <w:rPr>
          <w:rFonts w:ascii="Arial" w:hAnsi="Arial" w:cs="Arial"/>
          <w:sz w:val="22"/>
          <w:szCs w:val="22"/>
        </w:rPr>
        <w:t xml:space="preserve">more frequent reporting </w:t>
      </w:r>
      <w:r w:rsidRPr="002E4ECE">
        <w:rPr>
          <w:rFonts w:ascii="Arial" w:hAnsi="Arial" w:cs="Arial"/>
          <w:sz w:val="22"/>
          <w:szCs w:val="22"/>
        </w:rPr>
        <w:t xml:space="preserve">is necessary to protect the revenue. </w:t>
      </w:r>
    </w:p>
    <w:p w:rsidRPr="002E4ECE" w:rsidR="00EC4FC3" w:rsidP="00D73D2D" w:rsidRDefault="00EC4FC3" w14:paraId="43244951" w14:textId="77777777">
      <w:pPr>
        <w:rPr>
          <w:rFonts w:ascii="Arial" w:hAnsi="Arial" w:cs="Arial"/>
          <w:sz w:val="28"/>
          <w:szCs w:val="28"/>
        </w:rPr>
      </w:pPr>
    </w:p>
    <w:p w:rsidRPr="002E4ECE" w:rsidR="005C282B" w:rsidP="00D73D2D" w:rsidRDefault="007A5D4B" w14:paraId="621D797F" w14:textId="77777777">
      <w:pPr>
        <w:rPr>
          <w:rFonts w:ascii="Arial" w:hAnsi="Arial" w:cs="Arial"/>
          <w:i/>
          <w:sz w:val="22"/>
          <w:szCs w:val="22"/>
        </w:rPr>
      </w:pPr>
      <w:r w:rsidRPr="002E4ECE">
        <w:rPr>
          <w:rFonts w:ascii="Arial" w:hAnsi="Arial" w:cs="Arial"/>
          <w:i/>
          <w:sz w:val="22"/>
          <w:szCs w:val="22"/>
        </w:rPr>
        <w:t xml:space="preserve">8.  </w:t>
      </w:r>
      <w:r w:rsidRPr="002E4ECE" w:rsidR="00EC4FC3">
        <w:rPr>
          <w:rFonts w:ascii="Arial" w:hAnsi="Arial" w:cs="Arial"/>
          <w:i/>
          <w:sz w:val="22"/>
          <w:szCs w:val="22"/>
        </w:rPr>
        <w:t>What effort was made to notify the general public about this collection of information?</w:t>
      </w:r>
      <w:r w:rsidRPr="002E4ECE" w:rsidR="005C282B">
        <w:rPr>
          <w:rFonts w:ascii="Arial" w:hAnsi="Arial" w:cs="Arial"/>
          <w:i/>
          <w:sz w:val="22"/>
          <w:szCs w:val="22"/>
        </w:rPr>
        <w:t xml:space="preserve">  Summarize the public comments that were received and describe the action taken by the agency in response to those comments.</w:t>
      </w:r>
      <w:r w:rsidRPr="002E4ECE">
        <w:rPr>
          <w:rFonts w:ascii="Arial" w:hAnsi="Arial" w:cs="Arial"/>
          <w:i/>
          <w:sz w:val="22"/>
          <w:szCs w:val="22"/>
        </w:rPr>
        <w:t xml:space="preserve"> </w:t>
      </w:r>
    </w:p>
    <w:p w:rsidRPr="002E4ECE" w:rsidR="005C282B" w:rsidP="00D73D2D" w:rsidRDefault="005C282B" w14:paraId="1FCAEB82" w14:textId="77777777">
      <w:pPr>
        <w:suppressAutoHyphens/>
        <w:ind w:left="480" w:hanging="480"/>
        <w:rPr>
          <w:rFonts w:ascii="Arial" w:hAnsi="Arial" w:cs="Arial"/>
          <w:sz w:val="22"/>
          <w:szCs w:val="22"/>
        </w:rPr>
      </w:pPr>
    </w:p>
    <w:p w:rsidRPr="002E4ECE" w:rsidR="004156B0" w:rsidP="004156B0" w:rsidRDefault="004156B0" w14:paraId="46B9A30F" w14:textId="625055A6">
      <w:pPr>
        <w:ind w:left="360"/>
        <w:rPr>
          <w:rFonts w:ascii="Arial" w:hAnsi="Arial" w:cs="Arial"/>
          <w:sz w:val="22"/>
          <w:szCs w:val="22"/>
        </w:rPr>
      </w:pPr>
      <w:r w:rsidRPr="002E4ECE">
        <w:rPr>
          <w:rFonts w:ascii="Arial" w:hAnsi="Arial" w:cs="Arial"/>
          <w:sz w:val="22"/>
          <w:szCs w:val="22"/>
        </w:rPr>
        <w:t xml:space="preserve">To solicit comments from the public, TTB published a “60-day” comment request notice for this information collection in the Federal Register on </w:t>
      </w:r>
      <w:r w:rsidRPr="002E4ECE" w:rsidR="00AE5E70">
        <w:rPr>
          <w:rFonts w:ascii="Arial" w:hAnsi="Arial" w:cs="Arial"/>
          <w:sz w:val="22"/>
          <w:szCs w:val="22"/>
        </w:rPr>
        <w:t xml:space="preserve">May 3, 2022, at 87 FR 26261.  </w:t>
      </w:r>
      <w:r w:rsidRPr="002E4ECE">
        <w:rPr>
          <w:rFonts w:ascii="Arial" w:hAnsi="Arial" w:cs="Arial"/>
          <w:sz w:val="22"/>
          <w:szCs w:val="22"/>
        </w:rPr>
        <w:t xml:space="preserve">TTB received no comments on this information collection in response. </w:t>
      </w:r>
    </w:p>
    <w:p w:rsidRPr="002E4ECE" w:rsidR="00734B25" w:rsidP="00D73D2D" w:rsidRDefault="00734B25" w14:paraId="5AB13F34" w14:textId="77777777">
      <w:pPr>
        <w:suppressAutoHyphens/>
        <w:rPr>
          <w:rFonts w:ascii="Arial" w:hAnsi="Arial" w:cs="Arial"/>
          <w:sz w:val="28"/>
          <w:szCs w:val="28"/>
        </w:rPr>
      </w:pPr>
    </w:p>
    <w:p w:rsidRPr="002E4ECE" w:rsidR="00EC4FC3" w:rsidP="00D73D2D" w:rsidRDefault="005E4F9B" w14:paraId="5CD2960A" w14:textId="77777777">
      <w:pPr>
        <w:suppressAutoHyphens/>
        <w:rPr>
          <w:rFonts w:ascii="Arial" w:hAnsi="Arial" w:cs="Arial"/>
          <w:i/>
          <w:sz w:val="22"/>
          <w:szCs w:val="22"/>
        </w:rPr>
      </w:pPr>
      <w:r w:rsidRPr="002E4ECE">
        <w:rPr>
          <w:rFonts w:ascii="Arial" w:hAnsi="Arial" w:cs="Arial"/>
          <w:i/>
          <w:sz w:val="22"/>
          <w:szCs w:val="22"/>
        </w:rPr>
        <w:t xml:space="preserve">9.  </w:t>
      </w:r>
      <w:r w:rsidRPr="002E4ECE" w:rsidR="00D656EA">
        <w:rPr>
          <w:rFonts w:ascii="Arial" w:hAnsi="Arial" w:cs="Arial"/>
          <w:i/>
          <w:sz w:val="22"/>
          <w:szCs w:val="22"/>
        </w:rPr>
        <w:t xml:space="preserve">Was any payment or </w:t>
      </w:r>
      <w:r w:rsidRPr="002E4ECE" w:rsidR="00EC4FC3">
        <w:rPr>
          <w:rFonts w:ascii="Arial" w:hAnsi="Arial" w:cs="Arial"/>
          <w:i/>
          <w:sz w:val="22"/>
          <w:szCs w:val="22"/>
        </w:rPr>
        <w:t xml:space="preserve">gift </w:t>
      </w:r>
      <w:r w:rsidRPr="002E4ECE" w:rsidR="00D656EA">
        <w:rPr>
          <w:rFonts w:ascii="Arial" w:hAnsi="Arial" w:cs="Arial"/>
          <w:i/>
          <w:sz w:val="22"/>
          <w:szCs w:val="22"/>
        </w:rPr>
        <w:t xml:space="preserve">given </w:t>
      </w:r>
      <w:r w:rsidRPr="002E4ECE" w:rsidR="00EC4FC3">
        <w:rPr>
          <w:rFonts w:ascii="Arial" w:hAnsi="Arial" w:cs="Arial"/>
          <w:i/>
          <w:sz w:val="22"/>
          <w:szCs w:val="22"/>
        </w:rPr>
        <w:t>to respondents, other than re</w:t>
      </w:r>
      <w:r w:rsidRPr="002E4ECE" w:rsidR="00101DE7">
        <w:rPr>
          <w:rFonts w:ascii="Arial" w:hAnsi="Arial" w:cs="Arial"/>
          <w:i/>
          <w:sz w:val="22"/>
          <w:szCs w:val="22"/>
        </w:rPr>
        <w:t>mun</w:t>
      </w:r>
      <w:r w:rsidRPr="002E4ECE" w:rsidR="00EC4FC3">
        <w:rPr>
          <w:rFonts w:ascii="Arial" w:hAnsi="Arial" w:cs="Arial"/>
          <w:i/>
          <w:sz w:val="22"/>
          <w:szCs w:val="22"/>
        </w:rPr>
        <w:t>eration of contractors or grantees?</w:t>
      </w:r>
      <w:r w:rsidRPr="002E4ECE" w:rsidR="00D656EA">
        <w:rPr>
          <w:rFonts w:ascii="Arial" w:hAnsi="Arial" w:cs="Arial"/>
          <w:i/>
          <w:sz w:val="22"/>
          <w:szCs w:val="22"/>
        </w:rPr>
        <w:t xml:space="preserve">  If so, why? </w:t>
      </w:r>
    </w:p>
    <w:p w:rsidRPr="002E4ECE" w:rsidR="00EC4FC3" w:rsidP="00D73D2D" w:rsidRDefault="00EC4FC3" w14:paraId="15D2E9E8" w14:textId="77777777">
      <w:pPr>
        <w:suppressAutoHyphens/>
        <w:rPr>
          <w:rFonts w:ascii="Arial" w:hAnsi="Arial" w:cs="Arial"/>
          <w:sz w:val="22"/>
          <w:szCs w:val="22"/>
        </w:rPr>
      </w:pPr>
    </w:p>
    <w:p w:rsidRPr="002E4ECE" w:rsidR="00EC4FC3" w:rsidP="004D086A" w:rsidRDefault="00EC4FC3" w14:paraId="57642ED0" w14:textId="6995514E">
      <w:pPr>
        <w:suppressAutoHyphens/>
        <w:ind w:left="360"/>
        <w:rPr>
          <w:rFonts w:ascii="Arial" w:hAnsi="Arial" w:cs="Arial"/>
          <w:sz w:val="22"/>
          <w:szCs w:val="22"/>
        </w:rPr>
      </w:pPr>
      <w:r w:rsidRPr="002E4ECE">
        <w:rPr>
          <w:rFonts w:ascii="Arial" w:hAnsi="Arial" w:cs="Arial"/>
          <w:sz w:val="22"/>
          <w:szCs w:val="22"/>
        </w:rPr>
        <w:t xml:space="preserve">No payment or gift is associated with this </w:t>
      </w:r>
      <w:r w:rsidRPr="002E4ECE" w:rsidR="00AE5E70">
        <w:rPr>
          <w:rFonts w:ascii="Arial" w:hAnsi="Arial" w:cs="Arial"/>
          <w:sz w:val="22"/>
          <w:szCs w:val="22"/>
        </w:rPr>
        <w:t xml:space="preserve">information </w:t>
      </w:r>
      <w:r w:rsidRPr="002E4ECE">
        <w:rPr>
          <w:rFonts w:ascii="Arial" w:hAnsi="Arial" w:cs="Arial"/>
          <w:sz w:val="22"/>
          <w:szCs w:val="22"/>
        </w:rPr>
        <w:t>collection.</w:t>
      </w:r>
      <w:r w:rsidRPr="002E4ECE" w:rsidR="00D656EA">
        <w:rPr>
          <w:rFonts w:ascii="Arial" w:hAnsi="Arial" w:cs="Arial"/>
          <w:sz w:val="22"/>
          <w:szCs w:val="22"/>
        </w:rPr>
        <w:t xml:space="preserve"> </w:t>
      </w:r>
    </w:p>
    <w:p w:rsidRPr="002E4ECE" w:rsidR="00EC4FC3" w:rsidP="00D73D2D" w:rsidRDefault="00EC4FC3" w14:paraId="3964D0FB" w14:textId="77777777">
      <w:pPr>
        <w:suppressAutoHyphens/>
        <w:rPr>
          <w:rFonts w:ascii="Arial" w:hAnsi="Arial" w:cs="Arial"/>
          <w:sz w:val="28"/>
          <w:szCs w:val="28"/>
        </w:rPr>
      </w:pPr>
    </w:p>
    <w:p w:rsidRPr="002E4ECE" w:rsidR="00EC4FC3" w:rsidP="003D2892" w:rsidRDefault="00D656EA" w14:paraId="6BB20AD7" w14:textId="77777777">
      <w:pPr>
        <w:rPr>
          <w:rFonts w:ascii="Arial" w:hAnsi="Arial" w:cs="Arial"/>
          <w:i/>
          <w:sz w:val="22"/>
          <w:szCs w:val="22"/>
        </w:rPr>
      </w:pPr>
      <w:r w:rsidRPr="002E4ECE">
        <w:rPr>
          <w:rFonts w:ascii="Arial" w:hAnsi="Arial" w:cs="Arial"/>
          <w:i/>
          <w:sz w:val="22"/>
          <w:szCs w:val="22"/>
        </w:rPr>
        <w:t>10.</w:t>
      </w:r>
      <w:r w:rsidRPr="002E4ECE" w:rsidR="00EC4FC3">
        <w:rPr>
          <w:rFonts w:ascii="Arial" w:hAnsi="Arial" w:cs="Arial"/>
          <w:i/>
          <w:sz w:val="22"/>
          <w:szCs w:val="22"/>
        </w:rPr>
        <w:t xml:space="preserve">  What assurance of confidentiality was provided to respondents</w:t>
      </w:r>
      <w:r w:rsidRPr="002E4ECE">
        <w:rPr>
          <w:rFonts w:ascii="Arial" w:hAnsi="Arial" w:cs="Arial"/>
          <w:i/>
          <w:sz w:val="22"/>
          <w:szCs w:val="22"/>
        </w:rPr>
        <w:t>,</w:t>
      </w:r>
      <w:r w:rsidRPr="002E4ECE" w:rsidR="00EC4FC3">
        <w:rPr>
          <w:rFonts w:ascii="Arial" w:hAnsi="Arial" w:cs="Arial"/>
          <w:i/>
          <w:sz w:val="22"/>
          <w:szCs w:val="22"/>
        </w:rPr>
        <w:t xml:space="preserve"> and what was the basis for the assurance in statute, regulations,</w:t>
      </w:r>
      <w:r w:rsidRPr="002E4ECE" w:rsidR="00734B25">
        <w:rPr>
          <w:rFonts w:ascii="Arial" w:hAnsi="Arial" w:cs="Arial"/>
          <w:i/>
          <w:sz w:val="22"/>
          <w:szCs w:val="22"/>
        </w:rPr>
        <w:t xml:space="preserve"> </w:t>
      </w:r>
      <w:r w:rsidRPr="002E4ECE" w:rsidR="00EC4FC3">
        <w:rPr>
          <w:rFonts w:ascii="Arial" w:hAnsi="Arial" w:cs="Arial"/>
          <w:i/>
          <w:sz w:val="22"/>
          <w:szCs w:val="22"/>
        </w:rPr>
        <w:t>or agency policy?</w:t>
      </w:r>
      <w:r w:rsidRPr="002E4ECE">
        <w:rPr>
          <w:rFonts w:ascii="Arial" w:hAnsi="Arial" w:cs="Arial"/>
          <w:i/>
          <w:sz w:val="22"/>
          <w:szCs w:val="22"/>
        </w:rPr>
        <w:t xml:space="preserve"> </w:t>
      </w:r>
    </w:p>
    <w:p w:rsidRPr="002E4ECE" w:rsidR="00EC4FC3" w:rsidP="003D2892" w:rsidRDefault="00EC4FC3" w14:paraId="2856DC42" w14:textId="77777777">
      <w:pPr>
        <w:rPr>
          <w:rFonts w:ascii="Arial" w:hAnsi="Arial" w:cs="Arial"/>
          <w:i/>
          <w:sz w:val="22"/>
          <w:szCs w:val="22"/>
        </w:rPr>
      </w:pPr>
    </w:p>
    <w:p w:rsidRPr="002E4ECE" w:rsidR="00E51AD7" w:rsidP="004D086A" w:rsidRDefault="003517FD" w14:paraId="274C9716" w14:textId="45D998F5">
      <w:pPr>
        <w:ind w:left="360"/>
        <w:rPr>
          <w:rFonts w:ascii="Arial" w:hAnsi="Arial" w:cs="Arial"/>
          <w:sz w:val="22"/>
          <w:szCs w:val="22"/>
        </w:rPr>
      </w:pPr>
      <w:r w:rsidRPr="002E4ECE">
        <w:rPr>
          <w:rFonts w:ascii="Arial" w:hAnsi="Arial" w:cs="Arial"/>
          <w:sz w:val="22"/>
          <w:szCs w:val="22"/>
        </w:rPr>
        <w:t>TTB provides n</w:t>
      </w:r>
      <w:r w:rsidRPr="002E4ECE" w:rsidR="00E51AD7">
        <w:rPr>
          <w:rFonts w:ascii="Arial" w:hAnsi="Arial" w:cs="Arial"/>
          <w:sz w:val="22"/>
          <w:szCs w:val="22"/>
        </w:rPr>
        <w:t xml:space="preserve">o specific assurance of confidentiality </w:t>
      </w:r>
      <w:r w:rsidRPr="002E4ECE">
        <w:rPr>
          <w:rFonts w:ascii="Arial" w:hAnsi="Arial" w:cs="Arial"/>
          <w:sz w:val="22"/>
          <w:szCs w:val="22"/>
        </w:rPr>
        <w:t>for this collection.  However, F</w:t>
      </w:r>
      <w:r w:rsidRPr="002E4ECE" w:rsidR="00E51AD7">
        <w:rPr>
          <w:rFonts w:ascii="Arial" w:hAnsi="Arial" w:cs="Arial"/>
          <w:sz w:val="22"/>
          <w:szCs w:val="22"/>
        </w:rPr>
        <w:t>ederal law at 5</w:t>
      </w:r>
      <w:r w:rsidRPr="002E4ECE" w:rsidR="00853E85">
        <w:rPr>
          <w:rFonts w:ascii="Arial" w:hAnsi="Arial" w:cs="Arial"/>
          <w:sz w:val="22"/>
          <w:szCs w:val="22"/>
        </w:rPr>
        <w:t> </w:t>
      </w:r>
      <w:r w:rsidRPr="002E4ECE" w:rsidR="00E51AD7">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w:t>
      </w:r>
      <w:r w:rsidRPr="002E4ECE" w:rsidR="009A6A1C">
        <w:rPr>
          <w:rFonts w:ascii="Arial" w:hAnsi="Arial" w:cs="Arial"/>
          <w:sz w:val="22"/>
          <w:szCs w:val="22"/>
        </w:rPr>
        <w:t>taxpayer-</w:t>
      </w:r>
      <w:r w:rsidRPr="002E4ECE" w:rsidR="00E51AD7">
        <w:rPr>
          <w:rFonts w:ascii="Arial" w:hAnsi="Arial" w:cs="Arial"/>
          <w:sz w:val="22"/>
          <w:szCs w:val="22"/>
        </w:rPr>
        <w:t>related information</w:t>
      </w:r>
      <w:r w:rsidRPr="002E4ECE" w:rsidR="007073A3">
        <w:rPr>
          <w:rFonts w:ascii="Arial" w:hAnsi="Arial" w:cs="Arial"/>
          <w:sz w:val="22"/>
          <w:szCs w:val="22"/>
        </w:rPr>
        <w:t>,</w:t>
      </w:r>
      <w:r w:rsidRPr="002E4ECE" w:rsidR="00E51AD7">
        <w:rPr>
          <w:rFonts w:ascii="Arial" w:hAnsi="Arial" w:cs="Arial"/>
          <w:sz w:val="22"/>
          <w:szCs w:val="22"/>
        </w:rPr>
        <w:t xml:space="preserve"> unless disclosure </w:t>
      </w:r>
      <w:r w:rsidRPr="002E4ECE" w:rsidR="007073A3">
        <w:rPr>
          <w:rFonts w:ascii="Arial" w:hAnsi="Arial" w:cs="Arial"/>
          <w:sz w:val="22"/>
          <w:szCs w:val="22"/>
        </w:rPr>
        <w:t xml:space="preserve">of the information </w:t>
      </w:r>
      <w:r w:rsidRPr="002E4ECE" w:rsidR="00E51AD7">
        <w:rPr>
          <w:rFonts w:ascii="Arial" w:hAnsi="Arial" w:cs="Arial"/>
          <w:sz w:val="22"/>
          <w:szCs w:val="22"/>
        </w:rPr>
        <w:t xml:space="preserve">is specifically authorized by </w:t>
      </w:r>
      <w:r w:rsidRPr="002E4ECE" w:rsidR="007073A3">
        <w:rPr>
          <w:rFonts w:ascii="Arial" w:hAnsi="Arial" w:cs="Arial"/>
          <w:sz w:val="22"/>
          <w:szCs w:val="22"/>
        </w:rPr>
        <w:t>law</w:t>
      </w:r>
      <w:r w:rsidRPr="002E4ECE" w:rsidR="00E51AD7">
        <w:rPr>
          <w:rFonts w:ascii="Arial" w:hAnsi="Arial" w:cs="Arial"/>
          <w:sz w:val="22"/>
          <w:szCs w:val="22"/>
        </w:rPr>
        <w:t xml:space="preserve">. </w:t>
      </w:r>
      <w:r w:rsidRPr="002E4ECE" w:rsidR="00853E85">
        <w:rPr>
          <w:rFonts w:ascii="Arial" w:hAnsi="Arial" w:cs="Arial"/>
          <w:sz w:val="22"/>
          <w:szCs w:val="22"/>
        </w:rPr>
        <w:t xml:space="preserve"> </w:t>
      </w:r>
      <w:r w:rsidRPr="002E4ECE">
        <w:rPr>
          <w:rFonts w:ascii="Arial" w:hAnsi="Arial" w:cs="Arial"/>
          <w:sz w:val="22"/>
          <w:szCs w:val="22"/>
        </w:rPr>
        <w:t xml:space="preserve">DSP proprietors maintain the required records at their premises.  </w:t>
      </w:r>
      <w:r w:rsidRPr="002E4ECE" w:rsidR="00853E85">
        <w:rPr>
          <w:rFonts w:ascii="Arial" w:hAnsi="Arial" w:cs="Arial"/>
          <w:sz w:val="22"/>
          <w:szCs w:val="22"/>
        </w:rPr>
        <w:t xml:space="preserve">TTB maintains </w:t>
      </w:r>
      <w:r w:rsidRPr="002E4ECE">
        <w:rPr>
          <w:rFonts w:ascii="Arial" w:hAnsi="Arial" w:cs="Arial"/>
          <w:sz w:val="22"/>
          <w:szCs w:val="22"/>
        </w:rPr>
        <w:t xml:space="preserve">the required reports </w:t>
      </w:r>
      <w:r w:rsidRPr="002E4ECE" w:rsidR="00853E85">
        <w:rPr>
          <w:rFonts w:ascii="Arial" w:hAnsi="Arial" w:cs="Arial"/>
          <w:sz w:val="22"/>
          <w:szCs w:val="22"/>
        </w:rPr>
        <w:t xml:space="preserve">in secure file rooms and computer systems with controlled access. </w:t>
      </w:r>
    </w:p>
    <w:p w:rsidRPr="002E4ECE" w:rsidR="00AF1157" w:rsidP="00D73D2D" w:rsidRDefault="00AF1157" w14:paraId="404CE8EE" w14:textId="77777777">
      <w:pPr>
        <w:suppressAutoHyphens/>
        <w:rPr>
          <w:rFonts w:ascii="Arial" w:hAnsi="Arial" w:cs="Arial"/>
          <w:sz w:val="28"/>
          <w:szCs w:val="28"/>
        </w:rPr>
      </w:pPr>
    </w:p>
    <w:p w:rsidRPr="002E4ECE" w:rsidR="00A201BF" w:rsidP="00A201BF" w:rsidRDefault="00A201BF" w14:paraId="6190C64E" w14:textId="77777777">
      <w:pPr>
        <w:rPr>
          <w:rFonts w:ascii="Arial" w:hAnsi="Arial" w:cs="Arial"/>
          <w:i/>
          <w:sz w:val="22"/>
          <w:szCs w:val="22"/>
        </w:rPr>
      </w:pPr>
      <w:r w:rsidRPr="002E4ECE">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Pr="002E4ECE" w:rsidR="00A201BF" w:rsidP="00A201BF" w:rsidRDefault="00A201BF" w14:paraId="0A1481FF" w14:textId="77777777">
      <w:pPr>
        <w:rPr>
          <w:rFonts w:ascii="Arial" w:hAnsi="Arial" w:cs="Arial"/>
          <w:i/>
          <w:sz w:val="22"/>
          <w:szCs w:val="22"/>
        </w:rPr>
      </w:pPr>
    </w:p>
    <w:p w:rsidRPr="002E4ECE" w:rsidR="00A5167D" w:rsidP="00A201BF" w:rsidRDefault="00A5167D" w14:paraId="4FCBB714" w14:textId="09F30408">
      <w:pPr>
        <w:widowControl w:val="0"/>
        <w:suppressAutoHyphens/>
        <w:autoSpaceDE w:val="0"/>
        <w:autoSpaceDN w:val="0"/>
        <w:adjustRightInd w:val="0"/>
        <w:ind w:left="360"/>
        <w:rPr>
          <w:rFonts w:ascii="Arial" w:hAnsi="Arial" w:cs="Arial"/>
          <w:sz w:val="22"/>
          <w:szCs w:val="22"/>
        </w:rPr>
      </w:pPr>
      <w:r w:rsidRPr="002E4ECE">
        <w:rPr>
          <w:rFonts w:ascii="Arial" w:hAnsi="Arial" w:cs="Arial"/>
          <w:sz w:val="22"/>
          <w:szCs w:val="22"/>
        </w:rPr>
        <w:t xml:space="preserve">This information collection contains no questions of a sensitive nature.  </w:t>
      </w:r>
      <w:r w:rsidRPr="002E4ECE" w:rsidR="009005F3">
        <w:rPr>
          <w:rFonts w:ascii="Arial" w:hAnsi="Arial" w:cs="Arial"/>
          <w:sz w:val="22"/>
          <w:szCs w:val="22"/>
        </w:rPr>
        <w:t>Also, t</w:t>
      </w:r>
      <w:r w:rsidRPr="002E4ECE">
        <w:rPr>
          <w:rFonts w:ascii="Arial" w:hAnsi="Arial" w:cs="Arial"/>
          <w:sz w:val="22"/>
          <w:szCs w:val="22"/>
        </w:rPr>
        <w:t xml:space="preserve">his information </w:t>
      </w:r>
      <w:r w:rsidRPr="002E4ECE" w:rsidR="003517FD">
        <w:rPr>
          <w:rFonts w:ascii="Arial" w:hAnsi="Arial" w:cs="Arial"/>
          <w:sz w:val="22"/>
          <w:szCs w:val="22"/>
        </w:rPr>
        <w:t xml:space="preserve">request </w:t>
      </w:r>
      <w:r w:rsidRPr="002E4ECE">
        <w:rPr>
          <w:rFonts w:ascii="Arial" w:hAnsi="Arial" w:cs="Arial"/>
          <w:sz w:val="22"/>
          <w:szCs w:val="22"/>
        </w:rPr>
        <w:t>does not collect personally identifiable information (PII) in an electronic system.  Therefore, no Privacy Impact Assessment (PIA) or System of Records Notice (SORN) is required for this collection.</w:t>
      </w:r>
      <w:r w:rsidRPr="002E4ECE" w:rsidR="003517FD">
        <w:rPr>
          <w:rFonts w:ascii="Arial" w:hAnsi="Arial" w:cs="Arial"/>
          <w:sz w:val="22"/>
          <w:szCs w:val="22"/>
        </w:rPr>
        <w:t xml:space="preserve"> </w:t>
      </w:r>
    </w:p>
    <w:p w:rsidRPr="002E4ECE" w:rsidR="00A201BF" w:rsidP="00D73D2D" w:rsidRDefault="00A201BF" w14:paraId="553B50E2" w14:textId="77777777">
      <w:pPr>
        <w:suppressAutoHyphens/>
        <w:rPr>
          <w:rFonts w:ascii="Arial" w:hAnsi="Arial" w:cs="Arial"/>
          <w:sz w:val="28"/>
          <w:szCs w:val="28"/>
        </w:rPr>
      </w:pPr>
    </w:p>
    <w:p w:rsidRPr="002E4ECE" w:rsidR="00AF1157" w:rsidP="00D73D2D" w:rsidRDefault="00AF060A" w14:paraId="5F9AC70A" w14:textId="77777777">
      <w:pPr>
        <w:suppressAutoHyphens/>
        <w:rPr>
          <w:rFonts w:ascii="Arial" w:hAnsi="Arial" w:cs="Arial"/>
          <w:i/>
          <w:sz w:val="22"/>
          <w:szCs w:val="22"/>
        </w:rPr>
      </w:pPr>
      <w:r w:rsidRPr="002E4ECE">
        <w:rPr>
          <w:rFonts w:ascii="Arial" w:hAnsi="Arial" w:cs="Arial"/>
          <w:i/>
          <w:sz w:val="22"/>
          <w:szCs w:val="22"/>
        </w:rPr>
        <w:t xml:space="preserve">12.  </w:t>
      </w:r>
      <w:r w:rsidRPr="002E4ECE" w:rsidR="00AF1157">
        <w:rPr>
          <w:rFonts w:ascii="Arial" w:hAnsi="Arial" w:cs="Arial"/>
          <w:i/>
          <w:sz w:val="22"/>
          <w:szCs w:val="22"/>
        </w:rPr>
        <w:t>What is the estimated hour burden of this collection of information?</w:t>
      </w:r>
      <w:r w:rsidRPr="002E4ECE">
        <w:rPr>
          <w:rFonts w:ascii="Arial" w:hAnsi="Arial" w:cs="Arial"/>
          <w:i/>
          <w:sz w:val="22"/>
          <w:szCs w:val="22"/>
        </w:rPr>
        <w:t xml:space="preserve"> </w:t>
      </w:r>
    </w:p>
    <w:p w:rsidRPr="002E4ECE" w:rsidR="00AF1157" w:rsidP="00D73D2D" w:rsidRDefault="00AF1157" w14:paraId="4FD2BBC6" w14:textId="77777777">
      <w:pPr>
        <w:suppressAutoHyphens/>
        <w:rPr>
          <w:rFonts w:ascii="Arial" w:hAnsi="Arial" w:cs="Arial"/>
          <w:sz w:val="22"/>
          <w:szCs w:val="22"/>
        </w:rPr>
      </w:pPr>
    </w:p>
    <w:p w:rsidRPr="002E4ECE" w:rsidR="007073A3" w:rsidP="00E56E11" w:rsidRDefault="00784E5E" w14:paraId="627A7F68" w14:textId="323F04C6">
      <w:pPr>
        <w:ind w:left="360"/>
        <w:rPr>
          <w:rFonts w:ascii="Arial" w:hAnsi="Arial" w:cs="Arial"/>
          <w:sz w:val="22"/>
          <w:szCs w:val="22"/>
        </w:rPr>
      </w:pPr>
      <w:r w:rsidRPr="002E4ECE">
        <w:rPr>
          <w:rFonts w:ascii="Arial" w:hAnsi="Arial" w:cs="Arial"/>
          <w:sz w:val="22"/>
          <w:szCs w:val="22"/>
          <w:u w:val="single"/>
        </w:rPr>
        <w:t>Respondent burden:</w:t>
      </w:r>
      <w:r w:rsidRPr="002E4ECE">
        <w:rPr>
          <w:rFonts w:ascii="Arial" w:hAnsi="Arial" w:cs="Arial"/>
          <w:sz w:val="22"/>
          <w:szCs w:val="22"/>
        </w:rPr>
        <w:t xml:space="preserve">  </w:t>
      </w:r>
      <w:r w:rsidRPr="002E4ECE" w:rsidR="006C47D0">
        <w:rPr>
          <w:rFonts w:ascii="Arial" w:hAnsi="Arial" w:cs="Arial"/>
          <w:sz w:val="22"/>
          <w:szCs w:val="22"/>
        </w:rPr>
        <w:t>B</w:t>
      </w:r>
      <w:r w:rsidRPr="002E4ECE" w:rsidR="009A6A1C">
        <w:rPr>
          <w:rFonts w:ascii="Arial" w:hAnsi="Arial" w:cs="Arial"/>
          <w:sz w:val="22"/>
          <w:szCs w:val="22"/>
        </w:rPr>
        <w:t>ased</w:t>
      </w:r>
      <w:r w:rsidR="00FD0CE4">
        <w:rPr>
          <w:rFonts w:ascii="Arial" w:hAnsi="Arial" w:cs="Arial"/>
          <w:sz w:val="22"/>
          <w:szCs w:val="22"/>
        </w:rPr>
        <w:t xml:space="preserve"> on</w:t>
      </w:r>
      <w:r w:rsidRPr="002E4ECE" w:rsidR="009A6A1C">
        <w:rPr>
          <w:rFonts w:ascii="Arial" w:hAnsi="Arial" w:cs="Arial"/>
          <w:sz w:val="22"/>
          <w:szCs w:val="22"/>
        </w:rPr>
        <w:t xml:space="preserve"> </w:t>
      </w:r>
      <w:r w:rsidRPr="002E4ECE" w:rsidR="006C47D0">
        <w:rPr>
          <w:rFonts w:ascii="Arial" w:hAnsi="Arial" w:cs="Arial"/>
          <w:sz w:val="22"/>
          <w:szCs w:val="22"/>
        </w:rPr>
        <w:t xml:space="preserve">recent data, TTB estimates that </w:t>
      </w:r>
      <w:r w:rsidRPr="002E4ECE" w:rsidR="003A446D">
        <w:rPr>
          <w:rFonts w:ascii="Arial" w:hAnsi="Arial" w:cs="Arial"/>
          <w:sz w:val="22"/>
          <w:szCs w:val="22"/>
        </w:rPr>
        <w:t>470</w:t>
      </w:r>
      <w:r w:rsidRPr="002E4ECE" w:rsidR="006C47D0">
        <w:rPr>
          <w:rFonts w:ascii="Arial" w:hAnsi="Arial" w:cs="Arial"/>
          <w:sz w:val="22"/>
          <w:szCs w:val="22"/>
        </w:rPr>
        <w:t xml:space="preserve"> DSPs engage in denaturing activities and that each respondent </w:t>
      </w:r>
      <w:r w:rsidRPr="002E4ECE" w:rsidR="003A446D">
        <w:rPr>
          <w:rFonts w:ascii="Arial" w:hAnsi="Arial" w:cs="Arial"/>
          <w:sz w:val="22"/>
          <w:szCs w:val="22"/>
        </w:rPr>
        <w:t xml:space="preserve">collects the required records and </w:t>
      </w:r>
      <w:r w:rsidRPr="002E4ECE" w:rsidR="006C47D0">
        <w:rPr>
          <w:rFonts w:ascii="Arial" w:hAnsi="Arial" w:cs="Arial"/>
          <w:sz w:val="22"/>
          <w:szCs w:val="22"/>
        </w:rPr>
        <w:t xml:space="preserve">submits 12 monthly reports per year, for a total of </w:t>
      </w:r>
      <w:r w:rsidRPr="002E4ECE" w:rsidR="003A446D">
        <w:rPr>
          <w:rFonts w:ascii="Arial" w:hAnsi="Arial" w:cs="Arial"/>
          <w:sz w:val="22"/>
          <w:szCs w:val="22"/>
        </w:rPr>
        <w:t>5,640</w:t>
      </w:r>
      <w:r w:rsidRPr="002E4ECE" w:rsidR="009A6A1C">
        <w:rPr>
          <w:rFonts w:ascii="Arial" w:hAnsi="Arial" w:cs="Arial"/>
          <w:sz w:val="22"/>
          <w:szCs w:val="22"/>
        </w:rPr>
        <w:t xml:space="preserve"> annual responses.  TTB estimates that each response takes </w:t>
      </w:r>
      <w:r w:rsidRPr="002E4ECE">
        <w:rPr>
          <w:rFonts w:ascii="Arial" w:hAnsi="Arial" w:cs="Arial"/>
          <w:sz w:val="22"/>
          <w:szCs w:val="22"/>
        </w:rPr>
        <w:t>1</w:t>
      </w:r>
      <w:r w:rsidRPr="002E4ECE" w:rsidR="009A6A1C">
        <w:rPr>
          <w:rFonts w:ascii="Arial" w:hAnsi="Arial" w:cs="Arial"/>
          <w:sz w:val="22"/>
          <w:szCs w:val="22"/>
        </w:rPr>
        <w:t xml:space="preserve"> hour to complete</w:t>
      </w:r>
      <w:r w:rsidRPr="002E4ECE">
        <w:rPr>
          <w:rFonts w:ascii="Arial" w:hAnsi="Arial" w:cs="Arial"/>
          <w:sz w:val="22"/>
          <w:szCs w:val="22"/>
        </w:rPr>
        <w:t xml:space="preserve">, </w:t>
      </w:r>
      <w:r w:rsidRPr="002E4ECE" w:rsidR="009A6A1C">
        <w:rPr>
          <w:rFonts w:ascii="Arial" w:hAnsi="Arial" w:cs="Arial"/>
          <w:sz w:val="22"/>
          <w:szCs w:val="22"/>
        </w:rPr>
        <w:t xml:space="preserve">evenly divided between recordkeeping and reporting, for an estimated total annual burden of </w:t>
      </w:r>
      <w:r w:rsidRPr="002E4ECE">
        <w:rPr>
          <w:rFonts w:ascii="Arial" w:hAnsi="Arial" w:cs="Arial"/>
          <w:sz w:val="22"/>
          <w:szCs w:val="22"/>
        </w:rPr>
        <w:t>5,640</w:t>
      </w:r>
      <w:r w:rsidRPr="002E4ECE" w:rsidR="009A6A1C">
        <w:rPr>
          <w:rFonts w:ascii="Arial" w:hAnsi="Arial" w:cs="Arial"/>
          <w:sz w:val="22"/>
          <w:szCs w:val="22"/>
        </w:rPr>
        <w:t xml:space="preserve"> hours. </w:t>
      </w:r>
    </w:p>
    <w:p w:rsidRPr="002E4ECE" w:rsidR="00784E5E" w:rsidP="00E56E11" w:rsidRDefault="00784E5E" w14:paraId="787F1163" w14:textId="54C60090">
      <w:pPr>
        <w:ind w:left="360"/>
        <w:rPr>
          <w:rFonts w:ascii="Arial" w:hAnsi="Arial" w:cs="Arial"/>
          <w:sz w:val="22"/>
          <w:szCs w:val="22"/>
        </w:rPr>
      </w:pPr>
    </w:p>
    <w:p w:rsidRPr="002E4ECE" w:rsidR="00AC19A4" w:rsidP="00AC19A4" w:rsidRDefault="00AC19A4" w14:paraId="4FED44FE" w14:textId="77777777">
      <w:pPr>
        <w:ind w:left="360"/>
        <w:rPr>
          <w:rFonts w:ascii="Arial" w:hAnsi="Arial" w:cs="Arial"/>
          <w:sz w:val="22"/>
          <w:szCs w:val="22"/>
        </w:rPr>
      </w:pPr>
      <w:r w:rsidRPr="002E4ECE">
        <w:rPr>
          <w:rFonts w:ascii="Arial" w:hAnsi="Arial" w:cs="Arial"/>
          <w:sz w:val="22"/>
          <w:szCs w:val="22"/>
          <w:u w:val="single"/>
        </w:rPr>
        <w:t>Estimated Respondent Labor Costs:</w:t>
      </w:r>
      <w:r w:rsidRPr="002E4ECE">
        <w:rPr>
          <w:rFonts w:ascii="Arial" w:hAnsi="Arial" w:cs="Arial"/>
          <w:sz w:val="22"/>
          <w:szCs w:val="22"/>
        </w:rPr>
        <w:t xml:space="preserve">  TTB estimates the annual per-respondent and total respondent labor costs for this information collection as follows: </w:t>
      </w:r>
    </w:p>
    <w:p w:rsidRPr="002E4ECE" w:rsidR="00AC19A4" w:rsidP="00AC19A4" w:rsidRDefault="00AC19A4" w14:paraId="5C7C9EEF" w14:textId="77777777">
      <w:pPr>
        <w:suppressAutoHyphens/>
        <w:ind w:left="360"/>
        <w:rPr>
          <w:rFonts w:ascii="Arial" w:hAnsi="Arial" w:cs="Arial"/>
          <w:sz w:val="22"/>
          <w:szCs w:val="22"/>
        </w:rPr>
      </w:pPr>
    </w:p>
    <w:tbl>
      <w:tblPr>
        <w:tblStyle w:val="TableGrid1"/>
        <w:tblW w:w="0" w:type="dxa"/>
        <w:jc w:val="center"/>
        <w:tblInd w:w="0" w:type="dxa"/>
        <w:tblLayout w:type="fixed"/>
        <w:tblCellMar>
          <w:left w:w="29" w:type="dxa"/>
          <w:right w:w="29" w:type="dxa"/>
        </w:tblCellMar>
        <w:tblLook w:val="04A0" w:firstRow="1" w:lastRow="0" w:firstColumn="1" w:lastColumn="0" w:noHBand="0" w:noVBand="1"/>
      </w:tblPr>
      <w:tblGrid>
        <w:gridCol w:w="1255"/>
        <w:gridCol w:w="1260"/>
        <w:gridCol w:w="1350"/>
        <w:gridCol w:w="1530"/>
        <w:gridCol w:w="1350"/>
        <w:gridCol w:w="1607"/>
      </w:tblGrid>
      <w:tr w:rsidRPr="002E4ECE" w:rsidR="002E4ECE" w:rsidTr="00AC19A4" w14:paraId="3A11A771" w14:textId="77777777">
        <w:trPr>
          <w:trHeight w:val="593"/>
          <w:jc w:val="center"/>
        </w:trPr>
        <w:tc>
          <w:tcPr>
            <w:tcW w:w="8352" w:type="dxa"/>
            <w:gridSpan w:val="6"/>
            <w:tcBorders>
              <w:top w:val="single" w:color="auto" w:sz="4" w:space="0"/>
              <w:left w:val="single" w:color="auto" w:sz="4" w:space="0"/>
              <w:bottom w:val="single" w:color="auto" w:sz="4" w:space="0"/>
              <w:right w:val="single" w:color="auto" w:sz="4" w:space="0"/>
            </w:tcBorders>
            <w:vAlign w:val="center"/>
            <w:hideMark/>
          </w:tcPr>
          <w:p w:rsidRPr="002E4ECE" w:rsidR="00AC19A4" w:rsidP="00AC19A4" w:rsidRDefault="00AC19A4" w14:paraId="0DE8E9AD" w14:textId="77777777">
            <w:pPr>
              <w:suppressAutoHyphens/>
              <w:jc w:val="center"/>
              <w:rPr>
                <w:rFonts w:ascii="Arial" w:hAnsi="Arial" w:cs="Arial"/>
                <w:b/>
                <w:sz w:val="20"/>
                <w:szCs w:val="20"/>
              </w:rPr>
            </w:pPr>
            <w:r w:rsidRPr="002E4ECE">
              <w:rPr>
                <w:rFonts w:ascii="Arial" w:hAnsi="Arial" w:cs="Arial"/>
                <w:b/>
                <w:sz w:val="20"/>
                <w:szCs w:val="20"/>
              </w:rPr>
              <w:t>NAICS 312000 – Beverage Manufacturing – Compliance Officer</w:t>
            </w:r>
          </w:p>
          <w:p w:rsidRPr="002E4ECE" w:rsidR="00AC19A4" w:rsidP="00244F6E" w:rsidRDefault="00AC19A4" w14:paraId="33EA2EC9" w14:textId="400C8BC5">
            <w:pPr>
              <w:suppressAutoHyphens/>
              <w:jc w:val="center"/>
              <w:rPr>
                <w:rFonts w:ascii="Arial" w:hAnsi="Arial" w:cs="Arial"/>
                <w:b/>
                <w:sz w:val="20"/>
                <w:szCs w:val="20"/>
              </w:rPr>
            </w:pPr>
            <w:r w:rsidRPr="002E4ECE">
              <w:rPr>
                <w:rFonts w:ascii="Arial" w:hAnsi="Arial" w:cs="Arial"/>
                <w:b/>
                <w:sz w:val="20"/>
                <w:szCs w:val="20"/>
              </w:rPr>
              <w:t>Fully-loaded Labor Rate/Hour</w:t>
            </w:r>
            <w:r w:rsidRPr="002E4ECE">
              <w:rPr>
                <w:rFonts w:ascii="Arial" w:hAnsi="Arial" w:cs="Arial"/>
                <w:b/>
                <w:sz w:val="20"/>
                <w:szCs w:val="20"/>
                <w:vertAlign w:val="superscript"/>
              </w:rPr>
              <w:footnoteReference w:id="2"/>
            </w:r>
            <w:r w:rsidRPr="002E4ECE">
              <w:rPr>
                <w:rFonts w:ascii="Arial" w:hAnsi="Arial" w:cs="Arial"/>
                <w:b/>
                <w:sz w:val="20"/>
                <w:szCs w:val="20"/>
              </w:rPr>
              <w:t xml:space="preserve"> = $</w:t>
            </w:r>
            <w:r w:rsidRPr="002E4ECE" w:rsidR="00244F6E">
              <w:rPr>
                <w:rFonts w:ascii="Arial" w:hAnsi="Arial" w:cs="Arial"/>
                <w:b/>
                <w:sz w:val="20"/>
                <w:szCs w:val="20"/>
              </w:rPr>
              <w:t>45.25</w:t>
            </w:r>
          </w:p>
        </w:tc>
      </w:tr>
      <w:tr w:rsidRPr="002E4ECE" w:rsidR="002E4ECE" w:rsidTr="00AC19A4" w14:paraId="354C69F0" w14:textId="77777777">
        <w:trPr>
          <w:trHeight w:val="530"/>
          <w:jc w:val="center"/>
        </w:trPr>
        <w:tc>
          <w:tcPr>
            <w:tcW w:w="1255" w:type="dxa"/>
            <w:tcBorders>
              <w:top w:val="single" w:color="auto" w:sz="4" w:space="0"/>
              <w:left w:val="single" w:color="auto" w:sz="4" w:space="0"/>
              <w:bottom w:val="single" w:color="auto" w:sz="4" w:space="0"/>
              <w:right w:val="single" w:color="auto" w:sz="4" w:space="0"/>
            </w:tcBorders>
            <w:vAlign w:val="center"/>
            <w:hideMark/>
          </w:tcPr>
          <w:p w:rsidRPr="002E4ECE" w:rsidR="00AC19A4" w:rsidRDefault="00AC19A4" w14:paraId="52516C65" w14:textId="77777777">
            <w:pPr>
              <w:suppressAutoHyphens/>
              <w:jc w:val="center"/>
              <w:rPr>
                <w:rFonts w:ascii="Arial" w:hAnsi="Arial" w:cs="Arial"/>
                <w:sz w:val="18"/>
                <w:szCs w:val="18"/>
              </w:rPr>
            </w:pPr>
            <w:r w:rsidRPr="002E4ECE">
              <w:rPr>
                <w:rFonts w:ascii="Arial" w:hAnsi="Arial" w:cs="Arial"/>
                <w:sz w:val="18"/>
                <w:szCs w:val="18"/>
              </w:rPr>
              <w:t xml:space="preserve">Avg. Time / Response </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2E4ECE" w:rsidR="00AC19A4" w:rsidRDefault="00AC19A4" w14:paraId="18B8506F" w14:textId="77777777">
            <w:pPr>
              <w:suppressAutoHyphens/>
              <w:jc w:val="center"/>
              <w:rPr>
                <w:rFonts w:ascii="Arial" w:hAnsi="Arial" w:cs="Arial"/>
                <w:sz w:val="18"/>
                <w:szCs w:val="18"/>
              </w:rPr>
            </w:pPr>
            <w:r w:rsidRPr="002E4ECE">
              <w:rPr>
                <w:rFonts w:ascii="Arial" w:hAnsi="Arial" w:cs="Arial"/>
                <w:sz w:val="18"/>
                <w:szCs w:val="18"/>
              </w:rPr>
              <w:t>Labor Cost / Response</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2E4ECE" w:rsidR="00AC19A4" w:rsidRDefault="00AC19A4" w14:paraId="71F281D2" w14:textId="77777777">
            <w:pPr>
              <w:suppressAutoHyphens/>
              <w:jc w:val="center"/>
              <w:rPr>
                <w:rFonts w:ascii="Arial" w:hAnsi="Arial" w:cs="Arial"/>
                <w:sz w:val="18"/>
                <w:szCs w:val="18"/>
              </w:rPr>
            </w:pPr>
            <w:r w:rsidRPr="002E4ECE">
              <w:rPr>
                <w:rFonts w:ascii="Arial" w:hAnsi="Arial" w:cs="Arial"/>
                <w:sz w:val="18"/>
                <w:szCs w:val="18"/>
              </w:rPr>
              <w:t>Responses / Respondent</w:t>
            </w:r>
          </w:p>
        </w:tc>
        <w:tc>
          <w:tcPr>
            <w:tcW w:w="1530" w:type="dxa"/>
            <w:tcBorders>
              <w:top w:val="single" w:color="auto" w:sz="4" w:space="0"/>
              <w:left w:val="single" w:color="auto" w:sz="4" w:space="0"/>
              <w:bottom w:val="single" w:color="auto" w:sz="4" w:space="0"/>
              <w:right w:val="single" w:color="auto" w:sz="12" w:space="0"/>
            </w:tcBorders>
            <w:vAlign w:val="center"/>
            <w:hideMark/>
          </w:tcPr>
          <w:p w:rsidRPr="002E4ECE" w:rsidR="00AC19A4" w:rsidRDefault="00AC19A4" w14:paraId="7F6B4AC6" w14:textId="77777777">
            <w:pPr>
              <w:suppressAutoHyphens/>
              <w:jc w:val="center"/>
              <w:rPr>
                <w:rFonts w:ascii="Arial" w:hAnsi="Arial" w:cs="Arial"/>
                <w:sz w:val="18"/>
                <w:szCs w:val="18"/>
              </w:rPr>
            </w:pPr>
            <w:r w:rsidRPr="002E4ECE">
              <w:rPr>
                <w:rFonts w:ascii="Arial" w:hAnsi="Arial" w:cs="Arial"/>
                <w:sz w:val="18"/>
                <w:szCs w:val="18"/>
              </w:rPr>
              <w:t xml:space="preserve">Labor Costs / Respondent </w:t>
            </w:r>
          </w:p>
        </w:tc>
        <w:tc>
          <w:tcPr>
            <w:tcW w:w="1350" w:type="dxa"/>
            <w:tcBorders>
              <w:top w:val="single" w:color="auto" w:sz="4" w:space="0"/>
              <w:left w:val="single" w:color="auto" w:sz="12" w:space="0"/>
              <w:bottom w:val="single" w:color="auto" w:sz="4" w:space="0"/>
              <w:right w:val="single" w:color="auto" w:sz="4" w:space="0"/>
            </w:tcBorders>
            <w:vAlign w:val="center"/>
            <w:hideMark/>
          </w:tcPr>
          <w:p w:rsidRPr="002E4ECE" w:rsidR="00AC19A4" w:rsidRDefault="00AC19A4" w14:paraId="522086F0" w14:textId="77777777">
            <w:pPr>
              <w:suppressAutoHyphens/>
              <w:jc w:val="center"/>
              <w:rPr>
                <w:rFonts w:ascii="Arial" w:hAnsi="Arial" w:cs="Arial"/>
                <w:sz w:val="18"/>
                <w:szCs w:val="18"/>
              </w:rPr>
            </w:pPr>
            <w:r w:rsidRPr="002E4ECE">
              <w:rPr>
                <w:rFonts w:ascii="Arial" w:hAnsi="Arial" w:cs="Arial"/>
                <w:sz w:val="18"/>
                <w:szCs w:val="18"/>
              </w:rPr>
              <w:t>Total Responses</w:t>
            </w:r>
          </w:p>
        </w:tc>
        <w:tc>
          <w:tcPr>
            <w:tcW w:w="1607" w:type="dxa"/>
            <w:tcBorders>
              <w:top w:val="single" w:color="auto" w:sz="4" w:space="0"/>
              <w:left w:val="single" w:color="auto" w:sz="4" w:space="0"/>
              <w:bottom w:val="single" w:color="auto" w:sz="4" w:space="0"/>
              <w:right w:val="single" w:color="auto" w:sz="4" w:space="0"/>
            </w:tcBorders>
            <w:vAlign w:val="center"/>
            <w:hideMark/>
          </w:tcPr>
          <w:p w:rsidRPr="002E4ECE" w:rsidR="00AC19A4" w:rsidRDefault="00AC19A4" w14:paraId="44E58C83" w14:textId="77777777">
            <w:pPr>
              <w:suppressAutoHyphens/>
              <w:jc w:val="center"/>
              <w:rPr>
                <w:rFonts w:ascii="Arial" w:hAnsi="Arial" w:cs="Arial"/>
                <w:sz w:val="18"/>
                <w:szCs w:val="18"/>
              </w:rPr>
            </w:pPr>
            <w:r w:rsidRPr="002E4ECE">
              <w:rPr>
                <w:rFonts w:ascii="Arial" w:hAnsi="Arial" w:cs="Arial"/>
                <w:sz w:val="18"/>
                <w:szCs w:val="18"/>
              </w:rPr>
              <w:t xml:space="preserve">Total Labor Costs </w:t>
            </w:r>
          </w:p>
        </w:tc>
      </w:tr>
      <w:tr w:rsidRPr="002E4ECE" w:rsidR="002E4ECE" w:rsidTr="00AC19A4" w14:paraId="65DAF75D" w14:textId="77777777">
        <w:trPr>
          <w:trHeight w:val="530"/>
          <w:jc w:val="center"/>
        </w:trPr>
        <w:tc>
          <w:tcPr>
            <w:tcW w:w="1255" w:type="dxa"/>
            <w:tcBorders>
              <w:top w:val="single" w:color="auto" w:sz="4" w:space="0"/>
              <w:left w:val="single" w:color="auto" w:sz="4" w:space="0"/>
              <w:bottom w:val="single" w:color="auto" w:sz="4" w:space="0"/>
              <w:right w:val="single" w:color="auto" w:sz="4" w:space="0"/>
            </w:tcBorders>
            <w:vAlign w:val="center"/>
            <w:hideMark/>
          </w:tcPr>
          <w:p w:rsidRPr="002E4ECE" w:rsidR="00AC19A4" w:rsidP="00244F6E" w:rsidRDefault="00244F6E" w14:paraId="4F88E8B0" w14:textId="45DF7D02">
            <w:pPr>
              <w:suppressAutoHyphens/>
              <w:jc w:val="center"/>
              <w:rPr>
                <w:rFonts w:ascii="Arial" w:hAnsi="Arial" w:cs="Arial"/>
                <w:sz w:val="20"/>
                <w:szCs w:val="20"/>
              </w:rPr>
            </w:pPr>
            <w:r w:rsidRPr="002E4ECE">
              <w:rPr>
                <w:rFonts w:ascii="Arial" w:hAnsi="Arial" w:cs="Arial"/>
                <w:sz w:val="20"/>
                <w:szCs w:val="20"/>
              </w:rPr>
              <w:t>1</w:t>
            </w:r>
            <w:r w:rsidRPr="002E4ECE" w:rsidR="00AC19A4">
              <w:rPr>
                <w:rFonts w:ascii="Arial" w:hAnsi="Arial" w:cs="Arial"/>
                <w:sz w:val="20"/>
                <w:szCs w:val="20"/>
              </w:rPr>
              <w:t xml:space="preserve"> hour</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2E4ECE" w:rsidR="00AC19A4" w:rsidP="00244F6E" w:rsidRDefault="00AC19A4" w14:paraId="5253933C" w14:textId="4C9C19E2">
            <w:pPr>
              <w:suppressAutoHyphens/>
              <w:jc w:val="center"/>
              <w:rPr>
                <w:rFonts w:ascii="Arial" w:hAnsi="Arial" w:cs="Arial"/>
                <w:sz w:val="20"/>
                <w:szCs w:val="20"/>
              </w:rPr>
            </w:pPr>
            <w:r w:rsidRPr="002E4ECE">
              <w:rPr>
                <w:rFonts w:ascii="Arial" w:hAnsi="Arial" w:cs="Arial"/>
                <w:sz w:val="20"/>
                <w:szCs w:val="20"/>
              </w:rPr>
              <w:t>$</w:t>
            </w:r>
            <w:r w:rsidRPr="002E4ECE" w:rsidR="00244F6E">
              <w:rPr>
                <w:rFonts w:ascii="Arial" w:hAnsi="Arial" w:cs="Arial"/>
                <w:sz w:val="20"/>
                <w:szCs w:val="20"/>
              </w:rPr>
              <w:t>45.25</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2E4ECE" w:rsidR="00AC19A4" w:rsidRDefault="00AC19A4" w14:paraId="6B4442D4" w14:textId="77777777">
            <w:pPr>
              <w:suppressAutoHyphens/>
              <w:jc w:val="center"/>
              <w:rPr>
                <w:rFonts w:ascii="Arial" w:hAnsi="Arial" w:cs="Arial"/>
                <w:sz w:val="20"/>
                <w:szCs w:val="20"/>
              </w:rPr>
            </w:pPr>
            <w:r w:rsidRPr="002E4ECE">
              <w:rPr>
                <w:rFonts w:ascii="Arial" w:hAnsi="Arial" w:cs="Arial"/>
                <w:sz w:val="20"/>
                <w:szCs w:val="20"/>
              </w:rPr>
              <w:t>12</w:t>
            </w:r>
          </w:p>
        </w:tc>
        <w:tc>
          <w:tcPr>
            <w:tcW w:w="1530" w:type="dxa"/>
            <w:tcBorders>
              <w:top w:val="single" w:color="auto" w:sz="4" w:space="0"/>
              <w:left w:val="single" w:color="auto" w:sz="4" w:space="0"/>
              <w:bottom w:val="single" w:color="auto" w:sz="4" w:space="0"/>
              <w:right w:val="single" w:color="auto" w:sz="12" w:space="0"/>
            </w:tcBorders>
            <w:vAlign w:val="center"/>
            <w:hideMark/>
          </w:tcPr>
          <w:p w:rsidRPr="002E4ECE" w:rsidR="00AC19A4" w:rsidRDefault="00244F6E" w14:paraId="34C4BDA5" w14:textId="3621DFE7">
            <w:pPr>
              <w:suppressAutoHyphens/>
              <w:jc w:val="center"/>
              <w:rPr>
                <w:rFonts w:ascii="Arial" w:hAnsi="Arial" w:cs="Arial"/>
                <w:sz w:val="20"/>
                <w:szCs w:val="20"/>
              </w:rPr>
            </w:pPr>
            <w:r w:rsidRPr="002E4ECE">
              <w:rPr>
                <w:rFonts w:ascii="Arial" w:hAnsi="Arial" w:cs="Arial"/>
                <w:sz w:val="20"/>
                <w:szCs w:val="20"/>
              </w:rPr>
              <w:t>$543.00</w:t>
            </w:r>
          </w:p>
        </w:tc>
        <w:tc>
          <w:tcPr>
            <w:tcW w:w="1350" w:type="dxa"/>
            <w:tcBorders>
              <w:top w:val="single" w:color="auto" w:sz="4" w:space="0"/>
              <w:left w:val="single" w:color="auto" w:sz="12" w:space="0"/>
              <w:bottom w:val="single" w:color="auto" w:sz="4" w:space="0"/>
              <w:right w:val="single" w:color="auto" w:sz="4" w:space="0"/>
            </w:tcBorders>
            <w:vAlign w:val="center"/>
            <w:hideMark/>
          </w:tcPr>
          <w:p w:rsidRPr="002E4ECE" w:rsidR="00AC19A4" w:rsidRDefault="00244F6E" w14:paraId="7AAC3BE1" w14:textId="52969379">
            <w:pPr>
              <w:suppressAutoHyphens/>
              <w:jc w:val="center"/>
              <w:rPr>
                <w:rFonts w:ascii="Arial" w:hAnsi="Arial" w:cs="Arial"/>
                <w:sz w:val="20"/>
                <w:szCs w:val="20"/>
              </w:rPr>
            </w:pPr>
            <w:r w:rsidRPr="002E4ECE">
              <w:rPr>
                <w:rFonts w:ascii="Arial" w:hAnsi="Arial" w:cs="Arial"/>
                <w:sz w:val="20"/>
                <w:szCs w:val="20"/>
              </w:rPr>
              <w:t>5,640</w:t>
            </w:r>
          </w:p>
        </w:tc>
        <w:tc>
          <w:tcPr>
            <w:tcW w:w="1607" w:type="dxa"/>
            <w:tcBorders>
              <w:top w:val="single" w:color="auto" w:sz="4" w:space="0"/>
              <w:left w:val="single" w:color="auto" w:sz="4" w:space="0"/>
              <w:bottom w:val="single" w:color="auto" w:sz="4" w:space="0"/>
              <w:right w:val="single" w:color="auto" w:sz="4" w:space="0"/>
            </w:tcBorders>
            <w:vAlign w:val="center"/>
            <w:hideMark/>
          </w:tcPr>
          <w:p w:rsidRPr="002E4ECE" w:rsidR="00AC19A4" w:rsidP="00244F6E" w:rsidRDefault="00AC19A4" w14:paraId="3C8217E1" w14:textId="58273E56">
            <w:pPr>
              <w:suppressAutoHyphens/>
              <w:jc w:val="center"/>
              <w:rPr>
                <w:rFonts w:ascii="Arial" w:hAnsi="Arial" w:cs="Arial"/>
                <w:sz w:val="20"/>
                <w:szCs w:val="20"/>
              </w:rPr>
            </w:pPr>
            <w:r w:rsidRPr="002E4ECE">
              <w:rPr>
                <w:rFonts w:ascii="Arial" w:hAnsi="Arial" w:cs="Arial"/>
                <w:sz w:val="20"/>
                <w:szCs w:val="20"/>
              </w:rPr>
              <w:t>$</w:t>
            </w:r>
            <w:r w:rsidRPr="002E4ECE" w:rsidR="00244F6E">
              <w:rPr>
                <w:rFonts w:ascii="Arial" w:hAnsi="Arial" w:cs="Arial"/>
                <w:sz w:val="20"/>
                <w:szCs w:val="20"/>
              </w:rPr>
              <w:t>255,210.00</w:t>
            </w:r>
          </w:p>
        </w:tc>
      </w:tr>
    </w:tbl>
    <w:p w:rsidRPr="002E4ECE" w:rsidR="00AC19A4" w:rsidP="00AC19A4" w:rsidRDefault="00AC19A4" w14:paraId="1C50A8D1" w14:textId="77777777">
      <w:pPr>
        <w:ind w:left="360"/>
        <w:rPr>
          <w:rFonts w:ascii="Arial" w:hAnsi="Arial" w:cs="Arial"/>
          <w:sz w:val="22"/>
          <w:szCs w:val="22"/>
        </w:rPr>
      </w:pPr>
    </w:p>
    <w:p w:rsidRPr="002E4ECE" w:rsidR="00AC19A4" w:rsidP="00AC19A4" w:rsidRDefault="00AC19A4" w14:paraId="5D692155" w14:textId="77777777">
      <w:pPr>
        <w:suppressAutoHyphens/>
        <w:ind w:left="360"/>
        <w:rPr>
          <w:rFonts w:ascii="Arial" w:hAnsi="Arial" w:cs="Arial"/>
          <w:sz w:val="22"/>
          <w:szCs w:val="22"/>
        </w:rPr>
      </w:pPr>
      <w:r w:rsidRPr="002E4ECE">
        <w:rPr>
          <w:rFonts w:ascii="Arial" w:hAnsi="Arial" w:cs="Arial"/>
          <w:sz w:val="22"/>
          <w:szCs w:val="22"/>
          <w:u w:val="single"/>
        </w:rPr>
        <w:t>Respondent Record Retention:</w:t>
      </w:r>
      <w:r w:rsidRPr="002E4ECE">
        <w:rPr>
          <w:rFonts w:ascii="Arial" w:hAnsi="Arial" w:cs="Arial"/>
          <w:sz w:val="22"/>
          <w:szCs w:val="22"/>
        </w:rPr>
        <w:t xml:space="preserve">  The TTB regulations in 27 CFR part 19 require DSP proprietors to keep the records required under that part, including copies of any reports submitted to TTB, for at least three years from the date of the record or the date of the last entry, whichever is later.  In addition, DSP proprietors must make the required records available for TTB inspection during normal business hours.  See 27 CFR 19.574, 19.575, and 19.632. </w:t>
      </w:r>
    </w:p>
    <w:p w:rsidRPr="002E4ECE" w:rsidR="00AC19A4" w:rsidP="00AC19A4" w:rsidRDefault="00AC19A4" w14:paraId="253097B1" w14:textId="77777777">
      <w:pPr>
        <w:rPr>
          <w:rFonts w:ascii="Arial" w:hAnsi="Arial" w:cs="Arial"/>
          <w:sz w:val="28"/>
          <w:szCs w:val="28"/>
        </w:rPr>
      </w:pPr>
    </w:p>
    <w:p w:rsidRPr="002E4ECE" w:rsidR="00101DE7" w:rsidP="00D73D2D" w:rsidRDefault="00AF060A" w14:paraId="6BA05CED" w14:textId="77777777">
      <w:pPr>
        <w:suppressAutoHyphens/>
        <w:rPr>
          <w:rFonts w:ascii="Arial" w:hAnsi="Arial" w:cs="Arial"/>
          <w:i/>
          <w:sz w:val="22"/>
          <w:szCs w:val="22"/>
        </w:rPr>
      </w:pPr>
      <w:r w:rsidRPr="002E4ECE">
        <w:rPr>
          <w:rFonts w:ascii="Arial" w:hAnsi="Arial" w:cs="Arial"/>
          <w:i/>
          <w:sz w:val="22"/>
          <w:szCs w:val="22"/>
        </w:rPr>
        <w:t xml:space="preserve">13.  </w:t>
      </w:r>
      <w:r w:rsidRPr="002E4ECE" w:rsidR="00101DE7">
        <w:rPr>
          <w:rFonts w:ascii="Arial" w:hAnsi="Arial" w:cs="Arial"/>
          <w:i/>
          <w:sz w:val="22"/>
          <w:szCs w:val="22"/>
        </w:rPr>
        <w:t>What is the estimated annual cost burden to respondents or record keepers resulting from this information collection request (excluding the value of the hour burden</w:t>
      </w:r>
      <w:r w:rsidRPr="002E4ECE" w:rsidR="0033260C">
        <w:rPr>
          <w:rFonts w:ascii="Arial" w:hAnsi="Arial" w:cs="Arial"/>
          <w:i/>
          <w:sz w:val="22"/>
          <w:szCs w:val="22"/>
        </w:rPr>
        <w:t xml:space="preserve"> </w:t>
      </w:r>
      <w:r w:rsidRPr="002E4ECE" w:rsidR="00101DE7">
        <w:rPr>
          <w:rFonts w:ascii="Arial" w:hAnsi="Arial" w:cs="Arial"/>
          <w:i/>
          <w:sz w:val="22"/>
          <w:szCs w:val="22"/>
        </w:rPr>
        <w:t>in Question 12 above)?</w:t>
      </w:r>
      <w:r w:rsidRPr="002E4ECE">
        <w:rPr>
          <w:rFonts w:ascii="Arial" w:hAnsi="Arial" w:cs="Arial"/>
          <w:i/>
          <w:sz w:val="22"/>
          <w:szCs w:val="22"/>
        </w:rPr>
        <w:t xml:space="preserve"> </w:t>
      </w:r>
    </w:p>
    <w:p w:rsidRPr="002E4ECE" w:rsidR="00101DE7" w:rsidP="00D73D2D" w:rsidRDefault="00101DE7" w14:paraId="0219D81A" w14:textId="77777777">
      <w:pPr>
        <w:suppressAutoHyphens/>
        <w:ind w:left="480" w:hanging="480"/>
        <w:rPr>
          <w:rFonts w:ascii="Arial" w:hAnsi="Arial" w:cs="Arial"/>
          <w:sz w:val="22"/>
          <w:szCs w:val="22"/>
        </w:rPr>
      </w:pPr>
    </w:p>
    <w:p w:rsidRPr="002E4ECE" w:rsidR="00244F6E" w:rsidP="00244F6E" w:rsidRDefault="00244F6E" w14:paraId="081BED91" w14:textId="7CD1975F">
      <w:pPr>
        <w:suppressAutoHyphens/>
        <w:ind w:left="360"/>
        <w:rPr>
          <w:rFonts w:ascii="Arial" w:hAnsi="Arial" w:cs="Arial"/>
          <w:sz w:val="22"/>
          <w:szCs w:val="22"/>
        </w:rPr>
      </w:pPr>
      <w:r w:rsidRPr="002E4ECE">
        <w:rPr>
          <w:rFonts w:ascii="Arial" w:hAnsi="Arial" w:cs="Arial"/>
          <w:sz w:val="22"/>
          <w:szCs w:val="22"/>
        </w:rPr>
        <w:t xml:space="preserve">TTB believes there are no annualized capital, start-up, operational, or maintenance costs to respondents associated with this information collection, which generally consists of usual and customary distilled spirits production and inventory records kept during the normal course of business, as well as monthly submissions of distilled spirits production reports based on those records.  As for the submission of the required monthly DSP denaturation reports, for the </w:t>
      </w:r>
      <w:r w:rsidR="002B1BFE">
        <w:rPr>
          <w:rFonts w:ascii="Arial" w:hAnsi="Arial" w:cs="Arial"/>
          <w:sz w:val="22"/>
          <w:szCs w:val="22"/>
        </w:rPr>
        <w:t>40</w:t>
      </w:r>
      <w:r w:rsidRPr="002E4ECE">
        <w:rPr>
          <w:rFonts w:ascii="Arial" w:hAnsi="Arial" w:cs="Arial"/>
          <w:sz w:val="22"/>
          <w:szCs w:val="22"/>
        </w:rPr>
        <w:t xml:space="preserve"> percent of respondents (</w:t>
      </w:r>
      <w:r w:rsidR="002B1BFE">
        <w:rPr>
          <w:rFonts w:ascii="Arial" w:hAnsi="Arial" w:cs="Arial"/>
          <w:sz w:val="22"/>
          <w:szCs w:val="22"/>
        </w:rPr>
        <w:t>188</w:t>
      </w:r>
      <w:r w:rsidRPr="002E4ECE">
        <w:rPr>
          <w:rFonts w:ascii="Arial" w:hAnsi="Arial" w:cs="Arial"/>
          <w:sz w:val="22"/>
          <w:szCs w:val="22"/>
        </w:rPr>
        <w:t xml:space="preserve"> of 470) who submit monthly reports via the Pay.gov website, there are no mailing costs.  As for the 75 percent of respondents (</w:t>
      </w:r>
      <w:r w:rsidR="002B1BFE">
        <w:rPr>
          <w:rFonts w:ascii="Arial" w:hAnsi="Arial" w:cs="Arial"/>
          <w:sz w:val="22"/>
          <w:szCs w:val="22"/>
        </w:rPr>
        <w:t>282</w:t>
      </w:r>
      <w:r w:rsidRPr="002E4ECE">
        <w:rPr>
          <w:rFonts w:ascii="Arial" w:hAnsi="Arial" w:cs="Arial"/>
          <w:sz w:val="22"/>
          <w:szCs w:val="22"/>
        </w:rPr>
        <w:t xml:space="preserve"> of 460) who submit their monthly production reports to TTB by mail, TTB estimates annual postage and mailing supply costs as follows:  $2.00 for each response, $24.00 for each of </w:t>
      </w:r>
      <w:r w:rsidR="004B3E63">
        <w:rPr>
          <w:rFonts w:ascii="Arial" w:hAnsi="Arial" w:cs="Arial"/>
          <w:sz w:val="22"/>
          <w:szCs w:val="22"/>
        </w:rPr>
        <w:t xml:space="preserve">the </w:t>
      </w:r>
      <w:r w:rsidR="002B1BFE">
        <w:rPr>
          <w:rFonts w:ascii="Arial" w:hAnsi="Arial" w:cs="Arial"/>
          <w:sz w:val="22"/>
          <w:szCs w:val="22"/>
        </w:rPr>
        <w:t>282</w:t>
      </w:r>
      <w:r w:rsidRPr="002E4ECE">
        <w:rPr>
          <w:rFonts w:ascii="Arial" w:hAnsi="Arial" w:cs="Arial"/>
          <w:sz w:val="22"/>
          <w:szCs w:val="22"/>
        </w:rPr>
        <w:t xml:space="preserve"> respondents making 12 annual responses, </w:t>
      </w:r>
      <w:r w:rsidR="004B3E63">
        <w:rPr>
          <w:rFonts w:ascii="Arial" w:hAnsi="Arial" w:cs="Arial"/>
          <w:sz w:val="22"/>
          <w:szCs w:val="22"/>
        </w:rPr>
        <w:t xml:space="preserve">for a total of </w:t>
      </w:r>
      <w:r w:rsidRPr="002E4ECE">
        <w:rPr>
          <w:rFonts w:ascii="Arial" w:hAnsi="Arial" w:cs="Arial"/>
          <w:sz w:val="22"/>
          <w:szCs w:val="22"/>
        </w:rPr>
        <w:t>$</w:t>
      </w:r>
      <w:r w:rsidR="002B1BFE">
        <w:rPr>
          <w:rFonts w:ascii="Arial" w:hAnsi="Arial" w:cs="Arial"/>
          <w:sz w:val="22"/>
          <w:szCs w:val="22"/>
        </w:rPr>
        <w:t>6,768</w:t>
      </w:r>
      <w:r w:rsidRPr="002E4ECE" w:rsidR="007B336F">
        <w:rPr>
          <w:rFonts w:ascii="Arial" w:hAnsi="Arial" w:cs="Arial"/>
          <w:sz w:val="22"/>
          <w:szCs w:val="22"/>
        </w:rPr>
        <w:t>.00</w:t>
      </w:r>
      <w:r w:rsidRPr="002E4ECE">
        <w:rPr>
          <w:rFonts w:ascii="Arial" w:hAnsi="Arial" w:cs="Arial"/>
          <w:sz w:val="22"/>
          <w:szCs w:val="22"/>
        </w:rPr>
        <w:t xml:space="preserve"> in </w:t>
      </w:r>
      <w:r w:rsidR="004B3E63">
        <w:rPr>
          <w:rFonts w:ascii="Arial" w:hAnsi="Arial" w:cs="Arial"/>
          <w:sz w:val="22"/>
          <w:szCs w:val="22"/>
        </w:rPr>
        <w:t xml:space="preserve">such costs. </w:t>
      </w:r>
    </w:p>
    <w:p w:rsidRPr="002E4ECE" w:rsidR="00AF1157" w:rsidP="00D73D2D" w:rsidRDefault="00AF1157" w14:paraId="4A3677A6" w14:textId="77777777">
      <w:pPr>
        <w:suppressAutoHyphens/>
        <w:rPr>
          <w:rFonts w:ascii="Arial" w:hAnsi="Arial" w:cs="Arial"/>
          <w:sz w:val="28"/>
          <w:szCs w:val="28"/>
        </w:rPr>
      </w:pPr>
    </w:p>
    <w:p w:rsidRPr="002E4ECE" w:rsidR="00AF1157" w:rsidP="00D73D2D" w:rsidRDefault="00AF060A" w14:paraId="2698FA9E" w14:textId="77777777">
      <w:pPr>
        <w:suppressAutoHyphens/>
        <w:ind w:left="480" w:hanging="480"/>
        <w:rPr>
          <w:rFonts w:ascii="Arial" w:hAnsi="Arial" w:cs="Arial"/>
          <w:i/>
          <w:sz w:val="22"/>
          <w:szCs w:val="22"/>
        </w:rPr>
      </w:pPr>
      <w:r w:rsidRPr="002E4ECE">
        <w:rPr>
          <w:rFonts w:ascii="Arial" w:hAnsi="Arial" w:cs="Arial"/>
          <w:i/>
          <w:sz w:val="22"/>
          <w:szCs w:val="22"/>
        </w:rPr>
        <w:t xml:space="preserve">14.  </w:t>
      </w:r>
      <w:r w:rsidRPr="002E4ECE" w:rsidR="00AF1157">
        <w:rPr>
          <w:rFonts w:ascii="Arial" w:hAnsi="Arial" w:cs="Arial"/>
          <w:i/>
          <w:sz w:val="22"/>
          <w:szCs w:val="22"/>
        </w:rPr>
        <w:t>What is the annualized cost to the Federal Government?</w:t>
      </w:r>
      <w:r w:rsidRPr="002E4ECE">
        <w:rPr>
          <w:rFonts w:ascii="Arial" w:hAnsi="Arial" w:cs="Arial"/>
          <w:i/>
          <w:sz w:val="22"/>
          <w:szCs w:val="22"/>
        </w:rPr>
        <w:t xml:space="preserve"> </w:t>
      </w:r>
    </w:p>
    <w:p w:rsidRPr="002E4ECE" w:rsidR="00AF1157" w:rsidP="00D73D2D" w:rsidRDefault="00AF1157" w14:paraId="55D334AC" w14:textId="77777777">
      <w:pPr>
        <w:suppressAutoHyphens/>
        <w:ind w:left="480" w:hanging="480"/>
        <w:rPr>
          <w:rFonts w:ascii="Arial" w:hAnsi="Arial" w:cs="Arial"/>
          <w:sz w:val="22"/>
          <w:szCs w:val="22"/>
        </w:rPr>
      </w:pPr>
    </w:p>
    <w:p w:rsidRPr="002E4ECE" w:rsidR="00AF1157" w:rsidP="004D086A" w:rsidRDefault="00080BE5" w14:paraId="229889F2" w14:textId="5C65EE49">
      <w:pPr>
        <w:ind w:left="360"/>
        <w:rPr>
          <w:rFonts w:ascii="Arial" w:hAnsi="Arial" w:cs="Arial"/>
          <w:sz w:val="22"/>
          <w:szCs w:val="22"/>
        </w:rPr>
      </w:pPr>
      <w:r w:rsidRPr="002E4ECE">
        <w:rPr>
          <w:rFonts w:ascii="Arial" w:hAnsi="Arial" w:cs="Arial"/>
          <w:sz w:val="22"/>
          <w:szCs w:val="22"/>
        </w:rPr>
        <w:t>TTB e</w:t>
      </w:r>
      <w:r w:rsidRPr="002E4ECE" w:rsidR="00AF1157">
        <w:rPr>
          <w:rFonts w:ascii="Arial" w:hAnsi="Arial" w:cs="Arial"/>
          <w:sz w:val="22"/>
          <w:szCs w:val="22"/>
        </w:rPr>
        <w:t xml:space="preserve">stimates </w:t>
      </w:r>
      <w:r w:rsidRPr="002E4ECE">
        <w:rPr>
          <w:rFonts w:ascii="Arial" w:hAnsi="Arial" w:cs="Arial"/>
          <w:sz w:val="22"/>
          <w:szCs w:val="22"/>
        </w:rPr>
        <w:t>that the</w:t>
      </w:r>
      <w:r w:rsidRPr="002E4ECE" w:rsidR="00AF1157">
        <w:rPr>
          <w:rFonts w:ascii="Arial" w:hAnsi="Arial" w:cs="Arial"/>
          <w:sz w:val="22"/>
          <w:szCs w:val="22"/>
        </w:rPr>
        <w:t xml:space="preserve"> annual cost</w:t>
      </w:r>
      <w:r w:rsidRPr="002E4ECE">
        <w:rPr>
          <w:rFonts w:ascii="Arial" w:hAnsi="Arial" w:cs="Arial"/>
          <w:sz w:val="22"/>
          <w:szCs w:val="22"/>
        </w:rPr>
        <w:t>s</w:t>
      </w:r>
      <w:r w:rsidRPr="002E4ECE" w:rsidR="00AF1157">
        <w:rPr>
          <w:rFonts w:ascii="Arial" w:hAnsi="Arial" w:cs="Arial"/>
          <w:sz w:val="22"/>
          <w:szCs w:val="22"/>
        </w:rPr>
        <w:t xml:space="preserve"> to the Federal Government </w:t>
      </w:r>
      <w:r w:rsidRPr="002E4ECE">
        <w:rPr>
          <w:rFonts w:ascii="Arial" w:hAnsi="Arial" w:cs="Arial"/>
          <w:sz w:val="22"/>
          <w:szCs w:val="22"/>
        </w:rPr>
        <w:t xml:space="preserve">for this information collection </w:t>
      </w:r>
      <w:r w:rsidR="007C7AFF">
        <w:rPr>
          <w:rFonts w:ascii="Arial" w:hAnsi="Arial" w:cs="Arial"/>
          <w:sz w:val="22"/>
          <w:szCs w:val="22"/>
        </w:rPr>
        <w:t xml:space="preserve">are </w:t>
      </w:r>
      <w:r w:rsidRPr="002E4ECE" w:rsidR="007B336F">
        <w:rPr>
          <w:rFonts w:ascii="Arial" w:hAnsi="Arial" w:cs="Arial"/>
          <w:sz w:val="22"/>
          <w:szCs w:val="22"/>
        </w:rPr>
        <w:t xml:space="preserve">as follows:  </w:t>
      </w:r>
    </w:p>
    <w:p w:rsidRPr="002E4ECE" w:rsidR="00AF1157" w:rsidP="004D086A" w:rsidRDefault="00AF1157" w14:paraId="50F0CC20" w14:textId="77777777">
      <w:pPr>
        <w:ind w:left="360"/>
        <w:rPr>
          <w:rFonts w:ascii="Arial" w:hAnsi="Arial" w:cs="Arial"/>
          <w:sz w:val="22"/>
          <w:szCs w:val="22"/>
        </w:rPr>
      </w:pPr>
    </w:p>
    <w:p w:rsidRPr="002E4ECE" w:rsidR="007B336F" w:rsidP="007B336F" w:rsidRDefault="007B336F" w14:paraId="65D39C9D" w14:textId="3D58CF54">
      <w:pPr>
        <w:ind w:left="360"/>
        <w:rPr>
          <w:rFonts w:ascii="Arial" w:hAnsi="Arial" w:cs="Arial"/>
          <w:sz w:val="22"/>
          <w:szCs w:val="22"/>
        </w:rPr>
      </w:pPr>
      <w:r w:rsidRPr="002E4ECE">
        <w:rPr>
          <w:rFonts w:ascii="Arial" w:hAnsi="Arial" w:cs="Arial"/>
          <w:sz w:val="22"/>
          <w:szCs w:val="22"/>
          <w:u w:val="single"/>
        </w:rPr>
        <w:t>Labor costs:</w:t>
      </w:r>
      <w:r w:rsidRPr="002E4ECE">
        <w:rPr>
          <w:rFonts w:ascii="Arial" w:hAnsi="Arial" w:cs="Arial"/>
          <w:sz w:val="22"/>
          <w:szCs w:val="22"/>
        </w:rPr>
        <w:t xml:space="preserve">  </w:t>
      </w:r>
      <w:r w:rsidRPr="002E4ECE" w:rsidR="00217802">
        <w:rPr>
          <w:rFonts w:ascii="Arial" w:hAnsi="Arial" w:cs="Arial"/>
          <w:sz w:val="22"/>
          <w:szCs w:val="22"/>
        </w:rPr>
        <w:t xml:space="preserve">Clerks process received mail and Pay.gov submissions, complete data entry, and image received reports.  Specialists review denaturing reports for errors, unusual activities, and other factors.  As such, TTB </w:t>
      </w:r>
      <w:r w:rsidRPr="002E4ECE">
        <w:rPr>
          <w:rFonts w:ascii="Arial" w:hAnsi="Arial" w:cs="Arial"/>
          <w:sz w:val="22"/>
          <w:szCs w:val="22"/>
        </w:rPr>
        <w:t xml:space="preserve">estimates its annual labor costs for this information collection as follows: </w:t>
      </w:r>
    </w:p>
    <w:p w:rsidRPr="002E4ECE" w:rsidR="007B336F" w:rsidP="007B336F" w:rsidRDefault="007B336F" w14:paraId="022C17F8" w14:textId="34AF073A">
      <w:pPr>
        <w:ind w:left="360"/>
        <w:rPr>
          <w:rFonts w:ascii="Arial" w:hAnsi="Arial" w:cs="Arial"/>
          <w:sz w:val="22"/>
          <w:szCs w:val="22"/>
        </w:rPr>
      </w:pPr>
    </w:p>
    <w:tbl>
      <w:tblPr>
        <w:tblW w:w="8640" w:type="dxa"/>
        <w:jc w:val="center"/>
        <w:tblBorders>
          <w:top w:val="single" w:color="auto" w:sz="4" w:space="0"/>
          <w:left w:val="single" w:color="auto" w:sz="4" w:space="0"/>
          <w:bottom w:val="single" w:color="auto" w:sz="4" w:space="0"/>
          <w:right w:val="single" w:color="auto" w:sz="4" w:space="0"/>
          <w:insideH w:val="dotted" w:color="auto" w:sz="4" w:space="0"/>
          <w:insideV w:val="single" w:color="auto" w:sz="4" w:space="0"/>
        </w:tblBorders>
        <w:tblLayout w:type="fixed"/>
        <w:tblLook w:val="04A0" w:firstRow="1" w:lastRow="0" w:firstColumn="1" w:lastColumn="0" w:noHBand="0" w:noVBand="1"/>
      </w:tblPr>
      <w:tblGrid>
        <w:gridCol w:w="1615"/>
        <w:gridCol w:w="1710"/>
        <w:gridCol w:w="1260"/>
        <w:gridCol w:w="1440"/>
        <w:gridCol w:w="1175"/>
        <w:gridCol w:w="1440"/>
      </w:tblGrid>
      <w:tr w:rsidRPr="002E4ECE" w:rsidR="002E4ECE" w:rsidTr="007B336F" w14:paraId="4FD6F0FD" w14:textId="77777777">
        <w:trPr>
          <w:trHeight w:val="548"/>
          <w:jc w:val="center"/>
        </w:trPr>
        <w:tc>
          <w:tcPr>
            <w:tcW w:w="8640" w:type="dxa"/>
            <w:gridSpan w:val="6"/>
            <w:tcBorders>
              <w:top w:val="single" w:color="auto" w:sz="4" w:space="0"/>
              <w:left w:val="single" w:color="auto" w:sz="4" w:space="0"/>
              <w:bottom w:val="single" w:color="auto" w:sz="2" w:space="0"/>
              <w:right w:val="single" w:color="auto" w:sz="4" w:space="0"/>
            </w:tcBorders>
            <w:vAlign w:val="center"/>
            <w:hideMark/>
          </w:tcPr>
          <w:p w:rsidRPr="002E4ECE" w:rsidR="007B336F" w:rsidP="007B336F" w:rsidRDefault="007B336F" w14:paraId="1A375DDB" w14:textId="77777777">
            <w:pPr>
              <w:jc w:val="center"/>
              <w:rPr>
                <w:rFonts w:ascii="Arial" w:hAnsi="Arial" w:cs="Arial"/>
                <w:b/>
                <w:sz w:val="20"/>
                <w:szCs w:val="20"/>
              </w:rPr>
            </w:pPr>
            <w:r w:rsidRPr="002E4ECE">
              <w:rPr>
                <w:rFonts w:ascii="Arial" w:hAnsi="Arial" w:cs="Arial"/>
                <w:b/>
                <w:sz w:val="20"/>
                <w:szCs w:val="20"/>
              </w:rPr>
              <w:t xml:space="preserve">Labor Costs for Personnel at TTB’s National Revenue Center in Cincinnati, Ohio, </w:t>
            </w:r>
          </w:p>
          <w:p w:rsidRPr="002E4ECE" w:rsidR="007B336F" w:rsidP="007B336F" w:rsidRDefault="007B336F" w14:paraId="4BC14092" w14:textId="18309100">
            <w:pPr>
              <w:jc w:val="center"/>
              <w:rPr>
                <w:rFonts w:ascii="Arial" w:hAnsi="Arial" w:cs="Arial"/>
                <w:b/>
                <w:sz w:val="20"/>
                <w:szCs w:val="20"/>
              </w:rPr>
            </w:pPr>
            <w:r w:rsidRPr="002E4ECE">
              <w:rPr>
                <w:rFonts w:ascii="Arial" w:hAnsi="Arial" w:cs="Arial"/>
                <w:b/>
                <w:sz w:val="20"/>
                <w:szCs w:val="20"/>
              </w:rPr>
              <w:t>for OMB No. 1513–0049*</w:t>
            </w:r>
          </w:p>
        </w:tc>
      </w:tr>
      <w:tr w:rsidRPr="002E4ECE" w:rsidR="002E4ECE" w:rsidTr="00AE08B9" w14:paraId="71AF710D" w14:textId="77777777">
        <w:trPr>
          <w:trHeight w:val="670"/>
          <w:jc w:val="center"/>
        </w:trPr>
        <w:tc>
          <w:tcPr>
            <w:tcW w:w="1615" w:type="dxa"/>
            <w:tcBorders>
              <w:top w:val="single" w:color="auto" w:sz="2" w:space="0"/>
              <w:left w:val="single" w:color="auto" w:sz="2" w:space="0"/>
              <w:bottom w:val="single" w:color="auto" w:sz="2" w:space="0"/>
              <w:right w:val="single" w:color="auto" w:sz="2" w:space="0"/>
            </w:tcBorders>
            <w:vAlign w:val="center"/>
            <w:hideMark/>
          </w:tcPr>
          <w:p w:rsidRPr="002E4ECE" w:rsidR="007B336F" w:rsidP="007B336F" w:rsidRDefault="007B336F" w14:paraId="03E7EC7C" w14:textId="1CA24AB9">
            <w:pPr>
              <w:jc w:val="center"/>
              <w:rPr>
                <w:rFonts w:ascii="Arial" w:hAnsi="Arial" w:cs="Arial"/>
                <w:sz w:val="20"/>
                <w:szCs w:val="20"/>
              </w:rPr>
            </w:pPr>
            <w:r w:rsidRPr="002E4ECE">
              <w:rPr>
                <w:rFonts w:ascii="Arial" w:hAnsi="Arial" w:cs="Arial"/>
                <w:sz w:val="20"/>
                <w:szCs w:val="20"/>
              </w:rPr>
              <w:t>Position</w:t>
            </w:r>
          </w:p>
        </w:tc>
        <w:tc>
          <w:tcPr>
            <w:tcW w:w="1710" w:type="dxa"/>
            <w:tcBorders>
              <w:top w:val="single" w:color="auto" w:sz="2" w:space="0"/>
              <w:left w:val="single" w:color="auto" w:sz="2" w:space="0"/>
              <w:bottom w:val="single" w:color="auto" w:sz="2" w:space="0"/>
              <w:right w:val="single" w:color="auto" w:sz="2" w:space="0"/>
            </w:tcBorders>
            <w:tcMar>
              <w:top w:w="0" w:type="dxa"/>
              <w:left w:w="29" w:type="dxa"/>
              <w:bottom w:w="0" w:type="dxa"/>
              <w:right w:w="29" w:type="dxa"/>
            </w:tcMar>
            <w:vAlign w:val="center"/>
            <w:hideMark/>
          </w:tcPr>
          <w:p w:rsidRPr="002E4ECE" w:rsidR="007B336F" w:rsidP="007B336F" w:rsidRDefault="007B336F" w14:paraId="73680AF7" w14:textId="77777777">
            <w:pPr>
              <w:jc w:val="center"/>
              <w:rPr>
                <w:rFonts w:ascii="Arial" w:hAnsi="Arial" w:cs="Arial"/>
                <w:sz w:val="20"/>
                <w:szCs w:val="20"/>
              </w:rPr>
            </w:pPr>
            <w:r w:rsidRPr="002E4ECE">
              <w:rPr>
                <w:rFonts w:ascii="Arial" w:hAnsi="Arial" w:cs="Arial"/>
                <w:sz w:val="20"/>
                <w:szCs w:val="20"/>
              </w:rPr>
              <w:t>Fully-loaded Labor Rate/Hour</w:t>
            </w:r>
            <w:r w:rsidRPr="002E4ECE">
              <w:rPr>
                <w:rFonts w:ascii="Arial" w:hAnsi="Arial" w:cs="Arial"/>
                <w:sz w:val="20"/>
                <w:szCs w:val="20"/>
                <w:vertAlign w:val="superscript"/>
              </w:rPr>
              <w:footnoteReference w:id="3"/>
            </w:r>
          </w:p>
        </w:tc>
        <w:tc>
          <w:tcPr>
            <w:tcW w:w="1260" w:type="dxa"/>
            <w:tcBorders>
              <w:top w:val="single" w:color="auto" w:sz="2" w:space="0"/>
              <w:left w:val="single" w:color="auto" w:sz="2" w:space="0"/>
              <w:bottom w:val="single" w:color="auto" w:sz="2" w:space="0"/>
              <w:right w:val="single" w:color="auto" w:sz="2" w:space="0"/>
            </w:tcBorders>
            <w:tcMar>
              <w:top w:w="0" w:type="dxa"/>
              <w:left w:w="29" w:type="dxa"/>
              <w:bottom w:w="0" w:type="dxa"/>
              <w:right w:w="29" w:type="dxa"/>
            </w:tcMar>
            <w:vAlign w:val="center"/>
            <w:hideMark/>
          </w:tcPr>
          <w:p w:rsidRPr="002E4ECE" w:rsidR="007B336F" w:rsidP="007B336F" w:rsidRDefault="007B336F" w14:paraId="79798F3A" w14:textId="77777777">
            <w:pPr>
              <w:jc w:val="center"/>
              <w:rPr>
                <w:rFonts w:ascii="Arial" w:hAnsi="Arial" w:cs="Arial"/>
                <w:sz w:val="20"/>
                <w:szCs w:val="20"/>
              </w:rPr>
            </w:pPr>
            <w:r w:rsidRPr="002E4ECE">
              <w:rPr>
                <w:rFonts w:ascii="Arial" w:hAnsi="Arial" w:cs="Arial"/>
                <w:sz w:val="20"/>
                <w:szCs w:val="20"/>
              </w:rPr>
              <w:t>Processing Time per Response</w:t>
            </w:r>
          </w:p>
        </w:tc>
        <w:tc>
          <w:tcPr>
            <w:tcW w:w="1440" w:type="dxa"/>
            <w:tcBorders>
              <w:top w:val="single" w:color="auto" w:sz="2" w:space="0"/>
              <w:left w:val="single" w:color="auto" w:sz="2" w:space="0"/>
              <w:bottom w:val="single" w:color="auto" w:sz="2" w:space="0"/>
              <w:right w:val="single" w:color="auto" w:sz="2" w:space="0"/>
            </w:tcBorders>
            <w:tcMar>
              <w:top w:w="0" w:type="dxa"/>
              <w:left w:w="29" w:type="dxa"/>
              <w:bottom w:w="0" w:type="dxa"/>
              <w:right w:w="29" w:type="dxa"/>
            </w:tcMar>
            <w:vAlign w:val="center"/>
            <w:hideMark/>
          </w:tcPr>
          <w:p w:rsidRPr="002E4ECE" w:rsidR="007B336F" w:rsidP="007B336F" w:rsidRDefault="007B336F" w14:paraId="47789AAF" w14:textId="77777777">
            <w:pPr>
              <w:jc w:val="center"/>
              <w:rPr>
                <w:rFonts w:ascii="Arial" w:hAnsi="Arial" w:cs="Arial"/>
                <w:sz w:val="20"/>
                <w:szCs w:val="20"/>
              </w:rPr>
            </w:pPr>
            <w:r w:rsidRPr="002E4ECE">
              <w:rPr>
                <w:rFonts w:ascii="Arial" w:hAnsi="Arial" w:cs="Arial"/>
                <w:sz w:val="20"/>
                <w:szCs w:val="20"/>
              </w:rPr>
              <w:t>Labor Costs per Response</w:t>
            </w:r>
          </w:p>
        </w:tc>
        <w:tc>
          <w:tcPr>
            <w:tcW w:w="1175" w:type="dxa"/>
            <w:tcBorders>
              <w:top w:val="single" w:color="auto" w:sz="2" w:space="0"/>
              <w:left w:val="single" w:color="auto" w:sz="2" w:space="0"/>
              <w:bottom w:val="single" w:color="auto" w:sz="2" w:space="0"/>
              <w:right w:val="single" w:color="auto" w:sz="2" w:space="0"/>
            </w:tcBorders>
            <w:tcMar>
              <w:top w:w="0" w:type="dxa"/>
              <w:left w:w="29" w:type="dxa"/>
              <w:bottom w:w="0" w:type="dxa"/>
              <w:right w:w="29" w:type="dxa"/>
            </w:tcMar>
            <w:vAlign w:val="center"/>
            <w:hideMark/>
          </w:tcPr>
          <w:p w:rsidRPr="002E4ECE" w:rsidR="007B336F" w:rsidP="007B336F" w:rsidRDefault="007B336F" w14:paraId="78D2F3BA" w14:textId="77777777">
            <w:pPr>
              <w:jc w:val="center"/>
              <w:rPr>
                <w:rFonts w:ascii="Arial" w:hAnsi="Arial" w:cs="Arial"/>
                <w:sz w:val="20"/>
                <w:szCs w:val="20"/>
              </w:rPr>
            </w:pPr>
            <w:r w:rsidRPr="002E4ECE">
              <w:rPr>
                <w:rFonts w:ascii="Arial" w:hAnsi="Arial" w:cs="Arial"/>
                <w:sz w:val="20"/>
                <w:szCs w:val="20"/>
              </w:rPr>
              <w:t>Total Responses</w:t>
            </w:r>
          </w:p>
        </w:tc>
        <w:tc>
          <w:tcPr>
            <w:tcW w:w="1440" w:type="dxa"/>
            <w:tcBorders>
              <w:top w:val="single" w:color="auto" w:sz="2" w:space="0"/>
              <w:left w:val="single" w:color="auto" w:sz="2" w:space="0"/>
              <w:bottom w:val="single" w:color="auto" w:sz="2" w:space="0"/>
              <w:right w:val="single" w:color="auto" w:sz="2" w:space="0"/>
            </w:tcBorders>
            <w:tcMar>
              <w:top w:w="0" w:type="dxa"/>
              <w:left w:w="29" w:type="dxa"/>
              <w:bottom w:w="0" w:type="dxa"/>
              <w:right w:w="29" w:type="dxa"/>
            </w:tcMar>
            <w:vAlign w:val="center"/>
            <w:hideMark/>
          </w:tcPr>
          <w:p w:rsidRPr="002E4ECE" w:rsidR="007B336F" w:rsidP="007B336F" w:rsidRDefault="007B336F" w14:paraId="4FDD23B3" w14:textId="77777777">
            <w:pPr>
              <w:jc w:val="center"/>
              <w:rPr>
                <w:rFonts w:ascii="Arial" w:hAnsi="Arial" w:cs="Arial"/>
                <w:sz w:val="20"/>
                <w:szCs w:val="20"/>
              </w:rPr>
            </w:pPr>
            <w:r w:rsidRPr="002E4ECE">
              <w:rPr>
                <w:rFonts w:ascii="Arial" w:hAnsi="Arial" w:cs="Arial"/>
                <w:sz w:val="20"/>
                <w:szCs w:val="20"/>
              </w:rPr>
              <w:t>Total TTB Labor Costs</w:t>
            </w:r>
          </w:p>
        </w:tc>
      </w:tr>
      <w:tr w:rsidRPr="002E4ECE" w:rsidR="002E4ECE" w:rsidTr="00AE08B9" w14:paraId="0237A2AE" w14:textId="77777777">
        <w:trPr>
          <w:trHeight w:val="508"/>
          <w:jc w:val="center"/>
        </w:trPr>
        <w:tc>
          <w:tcPr>
            <w:tcW w:w="1615" w:type="dxa"/>
            <w:tcBorders>
              <w:top w:val="single" w:color="auto" w:sz="2" w:space="0"/>
              <w:left w:val="single" w:color="auto" w:sz="4" w:space="0"/>
              <w:bottom w:val="dotted" w:color="auto" w:sz="4" w:space="0"/>
              <w:right w:val="single" w:color="auto" w:sz="4" w:space="0"/>
            </w:tcBorders>
            <w:vAlign w:val="center"/>
            <w:hideMark/>
          </w:tcPr>
          <w:p w:rsidRPr="002E4ECE" w:rsidR="007B336F" w:rsidP="007B336F" w:rsidRDefault="007B336F" w14:paraId="7290F68E" w14:textId="081F597B">
            <w:pPr>
              <w:jc w:val="center"/>
              <w:rPr>
                <w:rFonts w:ascii="Arial" w:hAnsi="Arial" w:cs="Arial"/>
                <w:sz w:val="20"/>
                <w:szCs w:val="20"/>
              </w:rPr>
            </w:pPr>
            <w:r w:rsidRPr="002E4ECE">
              <w:rPr>
                <w:rFonts w:ascii="Arial" w:hAnsi="Arial" w:cs="Arial"/>
                <w:sz w:val="20"/>
                <w:szCs w:val="20"/>
              </w:rPr>
              <w:t xml:space="preserve">GS–5, Step 5, </w:t>
            </w:r>
          </w:p>
          <w:p w:rsidRPr="002E4ECE" w:rsidR="007B336F" w:rsidP="007B336F" w:rsidRDefault="007B336F" w14:paraId="3E4FA916" w14:textId="6C0DDC5B">
            <w:pPr>
              <w:jc w:val="center"/>
              <w:rPr>
                <w:rFonts w:ascii="Arial" w:hAnsi="Arial" w:cs="Arial"/>
                <w:sz w:val="20"/>
                <w:szCs w:val="20"/>
              </w:rPr>
            </w:pPr>
            <w:r w:rsidRPr="002E4ECE">
              <w:rPr>
                <w:rFonts w:ascii="Arial" w:hAnsi="Arial" w:cs="Arial"/>
                <w:sz w:val="20"/>
                <w:szCs w:val="20"/>
              </w:rPr>
              <w:t xml:space="preserve">Clerk </w:t>
            </w:r>
          </w:p>
        </w:tc>
        <w:tc>
          <w:tcPr>
            <w:tcW w:w="1710" w:type="dxa"/>
            <w:tcBorders>
              <w:top w:val="single" w:color="auto" w:sz="2" w:space="0"/>
              <w:left w:val="single" w:color="auto" w:sz="4" w:space="0"/>
              <w:bottom w:val="dotted" w:color="auto" w:sz="4" w:space="0"/>
              <w:right w:val="single" w:color="auto" w:sz="4" w:space="0"/>
            </w:tcBorders>
            <w:tcMar>
              <w:top w:w="0" w:type="dxa"/>
              <w:left w:w="29" w:type="dxa"/>
              <w:bottom w:w="0" w:type="dxa"/>
              <w:right w:w="29" w:type="dxa"/>
            </w:tcMar>
            <w:vAlign w:val="center"/>
          </w:tcPr>
          <w:p w:rsidRPr="002E4ECE" w:rsidR="007B336F" w:rsidP="007B336F" w:rsidRDefault="00217802" w14:paraId="11168271" w14:textId="44D7AF8D">
            <w:pPr>
              <w:jc w:val="center"/>
              <w:rPr>
                <w:rFonts w:ascii="Arial" w:hAnsi="Arial" w:cs="Arial"/>
                <w:sz w:val="20"/>
                <w:szCs w:val="20"/>
              </w:rPr>
            </w:pPr>
            <w:r w:rsidRPr="002E4ECE">
              <w:rPr>
                <w:rFonts w:ascii="Arial" w:hAnsi="Arial" w:cs="Arial"/>
                <w:sz w:val="20"/>
                <w:szCs w:val="20"/>
              </w:rPr>
              <w:t>$33.27</w:t>
            </w:r>
          </w:p>
        </w:tc>
        <w:tc>
          <w:tcPr>
            <w:tcW w:w="1260" w:type="dxa"/>
            <w:tcBorders>
              <w:top w:val="single" w:color="auto" w:sz="2" w:space="0"/>
              <w:left w:val="single" w:color="auto" w:sz="4" w:space="0"/>
              <w:bottom w:val="dotted" w:color="auto" w:sz="4" w:space="0"/>
              <w:right w:val="single" w:color="auto" w:sz="4" w:space="0"/>
            </w:tcBorders>
            <w:tcMar>
              <w:top w:w="0" w:type="dxa"/>
              <w:left w:w="29" w:type="dxa"/>
              <w:bottom w:w="0" w:type="dxa"/>
              <w:right w:w="29" w:type="dxa"/>
            </w:tcMar>
            <w:vAlign w:val="center"/>
          </w:tcPr>
          <w:p w:rsidRPr="002E4ECE" w:rsidR="007B336F" w:rsidP="00AE08B9" w:rsidRDefault="00AE08B9" w14:paraId="2796ED89" w14:textId="7445908E">
            <w:pPr>
              <w:jc w:val="center"/>
              <w:rPr>
                <w:rFonts w:ascii="Arial" w:hAnsi="Arial" w:cs="Arial"/>
                <w:sz w:val="20"/>
                <w:szCs w:val="20"/>
              </w:rPr>
            </w:pPr>
            <w:r w:rsidRPr="002E4ECE">
              <w:rPr>
                <w:rFonts w:ascii="Arial" w:hAnsi="Arial" w:cs="Arial"/>
                <w:sz w:val="20"/>
                <w:szCs w:val="20"/>
              </w:rPr>
              <w:t>1.67 hours</w:t>
            </w:r>
          </w:p>
        </w:tc>
        <w:tc>
          <w:tcPr>
            <w:tcW w:w="1440" w:type="dxa"/>
            <w:tcBorders>
              <w:top w:val="single" w:color="auto" w:sz="2" w:space="0"/>
              <w:left w:val="single" w:color="auto" w:sz="4" w:space="0"/>
              <w:bottom w:val="dotted" w:color="auto" w:sz="4" w:space="0"/>
              <w:right w:val="single" w:color="auto" w:sz="4" w:space="0"/>
            </w:tcBorders>
            <w:tcMar>
              <w:top w:w="0" w:type="dxa"/>
              <w:left w:w="29" w:type="dxa"/>
              <w:bottom w:w="0" w:type="dxa"/>
              <w:right w:w="29" w:type="dxa"/>
            </w:tcMar>
            <w:vAlign w:val="center"/>
          </w:tcPr>
          <w:p w:rsidRPr="002E4ECE" w:rsidR="007B336F" w:rsidP="007B336F" w:rsidRDefault="00AE08B9" w14:paraId="64237B5B" w14:textId="218A7E9C">
            <w:pPr>
              <w:jc w:val="center"/>
              <w:rPr>
                <w:rFonts w:ascii="Arial" w:hAnsi="Arial" w:cs="Arial"/>
                <w:sz w:val="20"/>
                <w:szCs w:val="20"/>
              </w:rPr>
            </w:pPr>
            <w:r w:rsidRPr="002E4ECE">
              <w:rPr>
                <w:rFonts w:ascii="Arial" w:hAnsi="Arial" w:cs="Arial"/>
                <w:sz w:val="20"/>
                <w:szCs w:val="20"/>
              </w:rPr>
              <w:t>$55.56</w:t>
            </w:r>
          </w:p>
        </w:tc>
        <w:tc>
          <w:tcPr>
            <w:tcW w:w="1175" w:type="dxa"/>
            <w:vMerge w:val="restart"/>
            <w:tcBorders>
              <w:top w:val="single" w:color="auto" w:sz="2" w:space="0"/>
              <w:left w:val="single" w:color="auto" w:sz="4" w:space="0"/>
              <w:bottom w:val="single" w:color="auto" w:sz="4" w:space="0"/>
              <w:right w:val="single" w:color="auto" w:sz="4" w:space="0"/>
            </w:tcBorders>
            <w:tcMar>
              <w:top w:w="0" w:type="dxa"/>
              <w:left w:w="29" w:type="dxa"/>
              <w:bottom w:w="0" w:type="dxa"/>
              <w:right w:w="29" w:type="dxa"/>
            </w:tcMar>
            <w:vAlign w:val="center"/>
          </w:tcPr>
          <w:p w:rsidRPr="002E4ECE" w:rsidR="007B336F" w:rsidP="007B336F" w:rsidRDefault="00AE08B9" w14:paraId="4040430D" w14:textId="137EA578">
            <w:pPr>
              <w:jc w:val="center"/>
              <w:rPr>
                <w:rFonts w:ascii="Arial" w:hAnsi="Arial" w:cs="Arial"/>
                <w:sz w:val="20"/>
                <w:szCs w:val="20"/>
              </w:rPr>
            </w:pPr>
            <w:r w:rsidRPr="002E4ECE">
              <w:rPr>
                <w:rFonts w:ascii="Arial" w:hAnsi="Arial" w:cs="Arial"/>
                <w:sz w:val="20"/>
                <w:szCs w:val="20"/>
              </w:rPr>
              <w:t>5,640</w:t>
            </w:r>
          </w:p>
        </w:tc>
        <w:tc>
          <w:tcPr>
            <w:tcW w:w="1440" w:type="dxa"/>
            <w:tcBorders>
              <w:top w:val="single" w:color="auto" w:sz="2" w:space="0"/>
              <w:left w:val="single" w:color="auto" w:sz="4" w:space="0"/>
              <w:bottom w:val="dotted" w:color="auto" w:sz="4" w:space="0"/>
              <w:right w:val="single" w:color="auto" w:sz="4" w:space="0"/>
            </w:tcBorders>
            <w:tcMar>
              <w:top w:w="0" w:type="dxa"/>
              <w:left w:w="29" w:type="dxa"/>
              <w:bottom w:w="0" w:type="dxa"/>
              <w:right w:w="29" w:type="dxa"/>
            </w:tcMar>
            <w:vAlign w:val="center"/>
          </w:tcPr>
          <w:p w:rsidRPr="002E4ECE" w:rsidR="007B336F" w:rsidP="007B336F" w:rsidRDefault="00AE08B9" w14:paraId="7C592043" w14:textId="2D67DD6D">
            <w:pPr>
              <w:jc w:val="center"/>
              <w:rPr>
                <w:rFonts w:ascii="Arial" w:hAnsi="Arial" w:cs="Arial"/>
                <w:sz w:val="20"/>
                <w:szCs w:val="20"/>
              </w:rPr>
            </w:pPr>
            <w:r w:rsidRPr="002E4ECE">
              <w:rPr>
                <w:rFonts w:ascii="Arial" w:hAnsi="Arial" w:cs="Arial"/>
                <w:sz w:val="20"/>
                <w:szCs w:val="20"/>
              </w:rPr>
              <w:t>$313,358.40</w:t>
            </w:r>
          </w:p>
        </w:tc>
      </w:tr>
      <w:tr w:rsidRPr="002E4ECE" w:rsidR="002E4ECE" w:rsidTr="00AE08B9" w14:paraId="4C86535D" w14:textId="77777777">
        <w:trPr>
          <w:trHeight w:val="440"/>
          <w:jc w:val="center"/>
        </w:trPr>
        <w:tc>
          <w:tcPr>
            <w:tcW w:w="1615" w:type="dxa"/>
            <w:tcBorders>
              <w:top w:val="dotted" w:color="auto" w:sz="4" w:space="0"/>
              <w:left w:val="single" w:color="auto" w:sz="4" w:space="0"/>
              <w:bottom w:val="single" w:color="auto" w:sz="4" w:space="0"/>
              <w:right w:val="single" w:color="auto" w:sz="4" w:space="0"/>
            </w:tcBorders>
            <w:vAlign w:val="center"/>
            <w:hideMark/>
          </w:tcPr>
          <w:p w:rsidRPr="002E4ECE" w:rsidR="007B336F" w:rsidP="007B336F" w:rsidRDefault="007B336F" w14:paraId="2B6895E6" w14:textId="77777777">
            <w:pPr>
              <w:jc w:val="center"/>
              <w:rPr>
                <w:rFonts w:ascii="Arial" w:hAnsi="Arial" w:cs="Arial"/>
                <w:sz w:val="20"/>
                <w:szCs w:val="20"/>
              </w:rPr>
            </w:pPr>
            <w:r w:rsidRPr="002E4ECE">
              <w:rPr>
                <w:rFonts w:ascii="Arial" w:hAnsi="Arial" w:cs="Arial"/>
                <w:sz w:val="20"/>
                <w:szCs w:val="20"/>
              </w:rPr>
              <w:t>GS–11, Step 5, Specialist</w:t>
            </w:r>
          </w:p>
        </w:tc>
        <w:tc>
          <w:tcPr>
            <w:tcW w:w="1710" w:type="dxa"/>
            <w:tcBorders>
              <w:top w:val="dotted" w:color="auto" w:sz="4" w:space="0"/>
              <w:left w:val="single" w:color="auto" w:sz="4" w:space="0"/>
              <w:bottom w:val="single" w:color="auto" w:sz="4" w:space="0"/>
              <w:right w:val="single" w:color="auto" w:sz="4" w:space="0"/>
            </w:tcBorders>
            <w:tcMar>
              <w:top w:w="0" w:type="dxa"/>
              <w:left w:w="29" w:type="dxa"/>
              <w:bottom w:w="0" w:type="dxa"/>
              <w:right w:w="29" w:type="dxa"/>
            </w:tcMar>
            <w:vAlign w:val="center"/>
          </w:tcPr>
          <w:p w:rsidRPr="002E4ECE" w:rsidR="007B336F" w:rsidP="007B336F" w:rsidRDefault="00217802" w14:paraId="664B643C" w14:textId="3DE13D68">
            <w:pPr>
              <w:jc w:val="center"/>
              <w:rPr>
                <w:rFonts w:ascii="Arial" w:hAnsi="Arial" w:cs="Arial"/>
                <w:sz w:val="20"/>
                <w:szCs w:val="20"/>
              </w:rPr>
            </w:pPr>
            <w:r w:rsidRPr="002E4ECE">
              <w:rPr>
                <w:rFonts w:ascii="Arial" w:hAnsi="Arial" w:cs="Arial"/>
                <w:sz w:val="20"/>
                <w:szCs w:val="20"/>
              </w:rPr>
              <w:t>$60.99</w:t>
            </w:r>
          </w:p>
        </w:tc>
        <w:tc>
          <w:tcPr>
            <w:tcW w:w="1260" w:type="dxa"/>
            <w:tcBorders>
              <w:top w:val="dotted" w:color="auto" w:sz="4" w:space="0"/>
              <w:left w:val="single" w:color="auto" w:sz="4" w:space="0"/>
              <w:bottom w:val="single" w:color="auto" w:sz="4" w:space="0"/>
              <w:right w:val="single" w:color="auto" w:sz="4" w:space="0"/>
            </w:tcBorders>
            <w:tcMar>
              <w:top w:w="0" w:type="dxa"/>
              <w:left w:w="29" w:type="dxa"/>
              <w:bottom w:w="0" w:type="dxa"/>
              <w:right w:w="29" w:type="dxa"/>
            </w:tcMar>
            <w:vAlign w:val="center"/>
          </w:tcPr>
          <w:p w:rsidRPr="002E4ECE" w:rsidR="007B336F" w:rsidP="00AE08B9" w:rsidRDefault="00AE08B9" w14:paraId="75512DCE" w14:textId="0D1DB9A1">
            <w:pPr>
              <w:jc w:val="center"/>
              <w:rPr>
                <w:rFonts w:ascii="Arial" w:hAnsi="Arial" w:cs="Arial"/>
                <w:sz w:val="20"/>
                <w:szCs w:val="20"/>
              </w:rPr>
            </w:pPr>
            <w:r w:rsidRPr="002E4ECE">
              <w:rPr>
                <w:rFonts w:ascii="Arial" w:hAnsi="Arial" w:cs="Arial"/>
                <w:sz w:val="20"/>
                <w:szCs w:val="20"/>
              </w:rPr>
              <w:t>0.33 hour</w:t>
            </w:r>
          </w:p>
        </w:tc>
        <w:tc>
          <w:tcPr>
            <w:tcW w:w="1440" w:type="dxa"/>
            <w:tcBorders>
              <w:top w:val="dotted" w:color="auto" w:sz="4" w:space="0"/>
              <w:left w:val="single" w:color="auto" w:sz="4" w:space="0"/>
              <w:bottom w:val="single" w:color="auto" w:sz="4" w:space="0"/>
              <w:right w:val="single" w:color="auto" w:sz="4" w:space="0"/>
            </w:tcBorders>
            <w:tcMar>
              <w:top w:w="0" w:type="dxa"/>
              <w:left w:w="29" w:type="dxa"/>
              <w:bottom w:w="0" w:type="dxa"/>
              <w:right w:w="29" w:type="dxa"/>
            </w:tcMar>
            <w:vAlign w:val="center"/>
          </w:tcPr>
          <w:p w:rsidRPr="002E4ECE" w:rsidR="007B336F" w:rsidP="007B336F" w:rsidRDefault="00AE08B9" w14:paraId="46573A23" w14:textId="27D6CD0F">
            <w:pPr>
              <w:jc w:val="center"/>
              <w:rPr>
                <w:rFonts w:ascii="Arial" w:hAnsi="Arial" w:cs="Arial"/>
                <w:sz w:val="20"/>
                <w:szCs w:val="20"/>
              </w:rPr>
            </w:pPr>
            <w:r w:rsidRPr="002E4ECE">
              <w:rPr>
                <w:rFonts w:ascii="Arial" w:hAnsi="Arial" w:cs="Arial"/>
                <w:sz w:val="20"/>
                <w:szCs w:val="20"/>
              </w:rPr>
              <w:t>$20.13</w:t>
            </w:r>
          </w:p>
        </w:tc>
        <w:tc>
          <w:tcPr>
            <w:tcW w:w="1175" w:type="dxa"/>
            <w:vMerge/>
            <w:tcBorders>
              <w:top w:val="single" w:color="auto" w:sz="2" w:space="0"/>
              <w:left w:val="single" w:color="auto" w:sz="4" w:space="0"/>
              <w:bottom w:val="single" w:color="auto" w:sz="4" w:space="0"/>
              <w:right w:val="single" w:color="auto" w:sz="4" w:space="0"/>
            </w:tcBorders>
            <w:vAlign w:val="center"/>
          </w:tcPr>
          <w:p w:rsidRPr="002E4ECE" w:rsidR="007B336F" w:rsidP="007B336F" w:rsidRDefault="007B336F" w14:paraId="1B5E25C3" w14:textId="77777777">
            <w:pPr>
              <w:jc w:val="center"/>
              <w:rPr>
                <w:rFonts w:ascii="Arial" w:hAnsi="Arial" w:cs="Arial"/>
                <w:sz w:val="20"/>
                <w:szCs w:val="20"/>
              </w:rPr>
            </w:pPr>
          </w:p>
        </w:tc>
        <w:tc>
          <w:tcPr>
            <w:tcW w:w="1440" w:type="dxa"/>
            <w:tcBorders>
              <w:top w:val="dotted" w:color="auto" w:sz="4" w:space="0"/>
              <w:left w:val="single" w:color="auto" w:sz="4" w:space="0"/>
              <w:bottom w:val="single" w:color="auto" w:sz="4" w:space="0"/>
              <w:right w:val="single" w:color="auto" w:sz="4" w:space="0"/>
            </w:tcBorders>
            <w:tcMar>
              <w:top w:w="0" w:type="dxa"/>
              <w:left w:w="29" w:type="dxa"/>
              <w:bottom w:w="0" w:type="dxa"/>
              <w:right w:w="29" w:type="dxa"/>
            </w:tcMar>
            <w:vAlign w:val="center"/>
          </w:tcPr>
          <w:p w:rsidRPr="002E4ECE" w:rsidR="007B336F" w:rsidP="007B336F" w:rsidRDefault="00AE08B9" w14:paraId="05DB638A" w14:textId="5E4A8B33">
            <w:pPr>
              <w:jc w:val="center"/>
              <w:rPr>
                <w:rFonts w:ascii="Arial" w:hAnsi="Arial" w:cs="Arial"/>
                <w:sz w:val="20"/>
                <w:szCs w:val="20"/>
              </w:rPr>
            </w:pPr>
            <w:r w:rsidRPr="002E4ECE">
              <w:rPr>
                <w:rFonts w:ascii="Arial" w:hAnsi="Arial" w:cs="Arial"/>
                <w:sz w:val="20"/>
                <w:szCs w:val="20"/>
              </w:rPr>
              <w:t>$113,533.20</w:t>
            </w:r>
          </w:p>
        </w:tc>
      </w:tr>
      <w:tr w:rsidRPr="002E4ECE" w:rsidR="002E4ECE" w:rsidTr="007B336F" w14:paraId="5A044D96" w14:textId="77777777">
        <w:trPr>
          <w:trHeight w:val="530"/>
          <w:jc w:val="center"/>
        </w:trPr>
        <w:tc>
          <w:tcPr>
            <w:tcW w:w="1615" w:type="dxa"/>
            <w:tcBorders>
              <w:top w:val="single" w:color="auto" w:sz="12" w:space="0"/>
              <w:left w:val="single" w:color="auto" w:sz="4" w:space="0"/>
              <w:bottom w:val="single" w:color="auto" w:sz="4" w:space="0"/>
              <w:right w:val="single" w:color="auto" w:sz="4" w:space="0"/>
            </w:tcBorders>
            <w:vAlign w:val="center"/>
            <w:hideMark/>
          </w:tcPr>
          <w:p w:rsidRPr="002E4ECE" w:rsidR="007B336F" w:rsidP="007B336F" w:rsidRDefault="007B336F" w14:paraId="5838F365" w14:textId="77777777">
            <w:pPr>
              <w:jc w:val="center"/>
              <w:rPr>
                <w:rFonts w:ascii="Arial" w:hAnsi="Arial" w:cs="Arial"/>
                <w:b/>
                <w:sz w:val="20"/>
                <w:szCs w:val="20"/>
              </w:rPr>
            </w:pPr>
            <w:r w:rsidRPr="002E4ECE">
              <w:rPr>
                <w:rFonts w:ascii="Arial" w:hAnsi="Arial" w:cs="Arial"/>
                <w:b/>
                <w:sz w:val="20"/>
                <w:szCs w:val="20"/>
              </w:rPr>
              <w:t xml:space="preserve">Totals </w:t>
            </w:r>
          </w:p>
        </w:tc>
        <w:tc>
          <w:tcPr>
            <w:tcW w:w="1710" w:type="dxa"/>
            <w:tcBorders>
              <w:top w:val="single" w:color="auto" w:sz="12" w:space="0"/>
              <w:left w:val="single" w:color="auto" w:sz="4" w:space="0"/>
              <w:bottom w:val="single" w:color="auto" w:sz="4" w:space="0"/>
              <w:right w:val="single" w:color="auto" w:sz="4" w:space="0"/>
            </w:tcBorders>
            <w:tcMar>
              <w:top w:w="0" w:type="dxa"/>
              <w:left w:w="29" w:type="dxa"/>
              <w:bottom w:w="0" w:type="dxa"/>
              <w:right w:w="29" w:type="dxa"/>
            </w:tcMar>
            <w:vAlign w:val="center"/>
          </w:tcPr>
          <w:p w:rsidRPr="002E4ECE" w:rsidR="007B336F" w:rsidP="007B336F" w:rsidRDefault="00AE08B9" w14:paraId="1BDE5704" w14:textId="754FDC87">
            <w:pPr>
              <w:jc w:val="center"/>
              <w:rPr>
                <w:rFonts w:ascii="Arial" w:hAnsi="Arial" w:cs="Arial"/>
                <w:b/>
                <w:sz w:val="20"/>
                <w:szCs w:val="20"/>
              </w:rPr>
            </w:pPr>
            <w:r w:rsidRPr="002E4ECE">
              <w:rPr>
                <w:rFonts w:ascii="Arial" w:hAnsi="Arial" w:cs="Arial"/>
                <w:b/>
                <w:sz w:val="20"/>
                <w:szCs w:val="20"/>
              </w:rPr>
              <w:t>($37.845)</w:t>
            </w:r>
          </w:p>
        </w:tc>
        <w:tc>
          <w:tcPr>
            <w:tcW w:w="1260" w:type="dxa"/>
            <w:tcBorders>
              <w:top w:val="single" w:color="auto" w:sz="12" w:space="0"/>
              <w:left w:val="single" w:color="auto" w:sz="4" w:space="0"/>
              <w:bottom w:val="single" w:color="auto" w:sz="4" w:space="0"/>
              <w:right w:val="single" w:color="auto" w:sz="4" w:space="0"/>
            </w:tcBorders>
            <w:tcMar>
              <w:top w:w="0" w:type="dxa"/>
              <w:left w:w="29" w:type="dxa"/>
              <w:bottom w:w="0" w:type="dxa"/>
              <w:right w:w="29" w:type="dxa"/>
            </w:tcMar>
            <w:vAlign w:val="center"/>
          </w:tcPr>
          <w:p w:rsidRPr="002E4ECE" w:rsidR="007B336F" w:rsidP="007B336F" w:rsidRDefault="00AE08B9" w14:paraId="3BBCE874" w14:textId="329B3F3F">
            <w:pPr>
              <w:jc w:val="center"/>
              <w:rPr>
                <w:rFonts w:ascii="Arial" w:hAnsi="Arial" w:cs="Arial"/>
                <w:b/>
                <w:sz w:val="20"/>
                <w:szCs w:val="20"/>
              </w:rPr>
            </w:pPr>
            <w:r w:rsidRPr="002E4ECE">
              <w:rPr>
                <w:rFonts w:ascii="Arial" w:hAnsi="Arial" w:cs="Arial"/>
                <w:b/>
                <w:sz w:val="20"/>
                <w:szCs w:val="20"/>
              </w:rPr>
              <w:t>2 hours</w:t>
            </w:r>
          </w:p>
        </w:tc>
        <w:tc>
          <w:tcPr>
            <w:tcW w:w="1440" w:type="dxa"/>
            <w:tcBorders>
              <w:top w:val="single" w:color="auto" w:sz="12" w:space="0"/>
              <w:left w:val="single" w:color="auto" w:sz="4" w:space="0"/>
              <w:bottom w:val="single" w:color="auto" w:sz="4" w:space="0"/>
              <w:right w:val="single" w:color="auto" w:sz="4" w:space="0"/>
            </w:tcBorders>
            <w:tcMar>
              <w:top w:w="0" w:type="dxa"/>
              <w:left w:w="29" w:type="dxa"/>
              <w:bottom w:w="0" w:type="dxa"/>
              <w:right w:w="29" w:type="dxa"/>
            </w:tcMar>
            <w:vAlign w:val="center"/>
          </w:tcPr>
          <w:p w:rsidRPr="002E4ECE" w:rsidR="007B336F" w:rsidP="007B336F" w:rsidRDefault="00AE08B9" w14:paraId="592E863A" w14:textId="6CD5C3A3">
            <w:pPr>
              <w:jc w:val="center"/>
              <w:rPr>
                <w:rFonts w:ascii="Arial" w:hAnsi="Arial" w:cs="Arial"/>
                <w:b/>
                <w:sz w:val="20"/>
                <w:szCs w:val="20"/>
              </w:rPr>
            </w:pPr>
            <w:r w:rsidRPr="002E4ECE">
              <w:rPr>
                <w:rFonts w:ascii="Arial" w:hAnsi="Arial" w:cs="Arial"/>
                <w:b/>
                <w:sz w:val="20"/>
                <w:szCs w:val="20"/>
              </w:rPr>
              <w:t>$75.69</w:t>
            </w:r>
          </w:p>
        </w:tc>
        <w:tc>
          <w:tcPr>
            <w:tcW w:w="1175" w:type="dxa"/>
            <w:tcBorders>
              <w:top w:val="single" w:color="auto" w:sz="12" w:space="0"/>
              <w:left w:val="single" w:color="auto" w:sz="4" w:space="0"/>
              <w:bottom w:val="single" w:color="auto" w:sz="4" w:space="0"/>
              <w:right w:val="single" w:color="auto" w:sz="4" w:space="0"/>
            </w:tcBorders>
            <w:tcMar>
              <w:top w:w="0" w:type="dxa"/>
              <w:left w:w="29" w:type="dxa"/>
              <w:bottom w:w="0" w:type="dxa"/>
              <w:right w:w="29" w:type="dxa"/>
            </w:tcMar>
            <w:vAlign w:val="center"/>
          </w:tcPr>
          <w:p w:rsidRPr="002E4ECE" w:rsidR="007B336F" w:rsidP="007B336F" w:rsidRDefault="007B336F" w14:paraId="68E041F9" w14:textId="74B59914">
            <w:pPr>
              <w:jc w:val="center"/>
              <w:rPr>
                <w:rFonts w:ascii="Arial" w:hAnsi="Arial" w:cs="Arial"/>
                <w:b/>
                <w:sz w:val="20"/>
                <w:szCs w:val="20"/>
              </w:rPr>
            </w:pPr>
          </w:p>
        </w:tc>
        <w:tc>
          <w:tcPr>
            <w:tcW w:w="1440" w:type="dxa"/>
            <w:tcBorders>
              <w:top w:val="single" w:color="auto" w:sz="12" w:space="0"/>
              <w:left w:val="single" w:color="auto" w:sz="4" w:space="0"/>
              <w:bottom w:val="single" w:color="auto" w:sz="4" w:space="0"/>
              <w:right w:val="single" w:color="auto" w:sz="4" w:space="0"/>
            </w:tcBorders>
            <w:tcMar>
              <w:top w:w="0" w:type="dxa"/>
              <w:left w:w="29" w:type="dxa"/>
              <w:bottom w:w="0" w:type="dxa"/>
              <w:right w:w="29" w:type="dxa"/>
            </w:tcMar>
            <w:vAlign w:val="center"/>
          </w:tcPr>
          <w:p w:rsidRPr="002E4ECE" w:rsidR="007B336F" w:rsidP="007B336F" w:rsidRDefault="00AE08B9" w14:paraId="7E4FE4AA" w14:textId="405CA8FA">
            <w:pPr>
              <w:jc w:val="center"/>
              <w:rPr>
                <w:rFonts w:ascii="Arial" w:hAnsi="Arial" w:cs="Arial"/>
                <w:b/>
                <w:sz w:val="20"/>
                <w:szCs w:val="20"/>
              </w:rPr>
            </w:pPr>
            <w:r w:rsidRPr="002E4ECE">
              <w:rPr>
                <w:rFonts w:ascii="Arial" w:hAnsi="Arial" w:cs="Arial"/>
                <w:b/>
                <w:sz w:val="20"/>
                <w:szCs w:val="20"/>
              </w:rPr>
              <w:t>$426,891.60</w:t>
            </w:r>
          </w:p>
        </w:tc>
      </w:tr>
    </w:tbl>
    <w:p w:rsidRPr="002E4ECE" w:rsidR="007B336F" w:rsidP="007B336F" w:rsidRDefault="007B336F" w14:paraId="01F40F50" w14:textId="18D83F0F">
      <w:pPr>
        <w:ind w:left="360"/>
        <w:rPr>
          <w:rFonts w:ascii="Arial" w:hAnsi="Arial" w:cs="Arial"/>
          <w:sz w:val="18"/>
          <w:szCs w:val="18"/>
        </w:rPr>
      </w:pPr>
      <w:r w:rsidRPr="002E4ECE">
        <w:rPr>
          <w:rFonts w:ascii="Arial" w:hAnsi="Arial" w:cs="Arial"/>
          <w:sz w:val="22"/>
          <w:szCs w:val="22"/>
        </w:rPr>
        <w:t xml:space="preserve">* </w:t>
      </w:r>
      <w:r w:rsidRPr="002E4ECE">
        <w:rPr>
          <w:rFonts w:ascii="Arial" w:hAnsi="Arial" w:cs="Arial"/>
          <w:sz w:val="18"/>
          <w:szCs w:val="18"/>
        </w:rPr>
        <w:t>Labor costs rounded to the nearest whole cent</w:t>
      </w:r>
      <w:r w:rsidRPr="002E4ECE" w:rsidR="00AE08B9">
        <w:rPr>
          <w:rFonts w:ascii="Arial" w:hAnsi="Arial" w:cs="Arial"/>
          <w:sz w:val="18"/>
          <w:szCs w:val="18"/>
        </w:rPr>
        <w:t xml:space="preserve"> unless otherwise noted</w:t>
      </w:r>
      <w:r w:rsidRPr="002E4ECE">
        <w:rPr>
          <w:rFonts w:ascii="Arial" w:hAnsi="Arial" w:cs="Arial"/>
          <w:sz w:val="18"/>
          <w:szCs w:val="18"/>
        </w:rPr>
        <w:t xml:space="preserve">. </w:t>
      </w:r>
    </w:p>
    <w:p w:rsidRPr="002E4ECE" w:rsidR="007B336F" w:rsidP="007B336F" w:rsidRDefault="007B336F" w14:paraId="0AFC3453" w14:textId="40703104">
      <w:pPr>
        <w:ind w:left="360"/>
        <w:rPr>
          <w:rFonts w:ascii="Arial" w:hAnsi="Arial" w:cs="Arial"/>
          <w:sz w:val="22"/>
          <w:szCs w:val="22"/>
        </w:rPr>
      </w:pPr>
    </w:p>
    <w:p w:rsidR="00AE08B9" w:rsidP="00AE08B9" w:rsidRDefault="00AE08B9" w14:paraId="01E532AC" w14:textId="55D080B7">
      <w:pPr>
        <w:ind w:left="360"/>
        <w:rPr>
          <w:rFonts w:ascii="Arial" w:hAnsi="Arial" w:cs="Arial"/>
          <w:sz w:val="22"/>
          <w:szCs w:val="22"/>
        </w:rPr>
      </w:pPr>
      <w:r w:rsidRPr="002E4ECE">
        <w:rPr>
          <w:rFonts w:ascii="Arial" w:hAnsi="Arial" w:cs="Arial"/>
          <w:sz w:val="22"/>
          <w:szCs w:val="22"/>
          <w:u w:val="single"/>
        </w:rPr>
        <w:t>Overhead costs:</w:t>
      </w:r>
      <w:r w:rsidRPr="002E4ECE">
        <w:rPr>
          <w:rFonts w:ascii="Arial" w:hAnsi="Arial" w:cs="Arial"/>
          <w:sz w:val="22"/>
          <w:szCs w:val="22"/>
        </w:rPr>
        <w:t xml:space="preserve">  TTB estimates $1.00 in overhead costs for each TTB F 5110.43 submitted, resulting in an annual total of $5,640.00 in such costs.  However, printing and distribution costs to the Federal government have decreased to $0.00 in TTB’s cost estimate due to the availability of TTB forms to the public on the TTB website at </w:t>
      </w:r>
      <w:r w:rsidRPr="002E4ECE">
        <w:rPr>
          <w:rFonts w:ascii="Arial" w:hAnsi="Arial" w:cs="Arial"/>
          <w:i/>
          <w:sz w:val="22"/>
          <w:szCs w:val="22"/>
        </w:rPr>
        <w:t>https://www.ttb.gov</w:t>
      </w:r>
      <w:r w:rsidRPr="002E4ECE">
        <w:rPr>
          <w:rFonts w:ascii="Arial" w:hAnsi="Arial" w:cs="Arial"/>
          <w:sz w:val="22"/>
          <w:szCs w:val="22"/>
        </w:rPr>
        <w:t xml:space="preserve">. </w:t>
      </w:r>
    </w:p>
    <w:p w:rsidRPr="002E4ECE" w:rsidR="002B1BFE" w:rsidP="00AE08B9" w:rsidRDefault="002B1BFE" w14:paraId="3AE6DB73" w14:textId="77777777">
      <w:pPr>
        <w:ind w:left="360"/>
        <w:rPr>
          <w:rFonts w:ascii="Arial" w:hAnsi="Arial" w:cs="Arial"/>
          <w:sz w:val="22"/>
          <w:szCs w:val="22"/>
        </w:rPr>
      </w:pPr>
    </w:p>
    <w:p w:rsidRPr="002E4ECE" w:rsidR="00AE08B9" w:rsidP="007B336F" w:rsidRDefault="00AE08B9" w14:paraId="50652E7C" w14:textId="2BEE545E">
      <w:pPr>
        <w:ind w:left="360"/>
        <w:rPr>
          <w:rFonts w:ascii="Arial" w:hAnsi="Arial" w:cs="Arial"/>
          <w:sz w:val="22"/>
          <w:szCs w:val="22"/>
        </w:rPr>
      </w:pPr>
      <w:r w:rsidRPr="002E4ECE">
        <w:rPr>
          <w:rFonts w:ascii="Arial" w:hAnsi="Arial" w:cs="Arial"/>
          <w:sz w:val="22"/>
          <w:szCs w:val="22"/>
          <w:u w:val="single"/>
        </w:rPr>
        <w:t>Total costs:</w:t>
      </w:r>
      <w:r w:rsidRPr="002E4ECE">
        <w:rPr>
          <w:rFonts w:ascii="Arial" w:hAnsi="Arial" w:cs="Arial"/>
          <w:sz w:val="22"/>
          <w:szCs w:val="22"/>
        </w:rPr>
        <w:t xml:space="preserve">  </w:t>
      </w:r>
      <w:r w:rsidRPr="002E4ECE" w:rsidR="007B336F">
        <w:rPr>
          <w:rFonts w:ascii="Arial" w:hAnsi="Arial" w:cs="Arial"/>
          <w:sz w:val="22"/>
          <w:szCs w:val="22"/>
        </w:rPr>
        <w:t xml:space="preserve">TTB estimates </w:t>
      </w:r>
      <w:r w:rsidRPr="002E4ECE">
        <w:rPr>
          <w:rFonts w:ascii="Arial" w:hAnsi="Arial" w:cs="Arial"/>
          <w:sz w:val="22"/>
          <w:szCs w:val="22"/>
        </w:rPr>
        <w:t xml:space="preserve">its annual labor and non-labor costs for this information collection to be </w:t>
      </w:r>
      <w:r w:rsidRPr="002E4ECE">
        <w:rPr>
          <w:rFonts w:ascii="Arial" w:hAnsi="Arial" w:cs="Arial"/>
          <w:b/>
          <w:sz w:val="22"/>
          <w:szCs w:val="22"/>
        </w:rPr>
        <w:t>$432,531.60</w:t>
      </w:r>
      <w:r w:rsidRPr="002E4ECE">
        <w:rPr>
          <w:rFonts w:ascii="Arial" w:hAnsi="Arial" w:cs="Arial"/>
          <w:sz w:val="22"/>
          <w:szCs w:val="22"/>
        </w:rPr>
        <w:t xml:space="preserve">. </w:t>
      </w:r>
    </w:p>
    <w:p w:rsidRPr="002E4ECE" w:rsidR="00D6325C" w:rsidP="00D73D2D" w:rsidRDefault="00D6325C" w14:paraId="164D286E" w14:textId="77777777">
      <w:pPr>
        <w:rPr>
          <w:rFonts w:ascii="Arial" w:hAnsi="Arial" w:cs="Arial"/>
          <w:sz w:val="28"/>
          <w:szCs w:val="28"/>
        </w:rPr>
      </w:pPr>
    </w:p>
    <w:p w:rsidRPr="002E4ECE" w:rsidR="00AF1157" w:rsidP="007073A3" w:rsidRDefault="00AF060A" w14:paraId="2914D423" w14:textId="77777777">
      <w:pPr>
        <w:rPr>
          <w:rFonts w:ascii="Arial" w:hAnsi="Arial" w:cs="Arial"/>
          <w:i/>
          <w:sz w:val="22"/>
          <w:szCs w:val="22"/>
        </w:rPr>
      </w:pPr>
      <w:r w:rsidRPr="002E4ECE">
        <w:rPr>
          <w:rFonts w:ascii="Arial" w:hAnsi="Arial" w:cs="Arial"/>
          <w:i/>
          <w:sz w:val="22"/>
          <w:szCs w:val="22"/>
        </w:rPr>
        <w:t xml:space="preserve">15.  </w:t>
      </w:r>
      <w:r w:rsidRPr="002E4ECE" w:rsidR="00AF1157">
        <w:rPr>
          <w:rFonts w:ascii="Arial" w:hAnsi="Arial" w:cs="Arial"/>
          <w:i/>
          <w:sz w:val="22"/>
          <w:szCs w:val="22"/>
        </w:rPr>
        <w:t>What is the reason for any program changes or adjustments reported?</w:t>
      </w:r>
      <w:r w:rsidRPr="002E4ECE">
        <w:rPr>
          <w:rFonts w:ascii="Arial" w:hAnsi="Arial" w:cs="Arial"/>
          <w:i/>
          <w:sz w:val="22"/>
          <w:szCs w:val="22"/>
        </w:rPr>
        <w:t xml:space="preserve"> </w:t>
      </w:r>
    </w:p>
    <w:p w:rsidRPr="002E4ECE" w:rsidR="00AF1157" w:rsidP="007073A3" w:rsidRDefault="00AF1157" w14:paraId="1F1B03D4" w14:textId="77777777">
      <w:pPr>
        <w:rPr>
          <w:rFonts w:ascii="Arial" w:hAnsi="Arial" w:cs="Arial"/>
          <w:sz w:val="22"/>
          <w:szCs w:val="22"/>
        </w:rPr>
      </w:pPr>
    </w:p>
    <w:p w:rsidRPr="002E4ECE" w:rsidR="0069718A" w:rsidP="002007F3" w:rsidRDefault="00080BE5" w14:paraId="351F6D57" w14:textId="01950AA9">
      <w:pPr>
        <w:ind w:left="360"/>
        <w:rPr>
          <w:rFonts w:ascii="Arial" w:hAnsi="Arial" w:cs="Arial"/>
          <w:sz w:val="22"/>
          <w:szCs w:val="22"/>
        </w:rPr>
      </w:pPr>
      <w:r w:rsidRPr="002E4ECE">
        <w:rPr>
          <w:rFonts w:ascii="Arial" w:hAnsi="Arial" w:cs="Arial"/>
          <w:sz w:val="22"/>
        </w:rPr>
        <w:t xml:space="preserve">There are no program changes associated with this collection. </w:t>
      </w:r>
      <w:r w:rsidRPr="002E4ECE" w:rsidR="009164DC">
        <w:rPr>
          <w:rFonts w:ascii="Arial" w:hAnsi="Arial" w:cs="Arial"/>
          <w:sz w:val="22"/>
        </w:rPr>
        <w:t xml:space="preserve"> </w:t>
      </w:r>
      <w:r w:rsidRPr="002E4ECE">
        <w:rPr>
          <w:rFonts w:ascii="Arial" w:hAnsi="Arial" w:cs="Arial"/>
          <w:sz w:val="22"/>
          <w:szCs w:val="22"/>
        </w:rPr>
        <w:t xml:space="preserve">As </w:t>
      </w:r>
      <w:r w:rsidRPr="002E4ECE" w:rsidR="00A5755A">
        <w:rPr>
          <w:rFonts w:ascii="Arial" w:hAnsi="Arial" w:cs="Arial"/>
          <w:sz w:val="22"/>
          <w:szCs w:val="22"/>
        </w:rPr>
        <w:t xml:space="preserve">for </w:t>
      </w:r>
      <w:r w:rsidRPr="002E4ECE">
        <w:rPr>
          <w:rFonts w:ascii="Arial" w:hAnsi="Arial" w:cs="Arial"/>
          <w:sz w:val="22"/>
          <w:szCs w:val="22"/>
        </w:rPr>
        <w:t xml:space="preserve">adjustments, </w:t>
      </w:r>
      <w:r w:rsidRPr="002E4ECE" w:rsidR="00A5755A">
        <w:rPr>
          <w:rFonts w:ascii="Arial" w:hAnsi="Arial" w:cs="Arial"/>
          <w:sz w:val="22"/>
          <w:szCs w:val="22"/>
        </w:rPr>
        <w:t xml:space="preserve">due to changes in agency estimates resulting from growth in the number of DSPs that engage in denaturing activities, TTB is </w:t>
      </w:r>
      <w:r w:rsidRPr="002E4ECE">
        <w:rPr>
          <w:rFonts w:ascii="Arial" w:hAnsi="Arial" w:cs="Arial"/>
          <w:sz w:val="22"/>
          <w:szCs w:val="22"/>
        </w:rPr>
        <w:t xml:space="preserve">reporting an increase in the number of </w:t>
      </w:r>
      <w:r w:rsidRPr="002E4ECE" w:rsidR="009164DC">
        <w:rPr>
          <w:rFonts w:ascii="Arial" w:hAnsi="Arial" w:cs="Arial"/>
          <w:sz w:val="22"/>
          <w:szCs w:val="22"/>
        </w:rPr>
        <w:t xml:space="preserve">annual </w:t>
      </w:r>
      <w:r w:rsidRPr="002E4ECE">
        <w:rPr>
          <w:rFonts w:ascii="Arial" w:hAnsi="Arial" w:cs="Arial"/>
          <w:sz w:val="22"/>
          <w:szCs w:val="22"/>
        </w:rPr>
        <w:t>respondents</w:t>
      </w:r>
      <w:r w:rsidRPr="002E4ECE" w:rsidR="009164DC">
        <w:rPr>
          <w:rFonts w:ascii="Arial" w:hAnsi="Arial" w:cs="Arial"/>
          <w:sz w:val="22"/>
          <w:szCs w:val="22"/>
        </w:rPr>
        <w:t xml:space="preserve"> to this information collection, from 3</w:t>
      </w:r>
      <w:r w:rsidRPr="002E4ECE" w:rsidR="00AE08B9">
        <w:rPr>
          <w:rFonts w:ascii="Arial" w:hAnsi="Arial" w:cs="Arial"/>
          <w:sz w:val="22"/>
          <w:szCs w:val="22"/>
        </w:rPr>
        <w:t xml:space="preserve">85 to 470.  </w:t>
      </w:r>
      <w:r w:rsidRPr="002E4ECE" w:rsidR="009164DC">
        <w:rPr>
          <w:rFonts w:ascii="Arial" w:hAnsi="Arial" w:cs="Arial"/>
          <w:sz w:val="22"/>
          <w:szCs w:val="22"/>
        </w:rPr>
        <w:t xml:space="preserve">This results in corresponding increases in the number of annual </w:t>
      </w:r>
      <w:r w:rsidRPr="002E4ECE">
        <w:rPr>
          <w:rFonts w:ascii="Arial" w:hAnsi="Arial" w:cs="Arial"/>
          <w:sz w:val="22"/>
          <w:szCs w:val="22"/>
        </w:rPr>
        <w:t>responses</w:t>
      </w:r>
      <w:r w:rsidRPr="002E4ECE" w:rsidR="009164DC">
        <w:rPr>
          <w:rFonts w:ascii="Arial" w:hAnsi="Arial" w:cs="Arial"/>
          <w:sz w:val="22"/>
          <w:szCs w:val="22"/>
        </w:rPr>
        <w:t xml:space="preserve"> and estimated total burden hours for this information collection, from </w:t>
      </w:r>
      <w:r w:rsidRPr="002E4ECE" w:rsidR="00AE08B9">
        <w:rPr>
          <w:rFonts w:ascii="Arial" w:hAnsi="Arial" w:cs="Arial"/>
          <w:sz w:val="22"/>
          <w:szCs w:val="22"/>
        </w:rPr>
        <w:t>4,620 to 5,640.  The number of annual responses per respondent remains 12 (one per month)</w:t>
      </w:r>
      <w:r w:rsidRPr="002E4ECE" w:rsidR="002E4ECE">
        <w:rPr>
          <w:rFonts w:ascii="Arial" w:hAnsi="Arial" w:cs="Arial"/>
          <w:sz w:val="22"/>
          <w:szCs w:val="22"/>
        </w:rPr>
        <w:t xml:space="preserve"> as does the burden per-response (1 hour). </w:t>
      </w:r>
    </w:p>
    <w:p w:rsidRPr="002E4ECE" w:rsidR="00AF060A" w:rsidP="00AF060A" w:rsidRDefault="00AF060A" w14:paraId="11B27F25" w14:textId="77777777">
      <w:pPr>
        <w:suppressAutoHyphens/>
        <w:rPr>
          <w:rFonts w:ascii="Arial" w:hAnsi="Arial" w:cs="Arial"/>
          <w:sz w:val="28"/>
          <w:szCs w:val="28"/>
        </w:rPr>
      </w:pPr>
    </w:p>
    <w:p w:rsidRPr="002E4ECE" w:rsidR="00AF1157" w:rsidP="00D73D2D" w:rsidRDefault="00AF060A" w14:paraId="07C46E6F" w14:textId="77777777">
      <w:pPr>
        <w:suppressAutoHyphens/>
        <w:rPr>
          <w:rFonts w:ascii="Arial" w:hAnsi="Arial" w:cs="Arial"/>
          <w:i/>
          <w:sz w:val="22"/>
          <w:szCs w:val="22"/>
        </w:rPr>
      </w:pPr>
      <w:r w:rsidRPr="002E4ECE">
        <w:rPr>
          <w:rFonts w:ascii="Arial" w:hAnsi="Arial" w:cs="Arial"/>
          <w:i/>
          <w:sz w:val="22"/>
          <w:szCs w:val="22"/>
        </w:rPr>
        <w:t xml:space="preserve">16.  </w:t>
      </w:r>
      <w:r w:rsidRPr="002E4ECE" w:rsidR="00AF1157">
        <w:rPr>
          <w:rFonts w:ascii="Arial" w:hAnsi="Arial" w:cs="Arial"/>
          <w:i/>
          <w:sz w:val="22"/>
          <w:szCs w:val="22"/>
        </w:rPr>
        <w:t>Outline plans for tabulation and publication for collections of information whose results will be published.</w:t>
      </w:r>
      <w:r w:rsidRPr="002E4ECE">
        <w:rPr>
          <w:rFonts w:ascii="Arial" w:hAnsi="Arial" w:cs="Arial"/>
          <w:i/>
          <w:sz w:val="22"/>
          <w:szCs w:val="22"/>
        </w:rPr>
        <w:t xml:space="preserve"> </w:t>
      </w:r>
    </w:p>
    <w:p w:rsidRPr="002E4ECE" w:rsidR="00AF1157" w:rsidP="00D73D2D" w:rsidRDefault="00AF1157" w14:paraId="15CD5073" w14:textId="77777777">
      <w:pPr>
        <w:suppressAutoHyphens/>
        <w:ind w:left="480" w:hanging="480"/>
        <w:rPr>
          <w:rFonts w:ascii="Arial" w:hAnsi="Arial" w:cs="Arial"/>
          <w:sz w:val="22"/>
          <w:szCs w:val="22"/>
        </w:rPr>
      </w:pPr>
    </w:p>
    <w:p w:rsidRPr="002E4ECE" w:rsidR="009164DC" w:rsidP="009164DC" w:rsidRDefault="00491603" w14:paraId="77273DC2" w14:textId="09F1962D">
      <w:pPr>
        <w:suppressAutoHyphens/>
        <w:ind w:left="360"/>
        <w:rPr>
          <w:rFonts w:ascii="Arial" w:hAnsi="Arial" w:cs="Arial"/>
          <w:sz w:val="22"/>
          <w:szCs w:val="22"/>
        </w:rPr>
      </w:pPr>
      <w:r w:rsidRPr="002E4ECE">
        <w:rPr>
          <w:rFonts w:ascii="Arial" w:hAnsi="Arial" w:cs="Arial"/>
          <w:sz w:val="22"/>
          <w:szCs w:val="22"/>
        </w:rPr>
        <w:t>TTB publishes compiled d</w:t>
      </w:r>
      <w:r w:rsidRPr="002E4ECE" w:rsidR="009164DC">
        <w:rPr>
          <w:rFonts w:ascii="Arial" w:hAnsi="Arial" w:cs="Arial"/>
          <w:sz w:val="22"/>
          <w:szCs w:val="22"/>
        </w:rPr>
        <w:t xml:space="preserve">ata </w:t>
      </w:r>
      <w:r w:rsidRPr="002E4ECE">
        <w:rPr>
          <w:rFonts w:ascii="Arial" w:hAnsi="Arial" w:cs="Arial"/>
          <w:sz w:val="22"/>
          <w:szCs w:val="22"/>
        </w:rPr>
        <w:t>collected on form T</w:t>
      </w:r>
      <w:r w:rsidRPr="002E4ECE" w:rsidR="003A7669">
        <w:rPr>
          <w:rFonts w:ascii="Arial" w:hAnsi="Arial" w:cs="Arial"/>
          <w:sz w:val="22"/>
          <w:szCs w:val="22"/>
        </w:rPr>
        <w:t xml:space="preserve">TB F 5110.43, </w:t>
      </w:r>
      <w:r w:rsidRPr="002E4ECE">
        <w:rPr>
          <w:rFonts w:ascii="Arial" w:hAnsi="Arial" w:cs="Arial"/>
          <w:sz w:val="22"/>
          <w:szCs w:val="22"/>
        </w:rPr>
        <w:t xml:space="preserve">Monthly Report of Processing (Denaturing) Operations, in its </w:t>
      </w:r>
      <w:r w:rsidRPr="002E4ECE" w:rsidR="003A7669">
        <w:rPr>
          <w:rFonts w:ascii="Arial" w:hAnsi="Arial" w:cs="Arial"/>
          <w:sz w:val="22"/>
          <w:szCs w:val="22"/>
        </w:rPr>
        <w:t>monthly and yearly Distilled Spirits Statistics Reports</w:t>
      </w:r>
      <w:r w:rsidRPr="002E4ECE">
        <w:rPr>
          <w:rFonts w:ascii="Arial" w:hAnsi="Arial" w:cs="Arial"/>
          <w:sz w:val="22"/>
          <w:szCs w:val="22"/>
        </w:rPr>
        <w:t>.  TTB posts those reports on its website at</w:t>
      </w:r>
      <w:r w:rsidRPr="002E4ECE" w:rsidR="003A7669">
        <w:rPr>
          <w:rFonts w:ascii="Arial" w:hAnsi="Arial" w:cs="Arial"/>
          <w:sz w:val="22"/>
          <w:szCs w:val="22"/>
        </w:rPr>
        <w:t xml:space="preserve"> </w:t>
      </w:r>
      <w:r w:rsidRPr="002E4ECE" w:rsidR="002E4ECE">
        <w:rPr>
          <w:rFonts w:ascii="Arial" w:hAnsi="Arial" w:cs="Arial"/>
          <w:i/>
          <w:sz w:val="22"/>
          <w:szCs w:val="22"/>
        </w:rPr>
        <w:t>https://www.ttb.gov/distilled-spirits/statistics</w:t>
      </w:r>
      <w:r w:rsidRPr="002E4ECE" w:rsidR="002E4ECE">
        <w:rPr>
          <w:rFonts w:ascii="Arial" w:hAnsi="Arial" w:cs="Arial"/>
          <w:sz w:val="22"/>
          <w:szCs w:val="22"/>
        </w:rPr>
        <w:t>.  Individual respondents are not identified in those reports, as the</w:t>
      </w:r>
      <w:r w:rsidR="002B1BFE">
        <w:rPr>
          <w:rFonts w:ascii="Arial" w:hAnsi="Arial" w:cs="Arial"/>
          <w:sz w:val="22"/>
          <w:szCs w:val="22"/>
        </w:rPr>
        <w:t xml:space="preserve"> reports contain</w:t>
      </w:r>
      <w:r w:rsidRPr="002E4ECE" w:rsidR="002E4ECE">
        <w:rPr>
          <w:rFonts w:ascii="Arial" w:hAnsi="Arial" w:cs="Arial"/>
          <w:sz w:val="22"/>
          <w:szCs w:val="22"/>
        </w:rPr>
        <w:t xml:space="preserve"> only </w:t>
      </w:r>
      <w:r w:rsidRPr="002E4ECE">
        <w:rPr>
          <w:rFonts w:ascii="Arial" w:hAnsi="Arial" w:cs="Arial"/>
          <w:sz w:val="22"/>
          <w:szCs w:val="22"/>
        </w:rPr>
        <w:t xml:space="preserve">generalized data regarding </w:t>
      </w:r>
      <w:r w:rsidRPr="002E4ECE" w:rsidR="00B3574B">
        <w:rPr>
          <w:rFonts w:ascii="Arial" w:hAnsi="Arial" w:cs="Arial"/>
          <w:sz w:val="22"/>
          <w:szCs w:val="22"/>
        </w:rPr>
        <w:t xml:space="preserve">aggregate </w:t>
      </w:r>
      <w:r w:rsidRPr="002E4ECE">
        <w:rPr>
          <w:rFonts w:ascii="Arial" w:hAnsi="Arial" w:cs="Arial"/>
          <w:sz w:val="22"/>
          <w:szCs w:val="22"/>
        </w:rPr>
        <w:t xml:space="preserve">amounts of </w:t>
      </w:r>
      <w:r w:rsidRPr="002E4ECE" w:rsidR="003A7669">
        <w:rPr>
          <w:rFonts w:ascii="Arial" w:hAnsi="Arial" w:cs="Arial"/>
          <w:sz w:val="22"/>
          <w:szCs w:val="22"/>
        </w:rPr>
        <w:t>distilled spirits</w:t>
      </w:r>
      <w:r w:rsidRPr="002E4ECE">
        <w:rPr>
          <w:rFonts w:ascii="Arial" w:hAnsi="Arial" w:cs="Arial"/>
          <w:sz w:val="22"/>
          <w:szCs w:val="22"/>
        </w:rPr>
        <w:t>, including denatured spirits,</w:t>
      </w:r>
      <w:r w:rsidRPr="002E4ECE" w:rsidR="003A7669">
        <w:rPr>
          <w:rFonts w:ascii="Arial" w:hAnsi="Arial" w:cs="Arial"/>
          <w:sz w:val="22"/>
          <w:szCs w:val="22"/>
        </w:rPr>
        <w:t xml:space="preserve"> produced and withdrawn </w:t>
      </w:r>
      <w:r w:rsidRPr="002E4ECE" w:rsidR="00B3574B">
        <w:rPr>
          <w:rFonts w:ascii="Arial" w:hAnsi="Arial" w:cs="Arial"/>
          <w:sz w:val="22"/>
          <w:szCs w:val="22"/>
        </w:rPr>
        <w:t xml:space="preserve">from DSPs </w:t>
      </w:r>
      <w:r w:rsidRPr="002E4ECE" w:rsidR="003A7669">
        <w:rPr>
          <w:rFonts w:ascii="Arial" w:hAnsi="Arial" w:cs="Arial"/>
          <w:sz w:val="22"/>
          <w:szCs w:val="22"/>
        </w:rPr>
        <w:t xml:space="preserve">each month and cumulatively for the </w:t>
      </w:r>
      <w:r w:rsidRPr="002E4ECE">
        <w:rPr>
          <w:rFonts w:ascii="Arial" w:hAnsi="Arial" w:cs="Arial"/>
          <w:sz w:val="22"/>
          <w:szCs w:val="22"/>
        </w:rPr>
        <w:t xml:space="preserve">calendar </w:t>
      </w:r>
      <w:r w:rsidRPr="002E4ECE" w:rsidR="002E4ECE">
        <w:rPr>
          <w:rFonts w:ascii="Arial" w:hAnsi="Arial" w:cs="Arial"/>
          <w:sz w:val="22"/>
          <w:szCs w:val="22"/>
        </w:rPr>
        <w:t xml:space="preserve">year. </w:t>
      </w:r>
    </w:p>
    <w:p w:rsidRPr="002E4ECE" w:rsidR="00AF1157" w:rsidP="00D73D2D" w:rsidRDefault="00AF1157" w14:paraId="48FC0F0D" w14:textId="77777777">
      <w:pPr>
        <w:suppressAutoHyphens/>
        <w:rPr>
          <w:rFonts w:ascii="Arial" w:hAnsi="Arial" w:cs="Arial"/>
          <w:sz w:val="28"/>
          <w:szCs w:val="28"/>
        </w:rPr>
      </w:pPr>
    </w:p>
    <w:p w:rsidRPr="002E4ECE" w:rsidR="00AF1157" w:rsidP="00D73D2D" w:rsidRDefault="00AF060A" w14:paraId="08DA4B2E" w14:textId="77777777">
      <w:pPr>
        <w:suppressAutoHyphens/>
        <w:rPr>
          <w:rFonts w:ascii="Arial" w:hAnsi="Arial" w:cs="Arial"/>
          <w:i/>
          <w:sz w:val="22"/>
          <w:szCs w:val="22"/>
        </w:rPr>
      </w:pPr>
      <w:r w:rsidRPr="002E4ECE">
        <w:rPr>
          <w:rFonts w:ascii="Arial" w:hAnsi="Arial" w:cs="Arial"/>
          <w:i/>
          <w:sz w:val="22"/>
          <w:szCs w:val="22"/>
        </w:rPr>
        <w:t xml:space="preserve">17.  </w:t>
      </w:r>
      <w:r w:rsidRPr="002E4ECE" w:rsidR="00AF1157">
        <w:rPr>
          <w:rFonts w:ascii="Arial" w:hAnsi="Arial" w:cs="Arial"/>
          <w:i/>
          <w:sz w:val="22"/>
          <w:szCs w:val="22"/>
        </w:rPr>
        <w:t>If seeking approval to not display the expiration date for OMB approval of this information collection, what are the reasons that the display would be inappropriate?</w:t>
      </w:r>
      <w:r w:rsidRPr="002E4ECE" w:rsidR="004D086A">
        <w:rPr>
          <w:rFonts w:ascii="Arial" w:hAnsi="Arial" w:cs="Arial"/>
          <w:i/>
          <w:sz w:val="22"/>
          <w:szCs w:val="22"/>
        </w:rPr>
        <w:t xml:space="preserve"> </w:t>
      </w:r>
    </w:p>
    <w:p w:rsidRPr="002E4ECE" w:rsidR="00AF1157" w:rsidP="00D73D2D" w:rsidRDefault="00AF1157" w14:paraId="3982E067" w14:textId="77777777">
      <w:pPr>
        <w:suppressAutoHyphens/>
        <w:rPr>
          <w:rFonts w:ascii="Arial" w:hAnsi="Arial" w:cs="Arial"/>
          <w:sz w:val="22"/>
          <w:szCs w:val="22"/>
        </w:rPr>
      </w:pPr>
    </w:p>
    <w:p w:rsidRPr="002E4ECE" w:rsidR="003A7669" w:rsidP="003A7669" w:rsidRDefault="003A7669" w14:paraId="29C14BA1" w14:textId="1D454150">
      <w:pPr>
        <w:autoSpaceDE w:val="0"/>
        <w:autoSpaceDN w:val="0"/>
        <w:ind w:left="360"/>
        <w:rPr>
          <w:rFonts w:ascii="Arial" w:hAnsi="Arial" w:cs="Arial"/>
          <w:sz w:val="22"/>
          <w:szCs w:val="22"/>
        </w:rPr>
      </w:pPr>
      <w:r w:rsidRPr="002E4ECE">
        <w:rPr>
          <w:rFonts w:ascii="Arial" w:hAnsi="Arial" w:cs="Arial"/>
          <w:sz w:val="22"/>
          <w:szCs w:val="22"/>
        </w:rPr>
        <w:t>TTB will display the expiration date for OMB approval of this information collection request on form TTB F 5110.</w:t>
      </w:r>
      <w:r w:rsidRPr="002E4ECE" w:rsidR="00491603">
        <w:rPr>
          <w:rFonts w:ascii="Arial" w:hAnsi="Arial" w:cs="Arial"/>
          <w:sz w:val="22"/>
          <w:szCs w:val="22"/>
        </w:rPr>
        <w:t>43</w:t>
      </w:r>
      <w:r w:rsidRPr="002E4ECE">
        <w:rPr>
          <w:rFonts w:ascii="Arial" w:hAnsi="Arial" w:cs="Arial"/>
          <w:sz w:val="22"/>
          <w:szCs w:val="22"/>
        </w:rPr>
        <w:t>.  As for the recordkeeping portion of this information collection request, there is no medium for TTB to display the expiration date of its OMB approval</w:t>
      </w:r>
      <w:r w:rsidRPr="002E4ECE" w:rsidR="00491603">
        <w:rPr>
          <w:rFonts w:ascii="Arial" w:hAnsi="Arial" w:cs="Arial"/>
          <w:sz w:val="22"/>
          <w:szCs w:val="22"/>
        </w:rPr>
        <w:t xml:space="preserve"> as DSP proprietors keep such records at their premises. </w:t>
      </w:r>
    </w:p>
    <w:p w:rsidRPr="002E4ECE" w:rsidR="00014CEB" w:rsidP="007073A3" w:rsidRDefault="00014CEB" w14:paraId="0F12D21E" w14:textId="77777777">
      <w:pPr>
        <w:autoSpaceDE w:val="0"/>
        <w:autoSpaceDN w:val="0"/>
        <w:rPr>
          <w:rFonts w:ascii="Arial" w:hAnsi="Arial" w:cs="Arial"/>
          <w:sz w:val="28"/>
          <w:szCs w:val="28"/>
        </w:rPr>
      </w:pPr>
    </w:p>
    <w:p w:rsidRPr="002E4ECE" w:rsidR="00AF1157" w:rsidP="00D73D2D" w:rsidRDefault="00BA1A21" w14:paraId="6013787A" w14:textId="183885B0">
      <w:pPr>
        <w:suppressAutoHyphens/>
        <w:rPr>
          <w:rFonts w:ascii="Arial" w:hAnsi="Arial" w:cs="Arial"/>
          <w:i/>
          <w:sz w:val="22"/>
          <w:szCs w:val="22"/>
        </w:rPr>
      </w:pPr>
      <w:r w:rsidRPr="002E4ECE">
        <w:rPr>
          <w:rFonts w:ascii="Arial" w:hAnsi="Arial" w:cs="Arial"/>
          <w:i/>
          <w:sz w:val="22"/>
          <w:szCs w:val="22"/>
        </w:rPr>
        <w:t xml:space="preserve">18.  </w:t>
      </w:r>
      <w:r w:rsidRPr="002E4ECE" w:rsidR="00AF1157">
        <w:rPr>
          <w:rFonts w:ascii="Arial" w:hAnsi="Arial" w:cs="Arial"/>
          <w:i/>
          <w:sz w:val="22"/>
          <w:szCs w:val="22"/>
        </w:rPr>
        <w:t>What are the exceptions to the certification statement?</w:t>
      </w:r>
      <w:r w:rsidRPr="002E4ECE" w:rsidR="00D56B01">
        <w:rPr>
          <w:rFonts w:ascii="Arial" w:hAnsi="Arial" w:cs="Arial"/>
          <w:i/>
          <w:sz w:val="22"/>
          <w:szCs w:val="22"/>
        </w:rPr>
        <w:t xml:space="preserve"> </w:t>
      </w:r>
    </w:p>
    <w:p w:rsidRPr="002E4ECE" w:rsidR="00AF1157" w:rsidP="00BA1A21" w:rsidRDefault="00AF1157" w14:paraId="6601C745" w14:textId="77777777">
      <w:pPr>
        <w:suppressAutoHyphens/>
        <w:ind w:left="360"/>
        <w:rPr>
          <w:rFonts w:ascii="Arial" w:hAnsi="Arial" w:cs="Arial"/>
          <w:sz w:val="22"/>
          <w:szCs w:val="22"/>
        </w:rPr>
      </w:pPr>
    </w:p>
    <w:p w:rsidRPr="002E4ECE" w:rsidR="00851169" w:rsidP="003309F7" w:rsidRDefault="003309F7" w14:paraId="6D4691EF" w14:textId="77777777">
      <w:pPr>
        <w:tabs>
          <w:tab w:val="left" w:pos="720"/>
        </w:tabs>
        <w:spacing w:after="120"/>
        <w:ind w:left="360"/>
        <w:rPr>
          <w:rFonts w:ascii="Arial" w:hAnsi="Arial" w:cs="Arial"/>
          <w:sz w:val="22"/>
          <w:szCs w:val="22"/>
        </w:rPr>
      </w:pPr>
      <w:r w:rsidRPr="002E4ECE">
        <w:rPr>
          <w:rFonts w:ascii="Arial" w:hAnsi="Arial" w:cs="Arial"/>
          <w:sz w:val="22"/>
          <w:szCs w:val="22"/>
        </w:rPr>
        <w:t>(c)</w:t>
      </w:r>
      <w:r w:rsidRPr="002E4ECE">
        <w:rPr>
          <w:rFonts w:ascii="Arial" w:hAnsi="Arial" w:cs="Arial"/>
          <w:sz w:val="22"/>
          <w:szCs w:val="22"/>
        </w:rPr>
        <w:tab/>
      </w:r>
      <w:r w:rsidRPr="002E4ECE" w:rsidR="00851169">
        <w:rPr>
          <w:rFonts w:ascii="Arial" w:hAnsi="Arial" w:cs="Arial"/>
          <w:sz w:val="22"/>
          <w:szCs w:val="22"/>
        </w:rPr>
        <w:t xml:space="preserve">See item 5 above. </w:t>
      </w:r>
    </w:p>
    <w:p w:rsidRPr="002E4ECE" w:rsidR="00851169" w:rsidP="003309F7" w:rsidRDefault="003309F7" w14:paraId="47595EEE" w14:textId="77777777">
      <w:pPr>
        <w:tabs>
          <w:tab w:val="left" w:pos="720"/>
        </w:tabs>
        <w:spacing w:after="120"/>
        <w:ind w:left="360"/>
        <w:rPr>
          <w:rFonts w:ascii="Arial" w:hAnsi="Arial" w:cs="Arial"/>
          <w:sz w:val="22"/>
          <w:szCs w:val="22"/>
        </w:rPr>
      </w:pPr>
      <w:r w:rsidRPr="002E4ECE">
        <w:rPr>
          <w:rFonts w:ascii="Arial" w:hAnsi="Arial" w:cs="Arial"/>
          <w:sz w:val="22"/>
          <w:szCs w:val="22"/>
        </w:rPr>
        <w:t>(i)</w:t>
      </w:r>
      <w:r w:rsidRPr="002E4ECE">
        <w:rPr>
          <w:rFonts w:ascii="Arial" w:hAnsi="Arial" w:cs="Arial"/>
          <w:sz w:val="22"/>
          <w:szCs w:val="22"/>
        </w:rPr>
        <w:tab/>
      </w:r>
      <w:r w:rsidRPr="002E4ECE" w:rsidR="00851169">
        <w:rPr>
          <w:rFonts w:ascii="Arial" w:hAnsi="Arial" w:cs="Arial"/>
          <w:sz w:val="22"/>
          <w:szCs w:val="22"/>
        </w:rPr>
        <w:t xml:space="preserve">No statistics are involved. </w:t>
      </w:r>
    </w:p>
    <w:p w:rsidRPr="002E4ECE" w:rsidR="00851169" w:rsidP="00D73D2D" w:rsidRDefault="00851169" w14:paraId="4A9BB9E2" w14:textId="77777777">
      <w:pPr>
        <w:rPr>
          <w:rFonts w:ascii="Arial" w:hAnsi="Arial" w:cs="Arial"/>
          <w:sz w:val="28"/>
          <w:szCs w:val="28"/>
        </w:rPr>
      </w:pPr>
    </w:p>
    <w:p w:rsidRPr="002E4ECE" w:rsidR="007073A3" w:rsidP="00D73D2D" w:rsidRDefault="007073A3" w14:paraId="533702BE" w14:textId="77777777">
      <w:pPr>
        <w:rPr>
          <w:rFonts w:ascii="Arial" w:hAnsi="Arial" w:cs="Arial"/>
          <w:sz w:val="28"/>
          <w:szCs w:val="28"/>
        </w:rPr>
      </w:pPr>
    </w:p>
    <w:p w:rsidRPr="002E4ECE" w:rsidR="00BD3333" w:rsidP="00D73D2D" w:rsidRDefault="00BD3333" w14:paraId="00712598" w14:textId="77777777">
      <w:pPr>
        <w:rPr>
          <w:rFonts w:ascii="Arial" w:hAnsi="Arial" w:cs="Arial"/>
          <w:b/>
          <w:bCs/>
          <w:sz w:val="22"/>
          <w:szCs w:val="22"/>
        </w:rPr>
      </w:pPr>
      <w:r w:rsidRPr="002E4ECE">
        <w:rPr>
          <w:rFonts w:ascii="Arial" w:hAnsi="Arial" w:cs="Arial"/>
          <w:b/>
          <w:bCs/>
          <w:sz w:val="22"/>
          <w:szCs w:val="22"/>
        </w:rPr>
        <w:t xml:space="preserve">B. </w:t>
      </w:r>
      <w:r w:rsidRPr="002E4ECE" w:rsidR="00BA1A21">
        <w:rPr>
          <w:rFonts w:ascii="Arial" w:hAnsi="Arial" w:cs="Arial"/>
          <w:b/>
          <w:bCs/>
          <w:sz w:val="22"/>
          <w:szCs w:val="22"/>
        </w:rPr>
        <w:t xml:space="preserve"> </w:t>
      </w:r>
      <w:r w:rsidRPr="002E4ECE">
        <w:rPr>
          <w:rFonts w:ascii="Arial" w:hAnsi="Arial" w:cs="Arial"/>
          <w:b/>
          <w:bCs/>
          <w:sz w:val="22"/>
          <w:szCs w:val="22"/>
          <w:u w:val="single"/>
        </w:rPr>
        <w:t>Collections of Information Employing Statistical Methods</w:t>
      </w:r>
      <w:r w:rsidRPr="002E4ECE">
        <w:rPr>
          <w:rFonts w:ascii="Arial" w:hAnsi="Arial" w:cs="Arial"/>
          <w:b/>
          <w:bCs/>
          <w:sz w:val="22"/>
          <w:szCs w:val="22"/>
        </w:rPr>
        <w:t>.</w:t>
      </w:r>
    </w:p>
    <w:p w:rsidRPr="002E4ECE" w:rsidR="00BD3333" w:rsidP="00D73D2D" w:rsidRDefault="00BD3333" w14:paraId="0FBBE148" w14:textId="77777777">
      <w:pPr>
        <w:pStyle w:val="Header"/>
        <w:tabs>
          <w:tab w:val="clear" w:pos="4320"/>
          <w:tab w:val="clear" w:pos="8640"/>
        </w:tabs>
        <w:rPr>
          <w:rFonts w:ascii="Arial" w:hAnsi="Arial" w:cs="Arial"/>
          <w:sz w:val="22"/>
          <w:szCs w:val="22"/>
        </w:rPr>
      </w:pPr>
    </w:p>
    <w:p w:rsidRPr="002E4ECE" w:rsidR="00BD3333" w:rsidP="00BA1A21" w:rsidRDefault="00BD3333" w14:paraId="35BE4F50" w14:textId="0495244A">
      <w:pPr>
        <w:pStyle w:val="Header"/>
        <w:tabs>
          <w:tab w:val="clear" w:pos="4320"/>
          <w:tab w:val="clear" w:pos="8640"/>
        </w:tabs>
        <w:ind w:left="360"/>
        <w:rPr>
          <w:rFonts w:ascii="Arial" w:hAnsi="Arial" w:cs="Arial"/>
          <w:sz w:val="22"/>
          <w:szCs w:val="22"/>
        </w:rPr>
      </w:pPr>
      <w:r w:rsidRPr="002E4ECE">
        <w:rPr>
          <w:rFonts w:ascii="Arial" w:hAnsi="Arial" w:cs="Arial"/>
          <w:sz w:val="22"/>
          <w:szCs w:val="22"/>
        </w:rPr>
        <w:t xml:space="preserve">This </w:t>
      </w:r>
      <w:r w:rsidRPr="002E4ECE" w:rsidR="00491603">
        <w:rPr>
          <w:rFonts w:ascii="Arial" w:hAnsi="Arial" w:cs="Arial"/>
          <w:sz w:val="22"/>
          <w:szCs w:val="22"/>
        </w:rPr>
        <w:t xml:space="preserve">information </w:t>
      </w:r>
      <w:r w:rsidRPr="002E4ECE">
        <w:rPr>
          <w:rFonts w:ascii="Arial" w:hAnsi="Arial" w:cs="Arial"/>
          <w:sz w:val="22"/>
          <w:szCs w:val="22"/>
        </w:rPr>
        <w:t xml:space="preserve">collection </w:t>
      </w:r>
      <w:r w:rsidRPr="002E4ECE" w:rsidR="00491603">
        <w:rPr>
          <w:rFonts w:ascii="Arial" w:hAnsi="Arial" w:cs="Arial"/>
          <w:sz w:val="22"/>
          <w:szCs w:val="22"/>
        </w:rPr>
        <w:t xml:space="preserve">request </w:t>
      </w:r>
      <w:r w:rsidRPr="002E4ECE">
        <w:rPr>
          <w:rFonts w:ascii="Arial" w:hAnsi="Arial" w:cs="Arial"/>
          <w:sz w:val="22"/>
          <w:szCs w:val="22"/>
        </w:rPr>
        <w:t>does not employ statistical methods.</w:t>
      </w:r>
      <w:r w:rsidRPr="002E4ECE" w:rsidR="00BA1A21">
        <w:rPr>
          <w:rFonts w:ascii="Arial" w:hAnsi="Arial" w:cs="Arial"/>
          <w:sz w:val="22"/>
          <w:szCs w:val="22"/>
        </w:rPr>
        <w:t xml:space="preserve"> </w:t>
      </w:r>
    </w:p>
    <w:p w:rsidRPr="002E4ECE" w:rsidR="00BA1A21" w:rsidP="00D73D2D" w:rsidRDefault="00BA1A21" w14:paraId="60F59254" w14:textId="77777777">
      <w:pPr>
        <w:suppressAutoHyphens/>
        <w:rPr>
          <w:rFonts w:ascii="Arial" w:hAnsi="Arial" w:cs="Arial"/>
          <w:sz w:val="22"/>
          <w:szCs w:val="22"/>
        </w:rPr>
      </w:pPr>
      <w:bookmarkStart w:name="_GoBack" w:id="0"/>
      <w:bookmarkEnd w:id="0"/>
    </w:p>
    <w:sectPr w:rsidRPr="002E4ECE" w:rsidR="00BA1A21" w:rsidSect="007A5D4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B8C7F" w14:textId="77777777" w:rsidR="00F46AD8" w:rsidRDefault="00F46AD8">
      <w:r>
        <w:separator/>
      </w:r>
    </w:p>
  </w:endnote>
  <w:endnote w:type="continuationSeparator" w:id="0">
    <w:p w14:paraId="1D89D68A" w14:textId="77777777" w:rsidR="00F46AD8" w:rsidRDefault="00F46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75560" w14:textId="77777777" w:rsidR="00F144A7" w:rsidRDefault="00F144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C3C1A" w14:textId="474D6A5A" w:rsidR="00F46AD8" w:rsidRPr="005822E3" w:rsidRDefault="005822E3" w:rsidP="005822E3">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Pr="005822E3">
      <w:rPr>
        <w:rFonts w:ascii="Arial" w:hAnsi="Arial" w:cs="Arial"/>
        <w:sz w:val="20"/>
        <w:szCs w:val="20"/>
      </w:rPr>
      <w:t xml:space="preserve">OMB No. 1513–0049 Supporting Statement (08–2022)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AB169" w14:textId="5301EB58" w:rsidR="00F46AD8" w:rsidRPr="005822E3" w:rsidRDefault="003309F7" w:rsidP="003309F7">
    <w:pPr>
      <w:pStyle w:val="Footer"/>
      <w:tabs>
        <w:tab w:val="clear" w:pos="4320"/>
        <w:tab w:val="clear" w:pos="8640"/>
        <w:tab w:val="right" w:pos="9360"/>
      </w:tabs>
      <w:rPr>
        <w:rFonts w:ascii="Arial" w:hAnsi="Arial" w:cs="Arial"/>
        <w:sz w:val="20"/>
        <w:szCs w:val="20"/>
      </w:rPr>
    </w:pPr>
    <w:r>
      <w:rPr>
        <w:rFonts w:ascii="Arial" w:hAnsi="Arial" w:cs="Arial"/>
        <w:sz w:val="22"/>
        <w:szCs w:val="22"/>
      </w:rPr>
      <w:tab/>
    </w:r>
    <w:r w:rsidR="005822E3" w:rsidRPr="005822E3">
      <w:rPr>
        <w:rFonts w:ascii="Arial" w:hAnsi="Arial" w:cs="Arial"/>
        <w:sz w:val="20"/>
        <w:szCs w:val="20"/>
      </w:rPr>
      <w:t xml:space="preserve">OMB No. </w:t>
    </w:r>
    <w:r w:rsidRPr="005822E3">
      <w:rPr>
        <w:rFonts w:ascii="Arial" w:hAnsi="Arial" w:cs="Arial"/>
        <w:sz w:val="20"/>
        <w:szCs w:val="20"/>
      </w:rPr>
      <w:t>1513–0049 Supporting Statement (0</w:t>
    </w:r>
    <w:r w:rsidR="005822E3" w:rsidRPr="005822E3">
      <w:rPr>
        <w:rFonts w:ascii="Arial" w:hAnsi="Arial" w:cs="Arial"/>
        <w:sz w:val="20"/>
        <w:szCs w:val="20"/>
      </w:rPr>
      <w:t>8</w:t>
    </w:r>
    <w:r w:rsidRPr="005822E3">
      <w:rPr>
        <w:rFonts w:ascii="Arial" w:hAnsi="Arial" w:cs="Arial"/>
        <w:sz w:val="20"/>
        <w:szCs w:val="20"/>
      </w:rPr>
      <w:t>–20</w:t>
    </w:r>
    <w:r w:rsidR="005822E3" w:rsidRPr="005822E3">
      <w:rPr>
        <w:rFonts w:ascii="Arial" w:hAnsi="Arial" w:cs="Arial"/>
        <w:sz w:val="20"/>
        <w:szCs w:val="20"/>
      </w:rPr>
      <w:t>22</w:t>
    </w:r>
    <w:r w:rsidRPr="005822E3">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E5234" w14:textId="77777777" w:rsidR="00F46AD8" w:rsidRDefault="00F46AD8">
      <w:r>
        <w:separator/>
      </w:r>
    </w:p>
  </w:footnote>
  <w:footnote w:type="continuationSeparator" w:id="0">
    <w:p w14:paraId="4F477FBA" w14:textId="77777777" w:rsidR="00F46AD8" w:rsidRDefault="00F46AD8">
      <w:r>
        <w:continuationSeparator/>
      </w:r>
    </w:p>
  </w:footnote>
  <w:footnote w:id="1">
    <w:p w14:paraId="27F906E2" w14:textId="036BC263" w:rsidR="00927EE2" w:rsidRPr="00446986" w:rsidRDefault="00927EE2">
      <w:pPr>
        <w:pStyle w:val="FootnoteText"/>
        <w:rPr>
          <w:rFonts w:ascii="Arial" w:hAnsi="Arial" w:cs="Arial"/>
        </w:rPr>
      </w:pPr>
      <w:r w:rsidRPr="00446986">
        <w:rPr>
          <w:rStyle w:val="FootnoteReference"/>
          <w:rFonts w:ascii="Arial" w:hAnsi="Arial" w:cs="Arial"/>
        </w:rPr>
        <w:footnoteRef/>
      </w:r>
      <w:r w:rsidRPr="00446986">
        <w:rPr>
          <w:rFonts w:ascii="Arial" w:hAnsi="Arial" w:cs="Arial"/>
        </w:rPr>
        <w:t xml:space="preserve"> Some data elements for denaturing operations records are sourced from the DSP transaction records</w:t>
      </w:r>
      <w:r w:rsidR="00446986">
        <w:rPr>
          <w:rFonts w:ascii="Arial" w:hAnsi="Arial" w:cs="Arial"/>
        </w:rPr>
        <w:t>, which are</w:t>
      </w:r>
      <w:r w:rsidRPr="00446986">
        <w:rPr>
          <w:rFonts w:ascii="Arial" w:hAnsi="Arial" w:cs="Arial"/>
        </w:rPr>
        <w:t xml:space="preserve"> required under TTB REC 5110/05</w:t>
      </w:r>
      <w:r w:rsidR="00446986">
        <w:rPr>
          <w:rFonts w:ascii="Arial" w:hAnsi="Arial" w:cs="Arial"/>
        </w:rPr>
        <w:t xml:space="preserve"> and</w:t>
      </w:r>
      <w:r w:rsidRPr="00446986">
        <w:rPr>
          <w:rFonts w:ascii="Arial" w:hAnsi="Arial" w:cs="Arial"/>
        </w:rPr>
        <w:t xml:space="preserve"> approved under OMB No. 1513–0056.</w:t>
      </w:r>
      <w:r w:rsidR="00446986">
        <w:rPr>
          <w:rFonts w:ascii="Arial" w:hAnsi="Arial" w:cs="Arial"/>
        </w:rPr>
        <w:t xml:space="preserve"> </w:t>
      </w:r>
    </w:p>
  </w:footnote>
  <w:footnote w:id="2">
    <w:p w14:paraId="69BFA58C" w14:textId="17FC146C" w:rsidR="00AC19A4" w:rsidRDefault="00AC19A4" w:rsidP="00AC19A4">
      <w:pPr>
        <w:suppressAutoHyphens/>
        <w:rPr>
          <w:rFonts w:ascii="Arial" w:hAnsi="Arial" w:cs="Arial"/>
          <w:sz w:val="18"/>
          <w:szCs w:val="18"/>
        </w:rPr>
      </w:pPr>
      <w:r>
        <w:rPr>
          <w:rStyle w:val="FootnoteReference"/>
          <w:rFonts w:ascii="Arial" w:hAnsi="Arial" w:cs="Arial"/>
          <w:sz w:val="22"/>
          <w:szCs w:val="22"/>
        </w:rPr>
        <w:footnoteRef/>
      </w:r>
      <w:r>
        <w:rPr>
          <w:rFonts w:ascii="Arial" w:hAnsi="Arial" w:cs="Arial"/>
          <w:sz w:val="22"/>
          <w:szCs w:val="22"/>
        </w:rPr>
        <w:t xml:space="preserve"> </w:t>
      </w:r>
      <w:r>
        <w:rPr>
          <w:rFonts w:ascii="Arial" w:hAnsi="Arial" w:cs="Arial"/>
          <w:sz w:val="18"/>
          <w:szCs w:val="18"/>
        </w:rPr>
        <w:t xml:space="preserve">The Fully-loaded Labor Rate = Hourly wage rate + benefit costs, which, for the private sector, is calculated as hourly wage x 1.44.  Per the most recent U.S. Department of Labor, Bureau of Labor Statistics, data for National Industry-Specific Occupational Employment and Wage Estimates for NAICS 312100—Beverage Manufacturing, the average fully-loaded labor rate per hour for </w:t>
      </w:r>
      <w:r w:rsidR="00244F6E">
        <w:rPr>
          <w:rFonts w:ascii="Arial" w:hAnsi="Arial" w:cs="Arial"/>
          <w:sz w:val="18"/>
          <w:szCs w:val="18"/>
        </w:rPr>
        <w:t xml:space="preserve">Compliance </w:t>
      </w:r>
      <w:r>
        <w:rPr>
          <w:rFonts w:ascii="Arial" w:hAnsi="Arial" w:cs="Arial"/>
          <w:sz w:val="18"/>
          <w:szCs w:val="18"/>
        </w:rPr>
        <w:t>Office</w:t>
      </w:r>
      <w:r w:rsidR="00244F6E">
        <w:rPr>
          <w:rFonts w:ascii="Arial" w:hAnsi="Arial" w:cs="Arial"/>
          <w:sz w:val="18"/>
          <w:szCs w:val="18"/>
        </w:rPr>
        <w:t>rs (13</w:t>
      </w:r>
      <w:r>
        <w:rPr>
          <w:rFonts w:ascii="Arial" w:hAnsi="Arial" w:cs="Arial"/>
          <w:sz w:val="18"/>
          <w:szCs w:val="18"/>
        </w:rPr>
        <w:t>–</w:t>
      </w:r>
      <w:r w:rsidR="00244F6E">
        <w:rPr>
          <w:rFonts w:ascii="Arial" w:hAnsi="Arial" w:cs="Arial"/>
          <w:sz w:val="18"/>
          <w:szCs w:val="18"/>
        </w:rPr>
        <w:t>1041) is $45.25</w:t>
      </w:r>
      <w:r>
        <w:rPr>
          <w:rFonts w:ascii="Arial" w:hAnsi="Arial" w:cs="Arial"/>
          <w:sz w:val="18"/>
          <w:szCs w:val="18"/>
        </w:rPr>
        <w:t xml:space="preserve"> ($</w:t>
      </w:r>
      <w:r w:rsidR="00244F6E">
        <w:rPr>
          <w:rFonts w:ascii="Arial" w:hAnsi="Arial" w:cs="Arial"/>
          <w:sz w:val="18"/>
          <w:szCs w:val="18"/>
        </w:rPr>
        <w:t>31.42</w:t>
      </w:r>
      <w:r>
        <w:rPr>
          <w:rFonts w:ascii="Arial" w:hAnsi="Arial" w:cs="Arial"/>
          <w:sz w:val="18"/>
          <w:szCs w:val="18"/>
        </w:rPr>
        <w:t xml:space="preserve"> for hourly wages plus $</w:t>
      </w:r>
      <w:r w:rsidR="00244F6E">
        <w:rPr>
          <w:rFonts w:ascii="Arial" w:hAnsi="Arial" w:cs="Arial"/>
          <w:sz w:val="18"/>
          <w:szCs w:val="18"/>
        </w:rPr>
        <w:t>13.83</w:t>
      </w:r>
      <w:r>
        <w:rPr>
          <w:rFonts w:ascii="Arial" w:hAnsi="Arial" w:cs="Arial"/>
          <w:sz w:val="18"/>
          <w:szCs w:val="18"/>
        </w:rPr>
        <w:t xml:space="preserve"> for benefit costs); see </w:t>
      </w:r>
      <w:r>
        <w:rPr>
          <w:rFonts w:ascii="Arial" w:hAnsi="Arial" w:cs="Arial"/>
          <w:i/>
          <w:sz w:val="18"/>
          <w:szCs w:val="18"/>
        </w:rPr>
        <w:t>https://www.bls.gov/oes/current/naics4_312100.htm</w:t>
      </w:r>
      <w:r>
        <w:rPr>
          <w:rFonts w:ascii="Arial" w:hAnsi="Arial" w:cs="Arial"/>
          <w:sz w:val="18"/>
          <w:szCs w:val="18"/>
        </w:rPr>
        <w:t xml:space="preserve">. </w:t>
      </w:r>
    </w:p>
  </w:footnote>
  <w:footnote w:id="3">
    <w:p w14:paraId="4F9C14BA" w14:textId="2EB62721" w:rsidR="007B336F" w:rsidRDefault="007B336F" w:rsidP="007B336F">
      <w:pPr>
        <w:suppressAutoHyphens/>
        <w:rPr>
          <w:rFonts w:ascii="Arial" w:hAnsi="Arial" w:cs="Arial"/>
          <w:sz w:val="18"/>
          <w:szCs w:val="18"/>
        </w:rPr>
      </w:pPr>
      <w:r>
        <w:rPr>
          <w:rStyle w:val="FootnoteReference"/>
          <w:rFonts w:ascii="Arial" w:hAnsi="Arial" w:cs="Arial"/>
          <w:sz w:val="22"/>
          <w:szCs w:val="22"/>
        </w:rPr>
        <w:footnoteRef/>
      </w:r>
      <w:r>
        <w:rPr>
          <w:rFonts w:ascii="Arial" w:hAnsi="Arial" w:cs="Arial"/>
          <w:sz w:val="22"/>
          <w:szCs w:val="22"/>
        </w:rPr>
        <w:t xml:space="preserve"> </w:t>
      </w:r>
      <w:r>
        <w:rPr>
          <w:rFonts w:ascii="Arial" w:hAnsi="Arial" w:cs="Arial"/>
          <w:sz w:val="18"/>
          <w:szCs w:val="18"/>
        </w:rPr>
        <w:t xml:space="preserve">Federal Government Fully-loaded Labor Rate = Hourly wage rate x 1.63 to account for benefit costs.  Per the most recent Office of Personnel Management (OPM) hourly wage data, the fully-loaded labor rates </w:t>
      </w:r>
      <w:r w:rsidR="00217802">
        <w:rPr>
          <w:rFonts w:ascii="Arial" w:hAnsi="Arial" w:cs="Arial"/>
          <w:sz w:val="18"/>
          <w:szCs w:val="18"/>
        </w:rPr>
        <w:t xml:space="preserve">per hour </w:t>
      </w:r>
      <w:r>
        <w:rPr>
          <w:rFonts w:ascii="Arial" w:hAnsi="Arial" w:cs="Arial"/>
          <w:sz w:val="18"/>
          <w:szCs w:val="18"/>
        </w:rPr>
        <w:t>for the Cincinnati</w:t>
      </w:r>
      <w:r w:rsidR="00217802">
        <w:rPr>
          <w:rFonts w:ascii="Arial" w:hAnsi="Arial" w:cs="Arial"/>
          <w:sz w:val="18"/>
          <w:szCs w:val="18"/>
        </w:rPr>
        <w:t>, Ohio, wage area are:  (1) GS–5</w:t>
      </w:r>
      <w:r>
        <w:rPr>
          <w:rFonts w:ascii="Arial" w:hAnsi="Arial" w:cs="Arial"/>
          <w:sz w:val="18"/>
          <w:szCs w:val="18"/>
        </w:rPr>
        <w:t>, step 5, employee = $3</w:t>
      </w:r>
      <w:r w:rsidR="00217802">
        <w:rPr>
          <w:rFonts w:ascii="Arial" w:hAnsi="Arial" w:cs="Arial"/>
          <w:sz w:val="18"/>
          <w:szCs w:val="18"/>
        </w:rPr>
        <w:t>3.27</w:t>
      </w:r>
      <w:r>
        <w:rPr>
          <w:rFonts w:ascii="Arial" w:hAnsi="Arial" w:cs="Arial"/>
          <w:sz w:val="18"/>
          <w:szCs w:val="18"/>
        </w:rPr>
        <w:t xml:space="preserve"> ($</w:t>
      </w:r>
      <w:r w:rsidR="00217802">
        <w:rPr>
          <w:rFonts w:ascii="Arial" w:hAnsi="Arial" w:cs="Arial"/>
          <w:sz w:val="18"/>
          <w:szCs w:val="18"/>
        </w:rPr>
        <w:t>20.41</w:t>
      </w:r>
      <w:r>
        <w:rPr>
          <w:rFonts w:ascii="Arial" w:hAnsi="Arial" w:cs="Arial"/>
          <w:sz w:val="18"/>
          <w:szCs w:val="18"/>
        </w:rPr>
        <w:t xml:space="preserve"> in wages plus $1</w:t>
      </w:r>
      <w:r w:rsidR="00217802">
        <w:rPr>
          <w:rFonts w:ascii="Arial" w:hAnsi="Arial" w:cs="Arial"/>
          <w:sz w:val="18"/>
          <w:szCs w:val="18"/>
        </w:rPr>
        <w:t>2</w:t>
      </w:r>
      <w:r>
        <w:rPr>
          <w:rFonts w:ascii="Arial" w:hAnsi="Arial" w:cs="Arial"/>
          <w:sz w:val="18"/>
          <w:szCs w:val="18"/>
        </w:rPr>
        <w:t>.</w:t>
      </w:r>
      <w:r w:rsidR="00217802">
        <w:rPr>
          <w:rFonts w:ascii="Arial" w:hAnsi="Arial" w:cs="Arial"/>
          <w:sz w:val="18"/>
          <w:szCs w:val="18"/>
        </w:rPr>
        <w:t>86</w:t>
      </w:r>
      <w:r>
        <w:rPr>
          <w:rFonts w:ascii="Arial" w:hAnsi="Arial" w:cs="Arial"/>
          <w:sz w:val="18"/>
          <w:szCs w:val="18"/>
        </w:rPr>
        <w:t xml:space="preserve"> in benefit costs); and (2) GS–11, step  5 = $</w:t>
      </w:r>
      <w:r w:rsidR="00217802">
        <w:rPr>
          <w:rFonts w:ascii="Arial" w:hAnsi="Arial" w:cs="Arial"/>
          <w:sz w:val="18"/>
          <w:szCs w:val="18"/>
        </w:rPr>
        <w:t>60.99</w:t>
      </w:r>
      <w:r>
        <w:rPr>
          <w:rFonts w:ascii="Arial" w:hAnsi="Arial" w:cs="Arial"/>
          <w:sz w:val="18"/>
          <w:szCs w:val="18"/>
        </w:rPr>
        <w:t xml:space="preserve"> ($</w:t>
      </w:r>
      <w:r w:rsidR="00217802">
        <w:rPr>
          <w:rFonts w:ascii="Arial" w:hAnsi="Arial" w:cs="Arial"/>
          <w:sz w:val="18"/>
          <w:szCs w:val="18"/>
        </w:rPr>
        <w:t>37.42</w:t>
      </w:r>
      <w:r>
        <w:rPr>
          <w:rFonts w:ascii="Arial" w:hAnsi="Arial" w:cs="Arial"/>
          <w:sz w:val="18"/>
          <w:szCs w:val="18"/>
        </w:rPr>
        <w:t xml:space="preserve"> in wages plus $23.</w:t>
      </w:r>
      <w:r w:rsidR="00217802">
        <w:rPr>
          <w:rFonts w:ascii="Arial" w:hAnsi="Arial" w:cs="Arial"/>
          <w:sz w:val="18"/>
          <w:szCs w:val="18"/>
        </w:rPr>
        <w:t>57</w:t>
      </w:r>
      <w:r>
        <w:rPr>
          <w:rFonts w:ascii="Arial" w:hAnsi="Arial" w:cs="Arial"/>
          <w:sz w:val="18"/>
          <w:szCs w:val="18"/>
        </w:rPr>
        <w:t xml:space="preserve"> in benefit costs),.  See the OP</w:t>
      </w:r>
      <w:r w:rsidR="00217802">
        <w:rPr>
          <w:rFonts w:ascii="Arial" w:hAnsi="Arial" w:cs="Arial"/>
          <w:sz w:val="18"/>
          <w:szCs w:val="18"/>
        </w:rPr>
        <w:t>M</w:t>
      </w:r>
      <w:r>
        <w:rPr>
          <w:rFonts w:ascii="Arial" w:hAnsi="Arial" w:cs="Arial"/>
          <w:sz w:val="18"/>
          <w:szCs w:val="18"/>
        </w:rPr>
        <w:t xml:space="preserve"> website at </w:t>
      </w:r>
      <w:r w:rsidR="00217802" w:rsidRPr="00217802">
        <w:rPr>
          <w:rFonts w:ascii="Arial" w:hAnsi="Arial" w:cs="Arial"/>
          <w:i/>
          <w:sz w:val="18"/>
          <w:szCs w:val="18"/>
        </w:rPr>
        <w:t>https://www.opm.gov/policy-data-oversight/pay-leave/salaries-wages/salary-tables/pdf/2022/CIN_h.pdf</w:t>
      </w:r>
      <w:r w:rsidR="00217802">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BBC50" w14:textId="77777777" w:rsidR="00F144A7" w:rsidRDefault="00F144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70994" w14:textId="7CDBC775" w:rsidR="00F46AD8" w:rsidRPr="007A5D4B" w:rsidRDefault="00F46AD8"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2B1BFE">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BCB4B" w14:textId="77777777" w:rsidR="00F144A7" w:rsidRDefault="00F144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AE5205"/>
    <w:multiLevelType w:val="hybridMultilevel"/>
    <w:tmpl w:val="9BAA46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053A6"/>
    <w:rsid w:val="00012E43"/>
    <w:rsid w:val="00014CEB"/>
    <w:rsid w:val="00025D26"/>
    <w:rsid w:val="0003032C"/>
    <w:rsid w:val="00030CEB"/>
    <w:rsid w:val="000329F4"/>
    <w:rsid w:val="0004708F"/>
    <w:rsid w:val="000473AC"/>
    <w:rsid w:val="0004764C"/>
    <w:rsid w:val="000516CA"/>
    <w:rsid w:val="00052D0B"/>
    <w:rsid w:val="00074898"/>
    <w:rsid w:val="00080BE5"/>
    <w:rsid w:val="00090251"/>
    <w:rsid w:val="00095F53"/>
    <w:rsid w:val="000A2E33"/>
    <w:rsid w:val="000A4E1A"/>
    <w:rsid w:val="000B3E08"/>
    <w:rsid w:val="000B6799"/>
    <w:rsid w:val="000D6313"/>
    <w:rsid w:val="00101DE7"/>
    <w:rsid w:val="00103FE6"/>
    <w:rsid w:val="001303CA"/>
    <w:rsid w:val="001608E4"/>
    <w:rsid w:val="00192FF5"/>
    <w:rsid w:val="00197AA9"/>
    <w:rsid w:val="001B09B9"/>
    <w:rsid w:val="001B1522"/>
    <w:rsid w:val="001E7BDE"/>
    <w:rsid w:val="001F2913"/>
    <w:rsid w:val="002007F3"/>
    <w:rsid w:val="00207E00"/>
    <w:rsid w:val="00217802"/>
    <w:rsid w:val="0022156B"/>
    <w:rsid w:val="00244F6E"/>
    <w:rsid w:val="00250066"/>
    <w:rsid w:val="00273CEE"/>
    <w:rsid w:val="00276081"/>
    <w:rsid w:val="00285440"/>
    <w:rsid w:val="002A4C75"/>
    <w:rsid w:val="002B1BFE"/>
    <w:rsid w:val="002B47FB"/>
    <w:rsid w:val="002D1324"/>
    <w:rsid w:val="002D4A29"/>
    <w:rsid w:val="002D4C2B"/>
    <w:rsid w:val="002E4ECE"/>
    <w:rsid w:val="002E6145"/>
    <w:rsid w:val="003301DA"/>
    <w:rsid w:val="003309F7"/>
    <w:rsid w:val="0033260C"/>
    <w:rsid w:val="00340D0A"/>
    <w:rsid w:val="003517FD"/>
    <w:rsid w:val="00381FFC"/>
    <w:rsid w:val="0038533D"/>
    <w:rsid w:val="0038747C"/>
    <w:rsid w:val="00390B32"/>
    <w:rsid w:val="0039377D"/>
    <w:rsid w:val="003A446D"/>
    <w:rsid w:val="003A4DFA"/>
    <w:rsid w:val="003A7669"/>
    <w:rsid w:val="003C1FD2"/>
    <w:rsid w:val="003C6128"/>
    <w:rsid w:val="003D2892"/>
    <w:rsid w:val="003F5596"/>
    <w:rsid w:val="004156B0"/>
    <w:rsid w:val="00424E65"/>
    <w:rsid w:val="00424F2F"/>
    <w:rsid w:val="00433912"/>
    <w:rsid w:val="0044522E"/>
    <w:rsid w:val="00446986"/>
    <w:rsid w:val="00447B6B"/>
    <w:rsid w:val="004566C3"/>
    <w:rsid w:val="00491603"/>
    <w:rsid w:val="00496E59"/>
    <w:rsid w:val="004A3DE5"/>
    <w:rsid w:val="004B3E63"/>
    <w:rsid w:val="004C3724"/>
    <w:rsid w:val="004C38A1"/>
    <w:rsid w:val="004C5383"/>
    <w:rsid w:val="004D086A"/>
    <w:rsid w:val="004D1808"/>
    <w:rsid w:val="004D3468"/>
    <w:rsid w:val="004D41B1"/>
    <w:rsid w:val="004D4299"/>
    <w:rsid w:val="004D512C"/>
    <w:rsid w:val="004E2C89"/>
    <w:rsid w:val="004F62C7"/>
    <w:rsid w:val="0050368E"/>
    <w:rsid w:val="00510551"/>
    <w:rsid w:val="0051418E"/>
    <w:rsid w:val="00521419"/>
    <w:rsid w:val="00525C00"/>
    <w:rsid w:val="005278E4"/>
    <w:rsid w:val="005320FD"/>
    <w:rsid w:val="00536D29"/>
    <w:rsid w:val="00571E92"/>
    <w:rsid w:val="005801CF"/>
    <w:rsid w:val="005822E3"/>
    <w:rsid w:val="005A6AF2"/>
    <w:rsid w:val="005C282B"/>
    <w:rsid w:val="005D753D"/>
    <w:rsid w:val="005E345C"/>
    <w:rsid w:val="005E4F99"/>
    <w:rsid w:val="005E4F9B"/>
    <w:rsid w:val="006131DF"/>
    <w:rsid w:val="006244FF"/>
    <w:rsid w:val="00631780"/>
    <w:rsid w:val="00631967"/>
    <w:rsid w:val="00663972"/>
    <w:rsid w:val="0066755F"/>
    <w:rsid w:val="00681BD4"/>
    <w:rsid w:val="006844F7"/>
    <w:rsid w:val="0069718A"/>
    <w:rsid w:val="006A35C6"/>
    <w:rsid w:val="006C47D0"/>
    <w:rsid w:val="006C5988"/>
    <w:rsid w:val="006F2142"/>
    <w:rsid w:val="007073A3"/>
    <w:rsid w:val="00721C76"/>
    <w:rsid w:val="00722335"/>
    <w:rsid w:val="00723C67"/>
    <w:rsid w:val="00734B25"/>
    <w:rsid w:val="00736DD6"/>
    <w:rsid w:val="00784E5E"/>
    <w:rsid w:val="007A5D4B"/>
    <w:rsid w:val="007B336F"/>
    <w:rsid w:val="007B4E08"/>
    <w:rsid w:val="007C7AFF"/>
    <w:rsid w:val="007D5727"/>
    <w:rsid w:val="007E319C"/>
    <w:rsid w:val="007E57D5"/>
    <w:rsid w:val="007F40E3"/>
    <w:rsid w:val="00804B0C"/>
    <w:rsid w:val="00811A04"/>
    <w:rsid w:val="00823D35"/>
    <w:rsid w:val="00827956"/>
    <w:rsid w:val="008332AE"/>
    <w:rsid w:val="0084640C"/>
    <w:rsid w:val="00851169"/>
    <w:rsid w:val="00853E85"/>
    <w:rsid w:val="008603B9"/>
    <w:rsid w:val="00874C51"/>
    <w:rsid w:val="00891DC6"/>
    <w:rsid w:val="008B146B"/>
    <w:rsid w:val="008C399F"/>
    <w:rsid w:val="008C5B4E"/>
    <w:rsid w:val="009005F3"/>
    <w:rsid w:val="0091596F"/>
    <w:rsid w:val="009164DC"/>
    <w:rsid w:val="00925BE1"/>
    <w:rsid w:val="00927EE2"/>
    <w:rsid w:val="00947306"/>
    <w:rsid w:val="0096457D"/>
    <w:rsid w:val="00965E7F"/>
    <w:rsid w:val="00987432"/>
    <w:rsid w:val="00990656"/>
    <w:rsid w:val="009A1CD5"/>
    <w:rsid w:val="009A6532"/>
    <w:rsid w:val="009A6A1C"/>
    <w:rsid w:val="009E4E4C"/>
    <w:rsid w:val="009F3A6B"/>
    <w:rsid w:val="00A17E04"/>
    <w:rsid w:val="00A201BF"/>
    <w:rsid w:val="00A2564D"/>
    <w:rsid w:val="00A334E5"/>
    <w:rsid w:val="00A5167D"/>
    <w:rsid w:val="00A5320B"/>
    <w:rsid w:val="00A5755A"/>
    <w:rsid w:val="00A710A6"/>
    <w:rsid w:val="00A82537"/>
    <w:rsid w:val="00A90B28"/>
    <w:rsid w:val="00AA3F8F"/>
    <w:rsid w:val="00AA5A73"/>
    <w:rsid w:val="00AA6881"/>
    <w:rsid w:val="00AC19A4"/>
    <w:rsid w:val="00AC686F"/>
    <w:rsid w:val="00AE08B9"/>
    <w:rsid w:val="00AE5E70"/>
    <w:rsid w:val="00AF060A"/>
    <w:rsid w:val="00AF1157"/>
    <w:rsid w:val="00B00666"/>
    <w:rsid w:val="00B06EE5"/>
    <w:rsid w:val="00B1047F"/>
    <w:rsid w:val="00B1139F"/>
    <w:rsid w:val="00B14D7A"/>
    <w:rsid w:val="00B23FF6"/>
    <w:rsid w:val="00B31E02"/>
    <w:rsid w:val="00B3574B"/>
    <w:rsid w:val="00B46A94"/>
    <w:rsid w:val="00B508E9"/>
    <w:rsid w:val="00B72AC4"/>
    <w:rsid w:val="00B95061"/>
    <w:rsid w:val="00BA1A21"/>
    <w:rsid w:val="00BB67E5"/>
    <w:rsid w:val="00BC1D1F"/>
    <w:rsid w:val="00BC2343"/>
    <w:rsid w:val="00BD3333"/>
    <w:rsid w:val="00BE1EFE"/>
    <w:rsid w:val="00BE3C19"/>
    <w:rsid w:val="00BF211D"/>
    <w:rsid w:val="00C1362D"/>
    <w:rsid w:val="00C2475F"/>
    <w:rsid w:val="00C271EA"/>
    <w:rsid w:val="00C31FAB"/>
    <w:rsid w:val="00C3678C"/>
    <w:rsid w:val="00C71838"/>
    <w:rsid w:val="00CA07BF"/>
    <w:rsid w:val="00CA7E3C"/>
    <w:rsid w:val="00CC2DE7"/>
    <w:rsid w:val="00CD21EC"/>
    <w:rsid w:val="00CE22E6"/>
    <w:rsid w:val="00CE655A"/>
    <w:rsid w:val="00CF1C87"/>
    <w:rsid w:val="00D004D6"/>
    <w:rsid w:val="00D01AA2"/>
    <w:rsid w:val="00D03A61"/>
    <w:rsid w:val="00D059BB"/>
    <w:rsid w:val="00D2673D"/>
    <w:rsid w:val="00D414AB"/>
    <w:rsid w:val="00D50640"/>
    <w:rsid w:val="00D53641"/>
    <w:rsid w:val="00D56B01"/>
    <w:rsid w:val="00D6325C"/>
    <w:rsid w:val="00D656EA"/>
    <w:rsid w:val="00D73D2D"/>
    <w:rsid w:val="00D742EE"/>
    <w:rsid w:val="00D76DF0"/>
    <w:rsid w:val="00D85E10"/>
    <w:rsid w:val="00DA29D8"/>
    <w:rsid w:val="00DE106E"/>
    <w:rsid w:val="00DE6F98"/>
    <w:rsid w:val="00DF5F98"/>
    <w:rsid w:val="00E115FD"/>
    <w:rsid w:val="00E323CD"/>
    <w:rsid w:val="00E414F9"/>
    <w:rsid w:val="00E41ED9"/>
    <w:rsid w:val="00E45CBA"/>
    <w:rsid w:val="00E51AD7"/>
    <w:rsid w:val="00E56E11"/>
    <w:rsid w:val="00E86B1B"/>
    <w:rsid w:val="00E92487"/>
    <w:rsid w:val="00EC4FC3"/>
    <w:rsid w:val="00ED4A03"/>
    <w:rsid w:val="00ED7233"/>
    <w:rsid w:val="00EE4237"/>
    <w:rsid w:val="00F03208"/>
    <w:rsid w:val="00F058FA"/>
    <w:rsid w:val="00F10C50"/>
    <w:rsid w:val="00F144A7"/>
    <w:rsid w:val="00F46AD8"/>
    <w:rsid w:val="00F618E0"/>
    <w:rsid w:val="00F87D99"/>
    <w:rsid w:val="00F95A6D"/>
    <w:rsid w:val="00FA228E"/>
    <w:rsid w:val="00FD0CE4"/>
    <w:rsid w:val="00FD18EE"/>
    <w:rsid w:val="00FD27FB"/>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53008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link w:val="HeaderChar"/>
    <w:uiPriority w:val="99"/>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link w:val="FooterChar"/>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character" w:customStyle="1" w:styleId="HeaderChar">
    <w:name w:val="Header Char"/>
    <w:basedOn w:val="DefaultParagraphFont"/>
    <w:link w:val="Header"/>
    <w:uiPriority w:val="99"/>
    <w:rsid w:val="005822E3"/>
  </w:style>
  <w:style w:type="character" w:customStyle="1" w:styleId="FooterChar">
    <w:name w:val="Footer Char"/>
    <w:basedOn w:val="DefaultParagraphFont"/>
    <w:link w:val="Footer"/>
    <w:rsid w:val="005822E3"/>
    <w:rPr>
      <w:sz w:val="24"/>
      <w:szCs w:val="24"/>
    </w:rPr>
  </w:style>
  <w:style w:type="paragraph" w:styleId="FootnoteText">
    <w:name w:val="footnote text"/>
    <w:basedOn w:val="Normal"/>
    <w:link w:val="FootnoteTextChar"/>
    <w:semiHidden/>
    <w:unhideWhenUsed/>
    <w:rsid w:val="00927EE2"/>
    <w:rPr>
      <w:sz w:val="20"/>
      <w:szCs w:val="20"/>
    </w:rPr>
  </w:style>
  <w:style w:type="character" w:customStyle="1" w:styleId="FootnoteTextChar">
    <w:name w:val="Footnote Text Char"/>
    <w:basedOn w:val="DefaultParagraphFont"/>
    <w:link w:val="FootnoteText"/>
    <w:semiHidden/>
    <w:rsid w:val="00927EE2"/>
  </w:style>
  <w:style w:type="character" w:styleId="FootnoteReference">
    <w:name w:val="footnote reference"/>
    <w:basedOn w:val="DefaultParagraphFont"/>
    <w:uiPriority w:val="99"/>
    <w:semiHidden/>
    <w:unhideWhenUsed/>
    <w:rsid w:val="00927EE2"/>
    <w:rPr>
      <w:vertAlign w:val="superscript"/>
    </w:rPr>
  </w:style>
  <w:style w:type="table" w:customStyle="1" w:styleId="TableGrid1">
    <w:name w:val="Table Grid1"/>
    <w:basedOn w:val="TableNormal"/>
    <w:uiPriority w:val="39"/>
    <w:rsid w:val="00AC19A4"/>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54157816">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130123692">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876497885">
      <w:bodyDiv w:val="1"/>
      <w:marLeft w:val="0"/>
      <w:marRight w:val="0"/>
      <w:marTop w:val="0"/>
      <w:marBottom w:val="0"/>
      <w:divBdr>
        <w:top w:val="none" w:sz="0" w:space="0" w:color="auto"/>
        <w:left w:val="none" w:sz="0" w:space="0" w:color="auto"/>
        <w:bottom w:val="none" w:sz="0" w:space="0" w:color="auto"/>
        <w:right w:val="none" w:sz="0" w:space="0" w:color="auto"/>
      </w:divBdr>
    </w:div>
    <w:div w:id="205962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42DFC-E287-4807-9BFC-44FE81A64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2309</Words>
  <Characters>13385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2883685</vt:i4>
      </vt:variant>
      <vt:variant>
        <vt:i4>0</vt:i4>
      </vt:variant>
      <vt:variant>
        <vt:i4>0</vt:i4>
      </vt:variant>
      <vt:variant>
        <vt:i4>5</vt:i4>
      </vt:variant>
      <vt:variant>
        <vt:lpwstr>http://www.ttb.gov/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2022-08-21T17:27:00Z</dcterms:created>
  <dcterms:modified xsi:type="dcterms:W3CDTF">2022-08-21T17:50:00Z</dcterms:modified>
</cp:coreProperties>
</file>