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BA4033" w:rsidR="00655937" w:rsidRDefault="00BA4033">
      <w:pPr>
        <w:rPr>
          <w:b/>
          <w:sz w:val="36"/>
          <w:szCs w:val="36"/>
        </w:rPr>
      </w:pPr>
      <w:r w:rsidRPr="00BA4033">
        <w:rPr>
          <w:b/>
          <w:sz w:val="36"/>
          <w:szCs w:val="36"/>
        </w:rPr>
        <w:t xml:space="preserve">TTB G 2022–1, Taxpayer Relief – Payment Options </w:t>
      </w:r>
    </w:p>
    <w:p w:rsidR="00BA4033" w:rsidRDefault="00BA4033">
      <w:hyperlink w:history="1" r:id="rId6">
        <w:r w:rsidRPr="00C10F8D">
          <w:rPr>
            <w:rStyle w:val="Hyperlink"/>
          </w:rPr>
          <w:t>https://www.ttb.gov/tax-audit/taxpayer-relief-payment-options</w:t>
        </w:r>
      </w:hyperlink>
      <w:r>
        <w:t xml:space="preserve"> </w:t>
      </w:r>
    </w:p>
    <w:p w:rsidRPr="00BA4033" w:rsidR="00BA4033" w:rsidRDefault="00BA4033">
      <w:pPr>
        <w:rPr>
          <w:sz w:val="24"/>
          <w:szCs w:val="24"/>
        </w:rPr>
      </w:pPr>
    </w:p>
    <w:p w:rsidRPr="00BA4033" w:rsidR="00BA4033" w:rsidRDefault="00BA4033">
      <w:pPr>
        <w:rPr>
          <w:b/>
          <w:i/>
          <w:sz w:val="24"/>
          <w:szCs w:val="24"/>
        </w:rPr>
      </w:pPr>
      <w:r w:rsidRPr="00BA4033">
        <w:rPr>
          <w:b/>
          <w:i/>
          <w:sz w:val="24"/>
          <w:szCs w:val="24"/>
        </w:rPr>
        <w:t xml:space="preserve">Introductory Page: </w:t>
      </w:r>
    </w:p>
    <w:p w:rsidRPr="00BA4033" w:rsidR="00BA4033" w:rsidRDefault="00BA4033">
      <w:pPr>
        <w:rPr>
          <w:sz w:val="24"/>
          <w:szCs w:val="24"/>
        </w:rPr>
      </w:pPr>
      <w:r w:rsidRPr="00BA4033">
        <w:rPr>
          <w:sz w:val="24"/>
          <w:szCs w:val="24"/>
        </w:rPr>
        <w:drawing>
          <wp:inline distT="0" distB="0" distL="0" distR="0" wp14:anchorId="4CDB47FF" wp14:editId="3C1987B8">
            <wp:extent cx="5943600" cy="6572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033" w:rsidRDefault="00BA4033">
      <w:pPr>
        <w:rPr>
          <w:sz w:val="24"/>
          <w:szCs w:val="24"/>
        </w:rPr>
      </w:pPr>
    </w:p>
    <w:p w:rsidRPr="00BA4033" w:rsidR="00BA4033" w:rsidRDefault="00BA4033">
      <w:pPr>
        <w:rPr>
          <w:b/>
          <w:i/>
          <w:sz w:val="24"/>
          <w:szCs w:val="24"/>
        </w:rPr>
      </w:pPr>
      <w:r w:rsidRPr="00BA4033">
        <w:rPr>
          <w:b/>
          <w:i/>
          <w:sz w:val="24"/>
          <w:szCs w:val="24"/>
        </w:rPr>
        <w:lastRenderedPageBreak/>
        <w:t xml:space="preserve">Installment Agreement “Learn More” Page: </w:t>
      </w:r>
    </w:p>
    <w:p w:rsidR="00BA4033" w:rsidRDefault="00BA4033">
      <w:pPr>
        <w:rPr>
          <w:sz w:val="24"/>
          <w:szCs w:val="24"/>
        </w:rPr>
      </w:pPr>
      <w:r w:rsidRPr="00BA4033">
        <w:rPr>
          <w:sz w:val="24"/>
          <w:szCs w:val="24"/>
        </w:rPr>
        <w:drawing>
          <wp:inline distT="0" distB="0" distL="0" distR="0" wp14:anchorId="4DBA91A0" wp14:editId="24E461BC">
            <wp:extent cx="5935069" cy="498157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-1042" b="60649"/>
                    <a:stretch/>
                  </pic:blipFill>
                  <pic:spPr bwMode="auto">
                    <a:xfrm>
                      <a:off x="0" y="0"/>
                      <a:ext cx="5946237" cy="4990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AB4" w:rsidRDefault="00300AB4">
      <w:pPr>
        <w:rPr>
          <w:sz w:val="24"/>
          <w:szCs w:val="24"/>
        </w:rPr>
      </w:pPr>
      <w:r>
        <w:rPr>
          <w:sz w:val="24"/>
          <w:szCs w:val="24"/>
        </w:rPr>
        <w:t>(</w:t>
      </w:r>
      <w:r w:rsidR="00A61BBC">
        <w:rPr>
          <w:sz w:val="24"/>
          <w:szCs w:val="24"/>
        </w:rPr>
        <w:t>Page c</w:t>
      </w:r>
      <w:r>
        <w:rPr>
          <w:sz w:val="24"/>
          <w:szCs w:val="24"/>
        </w:rPr>
        <w:t>ontinued below)</w:t>
      </w:r>
    </w:p>
    <w:p w:rsidR="00300AB4" w:rsidRDefault="00300AB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A4033" w:rsidRDefault="00300AB4">
      <w:pPr>
        <w:rPr>
          <w:sz w:val="24"/>
          <w:szCs w:val="24"/>
        </w:rPr>
      </w:pPr>
      <w:r w:rsidRPr="00300AB4">
        <w:rPr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867400" cy="7408333"/>
            <wp:effectExtent l="0" t="0" r="0" b="254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36"/>
                    <a:stretch/>
                  </pic:blipFill>
                  <pic:spPr bwMode="auto">
                    <a:xfrm>
                      <a:off x="0" y="0"/>
                      <a:ext cx="5867400" cy="7408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528A4" w:rsidRDefault="002528A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Pr="00CB3C13" w:rsidR="00BA4033" w:rsidRDefault="00CB3C13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Extension of Time for Paying Tax “Learn More” Page: </w:t>
      </w:r>
    </w:p>
    <w:p w:rsidR="00BA4033" w:rsidRDefault="00C77E24">
      <w:pPr>
        <w:rPr>
          <w:sz w:val="24"/>
          <w:szCs w:val="24"/>
        </w:rPr>
      </w:pPr>
      <w:r w:rsidRPr="00C77E24">
        <w:rPr>
          <w:sz w:val="24"/>
          <w:szCs w:val="24"/>
        </w:rPr>
        <w:drawing>
          <wp:inline distT="0" distB="0" distL="0" distR="0" wp14:anchorId="48405AAA" wp14:editId="0C305FA1">
            <wp:extent cx="5895975" cy="564776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58565"/>
                    <a:stretch/>
                  </pic:blipFill>
                  <pic:spPr bwMode="auto">
                    <a:xfrm>
                      <a:off x="0" y="0"/>
                      <a:ext cx="5895975" cy="5647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E24" w:rsidP="00C77E24" w:rsidRDefault="00C77E24">
      <w:pPr>
        <w:rPr>
          <w:sz w:val="24"/>
          <w:szCs w:val="24"/>
        </w:rPr>
      </w:pPr>
      <w:r>
        <w:rPr>
          <w:sz w:val="24"/>
          <w:szCs w:val="24"/>
        </w:rPr>
        <w:t>(</w:t>
      </w:r>
      <w:r w:rsidR="00A61BBC">
        <w:rPr>
          <w:sz w:val="24"/>
          <w:szCs w:val="24"/>
        </w:rPr>
        <w:t>Page c</w:t>
      </w:r>
      <w:r>
        <w:rPr>
          <w:sz w:val="24"/>
          <w:szCs w:val="24"/>
        </w:rPr>
        <w:t>ontinued below)</w:t>
      </w:r>
    </w:p>
    <w:p w:rsidR="00C77E24" w:rsidP="00C77E24" w:rsidRDefault="00C77E2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A4033" w:rsidRDefault="0003045D">
      <w:pPr>
        <w:rPr>
          <w:sz w:val="24"/>
          <w:szCs w:val="24"/>
        </w:rPr>
      </w:pPr>
      <w:r w:rsidRPr="0003045D">
        <w:rPr>
          <w:sz w:val="24"/>
          <w:szCs w:val="24"/>
        </w:rPr>
        <w:drawing>
          <wp:inline distT="0" distB="0" distL="0" distR="0" wp14:anchorId="180874F1" wp14:editId="58350EA7">
            <wp:extent cx="5915025" cy="80400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1203"/>
                    <a:stretch/>
                  </pic:blipFill>
                  <pic:spPr bwMode="auto">
                    <a:xfrm>
                      <a:off x="0" y="0"/>
                      <a:ext cx="5915025" cy="804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3045D" w:rsidR="0003045D" w:rsidRDefault="0003045D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Waiver or Abatement of Penalties “Learn More” Page: </w:t>
      </w:r>
    </w:p>
    <w:p w:rsidR="00BA4033" w:rsidRDefault="0003045D">
      <w:pPr>
        <w:rPr>
          <w:sz w:val="24"/>
          <w:szCs w:val="24"/>
        </w:rPr>
      </w:pPr>
      <w:r w:rsidRPr="0003045D">
        <w:rPr>
          <w:sz w:val="24"/>
          <w:szCs w:val="24"/>
        </w:rPr>
        <w:drawing>
          <wp:inline distT="0" distB="0" distL="0" distR="0" wp14:anchorId="3706DBF7" wp14:editId="4543C669">
            <wp:extent cx="5915025" cy="69917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-1" b="35417"/>
                    <a:stretch/>
                  </pic:blipFill>
                  <pic:spPr bwMode="auto">
                    <a:xfrm>
                      <a:off x="0" y="0"/>
                      <a:ext cx="5915025" cy="699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033" w:rsidRDefault="0003045D">
      <w:pPr>
        <w:rPr>
          <w:sz w:val="24"/>
          <w:szCs w:val="24"/>
        </w:rPr>
      </w:pPr>
      <w:r>
        <w:rPr>
          <w:sz w:val="24"/>
          <w:szCs w:val="24"/>
        </w:rPr>
        <w:t>(</w:t>
      </w:r>
      <w:r w:rsidR="00A61BBC">
        <w:rPr>
          <w:sz w:val="24"/>
          <w:szCs w:val="24"/>
        </w:rPr>
        <w:t>Page c</w:t>
      </w:r>
      <w:r>
        <w:rPr>
          <w:sz w:val="24"/>
          <w:szCs w:val="24"/>
        </w:rPr>
        <w:t xml:space="preserve">ontinued below) </w:t>
      </w:r>
    </w:p>
    <w:p w:rsidR="0003045D" w:rsidRDefault="0003045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A4033" w:rsidRDefault="0003045D">
      <w:pPr>
        <w:rPr>
          <w:sz w:val="24"/>
          <w:szCs w:val="24"/>
        </w:rPr>
      </w:pPr>
      <w:r w:rsidRPr="0003045D">
        <w:rPr>
          <w:sz w:val="24"/>
          <w:szCs w:val="24"/>
        </w:rPr>
        <w:drawing>
          <wp:inline distT="0" distB="0" distL="0" distR="0" wp14:anchorId="3226B047" wp14:editId="5A2CC7DD">
            <wp:extent cx="5932796" cy="3619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65047" b="1619"/>
                    <a:stretch/>
                  </pic:blipFill>
                  <pic:spPr bwMode="auto">
                    <a:xfrm>
                      <a:off x="0" y="0"/>
                      <a:ext cx="5932796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033" w:rsidRDefault="00BA4033">
      <w:pPr>
        <w:rPr>
          <w:sz w:val="24"/>
          <w:szCs w:val="24"/>
        </w:rPr>
      </w:pPr>
    </w:p>
    <w:p w:rsidR="00971525" w:rsidRDefault="00971525">
      <w:pPr>
        <w:rPr>
          <w:sz w:val="24"/>
          <w:szCs w:val="24"/>
        </w:rPr>
      </w:pPr>
      <w:r>
        <w:rPr>
          <w:sz w:val="24"/>
          <w:szCs w:val="24"/>
        </w:rPr>
        <w:t xml:space="preserve">(Guidance continues below) </w:t>
      </w:r>
    </w:p>
    <w:p w:rsidR="00971525" w:rsidRDefault="0097152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Pr="00971525" w:rsidR="00BA4033" w:rsidRDefault="00971525">
      <w:pPr>
        <w:rPr>
          <w:b/>
          <w:i/>
          <w:sz w:val="24"/>
          <w:szCs w:val="24"/>
        </w:rPr>
      </w:pPr>
      <w:r w:rsidRPr="00971525">
        <w:rPr>
          <w:b/>
          <w:i/>
          <w:sz w:val="24"/>
          <w:szCs w:val="24"/>
        </w:rPr>
        <w:t xml:space="preserve">Offer in Compromise “Learn More” Page: </w:t>
      </w:r>
    </w:p>
    <w:p w:rsidR="00BA4033" w:rsidRDefault="00C62A4D">
      <w:pPr>
        <w:rPr>
          <w:sz w:val="24"/>
          <w:szCs w:val="24"/>
        </w:rPr>
      </w:pPr>
      <w:r w:rsidRPr="00C62A4D">
        <w:rPr>
          <w:sz w:val="24"/>
          <w:szCs w:val="24"/>
        </w:rPr>
        <w:drawing>
          <wp:inline distT="0" distB="0" distL="0" distR="0" wp14:anchorId="10B41039" wp14:editId="16A4FB5E">
            <wp:extent cx="5915025" cy="7425258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42493"/>
                    <a:stretch/>
                  </pic:blipFill>
                  <pic:spPr bwMode="auto">
                    <a:xfrm>
                      <a:off x="0" y="0"/>
                      <a:ext cx="5918996" cy="7430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A4D" w:rsidRDefault="00C62A4D">
      <w:pPr>
        <w:rPr>
          <w:sz w:val="24"/>
          <w:szCs w:val="24"/>
        </w:rPr>
      </w:pPr>
      <w:r>
        <w:rPr>
          <w:sz w:val="24"/>
          <w:szCs w:val="24"/>
        </w:rPr>
        <w:t xml:space="preserve">(Page continues below) </w:t>
      </w:r>
    </w:p>
    <w:p w:rsidR="00C62A4D" w:rsidRDefault="00C62A4D">
      <w:pPr>
        <w:rPr>
          <w:sz w:val="24"/>
          <w:szCs w:val="24"/>
        </w:rPr>
      </w:pPr>
      <w:r w:rsidRPr="00C62A4D">
        <w:rPr>
          <w:sz w:val="24"/>
          <w:szCs w:val="24"/>
        </w:rPr>
        <w:drawing>
          <wp:inline distT="0" distB="0" distL="0" distR="0" wp14:anchorId="7205BCDB" wp14:editId="0EE4270D">
            <wp:extent cx="5895975" cy="5481856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7407"/>
                    <a:stretch/>
                  </pic:blipFill>
                  <pic:spPr bwMode="auto">
                    <a:xfrm>
                      <a:off x="0" y="0"/>
                      <a:ext cx="5895975" cy="5481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033" w:rsidRDefault="00C62A4D">
      <w:pPr>
        <w:rPr>
          <w:sz w:val="24"/>
          <w:szCs w:val="24"/>
        </w:rPr>
      </w:pPr>
      <w:r>
        <w:rPr>
          <w:sz w:val="24"/>
          <w:szCs w:val="24"/>
        </w:rPr>
        <w:t xml:space="preserve">(Guidance document ends.) </w:t>
      </w:r>
      <w:bookmarkStart w:name="_GoBack" w:id="0"/>
      <w:bookmarkEnd w:id="0"/>
    </w:p>
    <w:p w:rsidRPr="00BA4033" w:rsidR="00BA4033" w:rsidRDefault="00BA4033">
      <w:pPr>
        <w:rPr>
          <w:sz w:val="24"/>
          <w:szCs w:val="24"/>
        </w:rPr>
      </w:pPr>
    </w:p>
    <w:sectPr w:rsidRPr="00BA4033" w:rsidR="00BA4033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4033" w:rsidRDefault="00BA4033" w:rsidP="00BA4033">
      <w:pPr>
        <w:spacing w:after="0" w:line="240" w:lineRule="auto"/>
      </w:pPr>
      <w:r>
        <w:separator/>
      </w:r>
    </w:p>
  </w:endnote>
  <w:endnote w:type="continuationSeparator" w:id="0">
    <w:p w:rsidR="00BA4033" w:rsidRDefault="00BA4033" w:rsidP="00BA4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4033" w:rsidRDefault="00BA4033">
    <w:pPr>
      <w:pStyle w:val="Footer"/>
    </w:pPr>
    <w:r>
      <w:tab/>
    </w:r>
    <w:r>
      <w:tab/>
      <w:t>July 5, 2022 Screen Shots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4033" w:rsidRDefault="00BA4033" w:rsidP="00BA4033">
      <w:pPr>
        <w:spacing w:after="0" w:line="240" w:lineRule="auto"/>
      </w:pPr>
      <w:r>
        <w:separator/>
      </w:r>
    </w:p>
  </w:footnote>
  <w:footnote w:type="continuationSeparator" w:id="0">
    <w:p w:rsidR="00BA4033" w:rsidRDefault="00BA4033" w:rsidP="00BA40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4033" w:rsidRDefault="00BA4033">
    <w:pPr>
      <w:pStyle w:val="Header"/>
    </w:pPr>
    <w:r>
      <w:tab/>
    </w:r>
    <w:r>
      <w:tab/>
      <w:t xml:space="preserve">TTB G 2022–1, Taxpayer Relief – Payment Options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033"/>
    <w:rsid w:val="0003045D"/>
    <w:rsid w:val="002528A4"/>
    <w:rsid w:val="00300AB4"/>
    <w:rsid w:val="004D3B91"/>
    <w:rsid w:val="00655937"/>
    <w:rsid w:val="00971525"/>
    <w:rsid w:val="00A61BBC"/>
    <w:rsid w:val="00BA4033"/>
    <w:rsid w:val="00BA6542"/>
    <w:rsid w:val="00C62A4D"/>
    <w:rsid w:val="00C77E24"/>
    <w:rsid w:val="00CB3C13"/>
    <w:rsid w:val="00F1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531CB"/>
  <w15:chartTrackingRefBased/>
  <w15:docId w15:val="{21E7374B-7940-40AE-BAA9-A8D194C2B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40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033"/>
  </w:style>
  <w:style w:type="paragraph" w:styleId="Footer">
    <w:name w:val="footer"/>
    <w:basedOn w:val="Normal"/>
    <w:link w:val="FooterChar"/>
    <w:uiPriority w:val="99"/>
    <w:unhideWhenUsed/>
    <w:rsid w:val="00BA40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033"/>
  </w:style>
  <w:style w:type="character" w:styleId="Hyperlink">
    <w:name w:val="Hyperlink"/>
    <w:basedOn w:val="DefaultParagraphFont"/>
    <w:uiPriority w:val="99"/>
    <w:unhideWhenUsed/>
    <w:rsid w:val="00BA40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ttb.gov/tax-audit/taxpayer-relief-payment-options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TTB</Company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Hoover, Michael D.</dc:creator>
  <cp:keywords/>
  <dc:description/>
  <cp:lastModifiedBy>Hoover, Michael D.</cp:lastModifiedBy>
  <cp:revision>2</cp:revision>
  <dcterms:created xsi:type="dcterms:W3CDTF">2022-07-05T20:13:00Z</dcterms:created>
  <dcterms:modified xsi:type="dcterms:W3CDTF">2022-07-05T20:13:00Z</dcterms:modified>
</cp:coreProperties>
</file>