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90A6E" w:rsidR="000B1A00" w:rsidP="006D5354" w:rsidRDefault="000B1A00" w14:paraId="19407127" w14:textId="673AA1EC">
      <w:pPr>
        <w:tabs>
          <w:tab w:val="center" w:pos="4680"/>
        </w:tabs>
        <w:spacing w:line="276" w:lineRule="auto"/>
        <w:rPr>
          <w:rFonts w:ascii="Times New Roman" w:hAnsi="Times New Roman"/>
          <w:bCs/>
        </w:rPr>
      </w:pPr>
      <w:r w:rsidRPr="006D5354">
        <w:rPr>
          <w:rFonts w:ascii="Arial" w:hAnsi="Arial" w:cs="Arial"/>
          <w:b/>
          <w:bCs/>
        </w:rPr>
        <w:tab/>
      </w:r>
      <w:r w:rsidR="00064ECA">
        <w:rPr>
          <w:rFonts w:ascii="Times New Roman" w:hAnsi="Times New Roman"/>
          <w:bCs/>
        </w:rPr>
        <w:t>Supporting Statement</w:t>
      </w:r>
    </w:p>
    <w:p w:rsidRPr="00D90A6E" w:rsidR="00D504BA" w:rsidP="00D504BA" w:rsidRDefault="00D504BA" w14:paraId="5841A9BA" w14:textId="77777777">
      <w:pPr>
        <w:tabs>
          <w:tab w:val="center" w:pos="4680"/>
        </w:tabs>
        <w:spacing w:line="276" w:lineRule="auto"/>
        <w:jc w:val="center"/>
        <w:rPr>
          <w:rFonts w:ascii="Times New Roman" w:hAnsi="Times New Roman"/>
          <w:bCs/>
        </w:rPr>
      </w:pPr>
      <w:r w:rsidRPr="00D90A6E">
        <w:rPr>
          <w:rFonts w:ascii="Times New Roman" w:hAnsi="Times New Roman"/>
          <w:bCs/>
        </w:rPr>
        <w:t>Internal Revenue Service</w:t>
      </w:r>
    </w:p>
    <w:p w:rsidR="00064ECA" w:rsidP="00064ECA" w:rsidRDefault="00181EA6" w14:paraId="284232B3" w14:textId="77777777">
      <w:pPr>
        <w:tabs>
          <w:tab w:val="center" w:pos="4680"/>
        </w:tabs>
        <w:spacing w:line="276" w:lineRule="auto"/>
        <w:jc w:val="center"/>
        <w:rPr>
          <w:rFonts w:ascii="Times New Roman" w:hAnsi="Times New Roman"/>
          <w:bCs/>
        </w:rPr>
      </w:pPr>
      <w:r w:rsidRPr="00D90A6E">
        <w:rPr>
          <w:rFonts w:ascii="Times New Roman" w:hAnsi="Times New Roman"/>
          <w:bCs/>
        </w:rPr>
        <w:t>Notice 2009-52</w:t>
      </w:r>
      <w:r w:rsidR="00064ECA">
        <w:rPr>
          <w:rFonts w:ascii="Times New Roman" w:hAnsi="Times New Roman"/>
          <w:bCs/>
        </w:rPr>
        <w:t xml:space="preserve">, </w:t>
      </w:r>
    </w:p>
    <w:p w:rsidRPr="00D90A6E" w:rsidR="00181EA6" w:rsidP="00064ECA" w:rsidRDefault="00181EA6" w14:paraId="61D8867E" w14:textId="27EA91A4">
      <w:pPr>
        <w:tabs>
          <w:tab w:val="center" w:pos="4680"/>
        </w:tabs>
        <w:spacing w:line="276" w:lineRule="auto"/>
        <w:jc w:val="center"/>
        <w:rPr>
          <w:rFonts w:ascii="Times New Roman" w:hAnsi="Times New Roman"/>
          <w:bCs/>
        </w:rPr>
      </w:pPr>
      <w:r w:rsidRPr="00D90A6E">
        <w:rPr>
          <w:rFonts w:ascii="Times New Roman" w:hAnsi="Times New Roman"/>
          <w:bCs/>
        </w:rPr>
        <w:t xml:space="preserve">Election of Investment Tax Credit </w:t>
      </w:r>
      <w:proofErr w:type="gramStart"/>
      <w:r w:rsidRPr="00D90A6E">
        <w:rPr>
          <w:rFonts w:ascii="Times New Roman" w:hAnsi="Times New Roman"/>
          <w:bCs/>
        </w:rPr>
        <w:t>in</w:t>
      </w:r>
      <w:r w:rsidRPr="00D90A6E" w:rsidR="009A1323">
        <w:rPr>
          <w:rFonts w:ascii="Times New Roman" w:hAnsi="Times New Roman"/>
          <w:bCs/>
        </w:rPr>
        <w:t xml:space="preserve"> </w:t>
      </w:r>
      <w:r w:rsidRPr="00D90A6E">
        <w:rPr>
          <w:rFonts w:ascii="Times New Roman" w:hAnsi="Times New Roman"/>
          <w:bCs/>
        </w:rPr>
        <w:t>Lieu of</w:t>
      </w:r>
      <w:proofErr w:type="gramEnd"/>
      <w:r w:rsidRPr="00D90A6E" w:rsidR="009A1323">
        <w:rPr>
          <w:rFonts w:ascii="Times New Roman" w:hAnsi="Times New Roman"/>
          <w:bCs/>
        </w:rPr>
        <w:t xml:space="preserve"> </w:t>
      </w:r>
      <w:r w:rsidRPr="00D90A6E">
        <w:rPr>
          <w:rFonts w:ascii="Times New Roman" w:hAnsi="Times New Roman"/>
          <w:bCs/>
        </w:rPr>
        <w:t>Production Tax Credit; Coordination with Department of Treasury Grants for Specified Energy Property in Lieu of Tax Credits</w:t>
      </w:r>
    </w:p>
    <w:p w:rsidR="000F6BB0" w:rsidP="00CF30BC" w:rsidRDefault="00181EA6" w14:paraId="4AAC8D0E" w14:textId="418A30A6">
      <w:pPr>
        <w:tabs>
          <w:tab w:val="center" w:pos="4680"/>
        </w:tabs>
        <w:spacing w:line="276" w:lineRule="auto"/>
        <w:jc w:val="center"/>
        <w:rPr>
          <w:rFonts w:ascii="Times New Roman" w:hAnsi="Times New Roman"/>
          <w:bCs/>
        </w:rPr>
      </w:pPr>
      <w:r w:rsidRPr="00D90A6E">
        <w:rPr>
          <w:rFonts w:ascii="Times New Roman" w:hAnsi="Times New Roman"/>
          <w:bCs/>
        </w:rPr>
        <w:t xml:space="preserve">OMB </w:t>
      </w:r>
      <w:r w:rsidR="004246C3">
        <w:rPr>
          <w:rFonts w:ascii="Times New Roman" w:hAnsi="Times New Roman"/>
          <w:bCs/>
        </w:rPr>
        <w:t>#</w:t>
      </w:r>
      <w:r w:rsidRPr="00D90A6E">
        <w:rPr>
          <w:rFonts w:ascii="Times New Roman" w:hAnsi="Times New Roman"/>
          <w:bCs/>
        </w:rPr>
        <w:t>1545-2145</w:t>
      </w:r>
    </w:p>
    <w:p w:rsidRPr="00D90A6E" w:rsidR="00064ECA" w:rsidP="00CF30BC" w:rsidRDefault="00064ECA" w14:paraId="6D7916F6" w14:textId="77777777">
      <w:pPr>
        <w:tabs>
          <w:tab w:val="center" w:pos="4680"/>
        </w:tabs>
        <w:spacing w:line="276" w:lineRule="auto"/>
        <w:jc w:val="center"/>
        <w:rPr>
          <w:rFonts w:ascii="Times New Roman" w:hAnsi="Times New Roman"/>
          <w:bCs/>
        </w:rPr>
      </w:pPr>
    </w:p>
    <w:p w:rsidRPr="00D90A6E" w:rsidR="000B1A00" w:rsidRDefault="000B1A00" w14:paraId="58AC2089" w14:textId="77777777">
      <w:pPr>
        <w:rPr>
          <w:rFonts w:ascii="Times New Roman" w:hAnsi="Times New Roman"/>
          <w:b/>
          <w:bCs/>
        </w:rPr>
      </w:pPr>
    </w:p>
    <w:p w:rsidRPr="00D90A6E" w:rsidR="000B1A00" w:rsidRDefault="000B1A00" w14:paraId="5E69086D" w14:textId="77777777">
      <w:pPr>
        <w:pStyle w:val="Level1"/>
        <w:tabs>
          <w:tab w:val="left" w:pos="-1440"/>
          <w:tab w:val="num" w:pos="720"/>
        </w:tabs>
        <w:rPr>
          <w:rFonts w:ascii="Times New Roman" w:hAnsi="Times New Roman"/>
        </w:rPr>
      </w:pPr>
      <w:r w:rsidRPr="00D90A6E">
        <w:rPr>
          <w:rFonts w:ascii="Times New Roman" w:hAnsi="Times New Roman"/>
          <w:u w:val="single"/>
        </w:rPr>
        <w:t>CIRCUMSTANCES NECESSITATING COLLECTION OF INFORMATION</w:t>
      </w:r>
    </w:p>
    <w:p w:rsidRPr="00D90A6E" w:rsidR="000B1A00" w:rsidRDefault="000B1A00" w14:paraId="7E752392" w14:textId="77777777">
      <w:pPr>
        <w:rPr>
          <w:rFonts w:ascii="Times New Roman" w:hAnsi="Times New Roman"/>
        </w:rPr>
      </w:pPr>
    </w:p>
    <w:p w:rsidRPr="00D90A6E" w:rsidR="0096617D" w:rsidP="00BA7914" w:rsidRDefault="0096617D" w14:paraId="6EE2A068" w14:textId="77777777">
      <w:pPr>
        <w:ind w:left="720"/>
        <w:rPr>
          <w:rFonts w:ascii="Times New Roman" w:hAnsi="Times New Roman"/>
        </w:rPr>
      </w:pPr>
      <w:r w:rsidRPr="00D90A6E">
        <w:rPr>
          <w:rFonts w:ascii="Times New Roman" w:hAnsi="Times New Roman"/>
        </w:rPr>
        <w:t xml:space="preserve">Section 1102 of the American Recovery and Reinvestment Tax Act of 2009, H.R. 1, 123 STAT. 115 (the Act), enacted on February 17, 2009, created an election for taxpayers to take the investment tax credit under § 48 in lieu of the production tax credit under § 45. </w:t>
      </w:r>
    </w:p>
    <w:p w:rsidRPr="00D90A6E" w:rsidR="0096617D" w:rsidP="000F6BB0" w:rsidRDefault="0096617D" w14:paraId="0730A61A" w14:textId="77777777">
      <w:pPr>
        <w:ind w:firstLine="720"/>
        <w:rPr>
          <w:rFonts w:ascii="Times New Roman" w:hAnsi="Times New Roman"/>
        </w:rPr>
      </w:pPr>
    </w:p>
    <w:p w:rsidRPr="00D90A6E" w:rsidR="001227F3" w:rsidP="001227F3" w:rsidRDefault="000F6BB0" w14:paraId="7060F1B5" w14:textId="1E5DC7D5">
      <w:pPr>
        <w:ind w:left="720"/>
        <w:rPr>
          <w:rFonts w:ascii="Times New Roman" w:hAnsi="Times New Roman"/>
        </w:rPr>
      </w:pPr>
      <w:r w:rsidRPr="00D90A6E">
        <w:rPr>
          <w:rFonts w:ascii="Times New Roman" w:hAnsi="Times New Roman"/>
        </w:rPr>
        <w:t>Th</w:t>
      </w:r>
      <w:r w:rsidRPr="00D90A6E" w:rsidR="0096617D">
        <w:rPr>
          <w:rFonts w:ascii="Times New Roman" w:hAnsi="Times New Roman"/>
        </w:rPr>
        <w:t>e</w:t>
      </w:r>
      <w:r w:rsidRPr="00D90A6E">
        <w:rPr>
          <w:rFonts w:ascii="Times New Roman" w:hAnsi="Times New Roman"/>
        </w:rPr>
        <w:t xml:space="preserve"> notice provides a description of the procedures that taxpayers will be required to follow to make an irrevocable election </w:t>
      </w:r>
      <w:bookmarkStart w:name="OLE_LINK1" w:id="0"/>
      <w:r w:rsidRPr="00D90A6E">
        <w:rPr>
          <w:rFonts w:ascii="Times New Roman" w:hAnsi="Times New Roman"/>
        </w:rPr>
        <w:t xml:space="preserve">to take the investment tax credit for energy property under </w:t>
      </w:r>
      <w:r w:rsidRPr="00D90A6E" w:rsidR="0096617D">
        <w:rPr>
          <w:rFonts w:ascii="Times New Roman" w:hAnsi="Times New Roman"/>
        </w:rPr>
        <w:t>§</w:t>
      </w:r>
      <w:r w:rsidRPr="00D90A6E">
        <w:rPr>
          <w:rFonts w:ascii="Times New Roman" w:hAnsi="Times New Roman"/>
        </w:rPr>
        <w:t xml:space="preserve"> 48 of the Internal Revenue Code</w:t>
      </w:r>
      <w:r w:rsidRPr="00D90A6E" w:rsidR="00D67A10">
        <w:rPr>
          <w:rFonts w:ascii="Times New Roman" w:hAnsi="Times New Roman"/>
        </w:rPr>
        <w:t>.</w:t>
      </w:r>
      <w:bookmarkEnd w:id="0"/>
      <w:r w:rsidRPr="00D90A6E">
        <w:rPr>
          <w:rFonts w:ascii="Times New Roman" w:hAnsi="Times New Roman"/>
        </w:rPr>
        <w:t xml:space="preserve"> </w:t>
      </w:r>
      <w:r w:rsidRPr="00D90A6E" w:rsidR="0096617D">
        <w:rPr>
          <w:rFonts w:ascii="Times New Roman" w:hAnsi="Times New Roman"/>
        </w:rPr>
        <w:t xml:space="preserve">The </w:t>
      </w:r>
      <w:r w:rsidRPr="00D90A6E">
        <w:rPr>
          <w:rFonts w:ascii="Times New Roman" w:hAnsi="Times New Roman"/>
        </w:rPr>
        <w:t>notice includes information about election procedures and the documentation required to complete the election.  The notice also discusses the coordination of this irrevocable election with an election to take a Department of Treasury Grant for specified energy property.</w:t>
      </w:r>
      <w:r w:rsidRPr="00D90A6E" w:rsidR="001227F3">
        <w:rPr>
          <w:rFonts w:ascii="Times New Roman" w:hAnsi="Times New Roman"/>
        </w:rPr>
        <w:t xml:space="preserve"> </w:t>
      </w:r>
    </w:p>
    <w:p w:rsidRPr="00D90A6E" w:rsidR="001227F3" w:rsidP="001227F3" w:rsidRDefault="001227F3" w14:paraId="5225AAC8" w14:textId="77777777">
      <w:pPr>
        <w:ind w:left="720"/>
        <w:rPr>
          <w:rFonts w:ascii="Times New Roman" w:hAnsi="Times New Roman"/>
        </w:rPr>
      </w:pPr>
    </w:p>
    <w:p w:rsidRPr="00D90A6E" w:rsidR="001227F3" w:rsidP="001227F3" w:rsidRDefault="001227F3" w14:paraId="0A15A894" w14:textId="37DF0880">
      <w:pPr>
        <w:ind w:left="720"/>
        <w:rPr>
          <w:rFonts w:ascii="Times New Roman" w:hAnsi="Times New Roman"/>
        </w:rPr>
      </w:pPr>
      <w:r w:rsidRPr="00D90A6E">
        <w:rPr>
          <w:rFonts w:ascii="Times New Roman" w:hAnsi="Times New Roman"/>
        </w:rPr>
        <w:t xml:space="preserve">To make the election for a qualified facility, a taxpayer </w:t>
      </w:r>
      <w:proofErr w:type="gramStart"/>
      <w:r w:rsidRPr="00D90A6E">
        <w:rPr>
          <w:rFonts w:ascii="Times New Roman" w:hAnsi="Times New Roman"/>
        </w:rPr>
        <w:t>has to</w:t>
      </w:r>
      <w:proofErr w:type="gramEnd"/>
      <w:r w:rsidRPr="00D90A6E">
        <w:rPr>
          <w:rFonts w:ascii="Times New Roman" w:hAnsi="Times New Roman"/>
        </w:rPr>
        <w:t xml:space="preserve"> claim the energy credit on a Form 3468 and file it with his or her income tax return for the year in which the property was placed in service. Burden for </w:t>
      </w:r>
      <w:r w:rsidRPr="00D90A6E" w:rsidR="0050774D">
        <w:rPr>
          <w:rFonts w:ascii="Times New Roman" w:hAnsi="Times New Roman"/>
        </w:rPr>
        <w:t xml:space="preserve">making the </w:t>
      </w:r>
      <w:r w:rsidRPr="00D90A6E">
        <w:rPr>
          <w:rFonts w:ascii="Times New Roman" w:hAnsi="Times New Roman"/>
        </w:rPr>
        <w:t>election</w:t>
      </w:r>
      <w:r w:rsidRPr="00D90A6E" w:rsidR="0050774D">
        <w:rPr>
          <w:rFonts w:ascii="Times New Roman" w:hAnsi="Times New Roman"/>
        </w:rPr>
        <w:t xml:space="preserve"> (Form 3468)</w:t>
      </w:r>
      <w:r w:rsidRPr="00D90A6E">
        <w:rPr>
          <w:rFonts w:ascii="Times New Roman" w:hAnsi="Times New Roman"/>
        </w:rPr>
        <w:t xml:space="preserve"> is </w:t>
      </w:r>
      <w:r w:rsidRPr="00D90A6E" w:rsidR="0050774D">
        <w:rPr>
          <w:rFonts w:ascii="Times New Roman" w:hAnsi="Times New Roman"/>
        </w:rPr>
        <w:t xml:space="preserve">reported under OMB Control Number 1545-0155. </w:t>
      </w:r>
      <w:r w:rsidRPr="00D90A6E">
        <w:rPr>
          <w:rFonts w:ascii="Times New Roman" w:hAnsi="Times New Roman"/>
        </w:rPr>
        <w:t>The taxpayer is also required to attach a statement to the Form 3468 with a variety of information, including: name, address, taxpayer identification number, and phone number; detailed technical descriptions of the qualified investment credit facility and the energy property placed in service as an integral part of the facility; a statement that the taxpayer has not and will not claim a Section 1603 grant for property for which he or she is claiming the energy credit; and a declaration signed by the taxpayer or an individual the taxpayer authorizes.</w:t>
      </w:r>
      <w:r w:rsidRPr="00D90A6E" w:rsidR="0050774D">
        <w:rPr>
          <w:rFonts w:ascii="Times New Roman" w:hAnsi="Times New Roman"/>
        </w:rPr>
        <w:t xml:space="preserve"> Burden for the statement (as required by Notice 2009-52) is reported </w:t>
      </w:r>
      <w:r w:rsidRPr="00D90A6E" w:rsidR="00044D86">
        <w:rPr>
          <w:rFonts w:ascii="Times New Roman" w:hAnsi="Times New Roman"/>
        </w:rPr>
        <w:t>under</w:t>
      </w:r>
      <w:r w:rsidRPr="00D90A6E" w:rsidR="0050774D">
        <w:rPr>
          <w:rFonts w:ascii="Times New Roman" w:hAnsi="Times New Roman"/>
        </w:rPr>
        <w:t xml:space="preserve"> 1545-2145. Likely respondents are businesses or other</w:t>
      </w:r>
      <w:r w:rsidRPr="00D90A6E" w:rsidR="00CF30BC">
        <w:rPr>
          <w:rFonts w:ascii="Times New Roman" w:hAnsi="Times New Roman"/>
        </w:rPr>
        <w:t xml:space="preserve"> for-profit.</w:t>
      </w:r>
      <w:r w:rsidRPr="00D90A6E" w:rsidR="0050774D">
        <w:rPr>
          <w:rFonts w:ascii="Times New Roman" w:hAnsi="Times New Roman"/>
        </w:rPr>
        <w:t xml:space="preserve"> </w:t>
      </w:r>
    </w:p>
    <w:p w:rsidRPr="00D90A6E" w:rsidR="000B1A00" w:rsidRDefault="000B1A00" w14:paraId="7BF0FB25" w14:textId="77777777">
      <w:pPr>
        <w:rPr>
          <w:rFonts w:ascii="Times New Roman" w:hAnsi="Times New Roman"/>
        </w:rPr>
      </w:pPr>
    </w:p>
    <w:p w:rsidRPr="00D90A6E" w:rsidR="000B1A00" w:rsidRDefault="000B1A00" w14:paraId="66DFC249" w14:textId="77777777">
      <w:pPr>
        <w:pStyle w:val="Level1"/>
        <w:tabs>
          <w:tab w:val="left" w:pos="-1440"/>
          <w:tab w:val="num" w:pos="720"/>
        </w:tabs>
        <w:rPr>
          <w:rFonts w:ascii="Times New Roman" w:hAnsi="Times New Roman"/>
        </w:rPr>
      </w:pPr>
      <w:r w:rsidRPr="00D90A6E">
        <w:rPr>
          <w:rFonts w:ascii="Times New Roman" w:hAnsi="Times New Roman"/>
          <w:u w:val="single"/>
        </w:rPr>
        <w:t>USE OF DATA</w:t>
      </w:r>
      <w:r w:rsidRPr="00D90A6E">
        <w:rPr>
          <w:rFonts w:ascii="Times New Roman" w:hAnsi="Times New Roman"/>
        </w:rPr>
        <w:t xml:space="preserve">              </w:t>
      </w:r>
    </w:p>
    <w:p w:rsidRPr="00D90A6E" w:rsidR="000F6BB0" w:rsidRDefault="000F6BB0" w14:paraId="312D5080" w14:textId="77777777">
      <w:pPr>
        <w:ind w:left="720"/>
        <w:rPr>
          <w:rFonts w:ascii="Times New Roman" w:hAnsi="Times New Roman"/>
        </w:rPr>
      </w:pPr>
    </w:p>
    <w:p w:rsidRPr="00D90A6E" w:rsidR="000B1A00" w:rsidP="00BA7914" w:rsidRDefault="00631B79" w14:paraId="3275FA25" w14:textId="4F5F667E">
      <w:pPr>
        <w:ind w:left="720"/>
        <w:rPr>
          <w:rFonts w:ascii="Times New Roman" w:hAnsi="Times New Roman"/>
        </w:rPr>
      </w:pPr>
      <w:r w:rsidRPr="00D90A6E">
        <w:rPr>
          <w:rFonts w:ascii="Times New Roman" w:hAnsi="Times New Roman"/>
        </w:rPr>
        <w:t xml:space="preserve">The data will be used by </w:t>
      </w:r>
      <w:r w:rsidRPr="00D90A6E" w:rsidR="000F6BB0">
        <w:rPr>
          <w:rFonts w:ascii="Times New Roman" w:hAnsi="Times New Roman"/>
        </w:rPr>
        <w:t xml:space="preserve">the </w:t>
      </w:r>
      <w:r w:rsidR="004C0EE8">
        <w:rPr>
          <w:rFonts w:ascii="Times New Roman" w:hAnsi="Times New Roman"/>
        </w:rPr>
        <w:t xml:space="preserve">Internal Revenue </w:t>
      </w:r>
      <w:r w:rsidRPr="00D90A6E" w:rsidR="000F6BB0">
        <w:rPr>
          <w:rFonts w:ascii="Times New Roman" w:hAnsi="Times New Roman"/>
        </w:rPr>
        <w:t xml:space="preserve">Service </w:t>
      </w:r>
      <w:r w:rsidR="004C0EE8">
        <w:rPr>
          <w:rFonts w:ascii="Times New Roman" w:hAnsi="Times New Roman"/>
        </w:rPr>
        <w:t xml:space="preserve">(IRS) </w:t>
      </w:r>
      <w:r w:rsidRPr="00D90A6E" w:rsidR="000F6BB0">
        <w:rPr>
          <w:rFonts w:ascii="Times New Roman" w:hAnsi="Times New Roman"/>
        </w:rPr>
        <w:t>upon examination to verify that the § 48 credit is allowed with respect to specific energy property for which the taxpayer claims the credit and that the taxpayer correctly account</w:t>
      </w:r>
      <w:r w:rsidRPr="00D90A6E" w:rsidR="0096617D">
        <w:rPr>
          <w:rFonts w:ascii="Times New Roman" w:hAnsi="Times New Roman"/>
        </w:rPr>
        <w:t>ed</w:t>
      </w:r>
      <w:r w:rsidRPr="00D90A6E" w:rsidR="000F6BB0">
        <w:rPr>
          <w:rFonts w:ascii="Times New Roman" w:hAnsi="Times New Roman"/>
        </w:rPr>
        <w:t xml:space="preserve"> for the credit in computing the taxpayers’ basis in the energy property for which the credit is claimed.  </w:t>
      </w:r>
    </w:p>
    <w:p w:rsidR="000B1A00" w:rsidRDefault="000B1A00" w14:paraId="730A2765" w14:textId="4814110C">
      <w:pPr>
        <w:rPr>
          <w:rFonts w:ascii="Times New Roman" w:hAnsi="Times New Roman"/>
        </w:rPr>
      </w:pPr>
      <w:r w:rsidRPr="00D90A6E">
        <w:rPr>
          <w:rFonts w:ascii="Times New Roman" w:hAnsi="Times New Roman"/>
        </w:rPr>
        <w:t xml:space="preserve">               </w:t>
      </w:r>
    </w:p>
    <w:p w:rsidR="004246C3" w:rsidRDefault="004246C3" w14:paraId="44DEDE23" w14:textId="34FCCA52">
      <w:pPr>
        <w:rPr>
          <w:rFonts w:ascii="Times New Roman" w:hAnsi="Times New Roman"/>
        </w:rPr>
      </w:pPr>
    </w:p>
    <w:p w:rsidR="004246C3" w:rsidRDefault="004246C3" w14:paraId="60EA6AF4" w14:textId="1C15F134">
      <w:pPr>
        <w:rPr>
          <w:rFonts w:ascii="Times New Roman" w:hAnsi="Times New Roman"/>
        </w:rPr>
      </w:pPr>
    </w:p>
    <w:p w:rsidRPr="00D90A6E" w:rsidR="004246C3" w:rsidRDefault="004246C3" w14:paraId="10D31436" w14:textId="77777777">
      <w:pPr>
        <w:rPr>
          <w:rFonts w:ascii="Times New Roman" w:hAnsi="Times New Roman"/>
        </w:rPr>
      </w:pPr>
    </w:p>
    <w:p w:rsidRPr="00D90A6E" w:rsidR="000B1A00" w:rsidRDefault="000B1A00" w14:paraId="6796323E" w14:textId="77777777">
      <w:pPr>
        <w:pStyle w:val="Level1"/>
        <w:tabs>
          <w:tab w:val="left" w:pos="-1440"/>
          <w:tab w:val="num" w:pos="720"/>
        </w:tabs>
        <w:rPr>
          <w:rFonts w:ascii="Times New Roman" w:hAnsi="Times New Roman"/>
        </w:rPr>
      </w:pPr>
      <w:r w:rsidRPr="00D90A6E">
        <w:rPr>
          <w:rFonts w:ascii="Times New Roman" w:hAnsi="Times New Roman"/>
          <w:u w:val="single"/>
        </w:rPr>
        <w:t>USE OF IMPROVED INFORMATION TECHNOLOGY TO REDUCE BURDEN</w:t>
      </w:r>
    </w:p>
    <w:p w:rsidRPr="00D90A6E" w:rsidR="000F6BB0" w:rsidRDefault="000F6BB0" w14:paraId="08126BBD" w14:textId="77777777">
      <w:pPr>
        <w:ind w:left="720"/>
        <w:rPr>
          <w:rFonts w:ascii="Times New Roman" w:hAnsi="Times New Roman"/>
        </w:rPr>
      </w:pPr>
    </w:p>
    <w:p w:rsidR="00E97C6A" w:rsidP="00821C1A" w:rsidRDefault="00E97C6A" w14:paraId="33D80EBE" w14:textId="4893A5E9">
      <w:pPr>
        <w:ind w:left="720"/>
        <w:rPr>
          <w:rFonts w:ascii="Calibri" w:hAnsi="Calibri"/>
          <w:sz w:val="22"/>
          <w:szCs w:val="22"/>
        </w:rPr>
      </w:pPr>
      <w:r>
        <w:rPr>
          <w:rFonts w:ascii="Times New Roman" w:hAnsi="Times New Roman"/>
        </w:rPr>
        <w:t>The IRS has no plans to offer electronic filing because this collection is a narrative statement attached to Form 3468.</w:t>
      </w:r>
    </w:p>
    <w:p w:rsidRPr="00D90A6E" w:rsidR="000B1A00" w:rsidRDefault="000B1A00" w14:paraId="5443E208" w14:textId="77777777">
      <w:pPr>
        <w:rPr>
          <w:rFonts w:ascii="Times New Roman" w:hAnsi="Times New Roman"/>
        </w:rPr>
      </w:pPr>
    </w:p>
    <w:p w:rsidRPr="00D90A6E" w:rsidR="000B1A00" w:rsidRDefault="000B1A00" w14:paraId="4B433AE7" w14:textId="77777777">
      <w:pPr>
        <w:pStyle w:val="Level1"/>
        <w:tabs>
          <w:tab w:val="left" w:pos="-1440"/>
          <w:tab w:val="num" w:pos="720"/>
        </w:tabs>
        <w:rPr>
          <w:rFonts w:ascii="Times New Roman" w:hAnsi="Times New Roman"/>
        </w:rPr>
      </w:pPr>
      <w:r w:rsidRPr="00D90A6E">
        <w:rPr>
          <w:rFonts w:ascii="Times New Roman" w:hAnsi="Times New Roman"/>
          <w:u w:val="single"/>
        </w:rPr>
        <w:t>EFFORTS TO IDENTIFY DUPLICATION</w:t>
      </w:r>
    </w:p>
    <w:p w:rsidRPr="00D90A6E" w:rsidR="000B1A00" w:rsidRDefault="000B1A00" w14:paraId="6D377C44" w14:textId="77777777">
      <w:pPr>
        <w:rPr>
          <w:rFonts w:ascii="Times New Roman" w:hAnsi="Times New Roman"/>
        </w:rPr>
      </w:pPr>
    </w:p>
    <w:p w:rsidRPr="00D90A6E" w:rsidR="00D504BA" w:rsidP="00D504BA" w:rsidRDefault="00D504BA" w14:paraId="04A7406E" w14:textId="77777777">
      <w:pPr>
        <w:ind w:left="720"/>
        <w:jc w:val="both"/>
        <w:rPr>
          <w:rFonts w:ascii="Times New Roman" w:hAnsi="Times New Roman"/>
        </w:rPr>
      </w:pPr>
      <w:r w:rsidRPr="00D90A6E">
        <w:rPr>
          <w:rFonts w:ascii="Times New Roman" w:hAnsi="Times New Roman"/>
        </w:rPr>
        <w:t xml:space="preserve">The information obtained through this collection is unique and is not already available for use or adaptation from another source.  </w:t>
      </w:r>
    </w:p>
    <w:p w:rsidRPr="00D90A6E" w:rsidR="000F6BB0" w:rsidP="000F6BB0" w:rsidRDefault="000B1A00" w14:paraId="1F5F7C07" w14:textId="77777777">
      <w:pPr>
        <w:ind w:firstLine="720"/>
        <w:rPr>
          <w:rFonts w:ascii="Times New Roman" w:hAnsi="Times New Roman"/>
        </w:rPr>
      </w:pPr>
      <w:r w:rsidRPr="00D90A6E">
        <w:rPr>
          <w:rFonts w:ascii="Times New Roman" w:hAnsi="Times New Roman"/>
        </w:rPr>
        <w:t xml:space="preserve">  </w:t>
      </w:r>
    </w:p>
    <w:p w:rsidRPr="00D90A6E" w:rsidR="000B1A00" w:rsidP="006D5354" w:rsidRDefault="000B1A00" w14:paraId="2D25D7A2" w14:textId="77777777">
      <w:pPr>
        <w:pStyle w:val="Level1"/>
        <w:tabs>
          <w:tab w:val="left" w:pos="-1440"/>
          <w:tab w:val="num" w:pos="720"/>
        </w:tabs>
        <w:rPr>
          <w:rFonts w:ascii="Times New Roman" w:hAnsi="Times New Roman"/>
        </w:rPr>
      </w:pPr>
      <w:r w:rsidRPr="00D90A6E">
        <w:rPr>
          <w:rFonts w:ascii="Times New Roman" w:hAnsi="Times New Roman"/>
          <w:u w:val="single"/>
        </w:rPr>
        <w:t>METHODS TO MINIMIZE BURDEN ON SMALL BUSINESSES OR OTHER</w:t>
      </w:r>
      <w:r w:rsidRPr="00D90A6E">
        <w:rPr>
          <w:rFonts w:ascii="Times New Roman" w:hAnsi="Times New Roman"/>
        </w:rPr>
        <w:t xml:space="preserve">     </w:t>
      </w:r>
      <w:r w:rsidRPr="00D90A6E">
        <w:rPr>
          <w:rFonts w:ascii="Times New Roman" w:hAnsi="Times New Roman"/>
          <w:u w:val="single"/>
        </w:rPr>
        <w:t>SMALL ENTITIES</w:t>
      </w:r>
    </w:p>
    <w:p w:rsidR="00181EA6" w:rsidP="00181EA6" w:rsidRDefault="00181EA6" w14:paraId="1FCE3972" w14:textId="77777777">
      <w:pPr>
        <w:ind w:firstLine="720"/>
        <w:rPr>
          <w:rFonts w:ascii="Times New Roman" w:hAnsi="Times New Roman"/>
        </w:rPr>
      </w:pPr>
    </w:p>
    <w:p w:rsidR="00064ECA" w:rsidP="00A75EC0" w:rsidRDefault="00A75EC0" w14:paraId="24229E69" w14:textId="77777777">
      <w:pPr>
        <w:ind w:firstLine="720"/>
        <w:jc w:val="both"/>
        <w:rPr>
          <w:rFonts w:ascii="Times New Roman" w:hAnsi="Times New Roman"/>
        </w:rPr>
      </w:pPr>
      <w:r w:rsidRPr="0017651D">
        <w:rPr>
          <w:rFonts w:ascii="Times New Roman" w:hAnsi="Times New Roman"/>
        </w:rPr>
        <w:t xml:space="preserve">This </w:t>
      </w:r>
      <w:r w:rsidR="004246C3">
        <w:rPr>
          <w:rFonts w:ascii="Times New Roman" w:hAnsi="Times New Roman"/>
        </w:rPr>
        <w:t>c</w:t>
      </w:r>
      <w:r w:rsidRPr="0017651D">
        <w:rPr>
          <w:rFonts w:ascii="Times New Roman" w:hAnsi="Times New Roman"/>
        </w:rPr>
        <w:t xml:space="preserve">ollection has no impact on small business. The recordkeeping/reporting requirement </w:t>
      </w:r>
    </w:p>
    <w:p w:rsidR="00064ECA" w:rsidP="00A75EC0" w:rsidRDefault="00A75EC0" w14:paraId="40773FC5" w14:textId="6F3612F9">
      <w:pPr>
        <w:ind w:firstLine="720"/>
        <w:jc w:val="both"/>
        <w:rPr>
          <w:rFonts w:ascii="Times New Roman" w:hAnsi="Times New Roman"/>
        </w:rPr>
      </w:pPr>
      <w:proofErr w:type="gramStart"/>
      <w:r w:rsidRPr="0017651D">
        <w:rPr>
          <w:rFonts w:ascii="Times New Roman" w:hAnsi="Times New Roman"/>
        </w:rPr>
        <w:t>is considered to be</w:t>
      </w:r>
      <w:proofErr w:type="gramEnd"/>
      <w:r w:rsidRPr="0017651D">
        <w:rPr>
          <w:rFonts w:ascii="Times New Roman" w:hAnsi="Times New Roman"/>
        </w:rPr>
        <w:t xml:space="preserve"> the minimum necessary to </w:t>
      </w:r>
      <w:r w:rsidRPr="0017651D" w:rsidR="00F042EC">
        <w:rPr>
          <w:rFonts w:ascii="Times New Roman" w:hAnsi="Times New Roman"/>
        </w:rPr>
        <w:t>ensure</w:t>
      </w:r>
      <w:r w:rsidRPr="0017651D">
        <w:rPr>
          <w:rFonts w:ascii="Times New Roman" w:hAnsi="Times New Roman"/>
        </w:rPr>
        <w:t xml:space="preserve"> compliance with existing regulations </w:t>
      </w:r>
    </w:p>
    <w:p w:rsidRPr="0017651D" w:rsidR="00A75EC0" w:rsidP="00A75EC0" w:rsidRDefault="00A75EC0" w14:paraId="457E8ADA" w14:textId="58AB8C02">
      <w:pPr>
        <w:ind w:firstLine="720"/>
        <w:jc w:val="both"/>
        <w:rPr>
          <w:rFonts w:ascii="Times New Roman" w:hAnsi="Times New Roman"/>
        </w:rPr>
      </w:pPr>
      <w:r w:rsidRPr="0017651D">
        <w:rPr>
          <w:rFonts w:ascii="Times New Roman" w:hAnsi="Times New Roman"/>
        </w:rPr>
        <w:t>under §</w:t>
      </w:r>
      <w:r w:rsidRPr="0017651D" w:rsidR="00EA4BEF">
        <w:rPr>
          <w:rFonts w:ascii="Times New Roman" w:hAnsi="Times New Roman"/>
        </w:rPr>
        <w:t>4</w:t>
      </w:r>
      <w:r w:rsidRPr="0017651D">
        <w:rPr>
          <w:rFonts w:ascii="Times New Roman" w:hAnsi="Times New Roman"/>
        </w:rPr>
        <w:t>8.   </w:t>
      </w:r>
    </w:p>
    <w:p w:rsidRPr="00D90A6E" w:rsidR="00D61FE7" w:rsidP="000F6BB0" w:rsidRDefault="00D61FE7" w14:paraId="22A1AF21" w14:textId="77777777">
      <w:pPr>
        <w:ind w:firstLine="720"/>
        <w:rPr>
          <w:rFonts w:ascii="Times New Roman" w:hAnsi="Times New Roman"/>
        </w:rPr>
      </w:pPr>
    </w:p>
    <w:p w:rsidRPr="00D90A6E" w:rsidR="000B1A00" w:rsidRDefault="000B1A00" w14:paraId="2FC847FA" w14:textId="77777777">
      <w:pPr>
        <w:pStyle w:val="Level1"/>
        <w:tabs>
          <w:tab w:val="left" w:pos="-1440"/>
          <w:tab w:val="num" w:pos="720"/>
        </w:tabs>
        <w:rPr>
          <w:rFonts w:ascii="Times New Roman" w:hAnsi="Times New Roman"/>
        </w:rPr>
      </w:pPr>
      <w:r w:rsidRPr="00D90A6E">
        <w:rPr>
          <w:rFonts w:ascii="Times New Roman" w:hAnsi="Times New Roman"/>
          <w:u w:val="single"/>
        </w:rPr>
        <w:t>CONSEQUENCES OF LESS FREQUENT COLLECTION ON FEDERAL PROGRAMS OR POLICY ACTIVITIES</w:t>
      </w:r>
    </w:p>
    <w:p w:rsidRPr="00D90A6E" w:rsidR="000B1A00" w:rsidRDefault="000B1A00" w14:paraId="317E0422" w14:textId="77777777">
      <w:pPr>
        <w:rPr>
          <w:rFonts w:ascii="Times New Roman" w:hAnsi="Times New Roman"/>
        </w:rPr>
      </w:pPr>
    </w:p>
    <w:p w:rsidRPr="004C0EE8" w:rsidR="00A77CA0" w:rsidP="0017651D" w:rsidRDefault="00A77CA0" w14:paraId="4A715CAD" w14:textId="77777777">
      <w:pPr>
        <w:spacing w:line="280" w:lineRule="exact"/>
        <w:ind w:left="720" w:right="-288"/>
        <w:rPr>
          <w:rFonts w:ascii="Times New Roman" w:hAnsi="Times New Roman"/>
        </w:rPr>
      </w:pPr>
      <w:r w:rsidRPr="00D90A6E">
        <w:rPr>
          <w:rFonts w:ascii="Times New Roman" w:hAnsi="Times New Roman"/>
        </w:rPr>
        <w:t xml:space="preserve">Less frequent collection would not allow IRS to identify </w:t>
      </w:r>
      <w:r w:rsidRPr="00D90A6E" w:rsidR="00865649">
        <w:rPr>
          <w:rFonts w:ascii="Times New Roman" w:hAnsi="Times New Roman"/>
        </w:rPr>
        <w:t>t</w:t>
      </w:r>
      <w:r w:rsidRPr="00D90A6E">
        <w:rPr>
          <w:rFonts w:ascii="Times New Roman" w:hAnsi="Times New Roman"/>
        </w:rPr>
        <w:t xml:space="preserve">he information </w:t>
      </w:r>
      <w:r w:rsidRPr="00D90A6E" w:rsidR="00865649">
        <w:rPr>
          <w:rFonts w:ascii="Times New Roman" w:hAnsi="Times New Roman"/>
        </w:rPr>
        <w:t xml:space="preserve">that is required to be collected and retained </w:t>
      </w:r>
      <w:proofErr w:type="gramStart"/>
      <w:r w:rsidRPr="00D90A6E" w:rsidR="00865649">
        <w:rPr>
          <w:rFonts w:ascii="Times New Roman" w:hAnsi="Times New Roman"/>
        </w:rPr>
        <w:t>in order to</w:t>
      </w:r>
      <w:proofErr w:type="gramEnd"/>
      <w:r w:rsidRPr="00D90A6E" w:rsidR="00865649">
        <w:rPr>
          <w:rFonts w:ascii="Times New Roman" w:hAnsi="Times New Roman"/>
        </w:rPr>
        <w:t xml:space="preserve"> ensure </w:t>
      </w:r>
      <w:r w:rsidRPr="00821C1A" w:rsidR="00865649">
        <w:rPr>
          <w:rFonts w:ascii="Times New Roman" w:hAnsi="Times New Roman"/>
        </w:rPr>
        <w:t>that energy property meets the requirements for the investment tax credit determined under § 48. This information will be used to determine whether</w:t>
      </w:r>
      <w:r w:rsidRPr="00821C1A" w:rsidR="003E2282">
        <w:rPr>
          <w:rFonts w:ascii="Times New Roman" w:hAnsi="Times New Roman"/>
        </w:rPr>
        <w:t xml:space="preserve"> </w:t>
      </w:r>
      <w:r w:rsidRPr="00821C1A" w:rsidR="00865649">
        <w:rPr>
          <w:rFonts w:ascii="Times New Roman" w:hAnsi="Times New Roman"/>
        </w:rPr>
        <w:t>the property for which the energy credit is claimed is energy property that qualifies for the credit.</w:t>
      </w:r>
    </w:p>
    <w:p w:rsidRPr="00D90A6E" w:rsidR="003C67B2" w:rsidRDefault="003C67B2" w14:paraId="79FD27E5" w14:textId="77777777">
      <w:pPr>
        <w:rPr>
          <w:rFonts w:ascii="Times New Roman" w:hAnsi="Times New Roman"/>
        </w:rPr>
      </w:pPr>
    </w:p>
    <w:p w:rsidRPr="00D90A6E" w:rsidR="000B1A00" w:rsidRDefault="000B1A00" w14:paraId="7FF06E3B" w14:textId="77777777">
      <w:pPr>
        <w:pStyle w:val="Level1"/>
        <w:tabs>
          <w:tab w:val="left" w:pos="-1440"/>
          <w:tab w:val="num" w:pos="720"/>
        </w:tabs>
        <w:rPr>
          <w:rFonts w:ascii="Times New Roman" w:hAnsi="Times New Roman"/>
        </w:rPr>
      </w:pPr>
      <w:r w:rsidRPr="00D90A6E">
        <w:rPr>
          <w:rFonts w:ascii="Times New Roman" w:hAnsi="Times New Roman"/>
          <w:u w:val="single"/>
        </w:rPr>
        <w:t>SPECIAL CIRCUMSTANCES REQUIRING DATA COLLECTION TO BE</w:t>
      </w:r>
      <w:r w:rsidRPr="00D90A6E">
        <w:rPr>
          <w:rFonts w:ascii="Times New Roman" w:hAnsi="Times New Roman"/>
        </w:rPr>
        <w:t xml:space="preserve">     </w:t>
      </w:r>
      <w:r w:rsidRPr="00D90A6E">
        <w:rPr>
          <w:rFonts w:ascii="Times New Roman" w:hAnsi="Times New Roman"/>
          <w:u w:val="single"/>
        </w:rPr>
        <w:t>INCONSISTENT WITH GUIDELINES IN 5 CFR 1320.5(d)(2)</w:t>
      </w:r>
    </w:p>
    <w:p w:rsidRPr="00D90A6E" w:rsidR="000B1A00" w:rsidP="000F6BB0" w:rsidRDefault="000B1A00" w14:paraId="45C1B8F5" w14:textId="77777777">
      <w:pPr>
        <w:rPr>
          <w:rFonts w:ascii="Times New Roman" w:hAnsi="Times New Roman"/>
        </w:rPr>
      </w:pPr>
    </w:p>
    <w:p w:rsidRPr="00D90A6E" w:rsidR="000F6BB0" w:rsidP="00064ECA" w:rsidRDefault="00181EA6" w14:paraId="33E15BA8" w14:textId="77777777">
      <w:pPr>
        <w:ind w:left="720"/>
        <w:rPr>
          <w:rFonts w:ascii="Times New Roman" w:hAnsi="Times New Roman"/>
        </w:rPr>
      </w:pPr>
      <w:r w:rsidRPr="00D90A6E">
        <w:rPr>
          <w:rFonts w:ascii="Times New Roman" w:hAnsi="Times New Roman"/>
        </w:rPr>
        <w:t xml:space="preserve">There are no special circumstances requiring data collection to be inconsistent               </w:t>
      </w:r>
      <w:r w:rsidR="003E2282">
        <w:rPr>
          <w:rFonts w:ascii="Times New Roman" w:hAnsi="Times New Roman"/>
        </w:rPr>
        <w:t xml:space="preserve">                </w:t>
      </w:r>
      <w:r w:rsidRPr="00D90A6E">
        <w:rPr>
          <w:rFonts w:ascii="Times New Roman" w:hAnsi="Times New Roman"/>
        </w:rPr>
        <w:t>with Guidelines in 5 CFR 1320.5(d)(2).</w:t>
      </w:r>
    </w:p>
    <w:p w:rsidRPr="00D90A6E" w:rsidR="00181EA6" w:rsidP="000F6BB0" w:rsidRDefault="00181EA6" w14:paraId="67860EE6" w14:textId="77777777">
      <w:pPr>
        <w:ind w:firstLine="720"/>
        <w:rPr>
          <w:rFonts w:ascii="Times New Roman" w:hAnsi="Times New Roman"/>
        </w:rPr>
      </w:pPr>
    </w:p>
    <w:p w:rsidRPr="00D90A6E" w:rsidR="000B1A00" w:rsidRDefault="000B1A00" w14:paraId="1CF689B7" w14:textId="77777777">
      <w:pPr>
        <w:pStyle w:val="Level1"/>
        <w:tabs>
          <w:tab w:val="left" w:pos="-1440"/>
          <w:tab w:val="num" w:pos="720"/>
        </w:tabs>
        <w:rPr>
          <w:rFonts w:ascii="Times New Roman" w:hAnsi="Times New Roman"/>
        </w:rPr>
      </w:pPr>
      <w:r w:rsidRPr="00D90A6E">
        <w:rPr>
          <w:rFonts w:ascii="Times New Roman" w:hAnsi="Times New Roman"/>
          <w:u w:val="single"/>
        </w:rPr>
        <w:t>CONSULTATION WITH INDIVIDUALS OUTSIDE OF THE AGENCY ON</w:t>
      </w:r>
      <w:r w:rsidRPr="00D90A6E">
        <w:rPr>
          <w:rFonts w:ascii="Times New Roman" w:hAnsi="Times New Roman"/>
        </w:rPr>
        <w:t xml:space="preserve">     </w:t>
      </w:r>
      <w:r w:rsidRPr="00D90A6E">
        <w:rPr>
          <w:rFonts w:ascii="Times New Roman" w:hAnsi="Times New Roman"/>
          <w:u w:val="single"/>
        </w:rPr>
        <w:t>AVAILABILITY OF DATA, FREQUENCY OF COLLECTION, CLARITY</w:t>
      </w:r>
      <w:r w:rsidRPr="00D90A6E" w:rsidR="000F6BB0">
        <w:rPr>
          <w:rFonts w:ascii="Times New Roman" w:hAnsi="Times New Roman"/>
          <w:u w:val="single"/>
        </w:rPr>
        <w:t xml:space="preserve"> O</w:t>
      </w:r>
      <w:r w:rsidRPr="00D90A6E">
        <w:rPr>
          <w:rFonts w:ascii="Times New Roman" w:hAnsi="Times New Roman"/>
          <w:u w:val="single"/>
        </w:rPr>
        <w:t>F INSTRUCTIONS AND FORMS, AND DATA ELEMENTS</w:t>
      </w:r>
    </w:p>
    <w:p w:rsidRPr="00D90A6E" w:rsidR="000B1A00" w:rsidRDefault="000B1A00" w14:paraId="390DE422" w14:textId="77777777">
      <w:pPr>
        <w:rPr>
          <w:rFonts w:ascii="Times New Roman" w:hAnsi="Times New Roman"/>
        </w:rPr>
      </w:pPr>
    </w:p>
    <w:p w:rsidRPr="00D90A6E" w:rsidR="004246C3" w:rsidP="004246C3" w:rsidRDefault="004246C3" w14:paraId="1A111C51" w14:textId="7915224D">
      <w:pPr>
        <w:ind w:left="720"/>
        <w:rPr>
          <w:rFonts w:ascii="Times New Roman" w:hAnsi="Times New Roman"/>
        </w:rPr>
      </w:pPr>
      <w:r>
        <w:rPr>
          <w:rFonts w:ascii="Times New Roman" w:hAnsi="Times New Roman"/>
        </w:rPr>
        <w:t xml:space="preserve">In response to the Federal Register notice dated May 5, 2022 (87 FR 26,803), IRS </w:t>
      </w:r>
    </w:p>
    <w:p w:rsidRPr="00D90A6E" w:rsidR="00BA7914" w:rsidRDefault="00BA7914" w14:paraId="64F5BE19" w14:textId="737D6A53">
      <w:pPr>
        <w:ind w:left="720"/>
        <w:rPr>
          <w:rFonts w:ascii="Times New Roman" w:hAnsi="Times New Roman"/>
        </w:rPr>
      </w:pPr>
      <w:r w:rsidRPr="00D90A6E">
        <w:rPr>
          <w:rFonts w:ascii="Times New Roman" w:hAnsi="Times New Roman"/>
        </w:rPr>
        <w:t xml:space="preserve">received no comments during the comment period </w:t>
      </w:r>
      <w:r w:rsidR="004246C3">
        <w:rPr>
          <w:rFonts w:ascii="Times New Roman" w:hAnsi="Times New Roman"/>
        </w:rPr>
        <w:t>regarding this notice.</w:t>
      </w:r>
    </w:p>
    <w:p w:rsidR="000B1A00" w:rsidRDefault="000B1A00" w14:paraId="428AA571" w14:textId="2D64DF40">
      <w:pPr>
        <w:tabs>
          <w:tab w:val="center" w:pos="4680"/>
        </w:tabs>
        <w:rPr>
          <w:rFonts w:ascii="Times New Roman" w:hAnsi="Times New Roman"/>
        </w:rPr>
      </w:pPr>
      <w:r w:rsidRPr="00D90A6E">
        <w:rPr>
          <w:rFonts w:ascii="Times New Roman" w:hAnsi="Times New Roman"/>
        </w:rPr>
        <w:t xml:space="preserve"> </w:t>
      </w:r>
    </w:p>
    <w:p w:rsidRPr="00D90A6E" w:rsidR="000B1A00" w:rsidRDefault="000B1A00" w14:paraId="5BF9AA27" w14:textId="77777777">
      <w:pPr>
        <w:pStyle w:val="Level1"/>
        <w:tabs>
          <w:tab w:val="left" w:pos="-1440"/>
          <w:tab w:val="num" w:pos="720"/>
        </w:tabs>
        <w:rPr>
          <w:rFonts w:ascii="Times New Roman" w:hAnsi="Times New Roman"/>
        </w:rPr>
      </w:pPr>
      <w:r w:rsidRPr="00D90A6E">
        <w:rPr>
          <w:rFonts w:ascii="Times New Roman" w:hAnsi="Times New Roman"/>
          <w:u w:val="single"/>
        </w:rPr>
        <w:t>EXPLANATION OF DECISION TO PROVIDE ANY PAYMENT OR GIFT TO</w:t>
      </w:r>
      <w:r w:rsidRPr="00D90A6E">
        <w:rPr>
          <w:rFonts w:ascii="Times New Roman" w:hAnsi="Times New Roman"/>
        </w:rPr>
        <w:t xml:space="preserve">   </w:t>
      </w:r>
      <w:r w:rsidRPr="00D90A6E">
        <w:rPr>
          <w:rFonts w:ascii="Times New Roman" w:hAnsi="Times New Roman"/>
          <w:u w:val="single"/>
        </w:rPr>
        <w:t>RESPONDENTS</w:t>
      </w:r>
    </w:p>
    <w:p w:rsidRPr="00D90A6E" w:rsidR="000B1A00" w:rsidRDefault="000B1A00" w14:paraId="14018CA9" w14:textId="77777777">
      <w:pPr>
        <w:rPr>
          <w:rFonts w:ascii="Times New Roman" w:hAnsi="Times New Roman"/>
        </w:rPr>
      </w:pPr>
    </w:p>
    <w:p w:rsidRPr="00D90A6E" w:rsidR="000B1A00" w:rsidRDefault="00181EA6" w14:paraId="1A7DF7DA" w14:textId="77777777">
      <w:pPr>
        <w:ind w:left="720"/>
        <w:rPr>
          <w:rFonts w:ascii="Times New Roman" w:hAnsi="Times New Roman"/>
        </w:rPr>
      </w:pPr>
      <w:r w:rsidRPr="00D90A6E">
        <w:rPr>
          <w:rFonts w:ascii="Times New Roman" w:hAnsi="Times New Roman"/>
        </w:rPr>
        <w:t>No payment or gift has been provided to any respondents.</w:t>
      </w:r>
    </w:p>
    <w:p w:rsidRPr="00D90A6E" w:rsidR="000B1A00" w:rsidRDefault="000B1A00" w14:paraId="4F8F2259" w14:textId="77777777">
      <w:pPr>
        <w:pStyle w:val="Level1"/>
        <w:tabs>
          <w:tab w:val="left" w:pos="-1440"/>
          <w:tab w:val="num" w:pos="720"/>
        </w:tabs>
        <w:rPr>
          <w:rFonts w:ascii="Times New Roman" w:hAnsi="Times New Roman"/>
        </w:rPr>
      </w:pPr>
      <w:r w:rsidRPr="00D90A6E">
        <w:rPr>
          <w:rFonts w:ascii="Times New Roman" w:hAnsi="Times New Roman"/>
          <w:u w:val="single"/>
        </w:rPr>
        <w:lastRenderedPageBreak/>
        <w:t>ASSURANCE OF CONFIDENTIALITY OF RESPONSES</w:t>
      </w:r>
    </w:p>
    <w:p w:rsidRPr="00D90A6E" w:rsidR="000B1A00" w:rsidRDefault="000B1A00" w14:paraId="41259ACE" w14:textId="77777777">
      <w:pPr>
        <w:rPr>
          <w:rFonts w:ascii="Times New Roman" w:hAnsi="Times New Roman"/>
        </w:rPr>
      </w:pPr>
    </w:p>
    <w:p w:rsidRPr="00D90A6E" w:rsidR="000B1A00" w:rsidRDefault="000B1A00" w14:paraId="5AB0AEF2" w14:textId="77777777">
      <w:pPr>
        <w:ind w:left="720"/>
        <w:rPr>
          <w:rFonts w:ascii="Times New Roman" w:hAnsi="Times New Roman"/>
        </w:rPr>
      </w:pPr>
      <w:r w:rsidRPr="00D90A6E">
        <w:rPr>
          <w:rFonts w:ascii="Times New Roman" w:hAnsi="Times New Roman"/>
        </w:rPr>
        <w:t>Generally, tax returns and tax return information are confidential as required by 26 USC 6103.</w:t>
      </w:r>
    </w:p>
    <w:p w:rsidRPr="00D90A6E" w:rsidR="000B1A00" w:rsidRDefault="000B1A00" w14:paraId="47345926" w14:textId="77777777">
      <w:pPr>
        <w:rPr>
          <w:rFonts w:ascii="Times New Roman" w:hAnsi="Times New Roman"/>
        </w:rPr>
      </w:pPr>
    </w:p>
    <w:p w:rsidRPr="00D90A6E" w:rsidR="000B1A00" w:rsidRDefault="000B1A00" w14:paraId="3E4CDB79" w14:textId="77777777">
      <w:pPr>
        <w:rPr>
          <w:rFonts w:ascii="Times New Roman" w:hAnsi="Times New Roman"/>
        </w:rPr>
        <w:sectPr w:rsidRPr="00D90A6E" w:rsidR="000B1A00" w:rsidSect="000F6BB0">
          <w:headerReference w:type="default" r:id="rId7"/>
          <w:footerReference w:type="even" r:id="rId8"/>
          <w:footerReference w:type="default" r:id="rId9"/>
          <w:type w:val="continuous"/>
          <w:pgSz w:w="12240" w:h="15840"/>
          <w:pgMar w:top="720" w:right="1440" w:bottom="720" w:left="1440" w:header="1440" w:footer="1440" w:gutter="0"/>
          <w:cols w:space="720"/>
          <w:noEndnote/>
        </w:sectPr>
      </w:pPr>
    </w:p>
    <w:p w:rsidRPr="00D90A6E" w:rsidR="000B1A00" w:rsidRDefault="000B1A00" w14:paraId="258C948A" w14:textId="77777777">
      <w:pPr>
        <w:pStyle w:val="Level1"/>
        <w:tabs>
          <w:tab w:val="left" w:pos="-1440"/>
          <w:tab w:val="num" w:pos="720"/>
        </w:tabs>
        <w:rPr>
          <w:rFonts w:ascii="Times New Roman" w:hAnsi="Times New Roman"/>
          <w:u w:val="single"/>
        </w:rPr>
      </w:pPr>
      <w:r w:rsidRPr="00D90A6E">
        <w:rPr>
          <w:rFonts w:ascii="Times New Roman" w:hAnsi="Times New Roman"/>
          <w:u w:val="single"/>
        </w:rPr>
        <w:t>JUSTIFICATION OF SENSITIVE QUESTIONS</w:t>
      </w:r>
    </w:p>
    <w:p w:rsidRPr="00D90A6E" w:rsidR="00CF30BC" w:rsidP="00CF30BC" w:rsidRDefault="00CF30BC" w14:paraId="1D2B34F9" w14:textId="77777777">
      <w:pPr>
        <w:pStyle w:val="Level1"/>
        <w:numPr>
          <w:ilvl w:val="0"/>
          <w:numId w:val="0"/>
        </w:numPr>
        <w:tabs>
          <w:tab w:val="left" w:pos="-1440"/>
        </w:tabs>
        <w:ind w:left="720" w:hanging="720"/>
        <w:rPr>
          <w:rFonts w:ascii="Times New Roman" w:hAnsi="Times New Roman"/>
          <w:u w:val="single"/>
        </w:rPr>
      </w:pPr>
    </w:p>
    <w:p w:rsidRPr="00D90A6E" w:rsidR="00CF30BC" w:rsidP="00CF30BC" w:rsidRDefault="00CF30BC" w14:paraId="11171138" w14:textId="593FBE39">
      <w:pPr>
        <w:pStyle w:val="Level1"/>
        <w:numPr>
          <w:ilvl w:val="0"/>
          <w:numId w:val="0"/>
        </w:numPr>
        <w:tabs>
          <w:tab w:val="left" w:pos="-1440"/>
        </w:tabs>
        <w:ind w:left="720" w:hanging="720"/>
        <w:rPr>
          <w:rFonts w:ascii="Times New Roman" w:hAnsi="Times New Roman"/>
        </w:rPr>
      </w:pPr>
      <w:r w:rsidRPr="00D90A6E">
        <w:rPr>
          <w:rFonts w:ascii="Times New Roman" w:hAnsi="Times New Roman"/>
        </w:rPr>
        <w:t xml:space="preserve">           A privacy impact assessment (PIA) has been conducted for information collected under this request as part of the “Business Master File (BMF)” system and a Privacy Act System of Records notice (SORN) has been issued for this system under </w:t>
      </w:r>
      <w:proofErr w:type="spellStart"/>
      <w:r w:rsidRPr="00D90A6E" w:rsidR="00FE2825">
        <w:rPr>
          <w:rFonts w:ascii="Times New Roman" w:hAnsi="Times New Roman"/>
        </w:rPr>
        <w:t>Treas</w:t>
      </w:r>
      <w:proofErr w:type="spellEnd"/>
      <w:r w:rsidRPr="00D90A6E" w:rsidR="00FE2825">
        <w:rPr>
          <w:rFonts w:ascii="Times New Roman" w:hAnsi="Times New Roman"/>
        </w:rPr>
        <w:t>/</w:t>
      </w:r>
      <w:r w:rsidRPr="00D90A6E">
        <w:rPr>
          <w:rFonts w:ascii="Times New Roman" w:hAnsi="Times New Roman"/>
        </w:rPr>
        <w:t>IRS 24.046-Customer Account Data Engine Business Master File</w:t>
      </w:r>
      <w:r w:rsidRPr="00D90A6E" w:rsidR="00044D86">
        <w:rPr>
          <w:rFonts w:ascii="Times New Roman" w:hAnsi="Times New Roman"/>
        </w:rPr>
        <w:t xml:space="preserve"> and </w:t>
      </w:r>
      <w:proofErr w:type="spellStart"/>
      <w:r w:rsidRPr="00D90A6E" w:rsidR="00044D86">
        <w:rPr>
          <w:rFonts w:ascii="Times New Roman" w:hAnsi="Times New Roman"/>
        </w:rPr>
        <w:t>Treas</w:t>
      </w:r>
      <w:proofErr w:type="spellEnd"/>
      <w:r w:rsidRPr="00D90A6E" w:rsidR="00044D86">
        <w:rPr>
          <w:rFonts w:ascii="Times New Roman" w:hAnsi="Times New Roman"/>
        </w:rPr>
        <w:t>/IRS 34.047-Audit Trail and Security Records system</w:t>
      </w:r>
      <w:r w:rsidRPr="00D90A6E">
        <w:rPr>
          <w:rFonts w:ascii="Times New Roman" w:hAnsi="Times New Roman"/>
        </w:rPr>
        <w:t xml:space="preserve">.  The Internal Revenue Service PIAs can be found at: </w:t>
      </w:r>
      <w:hyperlink w:history="1" r:id="rId10">
        <w:r w:rsidRPr="00D90A6E">
          <w:rPr>
            <w:rStyle w:val="Hyperlink"/>
            <w:rFonts w:ascii="Times New Roman" w:hAnsi="Times New Roman"/>
          </w:rPr>
          <w:t>https://www.irs.gov/uac/Privacy-Impact-Assessments-PIA</w:t>
        </w:r>
      </w:hyperlink>
      <w:r w:rsidRPr="00D90A6E">
        <w:rPr>
          <w:rFonts w:ascii="Times New Roman" w:hAnsi="Times New Roman"/>
        </w:rPr>
        <w:t xml:space="preserve">. </w:t>
      </w:r>
    </w:p>
    <w:p w:rsidRPr="00D90A6E" w:rsidR="00CF30BC" w:rsidP="00CF30BC" w:rsidRDefault="00CF30BC" w14:paraId="3CFC3DB4" w14:textId="77777777">
      <w:pPr>
        <w:rPr>
          <w:rFonts w:ascii="Times New Roman" w:hAnsi="Times New Roman"/>
        </w:rPr>
      </w:pPr>
    </w:p>
    <w:p w:rsidRPr="00D90A6E" w:rsidR="00CF30BC" w:rsidP="00CF30BC" w:rsidRDefault="00CF30BC" w14:paraId="33D7F5C0" w14:textId="77777777">
      <w:pPr>
        <w:ind w:left="720"/>
        <w:rPr>
          <w:rFonts w:ascii="Times New Roman" w:hAnsi="Times New Roman"/>
        </w:rPr>
      </w:pPr>
      <w:r w:rsidRPr="00D90A6E">
        <w:rPr>
          <w:rFonts w:ascii="Times New Roman" w:hAnsi="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r w:rsidRPr="00D90A6E">
        <w:rPr>
          <w:rFonts w:ascii="Times New Roman" w:hAnsi="Times New Roman"/>
        </w:rPr>
        <w:tab/>
      </w:r>
    </w:p>
    <w:p w:rsidRPr="00D90A6E" w:rsidR="000B1A00" w:rsidRDefault="000B1A00" w14:paraId="7EFB9053" w14:textId="77777777">
      <w:pPr>
        <w:rPr>
          <w:rFonts w:ascii="Times New Roman" w:hAnsi="Times New Roman"/>
        </w:rPr>
      </w:pPr>
    </w:p>
    <w:p w:rsidRPr="00D90A6E" w:rsidR="000B1A00" w:rsidRDefault="000B1A00" w14:paraId="13DCCE98" w14:textId="77777777">
      <w:pPr>
        <w:pStyle w:val="Level1"/>
        <w:tabs>
          <w:tab w:val="left" w:pos="-1440"/>
          <w:tab w:val="num" w:pos="720"/>
        </w:tabs>
        <w:rPr>
          <w:rFonts w:ascii="Times New Roman" w:hAnsi="Times New Roman"/>
          <w:u w:val="single"/>
        </w:rPr>
      </w:pPr>
      <w:r w:rsidRPr="00D90A6E">
        <w:rPr>
          <w:rFonts w:ascii="Times New Roman" w:hAnsi="Times New Roman"/>
          <w:u w:val="single"/>
        </w:rPr>
        <w:t>ESTIMATED BURDEN OF INFORMATION COLLECTION</w:t>
      </w:r>
    </w:p>
    <w:p w:rsidRPr="00D90A6E" w:rsidR="00C049B9" w:rsidP="0026368A" w:rsidRDefault="00C049B9" w14:paraId="18EE5C3C" w14:textId="77777777">
      <w:pPr>
        <w:rPr>
          <w:rFonts w:ascii="Times New Roman" w:hAnsi="Times New Roman"/>
        </w:rPr>
      </w:pPr>
    </w:p>
    <w:p w:rsidRPr="00D90A6E" w:rsidR="00253F13" w:rsidP="00253F13" w:rsidRDefault="00216034" w14:paraId="0B553A6C" w14:textId="77777777">
      <w:pPr>
        <w:ind w:left="720"/>
        <w:rPr>
          <w:rFonts w:ascii="Times New Roman" w:hAnsi="Times New Roman"/>
        </w:rPr>
      </w:pPr>
      <w:r w:rsidRPr="00D90A6E">
        <w:rPr>
          <w:rFonts w:ascii="Times New Roman" w:hAnsi="Times New Roman"/>
        </w:rPr>
        <w:t xml:space="preserve">This notice describes the procedures that taxpayers will be required to follow </w:t>
      </w:r>
      <w:proofErr w:type="gramStart"/>
      <w:r w:rsidRPr="00D90A6E">
        <w:rPr>
          <w:rFonts w:ascii="Times New Roman" w:hAnsi="Times New Roman"/>
        </w:rPr>
        <w:t>in order to</w:t>
      </w:r>
      <w:proofErr w:type="gramEnd"/>
      <w:r w:rsidRPr="00D90A6E">
        <w:rPr>
          <w:rFonts w:ascii="Times New Roman" w:hAnsi="Times New Roman"/>
        </w:rPr>
        <w:t xml:space="preserve"> make irrevocable election to take the investment tax credit determined under </w:t>
      </w:r>
      <w:r w:rsidRPr="00D90A6E" w:rsidR="00253F13">
        <w:rPr>
          <w:rFonts w:ascii="Times New Roman" w:hAnsi="Times New Roman"/>
        </w:rPr>
        <w:t>§ 48 in lieu of the production tax credit under § 45</w:t>
      </w:r>
      <w:r w:rsidRPr="00D90A6E">
        <w:rPr>
          <w:rFonts w:ascii="Times New Roman" w:hAnsi="Times New Roman"/>
        </w:rPr>
        <w:t xml:space="preserve"> with respect to certain renewable energy facilities.</w:t>
      </w:r>
      <w:r w:rsidRPr="00D90A6E" w:rsidR="00253F13">
        <w:rPr>
          <w:rFonts w:ascii="Times New Roman" w:hAnsi="Times New Roman"/>
        </w:rPr>
        <w:t xml:space="preserve"> </w:t>
      </w:r>
    </w:p>
    <w:p w:rsidRPr="00D90A6E" w:rsidR="00253F13" w:rsidP="00BA7914" w:rsidRDefault="00253F13" w14:paraId="5FAF05CB" w14:textId="77777777">
      <w:pPr>
        <w:ind w:left="720"/>
        <w:rPr>
          <w:rFonts w:ascii="Times New Roman" w:hAnsi="Times New Roman"/>
        </w:rPr>
      </w:pPr>
    </w:p>
    <w:p w:rsidRPr="00D90A6E" w:rsidR="000F6BB0" w:rsidP="00BA7914" w:rsidRDefault="002716F2" w14:paraId="587E1E4D" w14:textId="4FF17733">
      <w:pPr>
        <w:ind w:left="720"/>
        <w:rPr>
          <w:rFonts w:ascii="Times New Roman" w:hAnsi="Times New Roman"/>
        </w:rPr>
      </w:pPr>
      <w:r w:rsidRPr="00D90A6E">
        <w:rPr>
          <w:rFonts w:ascii="Times New Roman" w:hAnsi="Times New Roman"/>
        </w:rPr>
        <w:t xml:space="preserve">It is estimated that the total annual reporting burden will be </w:t>
      </w:r>
      <w:r w:rsidRPr="00D90A6E" w:rsidR="00B320D2">
        <w:rPr>
          <w:rFonts w:ascii="Times New Roman" w:hAnsi="Times New Roman"/>
        </w:rPr>
        <w:t>1</w:t>
      </w:r>
      <w:r w:rsidRPr="00D90A6E" w:rsidR="000F6BB0">
        <w:rPr>
          <w:rFonts w:ascii="Times New Roman" w:hAnsi="Times New Roman"/>
        </w:rPr>
        <w:t>0</w:t>
      </w:r>
      <w:r w:rsidRPr="00D90A6E" w:rsidR="0040351C">
        <w:rPr>
          <w:rFonts w:ascii="Times New Roman" w:hAnsi="Times New Roman"/>
        </w:rPr>
        <w:t>0</w:t>
      </w:r>
      <w:r w:rsidRPr="00D90A6E">
        <w:rPr>
          <w:rFonts w:ascii="Times New Roman" w:hAnsi="Times New Roman"/>
        </w:rPr>
        <w:t xml:space="preserve"> hours.  The estimated average annual</w:t>
      </w:r>
      <w:r w:rsidRPr="00D90A6E" w:rsidR="0040351C">
        <w:rPr>
          <w:rFonts w:ascii="Times New Roman" w:hAnsi="Times New Roman"/>
        </w:rPr>
        <w:t xml:space="preserve"> burden per respondent will be </w:t>
      </w:r>
      <w:r w:rsidRPr="00D90A6E" w:rsidR="00B320D2">
        <w:rPr>
          <w:rFonts w:ascii="Times New Roman" w:hAnsi="Times New Roman"/>
        </w:rPr>
        <w:t>1 hour</w:t>
      </w:r>
      <w:r w:rsidRPr="00D90A6E">
        <w:rPr>
          <w:rFonts w:ascii="Times New Roman" w:hAnsi="Times New Roman"/>
        </w:rPr>
        <w:t xml:space="preserve"> to complete the </w:t>
      </w:r>
      <w:r w:rsidRPr="00D90A6E" w:rsidR="000F6BB0">
        <w:rPr>
          <w:rFonts w:ascii="Times New Roman" w:hAnsi="Times New Roman"/>
        </w:rPr>
        <w:t>election</w:t>
      </w:r>
      <w:r w:rsidRPr="00D90A6E">
        <w:rPr>
          <w:rFonts w:ascii="Times New Roman" w:hAnsi="Times New Roman"/>
        </w:rPr>
        <w:t xml:space="preserve"> required under this notice. This estimated burden is based upon the approximated amount of time it will take the average respondent to gather the necessary data</w:t>
      </w:r>
      <w:r w:rsidRPr="00D90A6E" w:rsidR="000F6BB0">
        <w:rPr>
          <w:rFonts w:ascii="Times New Roman" w:hAnsi="Times New Roman"/>
        </w:rPr>
        <w:t>,</w:t>
      </w:r>
      <w:r w:rsidRPr="00D90A6E">
        <w:rPr>
          <w:rFonts w:ascii="Times New Roman" w:hAnsi="Times New Roman"/>
        </w:rPr>
        <w:t xml:space="preserve"> </w:t>
      </w:r>
      <w:r w:rsidRPr="00D90A6E" w:rsidR="000F6BB0">
        <w:rPr>
          <w:rFonts w:ascii="Times New Roman" w:hAnsi="Times New Roman"/>
        </w:rPr>
        <w:t xml:space="preserve">compose the statement required by the notice and attach that statement to a Form 3468 </w:t>
      </w:r>
      <w:proofErr w:type="gramStart"/>
      <w:r w:rsidRPr="00D90A6E" w:rsidR="000F6BB0">
        <w:rPr>
          <w:rFonts w:ascii="Times New Roman" w:hAnsi="Times New Roman"/>
        </w:rPr>
        <w:t>in order to</w:t>
      </w:r>
      <w:proofErr w:type="gramEnd"/>
      <w:r w:rsidRPr="00D90A6E" w:rsidR="000F6BB0">
        <w:rPr>
          <w:rFonts w:ascii="Times New Roman" w:hAnsi="Times New Roman"/>
        </w:rPr>
        <w:t xml:space="preserve"> make the election</w:t>
      </w:r>
      <w:r w:rsidRPr="00D90A6E">
        <w:rPr>
          <w:rFonts w:ascii="Times New Roman" w:hAnsi="Times New Roman"/>
        </w:rPr>
        <w:t xml:space="preserve">. The estimated number of respondents is </w:t>
      </w:r>
      <w:r w:rsidRPr="00D90A6E" w:rsidR="00B320D2">
        <w:rPr>
          <w:rFonts w:ascii="Times New Roman" w:hAnsi="Times New Roman"/>
        </w:rPr>
        <w:t>1</w:t>
      </w:r>
      <w:r w:rsidRPr="00D90A6E" w:rsidR="000F6BB0">
        <w:rPr>
          <w:rFonts w:ascii="Times New Roman" w:hAnsi="Times New Roman"/>
        </w:rPr>
        <w:t>00</w:t>
      </w:r>
      <w:r w:rsidRPr="00D90A6E">
        <w:rPr>
          <w:rFonts w:ascii="Times New Roman" w:hAnsi="Times New Roman"/>
        </w:rPr>
        <w:t xml:space="preserve">. This estimate is based upon the approximated number of </w:t>
      </w:r>
      <w:r w:rsidRPr="00D90A6E" w:rsidR="000F6BB0">
        <w:rPr>
          <w:rFonts w:ascii="Times New Roman" w:hAnsi="Times New Roman"/>
        </w:rPr>
        <w:t>entities currently claiming the production tax credit under § 45.</w:t>
      </w:r>
    </w:p>
    <w:p w:rsidRPr="00D90A6E" w:rsidR="006C3276" w:rsidP="00BA7914" w:rsidRDefault="006C3276" w14:paraId="795D5CD7" w14:textId="77777777">
      <w:pPr>
        <w:ind w:left="720"/>
        <w:rPr>
          <w:rFonts w:ascii="Times New Roman" w:hAnsi="Times New Roman"/>
        </w:rPr>
      </w:pPr>
    </w:p>
    <w:tbl>
      <w:tblPr>
        <w:tblW w:w="9831"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30"/>
        <w:gridCol w:w="1627"/>
        <w:gridCol w:w="1523"/>
        <w:gridCol w:w="1851"/>
        <w:gridCol w:w="1270"/>
        <w:gridCol w:w="1340"/>
        <w:gridCol w:w="990"/>
      </w:tblGrid>
      <w:tr w:rsidRPr="00D90A6E" w:rsidR="006C3276" w:rsidTr="00821C1A" w14:paraId="6F0C6AFA" w14:textId="77777777">
        <w:tc>
          <w:tcPr>
            <w:tcW w:w="1230" w:type="dxa"/>
            <w:shd w:val="clear" w:color="auto" w:fill="auto"/>
            <w:vAlign w:val="bottom"/>
          </w:tcPr>
          <w:p w:rsidRPr="00821C1A" w:rsidR="006C3276" w:rsidP="004A1046" w:rsidRDefault="006C3276" w14:paraId="0DBFA164" w14:textId="77777777">
            <w:pPr>
              <w:keepNext/>
              <w:keepLines/>
              <w:numPr>
                <w:ilvl w:val="12"/>
                <w:numId w:val="0"/>
              </w:numPr>
              <w:jc w:val="center"/>
              <w:rPr>
                <w:rFonts w:ascii="Arial Narrow" w:hAnsi="Arial Narrow"/>
                <w:b/>
              </w:rPr>
            </w:pPr>
            <w:r w:rsidRPr="00821C1A">
              <w:rPr>
                <w:rFonts w:ascii="Arial Narrow" w:hAnsi="Arial Narrow"/>
                <w:b/>
              </w:rPr>
              <w:t>Authority</w:t>
            </w:r>
          </w:p>
        </w:tc>
        <w:tc>
          <w:tcPr>
            <w:tcW w:w="1627" w:type="dxa"/>
            <w:vAlign w:val="bottom"/>
          </w:tcPr>
          <w:p w:rsidRPr="00821C1A" w:rsidR="006C3276" w:rsidP="004A1046" w:rsidRDefault="006C3276" w14:paraId="0B9F216B" w14:textId="77777777">
            <w:pPr>
              <w:keepNext/>
              <w:keepLines/>
              <w:numPr>
                <w:ilvl w:val="12"/>
                <w:numId w:val="0"/>
              </w:numPr>
              <w:jc w:val="center"/>
              <w:rPr>
                <w:rFonts w:ascii="Arial Narrow" w:hAnsi="Arial Narrow"/>
                <w:b/>
              </w:rPr>
            </w:pPr>
            <w:r w:rsidRPr="00821C1A">
              <w:rPr>
                <w:rFonts w:ascii="Arial Narrow" w:hAnsi="Arial Narrow"/>
                <w:b/>
              </w:rPr>
              <w:t>Description</w:t>
            </w:r>
          </w:p>
        </w:tc>
        <w:tc>
          <w:tcPr>
            <w:tcW w:w="1523" w:type="dxa"/>
            <w:vAlign w:val="bottom"/>
          </w:tcPr>
          <w:p w:rsidRPr="00821C1A" w:rsidR="006C3276" w:rsidP="004A1046" w:rsidRDefault="006C3276" w14:paraId="72D1C02A" w14:textId="77777777">
            <w:pPr>
              <w:keepNext/>
              <w:keepLines/>
              <w:numPr>
                <w:ilvl w:val="12"/>
                <w:numId w:val="0"/>
              </w:numPr>
              <w:jc w:val="center"/>
              <w:rPr>
                <w:rFonts w:ascii="Arial Narrow" w:hAnsi="Arial Narrow"/>
                <w:b/>
              </w:rPr>
            </w:pPr>
            <w:r w:rsidRPr="00821C1A">
              <w:rPr>
                <w:rFonts w:ascii="Arial Narrow" w:hAnsi="Arial Narrow"/>
                <w:b/>
              </w:rPr>
              <w:t xml:space="preserve"># </w:t>
            </w:r>
            <w:proofErr w:type="gramStart"/>
            <w:r w:rsidRPr="00821C1A">
              <w:rPr>
                <w:rFonts w:ascii="Arial Narrow" w:hAnsi="Arial Narrow"/>
                <w:b/>
              </w:rPr>
              <w:t>of</w:t>
            </w:r>
            <w:proofErr w:type="gramEnd"/>
            <w:r w:rsidRPr="00821C1A">
              <w:rPr>
                <w:rFonts w:ascii="Arial Narrow" w:hAnsi="Arial Narrow"/>
                <w:b/>
              </w:rPr>
              <w:t xml:space="preserve"> Respondents</w:t>
            </w:r>
          </w:p>
        </w:tc>
        <w:tc>
          <w:tcPr>
            <w:tcW w:w="1851" w:type="dxa"/>
            <w:vAlign w:val="bottom"/>
          </w:tcPr>
          <w:p w:rsidRPr="00821C1A" w:rsidR="006C3276" w:rsidP="004A1046" w:rsidRDefault="006C3276" w14:paraId="73C5F13B" w14:textId="77777777">
            <w:pPr>
              <w:keepNext/>
              <w:keepLines/>
              <w:numPr>
                <w:ilvl w:val="12"/>
                <w:numId w:val="0"/>
              </w:numPr>
              <w:jc w:val="center"/>
              <w:rPr>
                <w:rFonts w:ascii="Arial Narrow" w:hAnsi="Arial Narrow"/>
                <w:b/>
              </w:rPr>
            </w:pPr>
            <w:r w:rsidRPr="00821C1A">
              <w:rPr>
                <w:rFonts w:ascii="Arial Narrow" w:hAnsi="Arial Narrow"/>
                <w:b/>
              </w:rPr>
              <w:t># Responses per Respondent</w:t>
            </w:r>
          </w:p>
        </w:tc>
        <w:tc>
          <w:tcPr>
            <w:tcW w:w="1270" w:type="dxa"/>
            <w:shd w:val="clear" w:color="auto" w:fill="auto"/>
            <w:vAlign w:val="bottom"/>
          </w:tcPr>
          <w:p w:rsidRPr="00821C1A" w:rsidR="006C3276" w:rsidP="004A1046" w:rsidRDefault="006C3276" w14:paraId="0BC46CE2" w14:textId="77777777">
            <w:pPr>
              <w:keepNext/>
              <w:keepLines/>
              <w:numPr>
                <w:ilvl w:val="12"/>
                <w:numId w:val="0"/>
              </w:numPr>
              <w:jc w:val="center"/>
              <w:rPr>
                <w:rFonts w:ascii="Arial Narrow" w:hAnsi="Arial Narrow"/>
                <w:b/>
              </w:rPr>
            </w:pPr>
            <w:r w:rsidRPr="00821C1A">
              <w:rPr>
                <w:rFonts w:ascii="Arial Narrow" w:hAnsi="Arial Narrow"/>
                <w:b/>
              </w:rPr>
              <w:t>Annual Responses</w:t>
            </w:r>
          </w:p>
        </w:tc>
        <w:tc>
          <w:tcPr>
            <w:tcW w:w="1340" w:type="dxa"/>
            <w:vAlign w:val="bottom"/>
          </w:tcPr>
          <w:p w:rsidRPr="00821C1A" w:rsidR="006C3276" w:rsidP="004A1046" w:rsidRDefault="006C3276" w14:paraId="0991C4BD" w14:textId="77777777">
            <w:pPr>
              <w:keepNext/>
              <w:keepLines/>
              <w:numPr>
                <w:ilvl w:val="12"/>
                <w:numId w:val="0"/>
              </w:numPr>
              <w:jc w:val="center"/>
              <w:rPr>
                <w:rFonts w:ascii="Arial Narrow" w:hAnsi="Arial Narrow"/>
                <w:b/>
              </w:rPr>
            </w:pPr>
            <w:r w:rsidRPr="00821C1A">
              <w:rPr>
                <w:rFonts w:ascii="Arial Narrow" w:hAnsi="Arial Narrow"/>
                <w:b/>
              </w:rPr>
              <w:t>Hours per Response</w:t>
            </w:r>
          </w:p>
        </w:tc>
        <w:tc>
          <w:tcPr>
            <w:tcW w:w="990" w:type="dxa"/>
            <w:shd w:val="clear" w:color="auto" w:fill="auto"/>
            <w:vAlign w:val="bottom"/>
          </w:tcPr>
          <w:p w:rsidRPr="00821C1A" w:rsidR="006C3276" w:rsidP="004A1046" w:rsidRDefault="006C3276" w14:paraId="383547B3" w14:textId="77777777">
            <w:pPr>
              <w:keepNext/>
              <w:keepLines/>
              <w:numPr>
                <w:ilvl w:val="12"/>
                <w:numId w:val="0"/>
              </w:numPr>
              <w:jc w:val="center"/>
              <w:rPr>
                <w:rFonts w:ascii="Arial Narrow" w:hAnsi="Arial Narrow"/>
                <w:b/>
              </w:rPr>
            </w:pPr>
            <w:r w:rsidRPr="00821C1A">
              <w:rPr>
                <w:rFonts w:ascii="Arial Narrow" w:hAnsi="Arial Narrow"/>
                <w:b/>
              </w:rPr>
              <w:t>Total Burden</w:t>
            </w:r>
          </w:p>
        </w:tc>
      </w:tr>
      <w:tr w:rsidRPr="00D90A6E" w:rsidR="006C3276" w:rsidTr="00821C1A" w14:paraId="47DCA43A" w14:textId="77777777">
        <w:tc>
          <w:tcPr>
            <w:tcW w:w="1230" w:type="dxa"/>
            <w:shd w:val="clear" w:color="auto" w:fill="auto"/>
            <w:vAlign w:val="bottom"/>
          </w:tcPr>
          <w:p w:rsidRPr="00821C1A" w:rsidR="006C3276" w:rsidP="004A1046" w:rsidRDefault="006C3276" w14:paraId="4A70E790" w14:textId="77777777">
            <w:pPr>
              <w:keepNext/>
              <w:keepLines/>
              <w:numPr>
                <w:ilvl w:val="12"/>
                <w:numId w:val="0"/>
              </w:numPr>
              <w:jc w:val="center"/>
              <w:rPr>
                <w:rFonts w:ascii="Arial Narrow" w:hAnsi="Arial Narrow"/>
              </w:rPr>
            </w:pPr>
            <w:r w:rsidRPr="00821C1A">
              <w:rPr>
                <w:rFonts w:ascii="Arial Narrow" w:hAnsi="Arial Narrow"/>
              </w:rPr>
              <w:t>§48</w:t>
            </w:r>
          </w:p>
        </w:tc>
        <w:tc>
          <w:tcPr>
            <w:tcW w:w="1627" w:type="dxa"/>
            <w:vAlign w:val="bottom"/>
          </w:tcPr>
          <w:p w:rsidRPr="00821C1A" w:rsidR="006C3276" w:rsidP="004A1046" w:rsidRDefault="006C3276" w14:paraId="68706B22" w14:textId="77777777">
            <w:pPr>
              <w:keepNext/>
              <w:keepLines/>
              <w:numPr>
                <w:ilvl w:val="12"/>
                <w:numId w:val="0"/>
              </w:numPr>
              <w:jc w:val="center"/>
              <w:rPr>
                <w:rFonts w:ascii="Arial Narrow" w:hAnsi="Arial Narrow"/>
              </w:rPr>
            </w:pPr>
            <w:r w:rsidRPr="00821C1A">
              <w:rPr>
                <w:rFonts w:ascii="Arial Narrow" w:hAnsi="Arial Narrow"/>
              </w:rPr>
              <w:t>Notice 2009-52</w:t>
            </w:r>
          </w:p>
        </w:tc>
        <w:tc>
          <w:tcPr>
            <w:tcW w:w="1523" w:type="dxa"/>
            <w:vAlign w:val="bottom"/>
          </w:tcPr>
          <w:p w:rsidRPr="00821C1A" w:rsidR="006C3276" w:rsidP="004A1046" w:rsidRDefault="006C3276" w14:paraId="3BCADFCD" w14:textId="77777777">
            <w:pPr>
              <w:keepNext/>
              <w:keepLines/>
              <w:numPr>
                <w:ilvl w:val="12"/>
                <w:numId w:val="0"/>
              </w:numPr>
              <w:jc w:val="center"/>
              <w:rPr>
                <w:rFonts w:ascii="Arial Narrow" w:hAnsi="Arial Narrow"/>
              </w:rPr>
            </w:pPr>
            <w:r w:rsidRPr="00821C1A">
              <w:rPr>
                <w:rFonts w:ascii="Arial Narrow" w:hAnsi="Arial Narrow"/>
              </w:rPr>
              <w:t>100</w:t>
            </w:r>
          </w:p>
        </w:tc>
        <w:tc>
          <w:tcPr>
            <w:tcW w:w="1851" w:type="dxa"/>
            <w:vAlign w:val="bottom"/>
          </w:tcPr>
          <w:p w:rsidRPr="00821C1A" w:rsidR="006C3276" w:rsidP="004A1046" w:rsidRDefault="006C3276" w14:paraId="70F89D40" w14:textId="77777777">
            <w:pPr>
              <w:keepNext/>
              <w:keepLines/>
              <w:numPr>
                <w:ilvl w:val="12"/>
                <w:numId w:val="0"/>
              </w:numPr>
              <w:jc w:val="center"/>
              <w:rPr>
                <w:rFonts w:ascii="Arial Narrow" w:hAnsi="Arial Narrow"/>
              </w:rPr>
            </w:pPr>
            <w:r w:rsidRPr="00821C1A">
              <w:rPr>
                <w:rFonts w:ascii="Arial Narrow" w:hAnsi="Arial Narrow"/>
              </w:rPr>
              <w:t>1</w:t>
            </w:r>
          </w:p>
        </w:tc>
        <w:tc>
          <w:tcPr>
            <w:tcW w:w="1270" w:type="dxa"/>
            <w:shd w:val="clear" w:color="auto" w:fill="auto"/>
            <w:vAlign w:val="bottom"/>
          </w:tcPr>
          <w:p w:rsidRPr="00821C1A" w:rsidR="006C3276" w:rsidP="004A1046" w:rsidRDefault="006C3276" w14:paraId="0CB5A207" w14:textId="77777777">
            <w:pPr>
              <w:keepNext/>
              <w:keepLines/>
              <w:numPr>
                <w:ilvl w:val="12"/>
                <w:numId w:val="0"/>
              </w:numPr>
              <w:jc w:val="center"/>
              <w:rPr>
                <w:rFonts w:ascii="Arial Narrow" w:hAnsi="Arial Narrow"/>
              </w:rPr>
            </w:pPr>
            <w:r w:rsidRPr="00821C1A">
              <w:rPr>
                <w:rFonts w:ascii="Arial Narrow" w:hAnsi="Arial Narrow"/>
              </w:rPr>
              <w:t>100</w:t>
            </w:r>
          </w:p>
        </w:tc>
        <w:tc>
          <w:tcPr>
            <w:tcW w:w="1340" w:type="dxa"/>
            <w:vAlign w:val="bottom"/>
          </w:tcPr>
          <w:p w:rsidRPr="00821C1A" w:rsidR="006C3276" w:rsidP="004A1046" w:rsidRDefault="006C3276" w14:paraId="6E37DBA7" w14:textId="77777777">
            <w:pPr>
              <w:keepNext/>
              <w:keepLines/>
              <w:numPr>
                <w:ilvl w:val="12"/>
                <w:numId w:val="0"/>
              </w:numPr>
              <w:jc w:val="center"/>
              <w:rPr>
                <w:rFonts w:ascii="Arial Narrow" w:hAnsi="Arial Narrow"/>
              </w:rPr>
            </w:pPr>
            <w:r w:rsidRPr="00821C1A">
              <w:rPr>
                <w:rFonts w:ascii="Arial Narrow" w:hAnsi="Arial Narrow"/>
              </w:rPr>
              <w:t>1hr.</w:t>
            </w:r>
          </w:p>
        </w:tc>
        <w:tc>
          <w:tcPr>
            <w:tcW w:w="990" w:type="dxa"/>
            <w:shd w:val="clear" w:color="auto" w:fill="auto"/>
            <w:vAlign w:val="bottom"/>
          </w:tcPr>
          <w:p w:rsidRPr="00821C1A" w:rsidR="006C3276" w:rsidP="004A1046" w:rsidRDefault="008B196F" w14:paraId="6FF2921F" w14:textId="77777777">
            <w:pPr>
              <w:keepNext/>
              <w:keepLines/>
              <w:numPr>
                <w:ilvl w:val="12"/>
                <w:numId w:val="0"/>
              </w:numPr>
              <w:jc w:val="center"/>
              <w:rPr>
                <w:rFonts w:ascii="Arial Narrow" w:hAnsi="Arial Narrow"/>
              </w:rPr>
            </w:pPr>
            <w:r w:rsidRPr="00821C1A">
              <w:rPr>
                <w:rFonts w:ascii="Arial Narrow" w:hAnsi="Arial Narrow"/>
              </w:rPr>
              <w:t>100</w:t>
            </w:r>
          </w:p>
        </w:tc>
      </w:tr>
      <w:tr w:rsidRPr="00D90A6E" w:rsidR="006C3276" w:rsidTr="00821C1A" w14:paraId="41E18D83" w14:textId="77777777">
        <w:tc>
          <w:tcPr>
            <w:tcW w:w="1230" w:type="dxa"/>
            <w:shd w:val="clear" w:color="auto" w:fill="auto"/>
            <w:vAlign w:val="bottom"/>
          </w:tcPr>
          <w:p w:rsidRPr="00821C1A" w:rsidR="006C3276" w:rsidP="004A1046" w:rsidRDefault="006C3276" w14:paraId="76950D60" w14:textId="77777777">
            <w:pPr>
              <w:keepNext/>
              <w:keepLines/>
              <w:numPr>
                <w:ilvl w:val="12"/>
                <w:numId w:val="0"/>
              </w:numPr>
              <w:jc w:val="center"/>
              <w:rPr>
                <w:rFonts w:ascii="Arial Narrow" w:hAnsi="Arial Narrow"/>
              </w:rPr>
            </w:pPr>
            <w:r w:rsidRPr="00821C1A">
              <w:rPr>
                <w:rFonts w:ascii="Arial Narrow" w:hAnsi="Arial Narrow"/>
              </w:rPr>
              <w:t>Totals</w:t>
            </w:r>
          </w:p>
        </w:tc>
        <w:tc>
          <w:tcPr>
            <w:tcW w:w="1627" w:type="dxa"/>
            <w:vAlign w:val="bottom"/>
          </w:tcPr>
          <w:p w:rsidRPr="00821C1A" w:rsidR="006C3276" w:rsidP="004A1046" w:rsidRDefault="006C3276" w14:paraId="4F2F0094" w14:textId="77777777">
            <w:pPr>
              <w:keepNext/>
              <w:keepLines/>
              <w:numPr>
                <w:ilvl w:val="12"/>
                <w:numId w:val="0"/>
              </w:numPr>
              <w:jc w:val="center"/>
              <w:rPr>
                <w:rFonts w:ascii="Arial Narrow" w:hAnsi="Arial Narrow"/>
              </w:rPr>
            </w:pPr>
          </w:p>
        </w:tc>
        <w:tc>
          <w:tcPr>
            <w:tcW w:w="1523" w:type="dxa"/>
            <w:vAlign w:val="bottom"/>
          </w:tcPr>
          <w:p w:rsidRPr="00821C1A" w:rsidR="006C3276" w:rsidP="004A1046" w:rsidRDefault="00253F13" w14:paraId="59360C66" w14:textId="77777777">
            <w:pPr>
              <w:keepNext/>
              <w:keepLines/>
              <w:numPr>
                <w:ilvl w:val="12"/>
                <w:numId w:val="0"/>
              </w:numPr>
              <w:jc w:val="center"/>
              <w:rPr>
                <w:rFonts w:ascii="Arial Narrow" w:hAnsi="Arial Narrow"/>
              </w:rPr>
            </w:pPr>
            <w:r w:rsidRPr="00821C1A">
              <w:rPr>
                <w:rFonts w:ascii="Arial Narrow" w:hAnsi="Arial Narrow"/>
              </w:rPr>
              <w:t>100</w:t>
            </w:r>
          </w:p>
        </w:tc>
        <w:tc>
          <w:tcPr>
            <w:tcW w:w="1851" w:type="dxa"/>
            <w:vAlign w:val="bottom"/>
          </w:tcPr>
          <w:p w:rsidRPr="00821C1A" w:rsidR="006C3276" w:rsidP="004A1046" w:rsidRDefault="00253F13" w14:paraId="09868EB5" w14:textId="77777777">
            <w:pPr>
              <w:keepNext/>
              <w:keepLines/>
              <w:numPr>
                <w:ilvl w:val="12"/>
                <w:numId w:val="0"/>
              </w:numPr>
              <w:jc w:val="center"/>
              <w:rPr>
                <w:rFonts w:ascii="Arial Narrow" w:hAnsi="Arial Narrow"/>
              </w:rPr>
            </w:pPr>
            <w:r w:rsidRPr="00821C1A">
              <w:rPr>
                <w:rFonts w:ascii="Arial Narrow" w:hAnsi="Arial Narrow"/>
              </w:rPr>
              <w:t>1</w:t>
            </w:r>
          </w:p>
        </w:tc>
        <w:tc>
          <w:tcPr>
            <w:tcW w:w="1270" w:type="dxa"/>
            <w:shd w:val="clear" w:color="auto" w:fill="auto"/>
            <w:vAlign w:val="bottom"/>
          </w:tcPr>
          <w:p w:rsidRPr="00821C1A" w:rsidR="006C3276" w:rsidP="004A1046" w:rsidRDefault="00253F13" w14:paraId="0A1D6D94" w14:textId="77777777">
            <w:pPr>
              <w:keepNext/>
              <w:keepLines/>
              <w:numPr>
                <w:ilvl w:val="12"/>
                <w:numId w:val="0"/>
              </w:numPr>
              <w:jc w:val="center"/>
              <w:rPr>
                <w:rFonts w:ascii="Arial Narrow" w:hAnsi="Arial Narrow"/>
              </w:rPr>
            </w:pPr>
            <w:r w:rsidRPr="00821C1A">
              <w:rPr>
                <w:rFonts w:ascii="Arial Narrow" w:hAnsi="Arial Narrow"/>
              </w:rPr>
              <w:t>100</w:t>
            </w:r>
          </w:p>
        </w:tc>
        <w:tc>
          <w:tcPr>
            <w:tcW w:w="1340" w:type="dxa"/>
            <w:vAlign w:val="bottom"/>
          </w:tcPr>
          <w:p w:rsidRPr="00821C1A" w:rsidR="006C3276" w:rsidP="004A1046" w:rsidRDefault="00253F13" w14:paraId="2601869B" w14:textId="77777777">
            <w:pPr>
              <w:keepNext/>
              <w:keepLines/>
              <w:numPr>
                <w:ilvl w:val="12"/>
                <w:numId w:val="0"/>
              </w:numPr>
              <w:jc w:val="center"/>
              <w:rPr>
                <w:rFonts w:ascii="Arial Narrow" w:hAnsi="Arial Narrow"/>
              </w:rPr>
            </w:pPr>
            <w:r w:rsidRPr="00821C1A">
              <w:rPr>
                <w:rFonts w:ascii="Arial Narrow" w:hAnsi="Arial Narrow"/>
              </w:rPr>
              <w:t>1hr.</w:t>
            </w:r>
          </w:p>
        </w:tc>
        <w:tc>
          <w:tcPr>
            <w:tcW w:w="990" w:type="dxa"/>
            <w:shd w:val="clear" w:color="auto" w:fill="auto"/>
            <w:vAlign w:val="bottom"/>
          </w:tcPr>
          <w:p w:rsidRPr="00821C1A" w:rsidR="006C3276" w:rsidP="004A1046" w:rsidRDefault="00253F13" w14:paraId="2395B8DC" w14:textId="77777777">
            <w:pPr>
              <w:keepNext/>
              <w:keepLines/>
              <w:numPr>
                <w:ilvl w:val="12"/>
                <w:numId w:val="0"/>
              </w:numPr>
              <w:jc w:val="center"/>
              <w:rPr>
                <w:rFonts w:ascii="Arial Narrow" w:hAnsi="Arial Narrow"/>
              </w:rPr>
            </w:pPr>
            <w:r w:rsidRPr="00821C1A">
              <w:rPr>
                <w:rFonts w:ascii="Arial Narrow" w:hAnsi="Arial Narrow"/>
              </w:rPr>
              <w:t>100</w:t>
            </w:r>
          </w:p>
        </w:tc>
      </w:tr>
    </w:tbl>
    <w:p w:rsidRPr="00D90A6E" w:rsidR="000B1A00" w:rsidRDefault="000B1A00" w14:paraId="3C22DD33" w14:textId="73343BBE">
      <w:pPr>
        <w:rPr>
          <w:rFonts w:ascii="Times New Roman" w:hAnsi="Times New Roman"/>
        </w:rPr>
      </w:pPr>
      <w:r w:rsidRPr="00D90A6E">
        <w:rPr>
          <w:rFonts w:ascii="Times New Roman" w:hAnsi="Times New Roman"/>
        </w:rPr>
        <w:t xml:space="preserve">  </w:t>
      </w:r>
    </w:p>
    <w:p w:rsidRPr="00D90A6E" w:rsidR="000B1A00" w:rsidRDefault="000B1A00" w14:paraId="208CC7F8" w14:textId="77777777">
      <w:pPr>
        <w:pStyle w:val="Level1"/>
        <w:tabs>
          <w:tab w:val="left" w:pos="-1440"/>
          <w:tab w:val="num" w:pos="720"/>
        </w:tabs>
        <w:rPr>
          <w:rFonts w:ascii="Times New Roman" w:hAnsi="Times New Roman"/>
        </w:rPr>
      </w:pPr>
      <w:r w:rsidRPr="00D90A6E">
        <w:rPr>
          <w:rFonts w:ascii="Times New Roman" w:hAnsi="Times New Roman"/>
          <w:u w:val="single"/>
        </w:rPr>
        <w:t>ESTIMATED TOTAL ANNUAL COST BURDEN TO RESPONDENTS</w:t>
      </w:r>
    </w:p>
    <w:p w:rsidRPr="00D90A6E" w:rsidR="000B1A00" w:rsidRDefault="000B1A00" w14:paraId="53E031C9" w14:textId="77777777">
      <w:pPr>
        <w:rPr>
          <w:rFonts w:ascii="Times New Roman" w:hAnsi="Times New Roman"/>
        </w:rPr>
      </w:pPr>
    </w:p>
    <w:p w:rsidRPr="00D90A6E" w:rsidR="008B196F" w:rsidP="008B196F" w:rsidRDefault="008B196F" w14:paraId="5AE2CACD" w14:textId="77777777">
      <w:pPr>
        <w:ind w:left="720"/>
        <w:jc w:val="both"/>
        <w:rPr>
          <w:rFonts w:ascii="Times New Roman" w:hAnsi="Times New Roman"/>
        </w:rPr>
      </w:pPr>
      <w:r w:rsidRPr="00D90A6E">
        <w:rPr>
          <w:rFonts w:ascii="Times New Roman" w:hAnsi="Times New Roman"/>
        </w:rPr>
        <w:t xml:space="preserve">To ensure more accuracy and consistency across its information collections, IRS is currently in the process of revising the methodology it uses to estimate burden and costs. Once this methodology is complete, IRS will update this information collection to reflect </w:t>
      </w:r>
      <w:r w:rsidRPr="00D90A6E">
        <w:rPr>
          <w:rFonts w:ascii="Times New Roman" w:hAnsi="Times New Roman"/>
        </w:rPr>
        <w:lastRenderedPageBreak/>
        <w:t>a more precise estimate of burden and costs.</w:t>
      </w:r>
    </w:p>
    <w:p w:rsidRPr="00D90A6E" w:rsidR="008B196F" w:rsidP="008B196F" w:rsidRDefault="008B196F" w14:paraId="498B120F" w14:textId="77777777">
      <w:pPr>
        <w:rPr>
          <w:rFonts w:ascii="Times New Roman" w:hAnsi="Times New Roman"/>
        </w:rPr>
      </w:pPr>
    </w:p>
    <w:p w:rsidRPr="00D90A6E" w:rsidR="000B1A00" w:rsidRDefault="000B1A00" w14:paraId="77409F64" w14:textId="77777777">
      <w:pPr>
        <w:pStyle w:val="Level1"/>
        <w:tabs>
          <w:tab w:val="left" w:pos="-1440"/>
          <w:tab w:val="num" w:pos="720"/>
        </w:tabs>
        <w:rPr>
          <w:rFonts w:ascii="Times New Roman" w:hAnsi="Times New Roman"/>
        </w:rPr>
      </w:pPr>
      <w:r w:rsidRPr="00D90A6E">
        <w:rPr>
          <w:rFonts w:ascii="Times New Roman" w:hAnsi="Times New Roman"/>
          <w:u w:val="single"/>
        </w:rPr>
        <w:t>ESTIMATED ANNUALIZED COST TO THE FEDERAL GOVERNMENT</w:t>
      </w:r>
    </w:p>
    <w:p w:rsidRPr="00D90A6E" w:rsidR="000B1A00" w:rsidRDefault="000B1A00" w14:paraId="052FA649" w14:textId="77777777">
      <w:pPr>
        <w:rPr>
          <w:rFonts w:ascii="Times New Roman" w:hAnsi="Times New Roman"/>
        </w:rPr>
      </w:pPr>
    </w:p>
    <w:p w:rsidRPr="00F418FC" w:rsidR="00F418FC" w:rsidP="00821C1A" w:rsidRDefault="00F418FC" w14:paraId="6DA56A4C" w14:textId="35D002D6">
      <w:pPr>
        <w:ind w:left="720"/>
        <w:rPr>
          <w:rFonts w:ascii="Times New Roman" w:hAnsi="Times New Roman"/>
        </w:rPr>
      </w:pPr>
      <w:r w:rsidRPr="00F418FC">
        <w:rPr>
          <w:rFonts w:ascii="Times New Roman" w:hAnsi="Times New Roman"/>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Since this is a statement that companies attach to Form </w:t>
      </w:r>
      <w:r>
        <w:rPr>
          <w:rFonts w:ascii="Times New Roman" w:hAnsi="Times New Roman"/>
        </w:rPr>
        <w:t>3468</w:t>
      </w:r>
      <w:r w:rsidRPr="00F418FC">
        <w:rPr>
          <w:rFonts w:ascii="Times New Roman" w:hAnsi="Times New Roman"/>
        </w:rPr>
        <w:t xml:space="preserve">, there are no development or distribution costs to the IRS. </w:t>
      </w:r>
    </w:p>
    <w:p w:rsidRPr="00D90A6E" w:rsidR="000B1A00" w:rsidRDefault="000B1A00" w14:paraId="7FED78B4" w14:textId="77777777">
      <w:pPr>
        <w:ind w:left="720"/>
        <w:rPr>
          <w:rFonts w:ascii="Times New Roman" w:hAnsi="Times New Roman"/>
        </w:rPr>
      </w:pPr>
    </w:p>
    <w:p w:rsidRPr="00D90A6E" w:rsidR="000B1A00" w:rsidRDefault="000B1A00" w14:paraId="543C81C8" w14:textId="77777777">
      <w:pPr>
        <w:pStyle w:val="Level1"/>
        <w:tabs>
          <w:tab w:val="left" w:pos="-1440"/>
          <w:tab w:val="num" w:pos="720"/>
        </w:tabs>
        <w:rPr>
          <w:rFonts w:ascii="Times New Roman" w:hAnsi="Times New Roman"/>
        </w:rPr>
      </w:pPr>
      <w:r w:rsidRPr="00D90A6E">
        <w:rPr>
          <w:rFonts w:ascii="Times New Roman" w:hAnsi="Times New Roman"/>
          <w:u w:val="single"/>
        </w:rPr>
        <w:t>REASONS FOR CHANGE IN BURDEN</w:t>
      </w:r>
    </w:p>
    <w:p w:rsidRPr="00D90A6E" w:rsidR="000B1A00" w:rsidRDefault="000B1A00" w14:paraId="304BC12E" w14:textId="77777777">
      <w:pPr>
        <w:rPr>
          <w:rFonts w:ascii="Times New Roman" w:hAnsi="Times New Roman"/>
        </w:rPr>
      </w:pPr>
    </w:p>
    <w:p w:rsidRPr="00D90A6E" w:rsidR="000B1A00" w:rsidRDefault="00BA7914" w14:paraId="653ECE49" w14:textId="27DCA8F4">
      <w:pPr>
        <w:ind w:left="720"/>
        <w:rPr>
          <w:rFonts w:ascii="Times New Roman" w:hAnsi="Times New Roman"/>
        </w:rPr>
      </w:pPr>
      <w:r w:rsidRPr="00D90A6E">
        <w:rPr>
          <w:rFonts w:ascii="Times New Roman" w:hAnsi="Times New Roman"/>
        </w:rPr>
        <w:t xml:space="preserve">There is no change in the paperwork burden previously approved by OMB. </w:t>
      </w:r>
      <w:r w:rsidR="004246C3">
        <w:rPr>
          <w:rFonts w:ascii="Times New Roman" w:hAnsi="Times New Roman"/>
        </w:rPr>
        <w:t>IRS is</w:t>
      </w:r>
      <w:r w:rsidRPr="00D90A6E">
        <w:rPr>
          <w:rFonts w:ascii="Times New Roman" w:hAnsi="Times New Roman"/>
        </w:rPr>
        <w:t xml:space="preserve"> making this submission </w:t>
      </w:r>
      <w:r w:rsidRPr="00D90A6E" w:rsidR="008B196F">
        <w:rPr>
          <w:rFonts w:ascii="Times New Roman" w:hAnsi="Times New Roman"/>
        </w:rPr>
        <w:t>for renewal purposes only.</w:t>
      </w:r>
    </w:p>
    <w:p w:rsidRPr="00D90A6E" w:rsidR="000B1A00" w:rsidRDefault="000B1A00" w14:paraId="357CB8C9" w14:textId="77777777">
      <w:pPr>
        <w:rPr>
          <w:rFonts w:ascii="Times New Roman" w:hAnsi="Times New Roman"/>
        </w:rPr>
      </w:pPr>
    </w:p>
    <w:p w:rsidRPr="00D90A6E" w:rsidR="000B1A00" w:rsidRDefault="000B1A00" w14:paraId="0CC9D0F0" w14:textId="77777777">
      <w:pPr>
        <w:pStyle w:val="Level1"/>
        <w:tabs>
          <w:tab w:val="left" w:pos="-1440"/>
          <w:tab w:val="num" w:pos="720"/>
        </w:tabs>
        <w:rPr>
          <w:rFonts w:ascii="Times New Roman" w:hAnsi="Times New Roman"/>
        </w:rPr>
      </w:pPr>
      <w:r w:rsidRPr="00D90A6E">
        <w:rPr>
          <w:rFonts w:ascii="Times New Roman" w:hAnsi="Times New Roman"/>
          <w:u w:val="single"/>
        </w:rPr>
        <w:t>PLANS FOR TABULATION, STATISTICAL ANALYSIS AND PUBLICATION</w:t>
      </w:r>
    </w:p>
    <w:p w:rsidRPr="00D90A6E" w:rsidR="000B1A00" w:rsidRDefault="000B1A00" w14:paraId="35613977" w14:textId="77777777">
      <w:pPr>
        <w:ind w:left="720"/>
        <w:rPr>
          <w:rFonts w:ascii="Times New Roman" w:hAnsi="Times New Roman"/>
        </w:rPr>
      </w:pPr>
    </w:p>
    <w:p w:rsidRPr="00D90A6E" w:rsidR="006D5354" w:rsidRDefault="006D5354" w14:paraId="6DE65F7F" w14:textId="3B2DDBB9">
      <w:pPr>
        <w:ind w:left="720"/>
        <w:rPr>
          <w:rFonts w:ascii="Times New Roman" w:hAnsi="Times New Roman"/>
        </w:rPr>
      </w:pPr>
      <w:r w:rsidRPr="00D90A6E">
        <w:rPr>
          <w:rFonts w:ascii="Times New Roman" w:hAnsi="Times New Roman"/>
        </w:rPr>
        <w:t>There are no plans for tabulation, statistical analysis</w:t>
      </w:r>
      <w:r w:rsidR="007F31A7">
        <w:rPr>
          <w:rFonts w:ascii="Times New Roman" w:hAnsi="Times New Roman"/>
        </w:rPr>
        <w:t>,</w:t>
      </w:r>
      <w:r w:rsidRPr="00D90A6E">
        <w:rPr>
          <w:rFonts w:ascii="Times New Roman" w:hAnsi="Times New Roman"/>
        </w:rPr>
        <w:t xml:space="preserve"> and publication.</w:t>
      </w:r>
    </w:p>
    <w:p w:rsidRPr="00D90A6E" w:rsidR="006D5354" w:rsidRDefault="006D5354" w14:paraId="39EA801A" w14:textId="77777777">
      <w:pPr>
        <w:ind w:left="720"/>
        <w:rPr>
          <w:rFonts w:ascii="Times New Roman" w:hAnsi="Times New Roman"/>
        </w:rPr>
      </w:pPr>
    </w:p>
    <w:p w:rsidRPr="00D90A6E" w:rsidR="00C049B9" w:rsidRDefault="00C049B9" w14:paraId="74412DC0" w14:textId="77777777">
      <w:pPr>
        <w:ind w:left="720"/>
        <w:rPr>
          <w:rFonts w:ascii="Times New Roman" w:hAnsi="Times New Roman"/>
        </w:rPr>
        <w:sectPr w:rsidRPr="00D90A6E" w:rsidR="00C049B9" w:rsidSect="000F6BB0">
          <w:type w:val="continuous"/>
          <w:pgSz w:w="12240" w:h="15840"/>
          <w:pgMar w:top="720" w:right="1440" w:bottom="720" w:left="1440" w:header="1440" w:footer="1440" w:gutter="0"/>
          <w:cols w:space="720"/>
          <w:noEndnote/>
        </w:sectPr>
      </w:pPr>
    </w:p>
    <w:p w:rsidRPr="00D90A6E" w:rsidR="000B1A00" w:rsidRDefault="000B1A00" w14:paraId="03850375" w14:textId="77777777">
      <w:pPr>
        <w:pStyle w:val="Level1"/>
        <w:tabs>
          <w:tab w:val="left" w:pos="-1440"/>
          <w:tab w:val="num" w:pos="720"/>
        </w:tabs>
        <w:rPr>
          <w:rFonts w:ascii="Times New Roman" w:hAnsi="Times New Roman"/>
        </w:rPr>
      </w:pPr>
      <w:r w:rsidRPr="00D90A6E">
        <w:rPr>
          <w:rFonts w:ascii="Times New Roman" w:hAnsi="Times New Roman"/>
          <w:u w:val="single"/>
        </w:rPr>
        <w:t>REASONS WHY DISPLAYING THE OMB EXPIRATION DATE IS</w:t>
      </w:r>
      <w:r w:rsidRPr="00D90A6E">
        <w:rPr>
          <w:rFonts w:ascii="Times New Roman" w:hAnsi="Times New Roman"/>
        </w:rPr>
        <w:t xml:space="preserve">      </w:t>
      </w:r>
      <w:r w:rsidRPr="00D90A6E">
        <w:rPr>
          <w:rFonts w:ascii="Times New Roman" w:hAnsi="Times New Roman"/>
          <w:u w:val="single"/>
        </w:rPr>
        <w:t>INAPPROPRIATE</w:t>
      </w:r>
    </w:p>
    <w:p w:rsidRPr="00D90A6E" w:rsidR="000B1A00" w:rsidRDefault="000B1A00" w14:paraId="20E257C7" w14:textId="77777777">
      <w:pPr>
        <w:rPr>
          <w:rFonts w:ascii="Times New Roman" w:hAnsi="Times New Roman"/>
        </w:rPr>
      </w:pPr>
    </w:p>
    <w:p w:rsidRPr="00D90A6E" w:rsidR="008B196F" w:rsidP="008B196F" w:rsidRDefault="004246C3" w14:paraId="264E3095" w14:textId="574A70D5">
      <w:pPr>
        <w:ind w:left="720"/>
        <w:jc w:val="both"/>
        <w:rPr>
          <w:rFonts w:ascii="Times New Roman" w:hAnsi="Times New Roman"/>
        </w:rPr>
      </w:pPr>
      <w:r>
        <w:rPr>
          <w:rFonts w:ascii="Times New Roman" w:hAnsi="Times New Roman"/>
        </w:rPr>
        <w:t xml:space="preserve">IRS </w:t>
      </w:r>
      <w:r w:rsidRPr="00D90A6E" w:rsidR="008B196F">
        <w:rPr>
          <w:rFonts w:ascii="Times New Roman" w:hAnsi="Times New Roman"/>
        </w:rPr>
        <w:t>believe</w:t>
      </w:r>
      <w:r>
        <w:rPr>
          <w:rFonts w:ascii="Times New Roman" w:hAnsi="Times New Roman"/>
        </w:rPr>
        <w:t>s</w:t>
      </w:r>
      <w:r w:rsidRPr="00D90A6E" w:rsidR="008B196F">
        <w:rPr>
          <w:rFonts w:ascii="Times New Roman" w:hAnsi="Times New Roman"/>
        </w:rPr>
        <w:t xml:space="preserve"> that displaying the OMB expiration date is inappropriate because it could cause confusion by leading taxpayers to believe that th</w:t>
      </w:r>
      <w:r>
        <w:rPr>
          <w:rFonts w:ascii="Times New Roman" w:hAnsi="Times New Roman"/>
        </w:rPr>
        <w:t>is</w:t>
      </w:r>
      <w:r w:rsidRPr="00D90A6E" w:rsidR="008B196F">
        <w:rPr>
          <w:rFonts w:ascii="Times New Roman" w:hAnsi="Times New Roman"/>
        </w:rPr>
        <w:t xml:space="preserve"> </w:t>
      </w:r>
      <w:r>
        <w:rPr>
          <w:rFonts w:ascii="Times New Roman" w:hAnsi="Times New Roman"/>
        </w:rPr>
        <w:t>notice</w:t>
      </w:r>
      <w:r w:rsidRPr="00D90A6E">
        <w:rPr>
          <w:rFonts w:ascii="Times New Roman" w:hAnsi="Times New Roman"/>
        </w:rPr>
        <w:t xml:space="preserve"> </w:t>
      </w:r>
      <w:r w:rsidRPr="00D90A6E" w:rsidR="008B196F">
        <w:rPr>
          <w:rFonts w:ascii="Times New Roman" w:hAnsi="Times New Roman"/>
        </w:rPr>
        <w:t xml:space="preserve">sunsets as of the expiration date. Taxpayers are not likely to be aware that the </w:t>
      </w:r>
      <w:r w:rsidR="007F31A7">
        <w:rPr>
          <w:rFonts w:ascii="Times New Roman" w:hAnsi="Times New Roman"/>
        </w:rPr>
        <w:t>IRS</w:t>
      </w:r>
      <w:r w:rsidRPr="00D90A6E" w:rsidR="008B196F">
        <w:rPr>
          <w:rFonts w:ascii="Times New Roman" w:hAnsi="Times New Roman"/>
        </w:rPr>
        <w:t xml:space="preserve"> intends to request renewal of the OMB approval and obtain a new expiration date before the old one expires.</w:t>
      </w:r>
    </w:p>
    <w:p w:rsidRPr="00D90A6E" w:rsidR="006D5354" w:rsidRDefault="006D5354" w14:paraId="4761FF7B" w14:textId="77777777">
      <w:pPr>
        <w:rPr>
          <w:rFonts w:ascii="Times New Roman" w:hAnsi="Times New Roman"/>
        </w:rPr>
      </w:pPr>
    </w:p>
    <w:p w:rsidRPr="00D90A6E" w:rsidR="000B1A00" w:rsidRDefault="000B1A00" w14:paraId="1592E23C" w14:textId="77777777">
      <w:pPr>
        <w:pStyle w:val="Level1"/>
        <w:tabs>
          <w:tab w:val="left" w:pos="-1440"/>
          <w:tab w:val="num" w:pos="720"/>
        </w:tabs>
        <w:rPr>
          <w:rFonts w:ascii="Times New Roman" w:hAnsi="Times New Roman"/>
        </w:rPr>
      </w:pPr>
      <w:r w:rsidRPr="00D90A6E">
        <w:rPr>
          <w:rFonts w:ascii="Times New Roman" w:hAnsi="Times New Roman"/>
          <w:u w:val="single"/>
        </w:rPr>
        <w:t>EXCEPTIONS TO THE CERTIFICATION STATEMENT</w:t>
      </w:r>
    </w:p>
    <w:p w:rsidRPr="00D90A6E" w:rsidR="000B1A00" w:rsidRDefault="000B1A00" w14:paraId="3EFDD563" w14:textId="77777777">
      <w:pPr>
        <w:rPr>
          <w:rFonts w:ascii="Times New Roman" w:hAnsi="Times New Roman"/>
        </w:rPr>
      </w:pPr>
    </w:p>
    <w:p w:rsidRPr="00D90A6E" w:rsidR="000B1A00" w:rsidRDefault="006D5354" w14:paraId="2AF01CA5" w14:textId="7B6A8C02">
      <w:pPr>
        <w:ind w:left="720"/>
        <w:rPr>
          <w:rFonts w:ascii="Times New Roman" w:hAnsi="Times New Roman"/>
        </w:rPr>
      </w:pPr>
      <w:r w:rsidRPr="00D90A6E">
        <w:rPr>
          <w:rFonts w:ascii="Times New Roman" w:hAnsi="Times New Roman"/>
        </w:rPr>
        <w:t>There are no exceptions to the certification statement</w:t>
      </w:r>
      <w:r w:rsidR="00064ECA">
        <w:rPr>
          <w:rFonts w:ascii="Times New Roman" w:hAnsi="Times New Roman"/>
        </w:rPr>
        <w:t xml:space="preserve"> for this collection</w:t>
      </w:r>
      <w:r w:rsidRPr="00D90A6E">
        <w:rPr>
          <w:rFonts w:ascii="Times New Roman" w:hAnsi="Times New Roman"/>
        </w:rPr>
        <w:t>.</w:t>
      </w:r>
    </w:p>
    <w:p w:rsidRPr="00D90A6E" w:rsidR="000B1A00" w:rsidRDefault="000B1A00" w14:paraId="5887AC13" w14:textId="77777777">
      <w:pPr>
        <w:rPr>
          <w:rFonts w:ascii="Times New Roman" w:hAnsi="Times New Roman"/>
        </w:rPr>
      </w:pPr>
    </w:p>
    <w:p w:rsidRPr="00D90A6E" w:rsidR="000B1A00" w:rsidRDefault="000B1A00" w14:paraId="67E12F57" w14:textId="77777777">
      <w:pPr>
        <w:rPr>
          <w:rFonts w:ascii="Times New Roman" w:hAnsi="Times New Roman"/>
        </w:rPr>
      </w:pPr>
      <w:r w:rsidRPr="00D90A6E">
        <w:rPr>
          <w:rFonts w:ascii="Times New Roman" w:hAnsi="Times New Roman"/>
          <w:u w:val="single"/>
        </w:rPr>
        <w:t>Note:</w:t>
      </w:r>
      <w:r w:rsidRPr="00D90A6E">
        <w:rPr>
          <w:rFonts w:ascii="Times New Roman" w:hAnsi="Times New Roman"/>
        </w:rPr>
        <w:t xml:space="preserve">   The following paragraph applies to </w:t>
      </w:r>
      <w:proofErr w:type="gramStart"/>
      <w:r w:rsidRPr="00D90A6E">
        <w:rPr>
          <w:rFonts w:ascii="Times New Roman" w:hAnsi="Times New Roman"/>
        </w:rPr>
        <w:t>all of</w:t>
      </w:r>
      <w:proofErr w:type="gramEnd"/>
      <w:r w:rsidRPr="00D90A6E">
        <w:rPr>
          <w:rFonts w:ascii="Times New Roman" w:hAnsi="Times New Roman"/>
        </w:rPr>
        <w:t xml:space="preserve"> the collections of information in this submission:</w:t>
      </w:r>
    </w:p>
    <w:p w:rsidRPr="00D90A6E" w:rsidR="000B1A00" w:rsidRDefault="000B1A00" w14:paraId="44E1FFA9" w14:textId="77777777">
      <w:pPr>
        <w:rPr>
          <w:rFonts w:ascii="Times New Roman" w:hAnsi="Times New Roman"/>
        </w:rPr>
      </w:pPr>
    </w:p>
    <w:p w:rsidRPr="00D90A6E" w:rsidR="000B1A00" w:rsidRDefault="000B1A00" w14:paraId="2D19D52E" w14:textId="5DD76D33">
      <w:pPr>
        <w:ind w:firstLine="720"/>
        <w:rPr>
          <w:rFonts w:ascii="Times New Roman" w:hAnsi="Times New Roman"/>
        </w:rPr>
      </w:pPr>
      <w:r w:rsidRPr="00D90A6E">
        <w:rPr>
          <w:rFonts w:ascii="Times New Roman" w:hAnsi="Times New Roman"/>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D90A6E">
        <w:rPr>
          <w:rFonts w:ascii="Times New Roman" w:hAnsi="Times New Roman"/>
        </w:rPr>
        <w:t>as long as</w:t>
      </w:r>
      <w:proofErr w:type="gramEnd"/>
      <w:r w:rsidRPr="00D90A6E">
        <w:rPr>
          <w:rFonts w:ascii="Times New Roman" w:hAnsi="Times New Roman"/>
        </w:rPr>
        <w:t xml:space="preserve"> their contents may become material in the administration of any internal revenue law. Generally, tax returns and tax return information are confidential, as required by 26 U.S.C. 6103.</w:t>
      </w:r>
    </w:p>
    <w:p w:rsidRPr="00D90A6E" w:rsidR="006D5354" w:rsidRDefault="006D5354" w14:paraId="531416EF" w14:textId="77777777">
      <w:pPr>
        <w:ind w:firstLine="720"/>
        <w:rPr>
          <w:rFonts w:ascii="Times New Roman" w:hAnsi="Times New Roman"/>
        </w:rPr>
      </w:pPr>
    </w:p>
    <w:sectPr w:rsidRPr="00D90A6E" w:rsidR="006D5354" w:rsidSect="000F6BB0">
      <w:type w:val="continuous"/>
      <w:pgSz w:w="12240" w:h="15840"/>
      <w:pgMar w:top="720" w:right="1440" w:bottom="72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3CD33" w14:textId="77777777" w:rsidR="00463102" w:rsidRDefault="00463102">
      <w:r>
        <w:separator/>
      </w:r>
    </w:p>
  </w:endnote>
  <w:endnote w:type="continuationSeparator" w:id="0">
    <w:p w14:paraId="28FD5A3B" w14:textId="77777777" w:rsidR="00463102" w:rsidRDefault="00463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1E9B4" w14:textId="77777777" w:rsidR="000F6BB0" w:rsidRDefault="000F6BB0" w:rsidP="00B628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0F5CE2" w14:textId="77777777" w:rsidR="000F6BB0" w:rsidRDefault="000F6B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D881B" w14:textId="77777777" w:rsidR="000F6BB0" w:rsidRDefault="000F6BB0" w:rsidP="00B628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651D">
      <w:rPr>
        <w:rStyle w:val="PageNumber"/>
        <w:noProof/>
      </w:rPr>
      <w:t>1</w:t>
    </w:r>
    <w:r>
      <w:rPr>
        <w:rStyle w:val="PageNumber"/>
      </w:rPr>
      <w:fldChar w:fldCharType="end"/>
    </w:r>
  </w:p>
  <w:p w14:paraId="7E3B52BD" w14:textId="77777777" w:rsidR="000F6BB0" w:rsidRDefault="000F6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FBD22" w14:textId="77777777" w:rsidR="00463102" w:rsidRDefault="00463102">
      <w:r>
        <w:separator/>
      </w:r>
    </w:p>
  </w:footnote>
  <w:footnote w:type="continuationSeparator" w:id="0">
    <w:p w14:paraId="62638D38" w14:textId="77777777" w:rsidR="00463102" w:rsidRDefault="00463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09649" w14:textId="77777777" w:rsidR="000F6BB0" w:rsidRDefault="000F6BB0"/>
  <w:p w14:paraId="69024536" w14:textId="77777777" w:rsidR="000F6BB0" w:rsidRDefault="000F6BB0">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A00"/>
    <w:rsid w:val="000244C5"/>
    <w:rsid w:val="00044D86"/>
    <w:rsid w:val="00056159"/>
    <w:rsid w:val="00064ECA"/>
    <w:rsid w:val="000B1A00"/>
    <w:rsid w:val="000D1386"/>
    <w:rsid w:val="000E4B57"/>
    <w:rsid w:val="000F6BB0"/>
    <w:rsid w:val="00100CAA"/>
    <w:rsid w:val="00105A03"/>
    <w:rsid w:val="001227F3"/>
    <w:rsid w:val="001251BB"/>
    <w:rsid w:val="00155EF0"/>
    <w:rsid w:val="00165D5E"/>
    <w:rsid w:val="00174840"/>
    <w:rsid w:val="0017651D"/>
    <w:rsid w:val="00181EA6"/>
    <w:rsid w:val="00197507"/>
    <w:rsid w:val="001F642D"/>
    <w:rsid w:val="00216034"/>
    <w:rsid w:val="002205DA"/>
    <w:rsid w:val="0023028A"/>
    <w:rsid w:val="00253F13"/>
    <w:rsid w:val="0026368A"/>
    <w:rsid w:val="002716F2"/>
    <w:rsid w:val="0028258F"/>
    <w:rsid w:val="0034239B"/>
    <w:rsid w:val="00343900"/>
    <w:rsid w:val="00347BA4"/>
    <w:rsid w:val="00372303"/>
    <w:rsid w:val="003C67B2"/>
    <w:rsid w:val="003E2282"/>
    <w:rsid w:val="0040351C"/>
    <w:rsid w:val="004246C3"/>
    <w:rsid w:val="0044607B"/>
    <w:rsid w:val="00463102"/>
    <w:rsid w:val="00481D28"/>
    <w:rsid w:val="004A1046"/>
    <w:rsid w:val="004C0EE8"/>
    <w:rsid w:val="004C796C"/>
    <w:rsid w:val="0050774D"/>
    <w:rsid w:val="00557FAD"/>
    <w:rsid w:val="0059302E"/>
    <w:rsid w:val="005C35E0"/>
    <w:rsid w:val="00605495"/>
    <w:rsid w:val="00630CDA"/>
    <w:rsid w:val="00631B79"/>
    <w:rsid w:val="00641F0B"/>
    <w:rsid w:val="00647D4C"/>
    <w:rsid w:val="006C3276"/>
    <w:rsid w:val="006D5354"/>
    <w:rsid w:val="006D7053"/>
    <w:rsid w:val="00735F67"/>
    <w:rsid w:val="00793448"/>
    <w:rsid w:val="007F31A7"/>
    <w:rsid w:val="007F766F"/>
    <w:rsid w:val="00821C1A"/>
    <w:rsid w:val="008554C9"/>
    <w:rsid w:val="00856685"/>
    <w:rsid w:val="00865649"/>
    <w:rsid w:val="008B013E"/>
    <w:rsid w:val="008B196F"/>
    <w:rsid w:val="008C7CE5"/>
    <w:rsid w:val="00901765"/>
    <w:rsid w:val="009447B5"/>
    <w:rsid w:val="00963D33"/>
    <w:rsid w:val="0096617D"/>
    <w:rsid w:val="00971DF6"/>
    <w:rsid w:val="009A1323"/>
    <w:rsid w:val="009B3240"/>
    <w:rsid w:val="009E7640"/>
    <w:rsid w:val="00A30C99"/>
    <w:rsid w:val="00A33D92"/>
    <w:rsid w:val="00A75EC0"/>
    <w:rsid w:val="00A77CA0"/>
    <w:rsid w:val="00B05F1B"/>
    <w:rsid w:val="00B2704A"/>
    <w:rsid w:val="00B320D2"/>
    <w:rsid w:val="00B431E9"/>
    <w:rsid w:val="00B62849"/>
    <w:rsid w:val="00B94331"/>
    <w:rsid w:val="00BA7914"/>
    <w:rsid w:val="00BB60AC"/>
    <w:rsid w:val="00BC08AD"/>
    <w:rsid w:val="00C049B9"/>
    <w:rsid w:val="00C86431"/>
    <w:rsid w:val="00CA1CDD"/>
    <w:rsid w:val="00CC70ED"/>
    <w:rsid w:val="00CF30BC"/>
    <w:rsid w:val="00D1468A"/>
    <w:rsid w:val="00D33F69"/>
    <w:rsid w:val="00D504BA"/>
    <w:rsid w:val="00D61FE7"/>
    <w:rsid w:val="00D67A10"/>
    <w:rsid w:val="00D74810"/>
    <w:rsid w:val="00D86D97"/>
    <w:rsid w:val="00D90A6E"/>
    <w:rsid w:val="00D94E90"/>
    <w:rsid w:val="00DD4619"/>
    <w:rsid w:val="00E500E2"/>
    <w:rsid w:val="00E97C6A"/>
    <w:rsid w:val="00EA4BEF"/>
    <w:rsid w:val="00EB26DB"/>
    <w:rsid w:val="00EB635F"/>
    <w:rsid w:val="00EE225C"/>
    <w:rsid w:val="00EE38D9"/>
    <w:rsid w:val="00F042EC"/>
    <w:rsid w:val="00F21265"/>
    <w:rsid w:val="00F418FC"/>
    <w:rsid w:val="00FE2825"/>
    <w:rsid w:val="00FF19BB"/>
    <w:rsid w:val="00FF5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7086C68"/>
  <w15:chartTrackingRefBased/>
  <w15:docId w15:val="{180A45AA-A1D9-4EEB-88F5-E5DA8BE11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Footer">
    <w:name w:val="footer"/>
    <w:basedOn w:val="Normal"/>
    <w:rsid w:val="000F6BB0"/>
    <w:pPr>
      <w:tabs>
        <w:tab w:val="center" w:pos="4320"/>
        <w:tab w:val="right" w:pos="8640"/>
      </w:tabs>
    </w:pPr>
  </w:style>
  <w:style w:type="character" w:styleId="PageNumber">
    <w:name w:val="page number"/>
    <w:basedOn w:val="DefaultParagraphFont"/>
    <w:rsid w:val="000F6BB0"/>
  </w:style>
  <w:style w:type="paragraph" w:styleId="Header">
    <w:name w:val="header"/>
    <w:basedOn w:val="Normal"/>
    <w:rsid w:val="000F6BB0"/>
    <w:pPr>
      <w:tabs>
        <w:tab w:val="center" w:pos="4320"/>
        <w:tab w:val="right" w:pos="8640"/>
      </w:tabs>
    </w:pPr>
  </w:style>
  <w:style w:type="character" w:styleId="Hyperlink">
    <w:name w:val="Hyperlink"/>
    <w:rsid w:val="00CF30BC"/>
    <w:rPr>
      <w:color w:val="0000FF"/>
      <w:u w:val="single"/>
    </w:rPr>
  </w:style>
  <w:style w:type="paragraph" w:styleId="BalloonText">
    <w:name w:val="Balloon Text"/>
    <w:basedOn w:val="Normal"/>
    <w:link w:val="BalloonTextChar"/>
    <w:rsid w:val="00641F0B"/>
    <w:rPr>
      <w:rFonts w:ascii="Segoe UI" w:hAnsi="Segoe UI" w:cs="Segoe UI"/>
      <w:sz w:val="18"/>
      <w:szCs w:val="18"/>
    </w:rPr>
  </w:style>
  <w:style w:type="character" w:customStyle="1" w:styleId="BalloonTextChar">
    <w:name w:val="Balloon Text Char"/>
    <w:link w:val="BalloonText"/>
    <w:rsid w:val="00641F0B"/>
    <w:rPr>
      <w:rFonts w:ascii="Segoe UI" w:hAnsi="Segoe UI" w:cs="Segoe UI"/>
      <w:sz w:val="18"/>
      <w:szCs w:val="18"/>
    </w:rPr>
  </w:style>
  <w:style w:type="character" w:styleId="CommentReference">
    <w:name w:val="annotation reference"/>
    <w:basedOn w:val="DefaultParagraphFont"/>
    <w:rsid w:val="00D1468A"/>
    <w:rPr>
      <w:sz w:val="16"/>
      <w:szCs w:val="16"/>
    </w:rPr>
  </w:style>
  <w:style w:type="paragraph" w:styleId="CommentText">
    <w:name w:val="annotation text"/>
    <w:basedOn w:val="Normal"/>
    <w:link w:val="CommentTextChar"/>
    <w:rsid w:val="00D1468A"/>
    <w:rPr>
      <w:sz w:val="20"/>
      <w:szCs w:val="20"/>
    </w:rPr>
  </w:style>
  <w:style w:type="character" w:customStyle="1" w:styleId="CommentTextChar">
    <w:name w:val="Comment Text Char"/>
    <w:basedOn w:val="DefaultParagraphFont"/>
    <w:link w:val="CommentText"/>
    <w:rsid w:val="00D1468A"/>
    <w:rPr>
      <w:rFonts w:ascii="Courier" w:hAnsi="Courier"/>
    </w:rPr>
  </w:style>
  <w:style w:type="paragraph" w:styleId="CommentSubject">
    <w:name w:val="annotation subject"/>
    <w:basedOn w:val="CommentText"/>
    <w:next w:val="CommentText"/>
    <w:link w:val="CommentSubjectChar"/>
    <w:rsid w:val="00D1468A"/>
    <w:rPr>
      <w:b/>
      <w:bCs/>
    </w:rPr>
  </w:style>
  <w:style w:type="character" w:customStyle="1" w:styleId="CommentSubjectChar">
    <w:name w:val="Comment Subject Char"/>
    <w:basedOn w:val="CommentTextChar"/>
    <w:link w:val="CommentSubject"/>
    <w:rsid w:val="00D1468A"/>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836381">
      <w:bodyDiv w:val="1"/>
      <w:marLeft w:val="0"/>
      <w:marRight w:val="0"/>
      <w:marTop w:val="0"/>
      <w:marBottom w:val="0"/>
      <w:divBdr>
        <w:top w:val="none" w:sz="0" w:space="0" w:color="auto"/>
        <w:left w:val="none" w:sz="0" w:space="0" w:color="auto"/>
        <w:bottom w:val="none" w:sz="0" w:space="0" w:color="auto"/>
        <w:right w:val="none" w:sz="0" w:space="0" w:color="auto"/>
      </w:divBdr>
    </w:div>
    <w:div w:id="84123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irs.gov/uac/Privacy-Impact-Assessments-PIA"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1287</Words>
  <Characters>7339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8609</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J11FB</dc:creator>
  <cp:keywords/>
  <cp:lastModifiedBy>Garcia Andres</cp:lastModifiedBy>
  <cp:revision>3</cp:revision>
  <cp:lastPrinted>2009-04-14T19:15:00Z</cp:lastPrinted>
  <dcterms:created xsi:type="dcterms:W3CDTF">2022-07-20T21:14:00Z</dcterms:created>
  <dcterms:modified xsi:type="dcterms:W3CDTF">2022-07-20T21:16:00Z</dcterms:modified>
</cp:coreProperties>
</file>