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87A66" w:rsidR="009E3D48" w:rsidP="009E3D48" w:rsidRDefault="009E3D48" w14:paraId="4C79586A" w14:textId="77777777">
      <w:pPr>
        <w:jc w:val="center"/>
        <w:rPr>
          <w:rFonts w:asciiTheme="minorHAnsi" w:hAnsiTheme="minorHAnsi"/>
          <w:b/>
          <w:bCs/>
          <w:sz w:val="22"/>
        </w:rPr>
      </w:pPr>
      <w:r w:rsidRPr="00F87A66">
        <w:rPr>
          <w:rFonts w:asciiTheme="minorHAnsi" w:hAnsiTheme="minorHAnsi"/>
          <w:b/>
          <w:bCs/>
          <w:sz w:val="22"/>
        </w:rPr>
        <w:t>SUPPORTING STATEMENT</w:t>
      </w:r>
    </w:p>
    <w:p w:rsidR="00A24315" w:rsidP="009E3D48" w:rsidRDefault="00A24315" w14:paraId="6641C5F4" w14:textId="77777777">
      <w:pPr>
        <w:jc w:val="center"/>
        <w:rPr>
          <w:rFonts w:asciiTheme="minorHAnsi" w:hAnsiTheme="minorHAnsi"/>
          <w:b/>
          <w:bCs/>
          <w:sz w:val="22"/>
        </w:rPr>
      </w:pPr>
      <w:r w:rsidRPr="00F87A66">
        <w:rPr>
          <w:rFonts w:asciiTheme="minorHAnsi" w:hAnsiTheme="minorHAnsi"/>
          <w:b/>
          <w:bCs/>
          <w:sz w:val="22"/>
        </w:rPr>
        <w:t>Internal Revenue Service (IRS)</w:t>
      </w:r>
    </w:p>
    <w:p w:rsidR="00182BE3" w:rsidP="009E3D48" w:rsidRDefault="00D107CC" w14:paraId="04540D9E" w14:textId="5AC71734">
      <w:pPr>
        <w:jc w:val="center"/>
        <w:rPr>
          <w:rFonts w:asciiTheme="minorHAnsi" w:hAnsiTheme="minorHAnsi"/>
          <w:b/>
          <w:bCs/>
          <w:sz w:val="22"/>
        </w:rPr>
      </w:pPr>
      <w:r>
        <w:rPr>
          <w:rFonts w:asciiTheme="minorHAnsi" w:hAnsiTheme="minorHAnsi"/>
          <w:b/>
          <w:bCs/>
          <w:sz w:val="22"/>
        </w:rPr>
        <w:t xml:space="preserve">Form 8822, </w:t>
      </w:r>
      <w:r w:rsidRPr="00D92C35" w:rsidR="00D92C35">
        <w:rPr>
          <w:rFonts w:asciiTheme="minorHAnsi" w:hAnsiTheme="minorHAnsi"/>
          <w:b/>
          <w:bCs/>
          <w:sz w:val="22"/>
        </w:rPr>
        <w:t>Change of Address</w:t>
      </w:r>
      <w:r w:rsidR="00D92C35">
        <w:rPr>
          <w:rFonts w:asciiTheme="minorHAnsi" w:hAnsiTheme="minorHAnsi"/>
          <w:b/>
          <w:bCs/>
          <w:sz w:val="22"/>
        </w:rPr>
        <w:t xml:space="preserve"> and </w:t>
      </w:r>
      <w:r>
        <w:rPr>
          <w:rFonts w:asciiTheme="minorHAnsi" w:hAnsiTheme="minorHAnsi"/>
          <w:b/>
          <w:bCs/>
          <w:sz w:val="22"/>
        </w:rPr>
        <w:t xml:space="preserve">Form 8822-B, </w:t>
      </w:r>
      <w:r w:rsidRPr="00D92C35" w:rsidR="00D92C35">
        <w:rPr>
          <w:rFonts w:asciiTheme="minorHAnsi" w:hAnsiTheme="minorHAnsi"/>
          <w:b/>
          <w:bCs/>
          <w:sz w:val="22"/>
        </w:rPr>
        <w:t>Change of Address or Responsible Party — Business</w:t>
      </w:r>
    </w:p>
    <w:p w:rsidRPr="00F87A66" w:rsidR="00F87A66" w:rsidP="009E3D48" w:rsidRDefault="00F87A66" w14:paraId="02C3E8FE" w14:textId="6DC5352C">
      <w:pPr>
        <w:jc w:val="center"/>
        <w:rPr>
          <w:rFonts w:asciiTheme="minorHAnsi" w:hAnsiTheme="minorHAnsi"/>
          <w:b/>
          <w:bCs/>
          <w:sz w:val="22"/>
        </w:rPr>
      </w:pPr>
      <w:r>
        <w:rPr>
          <w:rFonts w:asciiTheme="minorHAnsi" w:hAnsiTheme="minorHAnsi"/>
          <w:b/>
          <w:bCs/>
          <w:sz w:val="22"/>
        </w:rPr>
        <w:t xml:space="preserve">OMB </w:t>
      </w:r>
      <w:r w:rsidR="00D107CC">
        <w:rPr>
          <w:rFonts w:asciiTheme="minorHAnsi" w:hAnsiTheme="minorHAnsi"/>
          <w:b/>
          <w:bCs/>
          <w:sz w:val="22"/>
        </w:rPr>
        <w:t>#</w:t>
      </w:r>
      <w:r>
        <w:rPr>
          <w:rFonts w:asciiTheme="minorHAnsi" w:hAnsiTheme="minorHAnsi"/>
          <w:b/>
          <w:bCs/>
          <w:sz w:val="22"/>
        </w:rPr>
        <w:t xml:space="preserve"> 1545-</w:t>
      </w:r>
      <w:r w:rsidR="00D92C35">
        <w:rPr>
          <w:rFonts w:asciiTheme="minorHAnsi" w:hAnsiTheme="minorHAnsi"/>
          <w:b/>
          <w:bCs/>
          <w:sz w:val="22"/>
        </w:rPr>
        <w:t>1163</w:t>
      </w:r>
    </w:p>
    <w:p w:rsidR="009E3D48" w:rsidP="009E3D48" w:rsidRDefault="009E3D48" w14:paraId="30CE0E13" w14:textId="4195C51B">
      <w:pPr>
        <w:rPr>
          <w:rFonts w:asciiTheme="minorHAnsi" w:hAnsiTheme="minorHAnsi"/>
          <w:b/>
          <w:bCs/>
          <w:sz w:val="22"/>
          <w:u w:val="single"/>
        </w:rPr>
      </w:pPr>
    </w:p>
    <w:p w:rsidRPr="00DC1585" w:rsidR="00D107CC" w:rsidP="009E3D48" w:rsidRDefault="00D107CC" w14:paraId="29B77AD8" w14:textId="77777777">
      <w:pPr>
        <w:rPr>
          <w:rFonts w:asciiTheme="minorHAnsi" w:hAnsiTheme="minorHAnsi"/>
          <w:b/>
          <w:bCs/>
          <w:sz w:val="22"/>
          <w:u w:val="single"/>
        </w:rPr>
      </w:pPr>
    </w:p>
    <w:p w:rsidR="009E3D48" w:rsidP="009E3D48" w:rsidRDefault="009E3D48" w14:paraId="6BFEB26A" w14:textId="77777777">
      <w:pPr>
        <w:pStyle w:val="ListParagraph"/>
        <w:numPr>
          <w:ilvl w:val="0"/>
          <w:numId w:val="1"/>
        </w:numPr>
        <w:tabs>
          <w:tab w:val="left" w:pos="540"/>
        </w:tabs>
        <w:ind w:left="540" w:hanging="540"/>
        <w:rPr>
          <w:rFonts w:asciiTheme="minorHAnsi" w:hAnsiTheme="minorHAnsi"/>
          <w:b/>
          <w:sz w:val="22"/>
          <w:u w:val="single"/>
        </w:rPr>
      </w:pPr>
      <w:r w:rsidRPr="001D050E">
        <w:rPr>
          <w:rFonts w:asciiTheme="minorHAnsi" w:hAnsiTheme="minorHAnsi"/>
          <w:b/>
          <w:sz w:val="22"/>
          <w:u w:val="single"/>
        </w:rPr>
        <w:t>CIR</w:t>
      </w:r>
      <w:r w:rsidRPr="00DC1585">
        <w:rPr>
          <w:rFonts w:asciiTheme="minorHAnsi" w:hAnsiTheme="minorHAnsi"/>
          <w:b/>
          <w:sz w:val="22"/>
          <w:u w:val="single"/>
        </w:rPr>
        <w:t xml:space="preserve">CUMSTANCES NECESSITATING COLLECTION OF INFORMATION </w:t>
      </w:r>
    </w:p>
    <w:p w:rsidRPr="00197CEF" w:rsidR="00197CEF" w:rsidP="00197CEF" w:rsidRDefault="00197CEF" w14:paraId="250F703D" w14:textId="77777777">
      <w:pPr>
        <w:ind w:left="648" w:right="-72" w:hanging="720"/>
        <w:rPr>
          <w:rFonts w:asciiTheme="minorHAnsi" w:hAnsiTheme="minorHAnsi"/>
          <w:b/>
          <w:sz w:val="22"/>
          <w:u w:val="single"/>
        </w:rPr>
      </w:pPr>
      <w:r>
        <w:rPr>
          <w:rFonts w:ascii="Courier" w:hAnsi="Courier" w:cs="Courier"/>
        </w:rPr>
        <w:t xml:space="preserve">    </w:t>
      </w:r>
      <w:r>
        <w:rPr>
          <w:rFonts w:asciiTheme="minorHAnsi" w:hAnsiTheme="minorHAnsi"/>
          <w:b/>
          <w:sz w:val="22"/>
          <w:u w:val="single"/>
        </w:rPr>
        <w:t xml:space="preserve">  </w:t>
      </w:r>
    </w:p>
    <w:p w:rsidRPr="00182BE3" w:rsidR="00617F74" w:rsidP="00A873B0" w:rsidRDefault="00A873B0" w14:paraId="5C51A502" w14:textId="534002A8">
      <w:pPr>
        <w:pStyle w:val="Default"/>
        <w:tabs>
          <w:tab w:val="left" w:pos="540"/>
          <w:tab w:val="left" w:pos="720"/>
        </w:tabs>
        <w:ind w:left="540" w:hanging="90"/>
        <w:rPr>
          <w:rFonts w:asciiTheme="minorHAnsi" w:hAnsiTheme="minorHAnsi"/>
          <w:sz w:val="22"/>
        </w:rPr>
      </w:pPr>
      <w:r>
        <w:rPr>
          <w:rFonts w:asciiTheme="minorHAnsi" w:hAnsiTheme="minorHAnsi"/>
          <w:sz w:val="22"/>
        </w:rPr>
        <w:t xml:space="preserve">  </w:t>
      </w:r>
      <w:r w:rsidRPr="002C05CE" w:rsidR="002C05CE">
        <w:rPr>
          <w:rFonts w:asciiTheme="minorHAnsi" w:hAnsiTheme="minorHAnsi"/>
          <w:sz w:val="22"/>
        </w:rPr>
        <w:t>Form 8822 and 8822-B are used by taxpayers to furnish their change of address to the Internal Revenue Service</w:t>
      </w:r>
      <w:r w:rsidR="00296B5E">
        <w:rPr>
          <w:rFonts w:asciiTheme="minorHAnsi" w:hAnsiTheme="minorHAnsi"/>
          <w:sz w:val="22"/>
        </w:rPr>
        <w:t xml:space="preserve"> (IRS)</w:t>
      </w:r>
      <w:r w:rsidRPr="002C05CE" w:rsidR="002C05CE">
        <w:rPr>
          <w:rFonts w:asciiTheme="minorHAnsi" w:hAnsiTheme="minorHAnsi"/>
          <w:sz w:val="22"/>
        </w:rPr>
        <w:t xml:space="preserve">.  Form 8822 is used </w:t>
      </w:r>
      <w:r>
        <w:rPr>
          <w:rFonts w:asciiTheme="minorHAnsi" w:hAnsiTheme="minorHAnsi"/>
          <w:sz w:val="22"/>
          <w:szCs w:val="22"/>
        </w:rPr>
        <w:t>to change the address of</w:t>
      </w:r>
      <w:r w:rsidRPr="000841A5">
        <w:rPr>
          <w:rFonts w:asciiTheme="minorHAnsi" w:hAnsiTheme="minorHAnsi"/>
          <w:sz w:val="22"/>
          <w:szCs w:val="22"/>
        </w:rPr>
        <w:t xml:space="preserve"> individual</w:t>
      </w:r>
      <w:r>
        <w:rPr>
          <w:rFonts w:asciiTheme="minorHAnsi" w:hAnsiTheme="minorHAnsi"/>
          <w:sz w:val="22"/>
          <w:szCs w:val="22"/>
        </w:rPr>
        <w:t>, g</w:t>
      </w:r>
      <w:r w:rsidRPr="000841A5">
        <w:rPr>
          <w:rFonts w:cs="ITC Franklin Gothic Std Book" w:asciiTheme="minorHAnsi" w:hAnsiTheme="minorHAnsi"/>
          <w:bCs/>
          <w:sz w:val="22"/>
          <w:szCs w:val="22"/>
        </w:rPr>
        <w:t xml:space="preserve">ift, </w:t>
      </w:r>
      <w:r>
        <w:rPr>
          <w:rFonts w:cs="ITC Franklin Gothic Std Book" w:asciiTheme="minorHAnsi" w:hAnsiTheme="minorHAnsi"/>
          <w:bCs/>
          <w:sz w:val="22"/>
          <w:szCs w:val="22"/>
        </w:rPr>
        <w:t>e</w:t>
      </w:r>
      <w:r w:rsidRPr="000841A5">
        <w:rPr>
          <w:rFonts w:cs="ITC Franklin Gothic Std Book" w:asciiTheme="minorHAnsi" w:hAnsiTheme="minorHAnsi"/>
          <w:bCs/>
          <w:sz w:val="22"/>
          <w:szCs w:val="22"/>
        </w:rPr>
        <w:t xml:space="preserve">state, or </w:t>
      </w:r>
      <w:r>
        <w:rPr>
          <w:rFonts w:cs="ITC Franklin Gothic Std Book" w:asciiTheme="minorHAnsi" w:hAnsiTheme="minorHAnsi"/>
          <w:bCs/>
          <w:sz w:val="22"/>
          <w:szCs w:val="22"/>
        </w:rPr>
        <w:t>g</w:t>
      </w:r>
      <w:r w:rsidRPr="000841A5">
        <w:rPr>
          <w:rFonts w:cs="ITC Franklin Gothic Std Book" w:asciiTheme="minorHAnsi" w:hAnsiTheme="minorHAnsi"/>
          <w:bCs/>
          <w:sz w:val="22"/>
          <w:szCs w:val="22"/>
        </w:rPr>
        <w:t>eneration-</w:t>
      </w:r>
      <w:r>
        <w:rPr>
          <w:rFonts w:cs="ITC Franklin Gothic Std Book" w:asciiTheme="minorHAnsi" w:hAnsiTheme="minorHAnsi"/>
          <w:bCs/>
          <w:sz w:val="22"/>
          <w:szCs w:val="22"/>
        </w:rPr>
        <w:t>s</w:t>
      </w:r>
      <w:r w:rsidRPr="000841A5">
        <w:rPr>
          <w:rFonts w:cs="ITC Franklin Gothic Std Book" w:asciiTheme="minorHAnsi" w:hAnsiTheme="minorHAnsi"/>
          <w:bCs/>
          <w:sz w:val="22"/>
          <w:szCs w:val="22"/>
        </w:rPr>
        <w:t>kipping</w:t>
      </w:r>
      <w:r>
        <w:rPr>
          <w:rFonts w:cs="ITC Franklin Gothic Std Book" w:asciiTheme="minorHAnsi" w:hAnsiTheme="minorHAnsi"/>
          <w:bCs/>
          <w:sz w:val="22"/>
          <w:szCs w:val="22"/>
        </w:rPr>
        <w:t xml:space="preserve"> t</w:t>
      </w:r>
      <w:r w:rsidRPr="000841A5">
        <w:rPr>
          <w:rFonts w:cs="ITC Franklin Gothic Std Book" w:asciiTheme="minorHAnsi" w:hAnsiTheme="minorHAnsi"/>
          <w:bCs/>
          <w:sz w:val="22"/>
          <w:szCs w:val="22"/>
        </w:rPr>
        <w:t xml:space="preserve">ransfer </w:t>
      </w:r>
      <w:r>
        <w:rPr>
          <w:rFonts w:cs="ITC Franklin Gothic Std Book" w:asciiTheme="minorHAnsi" w:hAnsiTheme="minorHAnsi"/>
          <w:bCs/>
          <w:sz w:val="22"/>
          <w:szCs w:val="22"/>
        </w:rPr>
        <w:t>t</w:t>
      </w:r>
      <w:r w:rsidRPr="000841A5">
        <w:rPr>
          <w:rFonts w:cs="ITC Franklin Gothic Std Book" w:asciiTheme="minorHAnsi" w:hAnsiTheme="minorHAnsi"/>
          <w:bCs/>
          <w:sz w:val="22"/>
          <w:szCs w:val="22"/>
        </w:rPr>
        <w:t xml:space="preserve">ax </w:t>
      </w:r>
      <w:r>
        <w:rPr>
          <w:rFonts w:cs="ITC Franklin Gothic Std Book" w:asciiTheme="minorHAnsi" w:hAnsiTheme="minorHAnsi"/>
          <w:bCs/>
          <w:sz w:val="22"/>
          <w:szCs w:val="22"/>
        </w:rPr>
        <w:t>r</w:t>
      </w:r>
      <w:r w:rsidRPr="000841A5">
        <w:rPr>
          <w:rFonts w:cs="ITC Franklin Gothic Std Book" w:asciiTheme="minorHAnsi" w:hAnsiTheme="minorHAnsi"/>
          <w:bCs/>
          <w:sz w:val="22"/>
          <w:szCs w:val="22"/>
        </w:rPr>
        <w:t>eturn</w:t>
      </w:r>
      <w:r>
        <w:rPr>
          <w:rFonts w:cs="ITC Franklin Gothic Std Book" w:asciiTheme="minorHAnsi" w:hAnsiTheme="minorHAnsi"/>
          <w:bCs/>
          <w:sz w:val="22"/>
          <w:szCs w:val="22"/>
        </w:rPr>
        <w:t xml:space="preserve"> filers.</w:t>
      </w:r>
      <w:r w:rsidRPr="002C05CE" w:rsidR="002C05CE">
        <w:rPr>
          <w:rFonts w:asciiTheme="minorHAnsi" w:hAnsiTheme="minorHAnsi"/>
          <w:sz w:val="22"/>
        </w:rPr>
        <w:t xml:space="preserve"> </w:t>
      </w:r>
      <w:bookmarkStart w:name="_Hlk3889996" w:id="0"/>
      <w:r w:rsidRPr="006A7D3C">
        <w:rPr>
          <w:rFonts w:asciiTheme="minorHAnsi" w:hAnsiTheme="minorHAnsi"/>
          <w:sz w:val="22"/>
          <w:szCs w:val="22"/>
        </w:rPr>
        <w:t xml:space="preserve">Form 8822-B </w:t>
      </w:r>
      <w:r w:rsidR="00D107CC">
        <w:rPr>
          <w:rFonts w:asciiTheme="minorHAnsi" w:hAnsiTheme="minorHAnsi"/>
          <w:sz w:val="22"/>
          <w:szCs w:val="22"/>
        </w:rPr>
        <w:t>is</w:t>
      </w:r>
      <w:r w:rsidRPr="006A7D3C">
        <w:rPr>
          <w:rFonts w:asciiTheme="minorHAnsi" w:hAnsiTheme="minorHAnsi"/>
          <w:sz w:val="22"/>
          <w:szCs w:val="22"/>
        </w:rPr>
        <w:t xml:space="preserve"> used by business taxpayers </w:t>
      </w:r>
      <w:r w:rsidRPr="006A7D3C">
        <w:rPr>
          <w:rFonts w:cs="HelveticaNeueLT Std" w:asciiTheme="minorHAnsi" w:hAnsiTheme="minorHAnsi"/>
          <w:sz w:val="22"/>
          <w:szCs w:val="22"/>
        </w:rPr>
        <w:t xml:space="preserve">to notify the </w:t>
      </w:r>
      <w:r w:rsidR="00296B5E">
        <w:rPr>
          <w:rFonts w:cs="HelveticaNeueLT Std" w:asciiTheme="minorHAnsi" w:hAnsiTheme="minorHAnsi"/>
          <w:sz w:val="22"/>
          <w:szCs w:val="22"/>
        </w:rPr>
        <w:t>IRS</w:t>
      </w:r>
      <w:r w:rsidRPr="006A7D3C">
        <w:rPr>
          <w:rFonts w:cs="HelveticaNeueLT Std" w:asciiTheme="minorHAnsi" w:hAnsiTheme="minorHAnsi"/>
          <w:sz w:val="22"/>
          <w:szCs w:val="22"/>
        </w:rPr>
        <w:t xml:space="preserve"> if they</w:t>
      </w:r>
      <w:r>
        <w:rPr>
          <w:rFonts w:cs="HelveticaNeueLT Std" w:asciiTheme="minorHAnsi" w:hAnsiTheme="minorHAnsi"/>
          <w:sz w:val="22"/>
          <w:szCs w:val="22"/>
        </w:rPr>
        <w:t xml:space="preserve"> c</w:t>
      </w:r>
      <w:r w:rsidRPr="006A7D3C">
        <w:rPr>
          <w:rFonts w:cs="HelveticaNeueLT Std" w:asciiTheme="minorHAnsi" w:hAnsiTheme="minorHAnsi"/>
          <w:sz w:val="22"/>
          <w:szCs w:val="22"/>
        </w:rPr>
        <w:t>hanged</w:t>
      </w:r>
      <w:r>
        <w:rPr>
          <w:rFonts w:cs="HelveticaNeueLT Std" w:asciiTheme="minorHAnsi" w:hAnsiTheme="minorHAnsi"/>
          <w:sz w:val="22"/>
          <w:szCs w:val="22"/>
        </w:rPr>
        <w:t xml:space="preserve"> </w:t>
      </w:r>
      <w:r w:rsidRPr="006A7D3C">
        <w:rPr>
          <w:rFonts w:cs="HelveticaNeueLT Std" w:asciiTheme="minorHAnsi" w:hAnsiTheme="minorHAnsi"/>
          <w:sz w:val="22"/>
          <w:szCs w:val="22"/>
        </w:rPr>
        <w:t xml:space="preserve">the business mailing address, business location, or the identity of the responsible party. Also, any entities that </w:t>
      </w:r>
      <w:r>
        <w:rPr>
          <w:rFonts w:cs="HelveticaNeueLT Std" w:asciiTheme="minorHAnsi" w:hAnsiTheme="minorHAnsi"/>
          <w:sz w:val="22"/>
          <w:szCs w:val="22"/>
        </w:rPr>
        <w:t>ch</w:t>
      </w:r>
      <w:r w:rsidRPr="006A7D3C">
        <w:rPr>
          <w:rFonts w:cs="HelveticaNeueLT Std" w:asciiTheme="minorHAnsi" w:hAnsiTheme="minorHAnsi"/>
          <w:sz w:val="22"/>
          <w:szCs w:val="22"/>
        </w:rPr>
        <w:t>ange the address or identity of their responsible party must file Form</w:t>
      </w:r>
      <w:r>
        <w:rPr>
          <w:rFonts w:cs="HelveticaNeueLT Std" w:asciiTheme="minorHAnsi" w:hAnsiTheme="minorHAnsi"/>
          <w:sz w:val="22"/>
          <w:szCs w:val="22"/>
        </w:rPr>
        <w:t xml:space="preserve"> </w:t>
      </w:r>
      <w:r w:rsidRPr="006A7D3C">
        <w:rPr>
          <w:rFonts w:cs="HelveticaNeueLT Std" w:asciiTheme="minorHAnsi" w:hAnsiTheme="minorHAnsi"/>
          <w:sz w:val="22"/>
          <w:szCs w:val="22"/>
        </w:rPr>
        <w:t xml:space="preserve">8822-B, </w:t>
      </w:r>
      <w:proofErr w:type="gramStart"/>
      <w:r w:rsidRPr="006A7D3C">
        <w:rPr>
          <w:rFonts w:cs="HelveticaNeueLT Std" w:asciiTheme="minorHAnsi" w:hAnsiTheme="minorHAnsi"/>
          <w:sz w:val="22"/>
          <w:szCs w:val="22"/>
        </w:rPr>
        <w:t>whether or not</w:t>
      </w:r>
      <w:proofErr w:type="gramEnd"/>
      <w:r w:rsidRPr="006A7D3C">
        <w:rPr>
          <w:rFonts w:cs="HelveticaNeueLT Std" w:asciiTheme="minorHAnsi" w:hAnsiTheme="minorHAnsi"/>
          <w:sz w:val="22"/>
          <w:szCs w:val="22"/>
        </w:rPr>
        <w:t xml:space="preserve"> they are engaged in a trade or business. </w:t>
      </w:r>
      <w:r w:rsidRPr="00617F74" w:rsidR="00617F74">
        <w:rPr>
          <w:rFonts w:asciiTheme="minorHAnsi" w:hAnsiTheme="minorHAnsi"/>
          <w:sz w:val="22"/>
        </w:rPr>
        <w:t xml:space="preserve"> </w:t>
      </w:r>
      <w:r w:rsidR="00296B5E">
        <w:rPr>
          <w:rFonts w:asciiTheme="minorHAnsi" w:hAnsiTheme="minorHAnsi"/>
          <w:sz w:val="22"/>
        </w:rPr>
        <w:t xml:space="preserve">The collection of the change of address information is authorized by 26 U.S.C. 6212.  </w:t>
      </w:r>
    </w:p>
    <w:bookmarkEnd w:id="0"/>
    <w:p w:rsidR="00E37E63" w:rsidP="00CF61FE" w:rsidRDefault="00E37E63" w14:paraId="43341731" w14:textId="77777777">
      <w:pPr>
        <w:tabs>
          <w:tab w:val="left" w:pos="540"/>
        </w:tabs>
        <w:ind w:left="540" w:hanging="540"/>
        <w:rPr>
          <w:rFonts w:asciiTheme="minorHAnsi" w:hAnsiTheme="minorHAnsi"/>
          <w:sz w:val="22"/>
        </w:rPr>
      </w:pPr>
      <w:r>
        <w:rPr>
          <w:rFonts w:asciiTheme="minorHAnsi" w:hAnsiTheme="minorHAnsi"/>
          <w:sz w:val="22"/>
        </w:rPr>
        <w:t xml:space="preserve"> </w:t>
      </w:r>
    </w:p>
    <w:p w:rsidRPr="00DC1585" w:rsidR="009E3D48" w:rsidP="009E3D48" w:rsidRDefault="009E3D48" w14:paraId="406A87FF"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USE OF DATA </w:t>
      </w:r>
    </w:p>
    <w:p w:rsidRPr="00F87A66" w:rsidR="009E3D48" w:rsidP="009E3D48" w:rsidRDefault="009E3D48" w14:paraId="51F00944" w14:textId="77777777">
      <w:pPr>
        <w:tabs>
          <w:tab w:val="left" w:pos="540"/>
        </w:tabs>
        <w:ind w:left="540" w:hanging="540"/>
        <w:rPr>
          <w:rFonts w:asciiTheme="minorHAnsi" w:hAnsiTheme="minorHAnsi"/>
          <w:sz w:val="22"/>
        </w:rPr>
      </w:pPr>
    </w:p>
    <w:p w:rsidR="00E20185" w:rsidP="00E37E63" w:rsidRDefault="002C05CE" w14:paraId="00A0686C" w14:textId="77777777">
      <w:pPr>
        <w:widowControl w:val="0"/>
        <w:autoSpaceDE w:val="0"/>
        <w:autoSpaceDN w:val="0"/>
        <w:adjustRightInd w:val="0"/>
        <w:ind w:left="540"/>
        <w:rPr>
          <w:rFonts w:eastAsia="Times New Roman" w:cs="Times New Roman" w:asciiTheme="minorHAnsi" w:hAnsiTheme="minorHAnsi"/>
          <w:sz w:val="22"/>
        </w:rPr>
      </w:pPr>
      <w:r w:rsidRPr="002C05CE">
        <w:rPr>
          <w:rFonts w:eastAsia="Times New Roman" w:cs="Times New Roman" w:asciiTheme="minorHAnsi" w:hAnsiTheme="minorHAnsi"/>
          <w:sz w:val="22"/>
        </w:rPr>
        <w:t>The data is used by IRS to update the taxpayer’s address of record.</w:t>
      </w:r>
      <w:r w:rsidRPr="00182BE3" w:rsidR="00182BE3">
        <w:rPr>
          <w:rFonts w:eastAsia="Times New Roman" w:cs="Times New Roman" w:asciiTheme="minorHAnsi" w:hAnsiTheme="minorHAnsi"/>
          <w:sz w:val="22"/>
        </w:rPr>
        <w:t xml:space="preserve">  </w:t>
      </w:r>
    </w:p>
    <w:p w:rsidRPr="00E37E63" w:rsidR="00E37E63" w:rsidP="00E37E63" w:rsidRDefault="00E37E63" w14:paraId="24D2AE3C" w14:textId="77777777">
      <w:pPr>
        <w:widowControl w:val="0"/>
        <w:autoSpaceDE w:val="0"/>
        <w:autoSpaceDN w:val="0"/>
        <w:adjustRightInd w:val="0"/>
        <w:ind w:left="540"/>
        <w:rPr>
          <w:rFonts w:eastAsia="Times New Roman" w:cs="Times New Roman" w:asciiTheme="minorHAnsi" w:hAnsiTheme="minorHAnsi"/>
          <w:sz w:val="22"/>
        </w:rPr>
      </w:pPr>
    </w:p>
    <w:p w:rsidRPr="00DC1585" w:rsidR="009E3D48" w:rsidP="009E3D48" w:rsidRDefault="009E3D48" w14:paraId="4172F3B6" w14:textId="77777777">
      <w:pPr>
        <w:pStyle w:val="ListParagraph"/>
        <w:numPr>
          <w:ilvl w:val="0"/>
          <w:numId w:val="1"/>
        </w:numPr>
        <w:tabs>
          <w:tab w:val="left" w:pos="540"/>
        </w:tabs>
        <w:ind w:left="540" w:hanging="540"/>
        <w:rPr>
          <w:rFonts w:asciiTheme="minorHAnsi" w:hAnsiTheme="minorHAnsi"/>
          <w:b/>
          <w:sz w:val="22"/>
          <w:u w:val="single"/>
        </w:rPr>
      </w:pPr>
      <w:r w:rsidRPr="00C25CB7">
        <w:rPr>
          <w:rFonts w:asciiTheme="minorHAnsi" w:hAnsiTheme="minorHAnsi"/>
          <w:b/>
          <w:sz w:val="22"/>
          <w:u w:val="single"/>
        </w:rPr>
        <w:t>USE OF</w:t>
      </w:r>
      <w:r w:rsidRPr="00DC1585">
        <w:rPr>
          <w:rFonts w:asciiTheme="minorHAnsi" w:hAnsiTheme="minorHAnsi"/>
          <w:b/>
          <w:sz w:val="22"/>
          <w:u w:val="single"/>
        </w:rPr>
        <w:t xml:space="preserve"> IMPROVED INFORMATION TECHNOLOGY TO REDUCE BURDEN </w:t>
      </w:r>
    </w:p>
    <w:p w:rsidRPr="00F87A66" w:rsidR="009E3D48" w:rsidP="009E3D48" w:rsidRDefault="009E3D48" w14:paraId="71FC7022" w14:textId="77777777">
      <w:pPr>
        <w:tabs>
          <w:tab w:val="left" w:pos="540"/>
        </w:tabs>
        <w:ind w:left="540" w:hanging="540"/>
        <w:rPr>
          <w:rFonts w:asciiTheme="minorHAnsi" w:hAnsiTheme="minorHAnsi"/>
          <w:sz w:val="22"/>
        </w:rPr>
      </w:pPr>
    </w:p>
    <w:p w:rsidRPr="00801000" w:rsidR="00801000" w:rsidP="00801000" w:rsidRDefault="003178E8" w14:paraId="7C66B6CB" w14:textId="77777777">
      <w:pPr>
        <w:ind w:left="540"/>
        <w:rPr>
          <w:rFonts w:asciiTheme="minorHAnsi" w:hAnsiTheme="minorHAnsi"/>
          <w:sz w:val="22"/>
        </w:rPr>
      </w:pPr>
      <w:r>
        <w:rPr>
          <w:rFonts w:asciiTheme="minorHAnsi" w:hAnsiTheme="minorHAnsi"/>
          <w:sz w:val="22"/>
        </w:rPr>
        <w:t>Forms 8822 and 8822-B must be signed and therefore cannot be electronically filed. However, the address can be changed by filing an e-file return or by calling customer service and verifying</w:t>
      </w:r>
      <w:r w:rsidR="00C25CB7">
        <w:rPr>
          <w:rFonts w:asciiTheme="minorHAnsi" w:hAnsiTheme="minorHAnsi"/>
          <w:sz w:val="22"/>
        </w:rPr>
        <w:t xml:space="preserve"> one’s identity.  </w:t>
      </w:r>
    </w:p>
    <w:p w:rsidRPr="00F87A66" w:rsidR="00E20185" w:rsidP="00801000" w:rsidRDefault="00E20185" w14:paraId="0B7F8010" w14:textId="77777777">
      <w:pPr>
        <w:tabs>
          <w:tab w:val="left" w:pos="540"/>
        </w:tabs>
        <w:ind w:left="540" w:hanging="540"/>
        <w:rPr>
          <w:rFonts w:asciiTheme="minorHAnsi" w:hAnsiTheme="minorHAnsi"/>
          <w:sz w:val="22"/>
        </w:rPr>
      </w:pPr>
    </w:p>
    <w:p w:rsidRPr="00DC1585" w:rsidR="009E3D48" w:rsidP="009E3D48" w:rsidRDefault="009E3D48" w14:paraId="35609219"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EFFORTS TO IDENTIFY DUPLICATION </w:t>
      </w:r>
    </w:p>
    <w:p w:rsidRPr="00F87A66" w:rsidR="009E3D48" w:rsidP="009E3D48" w:rsidRDefault="009E3D48" w14:paraId="54D189F8" w14:textId="77777777">
      <w:pPr>
        <w:tabs>
          <w:tab w:val="left" w:pos="540"/>
        </w:tabs>
        <w:ind w:left="540" w:hanging="540"/>
        <w:rPr>
          <w:rFonts w:asciiTheme="minorHAnsi" w:hAnsiTheme="minorHAnsi"/>
          <w:sz w:val="22"/>
        </w:rPr>
      </w:pPr>
    </w:p>
    <w:p w:rsidRPr="00F87A66" w:rsidR="001D050E" w:rsidP="009E3D48" w:rsidRDefault="009E3D48" w14:paraId="05A6D47A" w14:textId="77777777">
      <w:pPr>
        <w:tabs>
          <w:tab w:val="left" w:pos="540"/>
        </w:tabs>
        <w:ind w:left="540" w:hanging="540"/>
        <w:rPr>
          <w:rFonts w:asciiTheme="minorHAnsi" w:hAnsiTheme="minorHAnsi"/>
          <w:sz w:val="22"/>
        </w:rPr>
      </w:pPr>
      <w:r w:rsidRPr="00F87A66">
        <w:rPr>
          <w:rFonts w:asciiTheme="minorHAnsi" w:hAnsiTheme="minorHAnsi"/>
          <w:sz w:val="22"/>
        </w:rPr>
        <w:tab/>
      </w:r>
      <w:r w:rsidRPr="00F87A66" w:rsidR="00A24315">
        <w:rPr>
          <w:rFonts w:asciiTheme="minorHAnsi" w:hAnsiTheme="minorHAnsi"/>
          <w:sz w:val="22"/>
        </w:rPr>
        <w:t xml:space="preserve">The information obtained through this collection is unique and is not already available or use or adaption from another source.  </w:t>
      </w:r>
    </w:p>
    <w:p w:rsidRPr="00F87A66" w:rsidR="009E3D48" w:rsidP="009E3D48" w:rsidRDefault="009E3D48" w14:paraId="6C31F694" w14:textId="77777777">
      <w:pPr>
        <w:tabs>
          <w:tab w:val="left" w:pos="540"/>
        </w:tabs>
        <w:ind w:left="540" w:hanging="540"/>
        <w:rPr>
          <w:rFonts w:asciiTheme="minorHAnsi" w:hAnsiTheme="minorHAnsi"/>
          <w:sz w:val="22"/>
        </w:rPr>
      </w:pPr>
    </w:p>
    <w:p w:rsidRPr="00DC1585" w:rsidR="009E3D48" w:rsidP="009E3D48" w:rsidRDefault="009E3D48" w14:paraId="53CD76B0" w14:textId="77777777">
      <w:pPr>
        <w:pStyle w:val="ListParagraph"/>
        <w:numPr>
          <w:ilvl w:val="0"/>
          <w:numId w:val="1"/>
        </w:numPr>
        <w:tabs>
          <w:tab w:val="left" w:pos="540"/>
        </w:tabs>
        <w:ind w:left="540" w:hanging="540"/>
        <w:rPr>
          <w:rFonts w:asciiTheme="minorHAnsi" w:hAnsiTheme="minorHAnsi"/>
          <w:b/>
          <w:sz w:val="22"/>
          <w:u w:val="single"/>
        </w:rPr>
      </w:pPr>
      <w:r w:rsidRPr="00C25CB7">
        <w:rPr>
          <w:rFonts w:asciiTheme="minorHAnsi" w:hAnsiTheme="minorHAnsi"/>
          <w:b/>
          <w:sz w:val="22"/>
          <w:u w:val="single"/>
        </w:rPr>
        <w:t>METHOD</w:t>
      </w:r>
      <w:r w:rsidRPr="00DC1585">
        <w:rPr>
          <w:rFonts w:asciiTheme="minorHAnsi" w:hAnsiTheme="minorHAnsi"/>
          <w:b/>
          <w:sz w:val="22"/>
          <w:u w:val="single"/>
        </w:rPr>
        <w:t xml:space="preserve">S TO MINIMIZE BURDEN ON SMALL BUSINESSES OR OTHER SMALL ENTITIES </w:t>
      </w:r>
    </w:p>
    <w:p w:rsidRPr="00F87A66" w:rsidR="009E3D48" w:rsidP="009E3D48" w:rsidRDefault="009E3D48" w14:paraId="0C4F1F93" w14:textId="77777777">
      <w:pPr>
        <w:tabs>
          <w:tab w:val="left" w:pos="540"/>
        </w:tabs>
        <w:ind w:left="540" w:hanging="540"/>
        <w:rPr>
          <w:rFonts w:asciiTheme="minorHAnsi" w:hAnsiTheme="minorHAnsi"/>
          <w:sz w:val="22"/>
        </w:rPr>
      </w:pPr>
    </w:p>
    <w:p w:rsidR="009E3D48" w:rsidP="00C25CB7" w:rsidRDefault="00C25CB7" w14:paraId="527AF184" w14:textId="276327EC">
      <w:pPr>
        <w:tabs>
          <w:tab w:val="left" w:pos="540"/>
        </w:tabs>
        <w:ind w:left="540"/>
        <w:rPr>
          <w:rFonts w:asciiTheme="minorHAnsi" w:hAnsiTheme="minorHAnsi"/>
          <w:sz w:val="22"/>
        </w:rPr>
      </w:pPr>
      <w:r>
        <w:rPr>
          <w:rFonts w:asciiTheme="minorHAnsi" w:hAnsiTheme="minorHAnsi"/>
          <w:sz w:val="22"/>
        </w:rPr>
        <w:t xml:space="preserve">Form 8822-B </w:t>
      </w:r>
      <w:r w:rsidR="004137B8">
        <w:rPr>
          <w:rFonts w:asciiTheme="minorHAnsi" w:hAnsiTheme="minorHAnsi"/>
          <w:sz w:val="22"/>
        </w:rPr>
        <w:t xml:space="preserve">is used </w:t>
      </w:r>
      <w:r>
        <w:rPr>
          <w:rFonts w:asciiTheme="minorHAnsi" w:hAnsiTheme="minorHAnsi"/>
          <w:sz w:val="22"/>
        </w:rPr>
        <w:t xml:space="preserve">to assist all businesses (to include small businesses and entities), in changing the business address versus having to write a generic letter with the appropriate information. The form requests the specific information needed, simplifying the process for all businesses. </w:t>
      </w:r>
      <w:r w:rsidRPr="00F87A66" w:rsidR="00A24315">
        <w:rPr>
          <w:rFonts w:asciiTheme="minorHAnsi" w:hAnsiTheme="minorHAnsi"/>
          <w:sz w:val="22"/>
        </w:rPr>
        <w:t xml:space="preserve"> </w:t>
      </w:r>
    </w:p>
    <w:p w:rsidRPr="00F87A66" w:rsidR="009E3D48" w:rsidP="009E3D48" w:rsidRDefault="009E3D48" w14:paraId="519027C0" w14:textId="77777777">
      <w:pPr>
        <w:tabs>
          <w:tab w:val="left" w:pos="540"/>
        </w:tabs>
        <w:ind w:left="540" w:hanging="540"/>
        <w:rPr>
          <w:rFonts w:asciiTheme="minorHAnsi" w:hAnsiTheme="minorHAnsi"/>
          <w:sz w:val="22"/>
        </w:rPr>
      </w:pPr>
    </w:p>
    <w:p w:rsidRPr="00DC1585" w:rsidR="009E3D48" w:rsidP="009E3D48" w:rsidRDefault="009E3D48" w14:paraId="2251BF94" w14:textId="77777777">
      <w:pPr>
        <w:pStyle w:val="ListParagraph"/>
        <w:numPr>
          <w:ilvl w:val="0"/>
          <w:numId w:val="1"/>
        </w:numPr>
        <w:tabs>
          <w:tab w:val="left" w:pos="540"/>
        </w:tabs>
        <w:ind w:left="540" w:hanging="540"/>
        <w:rPr>
          <w:rFonts w:asciiTheme="minorHAnsi" w:hAnsiTheme="minorHAnsi"/>
          <w:b/>
          <w:sz w:val="22"/>
          <w:u w:val="single"/>
        </w:rPr>
      </w:pPr>
      <w:r w:rsidRPr="00B860C5">
        <w:rPr>
          <w:rFonts w:asciiTheme="minorHAnsi" w:hAnsiTheme="minorHAnsi"/>
          <w:b/>
          <w:sz w:val="22"/>
          <w:u w:val="single"/>
        </w:rPr>
        <w:t>CON</w:t>
      </w:r>
      <w:r w:rsidRPr="00DC1585">
        <w:rPr>
          <w:rFonts w:asciiTheme="minorHAnsi" w:hAnsiTheme="minorHAnsi"/>
          <w:b/>
          <w:sz w:val="22"/>
          <w:u w:val="single"/>
        </w:rPr>
        <w:t xml:space="preserve">SEQUENCES OF LESS FREQUENT COLLECTION ON FEDERAL PROGRAMS OR POLICY ACTIVITIES </w:t>
      </w:r>
    </w:p>
    <w:p w:rsidRPr="00F87A66" w:rsidR="009E3D48" w:rsidP="009E3D48" w:rsidRDefault="009E3D48" w14:paraId="352F478A" w14:textId="77777777">
      <w:pPr>
        <w:tabs>
          <w:tab w:val="left" w:pos="540"/>
        </w:tabs>
        <w:ind w:left="540" w:hanging="540"/>
        <w:rPr>
          <w:rFonts w:asciiTheme="minorHAnsi" w:hAnsiTheme="minorHAnsi"/>
          <w:sz w:val="22"/>
        </w:rPr>
      </w:pPr>
    </w:p>
    <w:p w:rsidR="00A24315" w:rsidP="009E3D48" w:rsidRDefault="009E3D48" w14:paraId="71D84A81" w14:textId="77777777">
      <w:pPr>
        <w:tabs>
          <w:tab w:val="left" w:pos="540"/>
        </w:tabs>
        <w:ind w:left="540" w:hanging="540"/>
        <w:rPr>
          <w:rFonts w:asciiTheme="minorHAnsi" w:hAnsiTheme="minorHAnsi"/>
          <w:sz w:val="22"/>
        </w:rPr>
      </w:pPr>
      <w:r w:rsidRPr="00F87A66">
        <w:rPr>
          <w:rFonts w:asciiTheme="minorHAnsi" w:hAnsiTheme="minorHAnsi"/>
          <w:sz w:val="22"/>
        </w:rPr>
        <w:tab/>
      </w:r>
      <w:r w:rsidRPr="00F87A66" w:rsidR="00A24315">
        <w:rPr>
          <w:rFonts w:asciiTheme="minorHAnsi" w:hAnsiTheme="minorHAnsi"/>
          <w:sz w:val="22"/>
        </w:rPr>
        <w:t xml:space="preserve">The information required is needed to verify compliance with the Internal Revenue Code of the Treasury </w:t>
      </w:r>
      <w:r w:rsidRPr="006A7D3C" w:rsidR="00A24315">
        <w:rPr>
          <w:rFonts w:asciiTheme="minorHAnsi" w:hAnsiTheme="minorHAnsi"/>
          <w:sz w:val="22"/>
        </w:rPr>
        <w:t>Regulat</w:t>
      </w:r>
      <w:r w:rsidRPr="00F87A66" w:rsidR="00A24315">
        <w:rPr>
          <w:rFonts w:asciiTheme="minorHAnsi" w:hAnsiTheme="minorHAnsi"/>
          <w:sz w:val="22"/>
        </w:rPr>
        <w:t>ion</w:t>
      </w:r>
      <w:r w:rsidR="00A873B0">
        <w:rPr>
          <w:rFonts w:asciiTheme="minorHAnsi" w:hAnsiTheme="minorHAnsi"/>
          <w:sz w:val="22"/>
        </w:rPr>
        <w:t xml:space="preserve"> </w:t>
      </w:r>
      <w:r w:rsidRPr="00A873B0" w:rsidR="00A873B0">
        <w:rPr>
          <w:rFonts w:asciiTheme="minorHAnsi" w:hAnsiTheme="minorHAnsi"/>
          <w:sz w:val="22"/>
        </w:rPr>
        <w:t>301.6212-2(b)(2)</w:t>
      </w:r>
      <w:r w:rsidRPr="00F87A66" w:rsidR="00A24315">
        <w:rPr>
          <w:rFonts w:asciiTheme="minorHAnsi" w:hAnsiTheme="minorHAnsi"/>
          <w:sz w:val="22"/>
        </w:rPr>
        <w:t>. A less frequent collection of taxes and tax information could adversely affect the government’s effectiveness and would reduce the oversight of the public in ensuring compliance with Internal Revenue Code and hinder the IRS from meeting its mission.</w:t>
      </w:r>
    </w:p>
    <w:p w:rsidR="009E3D48" w:rsidP="009E3D48" w:rsidRDefault="009E3D48" w14:paraId="11AF1ABF" w14:textId="3048FF89">
      <w:pPr>
        <w:tabs>
          <w:tab w:val="left" w:pos="540"/>
        </w:tabs>
        <w:ind w:left="540" w:hanging="540"/>
        <w:rPr>
          <w:rFonts w:asciiTheme="minorHAnsi" w:hAnsiTheme="minorHAnsi"/>
          <w:sz w:val="22"/>
        </w:rPr>
      </w:pPr>
    </w:p>
    <w:p w:rsidR="00D107CC" w:rsidP="009E3D48" w:rsidRDefault="00D107CC" w14:paraId="7B7FE7C2" w14:textId="74EAF822">
      <w:pPr>
        <w:tabs>
          <w:tab w:val="left" w:pos="540"/>
        </w:tabs>
        <w:ind w:left="540" w:hanging="540"/>
        <w:rPr>
          <w:rFonts w:asciiTheme="minorHAnsi" w:hAnsiTheme="minorHAnsi"/>
          <w:sz w:val="22"/>
        </w:rPr>
      </w:pPr>
    </w:p>
    <w:p w:rsidRPr="00F87A66" w:rsidR="00D107CC" w:rsidP="009E3D48" w:rsidRDefault="00D107CC" w14:paraId="753E1786" w14:textId="68347EB2">
      <w:pPr>
        <w:tabs>
          <w:tab w:val="left" w:pos="540"/>
        </w:tabs>
        <w:ind w:left="540" w:hanging="540"/>
        <w:rPr>
          <w:rFonts w:asciiTheme="minorHAnsi" w:hAnsiTheme="minorHAnsi"/>
          <w:sz w:val="22"/>
        </w:rPr>
      </w:pPr>
    </w:p>
    <w:p w:rsidRPr="00DC1585" w:rsidR="009E3D48" w:rsidP="00CB358B" w:rsidRDefault="009E3D48" w14:paraId="05A1C9D0"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lastRenderedPageBreak/>
        <w:t xml:space="preserve">SPECIAL CIRCUMSTANCES REQUIRING DATA COLLECTION TO BE INCONSISTENT WITH GUIDELINES IN 5 CFR 1320.5(d)(2) </w:t>
      </w:r>
    </w:p>
    <w:p w:rsidRPr="00F87A66" w:rsidR="009E3D48" w:rsidP="009E3D48" w:rsidRDefault="009E3D48" w14:paraId="2AC7DB6C" w14:textId="77777777">
      <w:pPr>
        <w:tabs>
          <w:tab w:val="left" w:pos="540"/>
        </w:tabs>
        <w:ind w:left="540" w:hanging="540"/>
        <w:rPr>
          <w:rFonts w:asciiTheme="minorHAnsi" w:hAnsiTheme="minorHAnsi"/>
          <w:sz w:val="22"/>
        </w:rPr>
      </w:pPr>
    </w:p>
    <w:p w:rsidRPr="00F87A66" w:rsidR="009E3D48" w:rsidP="009E3D48" w:rsidRDefault="009E3D48" w14:paraId="5039942D" w14:textId="77777777">
      <w:pPr>
        <w:tabs>
          <w:tab w:val="left" w:pos="540"/>
        </w:tabs>
        <w:ind w:left="540" w:hanging="540"/>
        <w:rPr>
          <w:rFonts w:asciiTheme="minorHAnsi" w:hAnsiTheme="minorHAnsi"/>
          <w:sz w:val="22"/>
        </w:rPr>
      </w:pPr>
      <w:r w:rsidRPr="00F87A66">
        <w:rPr>
          <w:rFonts w:asciiTheme="minorHAnsi" w:hAnsiTheme="minorHAnsi"/>
          <w:sz w:val="22"/>
        </w:rPr>
        <w:tab/>
      </w:r>
      <w:r w:rsidRPr="00F87A66" w:rsidR="00A24315">
        <w:rPr>
          <w:rFonts w:asciiTheme="minorHAnsi" w:hAnsiTheme="minorHAnsi"/>
          <w:sz w:val="22"/>
        </w:rPr>
        <w:t>There are no special circumstances requiring data collection to be inconsistent with Guidelines in 5 CFR 1320.5(d)(2).</w:t>
      </w:r>
    </w:p>
    <w:p w:rsidRPr="00F87A66" w:rsidR="009E3D48" w:rsidP="009E3D48" w:rsidRDefault="009E3D48" w14:paraId="4BF6694C" w14:textId="77777777">
      <w:pPr>
        <w:tabs>
          <w:tab w:val="left" w:pos="540"/>
        </w:tabs>
        <w:ind w:left="540" w:hanging="540"/>
        <w:rPr>
          <w:rFonts w:asciiTheme="minorHAnsi" w:hAnsiTheme="minorHAnsi"/>
          <w:sz w:val="22"/>
        </w:rPr>
      </w:pPr>
    </w:p>
    <w:p w:rsidRPr="00DC1585" w:rsidR="009E3D48" w:rsidP="009E3D48" w:rsidRDefault="009E3D48" w14:paraId="4732787A" w14:textId="77777777">
      <w:pPr>
        <w:pStyle w:val="ListParagraph"/>
        <w:numPr>
          <w:ilvl w:val="0"/>
          <w:numId w:val="1"/>
        </w:numPr>
        <w:tabs>
          <w:tab w:val="left" w:pos="540"/>
        </w:tabs>
        <w:ind w:left="540" w:hanging="540"/>
        <w:rPr>
          <w:rFonts w:asciiTheme="minorHAnsi" w:hAnsiTheme="minorHAnsi"/>
          <w:b/>
          <w:sz w:val="22"/>
          <w:u w:val="single"/>
        </w:rPr>
      </w:pPr>
      <w:r w:rsidRPr="00A873B0">
        <w:rPr>
          <w:rFonts w:asciiTheme="minorHAnsi" w:hAnsiTheme="minorHAnsi"/>
          <w:b/>
          <w:sz w:val="22"/>
          <w:u w:val="single"/>
        </w:rPr>
        <w:t>CONSUL</w:t>
      </w:r>
      <w:r w:rsidRPr="00DD050B">
        <w:rPr>
          <w:rFonts w:asciiTheme="minorHAnsi" w:hAnsiTheme="minorHAnsi"/>
          <w:b/>
          <w:sz w:val="22"/>
          <w:u w:val="single"/>
        </w:rPr>
        <w:t>T</w:t>
      </w:r>
      <w:r w:rsidRPr="00DC1585">
        <w:rPr>
          <w:rFonts w:asciiTheme="minorHAnsi" w:hAnsiTheme="minorHAnsi"/>
          <w:b/>
          <w:sz w:val="22"/>
          <w:u w:val="single"/>
        </w:rPr>
        <w:t xml:space="preserve">ATION WITH INDIVIDUALS OUTSIDE OF THE AGENCY ON AVAILABILITY OF DATA, FREQUENCY OF COLLECTION, CLARITY OF INSTRUCTIONS AND FORMS, AND DATA ELEMENTS </w:t>
      </w:r>
    </w:p>
    <w:p w:rsidR="009E3D48" w:rsidP="009E3D48" w:rsidRDefault="009E3D48" w14:paraId="7644C16D" w14:textId="3B981137">
      <w:pPr>
        <w:tabs>
          <w:tab w:val="left" w:pos="540"/>
        </w:tabs>
        <w:ind w:left="540" w:hanging="540"/>
        <w:rPr>
          <w:szCs w:val="24"/>
        </w:rPr>
      </w:pPr>
    </w:p>
    <w:p w:rsidRPr="004606C9" w:rsidR="00322862" w:rsidP="000E7436" w:rsidRDefault="00322862" w14:paraId="0434DC34" w14:textId="571BF2B4">
      <w:pPr>
        <w:tabs>
          <w:tab w:val="left" w:pos="540"/>
        </w:tabs>
        <w:ind w:left="540"/>
        <w:rPr>
          <w:rFonts w:asciiTheme="minorHAnsi" w:hAnsiTheme="minorHAnsi"/>
          <w:sz w:val="22"/>
        </w:rPr>
      </w:pPr>
      <w:r w:rsidRPr="004606C9">
        <w:rPr>
          <w:rFonts w:asciiTheme="minorHAnsi" w:hAnsiTheme="minorHAnsi"/>
          <w:sz w:val="22"/>
        </w:rPr>
        <w:t>In response to the Federal Register notice dated</w:t>
      </w:r>
      <w:r>
        <w:rPr>
          <w:rFonts w:asciiTheme="minorHAnsi" w:hAnsiTheme="minorHAnsi"/>
          <w:sz w:val="22"/>
        </w:rPr>
        <w:t xml:space="preserve"> June 1, 2022 </w:t>
      </w:r>
      <w:r w:rsidRPr="00DD050B">
        <w:rPr>
          <w:rFonts w:asciiTheme="minorHAnsi" w:hAnsiTheme="minorHAnsi"/>
          <w:sz w:val="22"/>
        </w:rPr>
        <w:t>(8</w:t>
      </w:r>
      <w:r>
        <w:rPr>
          <w:rFonts w:asciiTheme="minorHAnsi" w:hAnsiTheme="minorHAnsi"/>
          <w:sz w:val="22"/>
        </w:rPr>
        <w:t>7</w:t>
      </w:r>
      <w:r w:rsidRPr="00DD050B">
        <w:rPr>
          <w:rFonts w:asciiTheme="minorHAnsi" w:hAnsiTheme="minorHAnsi"/>
          <w:sz w:val="22"/>
        </w:rPr>
        <w:t xml:space="preserve"> FR </w:t>
      </w:r>
      <w:r>
        <w:rPr>
          <w:rFonts w:asciiTheme="minorHAnsi" w:hAnsiTheme="minorHAnsi"/>
          <w:sz w:val="22"/>
        </w:rPr>
        <w:t>33311</w:t>
      </w:r>
      <w:r w:rsidRPr="004606C9">
        <w:rPr>
          <w:rFonts w:asciiTheme="minorHAnsi" w:hAnsiTheme="minorHAnsi"/>
          <w:sz w:val="22"/>
        </w:rPr>
        <w:t xml:space="preserve">), </w:t>
      </w:r>
      <w:r>
        <w:rPr>
          <w:rFonts w:asciiTheme="minorHAnsi" w:hAnsiTheme="minorHAnsi"/>
          <w:sz w:val="22"/>
        </w:rPr>
        <w:t>IRS</w:t>
      </w:r>
      <w:r w:rsidRPr="004606C9">
        <w:rPr>
          <w:rFonts w:asciiTheme="minorHAnsi" w:hAnsiTheme="minorHAnsi"/>
          <w:sz w:val="22"/>
        </w:rPr>
        <w:t xml:space="preserve"> received</w:t>
      </w:r>
      <w:r>
        <w:rPr>
          <w:rFonts w:asciiTheme="minorHAnsi" w:hAnsiTheme="minorHAnsi"/>
          <w:sz w:val="22"/>
        </w:rPr>
        <w:t xml:space="preserve"> one </w:t>
      </w:r>
      <w:r w:rsidRPr="004606C9">
        <w:rPr>
          <w:rFonts w:asciiTheme="minorHAnsi" w:hAnsiTheme="minorHAnsi"/>
          <w:sz w:val="22"/>
        </w:rPr>
        <w:t xml:space="preserve">comment during the comment period regarding these </w:t>
      </w:r>
      <w:r>
        <w:rPr>
          <w:rFonts w:asciiTheme="minorHAnsi" w:hAnsiTheme="minorHAnsi"/>
          <w:sz w:val="22"/>
        </w:rPr>
        <w:t>forms</w:t>
      </w:r>
      <w:r w:rsidRPr="004606C9">
        <w:rPr>
          <w:rFonts w:asciiTheme="minorHAnsi" w:hAnsiTheme="minorHAnsi"/>
          <w:sz w:val="22"/>
        </w:rPr>
        <w:t xml:space="preserve">.  </w:t>
      </w:r>
      <w:r w:rsidR="00B82E1A">
        <w:rPr>
          <w:rFonts w:asciiTheme="minorHAnsi" w:hAnsiTheme="minorHAnsi"/>
          <w:sz w:val="22"/>
        </w:rPr>
        <w:t xml:space="preserve"> The comment is summarized in the table below. </w:t>
      </w:r>
    </w:p>
    <w:p w:rsidR="00322862" w:rsidP="002D32BD" w:rsidRDefault="002D32BD" w14:paraId="296E36B1" w14:textId="75FEB7AA">
      <w:pPr>
        <w:ind w:firstLine="360"/>
        <w:rPr>
          <w:szCs w:val="24"/>
        </w:rPr>
      </w:pPr>
      <w:r>
        <w:rPr>
          <w:szCs w:val="24"/>
        </w:rPr>
        <w:tab/>
      </w:r>
    </w:p>
    <w:p w:rsidRPr="000E7436" w:rsidR="002D32BD" w:rsidP="000E7436" w:rsidRDefault="002D32BD" w14:paraId="405FB03E" w14:textId="59944D81">
      <w:pPr>
        <w:ind w:left="180" w:firstLine="360"/>
        <w:rPr>
          <w:rFonts w:asciiTheme="minorHAnsi" w:hAnsiTheme="minorHAnsi"/>
          <w:sz w:val="22"/>
        </w:rPr>
      </w:pPr>
      <w:r w:rsidRPr="000E7436">
        <w:rPr>
          <w:rFonts w:asciiTheme="minorHAnsi" w:hAnsiTheme="minorHAnsi"/>
          <w:sz w:val="22"/>
        </w:rPr>
        <w:t>The organization that submitted this comment:</w:t>
      </w:r>
    </w:p>
    <w:p w:rsidRPr="001E351B" w:rsidR="001E351B" w:rsidP="001E351B" w:rsidRDefault="001E351B" w14:paraId="1A0CB818" w14:textId="77777777">
      <w:pPr>
        <w:autoSpaceDE w:val="0"/>
        <w:autoSpaceDN w:val="0"/>
        <w:adjustRightInd w:val="0"/>
        <w:rPr>
          <w:rFonts w:cs="Times New Roman"/>
          <w:color w:val="000000"/>
          <w:szCs w:val="24"/>
        </w:rPr>
      </w:pPr>
    </w:p>
    <w:p w:rsidRPr="001E351B" w:rsidR="001E351B" w:rsidP="001E351B" w:rsidRDefault="001E351B" w14:paraId="7FBCAE8D" w14:textId="31F90352">
      <w:pPr>
        <w:autoSpaceDE w:val="0"/>
        <w:autoSpaceDN w:val="0"/>
        <w:adjustRightInd w:val="0"/>
        <w:jc w:val="center"/>
        <w:rPr>
          <w:rFonts w:cs="Times New Roman"/>
          <w:color w:val="000000"/>
          <w:szCs w:val="24"/>
        </w:rPr>
      </w:pPr>
      <w:r w:rsidRPr="001E351B">
        <w:rPr>
          <w:rFonts w:cs="Times New Roman"/>
          <w:b/>
          <w:bCs/>
          <w:color w:val="000000"/>
          <w:szCs w:val="24"/>
        </w:rPr>
        <w:t>LEGAL SERVICES CENTER</w:t>
      </w:r>
      <w:r w:rsidR="00322862">
        <w:rPr>
          <w:rFonts w:cs="Times New Roman"/>
          <w:b/>
          <w:bCs/>
          <w:color w:val="000000"/>
          <w:szCs w:val="24"/>
        </w:rPr>
        <w:t xml:space="preserve"> (LSC)</w:t>
      </w:r>
      <w:r w:rsidRPr="001E351B">
        <w:rPr>
          <w:rFonts w:cs="Times New Roman"/>
          <w:b/>
          <w:bCs/>
          <w:color w:val="000000"/>
          <w:szCs w:val="24"/>
        </w:rPr>
        <w:t xml:space="preserve"> OF HARVARD LAW SCHOOL</w:t>
      </w:r>
    </w:p>
    <w:p w:rsidR="002D32BD" w:rsidP="001E351B" w:rsidRDefault="001E351B" w14:paraId="6F2FA177" w14:textId="771BB427">
      <w:pPr>
        <w:pStyle w:val="ListParagraph"/>
        <w:ind w:left="1080"/>
        <w:jc w:val="center"/>
        <w:rPr>
          <w:rFonts w:cs="Times New Roman"/>
          <w:b/>
          <w:bCs/>
          <w:color w:val="000000"/>
          <w:szCs w:val="24"/>
        </w:rPr>
      </w:pPr>
      <w:r w:rsidRPr="001E351B">
        <w:rPr>
          <w:rFonts w:cs="Times New Roman"/>
          <w:b/>
          <w:bCs/>
          <w:color w:val="000000"/>
          <w:szCs w:val="24"/>
        </w:rPr>
        <w:t>CENTRO DE SERVICIOS LEGALES</w:t>
      </w:r>
    </w:p>
    <w:p w:rsidRPr="001E351B" w:rsidR="001E351B" w:rsidP="001E351B" w:rsidRDefault="001E351B" w14:paraId="7CDB3506" w14:textId="77777777">
      <w:pPr>
        <w:pStyle w:val="ListParagraph"/>
        <w:ind w:left="1080"/>
        <w:rPr>
          <w:szCs w:val="24"/>
        </w:rPr>
      </w:pPr>
    </w:p>
    <w:p w:rsidR="002D32BD" w:rsidP="002D32BD" w:rsidRDefault="002D32BD" w14:paraId="1152421A" w14:textId="77777777">
      <w:pPr>
        <w:jc w:val="center"/>
      </w:pPr>
      <w:r>
        <w:t xml:space="preserve">IRS RESPONSE TO COMMENT </w:t>
      </w:r>
    </w:p>
    <w:p w:rsidR="002D32BD" w:rsidP="002D32BD" w:rsidRDefault="002D32BD" w14:paraId="1BBE9A44" w14:textId="77777777">
      <w:pPr>
        <w:jc w:val="center"/>
        <w:rPr>
          <w:rFonts w:ascii="Shruti" w:hAnsi="Shruti"/>
        </w:rPr>
      </w:pPr>
    </w:p>
    <w:p w:rsidR="002D32BD" w:rsidP="002D32BD" w:rsidRDefault="002D32BD" w14:paraId="7A30ECBB" w14:textId="77777777">
      <w:pPr>
        <w:jc w:val="center"/>
      </w:pPr>
    </w:p>
    <w:tbl>
      <w:tblPr>
        <w:tblStyle w:val="TableGrid"/>
        <w:tblW w:w="9180" w:type="dxa"/>
        <w:tblInd w:w="-5" w:type="dxa"/>
        <w:tblLayout w:type="fixed"/>
        <w:tblLook w:val="04A0" w:firstRow="1" w:lastRow="0" w:firstColumn="1" w:lastColumn="0" w:noHBand="0" w:noVBand="1"/>
      </w:tblPr>
      <w:tblGrid>
        <w:gridCol w:w="3623"/>
        <w:gridCol w:w="900"/>
        <w:gridCol w:w="1147"/>
        <w:gridCol w:w="3510"/>
      </w:tblGrid>
      <w:tr w:rsidR="002D32BD" w:rsidTr="002D32BD" w14:paraId="3EA900B5" w14:textId="77777777">
        <w:tc>
          <w:tcPr>
            <w:tcW w:w="3623" w:type="dxa"/>
            <w:tcBorders>
              <w:top w:val="single" w:color="auto" w:sz="4" w:space="0"/>
              <w:left w:val="single" w:color="auto" w:sz="4" w:space="0"/>
              <w:bottom w:val="single" w:color="auto" w:sz="4" w:space="0"/>
              <w:right w:val="single" w:color="auto" w:sz="4" w:space="0"/>
            </w:tcBorders>
            <w:hideMark/>
          </w:tcPr>
          <w:p w:rsidR="002D32BD" w:rsidRDefault="002D32BD" w14:paraId="41F6AD75" w14:textId="77777777">
            <w:pPr>
              <w:jc w:val="center"/>
              <w:rPr>
                <w:rFonts w:asciiTheme="minorHAnsi" w:hAnsiTheme="minorHAnsi"/>
                <w:b/>
              </w:rPr>
            </w:pPr>
            <w:r>
              <w:rPr>
                <w:b/>
              </w:rPr>
              <w:t>Comment/Concern</w:t>
            </w:r>
          </w:p>
        </w:tc>
        <w:tc>
          <w:tcPr>
            <w:tcW w:w="900" w:type="dxa"/>
            <w:tcBorders>
              <w:top w:val="single" w:color="auto" w:sz="4" w:space="0"/>
              <w:left w:val="single" w:color="auto" w:sz="4" w:space="0"/>
              <w:bottom w:val="single" w:color="auto" w:sz="4" w:space="0"/>
              <w:right w:val="single" w:color="auto" w:sz="4" w:space="0"/>
            </w:tcBorders>
            <w:hideMark/>
          </w:tcPr>
          <w:p w:rsidR="002D32BD" w:rsidRDefault="002D32BD" w14:paraId="2F692E28" w14:textId="77777777">
            <w:pPr>
              <w:jc w:val="center"/>
              <w:rPr>
                <w:rFonts w:asciiTheme="minorHAnsi" w:hAnsiTheme="minorHAnsi"/>
                <w:b/>
              </w:rPr>
            </w:pPr>
            <w:r>
              <w:rPr>
                <w:b/>
              </w:rPr>
              <w:t>Rec</w:t>
            </w:r>
          </w:p>
        </w:tc>
        <w:tc>
          <w:tcPr>
            <w:tcW w:w="1147" w:type="dxa"/>
            <w:tcBorders>
              <w:top w:val="single" w:color="auto" w:sz="4" w:space="0"/>
              <w:left w:val="single" w:color="auto" w:sz="4" w:space="0"/>
              <w:bottom w:val="single" w:color="auto" w:sz="4" w:space="0"/>
              <w:right w:val="single" w:color="auto" w:sz="4" w:space="0"/>
            </w:tcBorders>
            <w:hideMark/>
          </w:tcPr>
          <w:p w:rsidR="002D32BD" w:rsidRDefault="002D32BD" w14:paraId="711C8766" w14:textId="77777777">
            <w:pPr>
              <w:jc w:val="center"/>
              <w:rPr>
                <w:rFonts w:asciiTheme="minorHAnsi" w:hAnsiTheme="minorHAnsi"/>
                <w:b/>
              </w:rPr>
            </w:pPr>
            <w:r>
              <w:rPr>
                <w:b/>
              </w:rPr>
              <w:t>From</w:t>
            </w:r>
          </w:p>
        </w:tc>
        <w:tc>
          <w:tcPr>
            <w:tcW w:w="3510" w:type="dxa"/>
            <w:tcBorders>
              <w:top w:val="single" w:color="auto" w:sz="4" w:space="0"/>
              <w:left w:val="single" w:color="auto" w:sz="4" w:space="0"/>
              <w:bottom w:val="single" w:color="auto" w:sz="4" w:space="0"/>
              <w:right w:val="single" w:color="auto" w:sz="4" w:space="0"/>
            </w:tcBorders>
            <w:hideMark/>
          </w:tcPr>
          <w:p w:rsidR="002D32BD" w:rsidRDefault="002D32BD" w14:paraId="6E835035" w14:textId="77777777">
            <w:pPr>
              <w:jc w:val="center"/>
              <w:rPr>
                <w:rFonts w:asciiTheme="minorHAnsi" w:hAnsiTheme="minorHAnsi"/>
                <w:b/>
              </w:rPr>
            </w:pPr>
            <w:r>
              <w:rPr>
                <w:b/>
              </w:rPr>
              <w:t>IRS Response</w:t>
            </w:r>
          </w:p>
        </w:tc>
      </w:tr>
      <w:tr w:rsidR="002D32BD" w:rsidTr="002D32BD" w14:paraId="3A495486" w14:textId="77777777">
        <w:tc>
          <w:tcPr>
            <w:tcW w:w="3623" w:type="dxa"/>
            <w:tcBorders>
              <w:top w:val="single" w:color="auto" w:sz="4" w:space="0"/>
              <w:left w:val="single" w:color="auto" w:sz="4" w:space="0"/>
              <w:bottom w:val="single" w:color="auto" w:sz="4" w:space="0"/>
              <w:right w:val="single" w:color="auto" w:sz="4" w:space="0"/>
            </w:tcBorders>
          </w:tcPr>
          <w:p w:rsidRPr="007073D8" w:rsidR="001E351B" w:rsidP="001E351B" w:rsidRDefault="002D32BD" w14:paraId="224B53AA" w14:textId="0949AFFC">
            <w:pPr>
              <w:pStyle w:val="Default"/>
              <w:rPr>
                <w:rFonts w:ascii="Times New Roman" w:hAnsi="Times New Roman" w:cs="Times New Roman"/>
                <w:szCs w:val="20"/>
              </w:rPr>
            </w:pPr>
            <w:r w:rsidRPr="007073D8">
              <w:rPr>
                <w:rFonts w:ascii="Times New Roman" w:hAnsi="Times New Roman"/>
                <w:szCs w:val="20"/>
              </w:rPr>
              <w:t xml:space="preserve">The </w:t>
            </w:r>
            <w:r w:rsidRPr="007073D8" w:rsidR="001E351B">
              <w:rPr>
                <w:rFonts w:ascii="Times New Roman" w:hAnsi="Times New Roman" w:cs="Times New Roman"/>
                <w:b/>
                <w:bCs/>
                <w:szCs w:val="20"/>
              </w:rPr>
              <w:t xml:space="preserve">LEGAL SERVICES CENTER </w:t>
            </w:r>
          </w:p>
          <w:p w:rsidRPr="007073D8" w:rsidR="001E351B" w:rsidP="001E351B" w:rsidRDefault="001E351B" w14:paraId="3ED55283" w14:textId="77777777">
            <w:pPr>
              <w:rPr>
                <w:color w:val="000000"/>
              </w:rPr>
            </w:pPr>
            <w:r w:rsidRPr="007073D8">
              <w:rPr>
                <w:b/>
                <w:bCs/>
                <w:color w:val="000000"/>
              </w:rPr>
              <w:t xml:space="preserve">OF HARVARD LAW SCHOOL </w:t>
            </w:r>
          </w:p>
          <w:p w:rsidRPr="007073D8" w:rsidR="001E351B" w:rsidP="001E351B" w:rsidRDefault="001E351B" w14:paraId="0720179C" w14:textId="77777777">
            <w:pPr>
              <w:widowControl/>
              <w:rPr>
                <w:rFonts w:eastAsiaTheme="minorHAnsi"/>
                <w:b/>
                <w:bCs/>
                <w:color w:val="000000"/>
              </w:rPr>
            </w:pPr>
            <w:r w:rsidRPr="007073D8">
              <w:rPr>
                <w:rFonts w:eastAsiaTheme="minorHAnsi"/>
                <w:b/>
                <w:bCs/>
                <w:color w:val="000000"/>
              </w:rPr>
              <w:t xml:space="preserve">CENTRO DE SERVICIOS LEGALES is asking to: </w:t>
            </w:r>
          </w:p>
          <w:p w:rsidRPr="007073D8" w:rsidR="001E351B" w:rsidP="001E351B" w:rsidRDefault="001E351B" w14:paraId="0A27E2F1" w14:textId="343F9ABD">
            <w:pPr>
              <w:widowControl/>
              <w:rPr>
                <w:color w:val="000000"/>
              </w:rPr>
            </w:pPr>
            <w:r w:rsidRPr="007073D8">
              <w:rPr>
                <w:color w:val="000000"/>
              </w:rPr>
              <w:t xml:space="preserve"> </w:t>
            </w:r>
          </w:p>
          <w:p w:rsidRPr="007073D8" w:rsidR="001E351B" w:rsidP="001E351B" w:rsidRDefault="001E351B" w14:paraId="73CA169B" w14:textId="77777777">
            <w:pPr>
              <w:spacing w:after="303"/>
              <w:rPr>
                <w:color w:val="000000"/>
              </w:rPr>
            </w:pPr>
            <w:r w:rsidRPr="007073D8">
              <w:rPr>
                <w:color w:val="000000"/>
              </w:rPr>
              <w:t xml:space="preserve">1. Change the word “Decedent” to the phrase “Deceased Person” </w:t>
            </w:r>
          </w:p>
          <w:p w:rsidRPr="007073D8" w:rsidR="001E351B" w:rsidP="001E351B" w:rsidRDefault="001E351B" w14:paraId="2AD23930" w14:textId="77777777">
            <w:pPr>
              <w:spacing w:after="303"/>
              <w:rPr>
                <w:color w:val="000000"/>
              </w:rPr>
            </w:pPr>
            <w:r w:rsidRPr="007073D8">
              <w:rPr>
                <w:color w:val="000000"/>
              </w:rPr>
              <w:t xml:space="preserve">2. Remove the boxes for prior names </w:t>
            </w:r>
          </w:p>
          <w:p w:rsidRPr="007073D8" w:rsidR="001E351B" w:rsidP="001E351B" w:rsidRDefault="001E351B" w14:paraId="5DE8AA19" w14:textId="77777777">
            <w:pPr>
              <w:spacing w:after="303"/>
              <w:rPr>
                <w:color w:val="000000"/>
              </w:rPr>
            </w:pPr>
            <w:r w:rsidRPr="007073D8">
              <w:rPr>
                <w:color w:val="000000"/>
              </w:rPr>
              <w:t xml:space="preserve">3. Move the discussion of the importance of giving the IRS your current address from the “Privacy Act and Paperwork Reduction Act Notice” section to the “Purpose of Form” section </w:t>
            </w:r>
          </w:p>
          <w:p w:rsidRPr="007073D8" w:rsidR="001E351B" w:rsidP="001E351B" w:rsidRDefault="001E351B" w14:paraId="41D25BBF" w14:textId="77777777">
            <w:pPr>
              <w:spacing w:after="303"/>
              <w:rPr>
                <w:color w:val="000000"/>
              </w:rPr>
            </w:pPr>
            <w:r w:rsidRPr="007073D8">
              <w:rPr>
                <w:color w:val="000000"/>
              </w:rPr>
              <w:t xml:space="preserve">4. Add information on other ways the IRS can be notified of a taxpayer’s address change </w:t>
            </w:r>
          </w:p>
          <w:p w:rsidRPr="007073D8" w:rsidR="001E351B" w:rsidP="001E351B" w:rsidRDefault="001E351B" w14:paraId="3E167FFC" w14:textId="77777777">
            <w:pPr>
              <w:rPr>
                <w:color w:val="000000"/>
              </w:rPr>
            </w:pPr>
            <w:r w:rsidRPr="007073D8">
              <w:rPr>
                <w:color w:val="000000"/>
              </w:rPr>
              <w:t xml:space="preserve">5. Add an option for taxpayers to notify the IRS of a change in address before they move </w:t>
            </w:r>
          </w:p>
          <w:p w:rsidR="002D32BD" w:rsidP="001E351B" w:rsidRDefault="002D32BD" w14:paraId="360E7F52" w14:textId="77777777"/>
        </w:tc>
        <w:tc>
          <w:tcPr>
            <w:tcW w:w="900" w:type="dxa"/>
            <w:tcBorders>
              <w:top w:val="single" w:color="auto" w:sz="4" w:space="0"/>
              <w:left w:val="single" w:color="auto" w:sz="4" w:space="0"/>
              <w:bottom w:val="single" w:color="auto" w:sz="4" w:space="0"/>
              <w:right w:val="single" w:color="auto" w:sz="4" w:space="0"/>
            </w:tcBorders>
            <w:hideMark/>
          </w:tcPr>
          <w:p w:rsidR="002D32BD" w:rsidRDefault="00B4022E" w14:paraId="653740A2" w14:textId="30481C4A">
            <w:pPr>
              <w:rPr>
                <w:rFonts w:asciiTheme="minorHAnsi" w:hAnsiTheme="minorHAnsi" w:cstheme="minorHAnsi"/>
              </w:rPr>
            </w:pPr>
            <w:r>
              <w:rPr>
                <w:rFonts w:asciiTheme="minorHAnsi" w:hAnsiTheme="minorHAnsi" w:cstheme="minorHAnsi"/>
              </w:rPr>
              <w:t>8/1/22</w:t>
            </w:r>
          </w:p>
        </w:tc>
        <w:tc>
          <w:tcPr>
            <w:tcW w:w="1147" w:type="dxa"/>
            <w:tcBorders>
              <w:top w:val="single" w:color="auto" w:sz="4" w:space="0"/>
              <w:left w:val="single" w:color="auto" w:sz="4" w:space="0"/>
              <w:bottom w:val="single" w:color="auto" w:sz="4" w:space="0"/>
              <w:right w:val="single" w:color="auto" w:sz="4" w:space="0"/>
            </w:tcBorders>
            <w:hideMark/>
          </w:tcPr>
          <w:p w:rsidR="00B4022E" w:rsidP="009F01D3" w:rsidRDefault="002D32BD" w14:paraId="7F851494" w14:textId="048777F7">
            <w:pPr>
              <w:pStyle w:val="Default"/>
              <w:rPr>
                <w:rFonts w:eastAsiaTheme="minorHAnsi"/>
                <w:b/>
                <w:bCs/>
              </w:rPr>
            </w:pPr>
            <w:r w:rsidRPr="009F01D3">
              <w:rPr>
                <w:rFonts w:ascii="Courier New" w:hAnsi="Courier New" w:cs="Courier New"/>
                <w:sz w:val="22"/>
                <w:szCs w:val="22"/>
              </w:rPr>
              <w:t xml:space="preserve"> </w:t>
            </w:r>
            <w:r w:rsidR="009F01D3">
              <w:rPr>
                <w:rFonts w:ascii="Courier New" w:hAnsi="Courier New" w:cs="Courier New"/>
                <w:sz w:val="22"/>
                <w:szCs w:val="22"/>
              </w:rPr>
              <w:t xml:space="preserve"> </w:t>
            </w:r>
            <w:r w:rsidR="009F01D3">
              <w:rPr>
                <w:rFonts w:ascii="Times New Roman" w:hAnsi="Times New Roman" w:cs="Times New Roman"/>
              </w:rPr>
              <w:t>LSC</w:t>
            </w:r>
          </w:p>
          <w:p w:rsidR="002D32BD" w:rsidRDefault="002D32BD" w14:paraId="13B76A82" w14:textId="2F735DD0">
            <w:pPr>
              <w:widowControl/>
              <w:rPr>
                <w:rFonts w:ascii="Courier New" w:hAnsi="Courier New" w:cs="Courier New"/>
                <w:sz w:val="22"/>
                <w:szCs w:val="22"/>
              </w:rPr>
            </w:pPr>
          </w:p>
        </w:tc>
        <w:tc>
          <w:tcPr>
            <w:tcW w:w="3510" w:type="dxa"/>
            <w:tcBorders>
              <w:top w:val="single" w:color="auto" w:sz="4" w:space="0"/>
              <w:left w:val="single" w:color="auto" w:sz="4" w:space="0"/>
              <w:bottom w:val="single" w:color="auto" w:sz="4" w:space="0"/>
              <w:right w:val="single" w:color="auto" w:sz="4" w:space="0"/>
            </w:tcBorders>
            <w:hideMark/>
          </w:tcPr>
          <w:p w:rsidRPr="00830578" w:rsidR="00830578" w:rsidP="00830578" w:rsidRDefault="002D32BD" w14:paraId="7E7DC707" w14:textId="5F468B4A">
            <w:pPr>
              <w:pStyle w:val="Default"/>
              <w:rPr>
                <w:rFonts w:ascii="Times New Roman" w:hAnsi="Times New Roman" w:cs="Times New Roman"/>
                <w:szCs w:val="20"/>
              </w:rPr>
            </w:pPr>
            <w:r w:rsidRPr="00830578">
              <w:rPr>
                <w:rFonts w:ascii="Times New Roman" w:hAnsi="Times New Roman" w:cs="Times New Roman"/>
                <w:szCs w:val="20"/>
              </w:rPr>
              <w:t>IRS</w:t>
            </w:r>
            <w:r w:rsidR="00830578">
              <w:rPr>
                <w:rFonts w:ascii="Times New Roman" w:hAnsi="Times New Roman" w:cs="Times New Roman"/>
                <w:szCs w:val="20"/>
              </w:rPr>
              <w:t xml:space="preserve"> have received and</w:t>
            </w:r>
            <w:r w:rsidRPr="00830578">
              <w:rPr>
                <w:rFonts w:ascii="Times New Roman" w:hAnsi="Times New Roman" w:cs="Times New Roman"/>
                <w:szCs w:val="20"/>
              </w:rPr>
              <w:t xml:space="preserve"> reviewed the </w:t>
            </w:r>
            <w:r w:rsidRPr="00830578" w:rsidR="009F01D3">
              <w:rPr>
                <w:rFonts w:ascii="Times New Roman" w:hAnsi="Times New Roman" w:cs="Times New Roman"/>
                <w:b/>
                <w:bCs/>
                <w:szCs w:val="20"/>
              </w:rPr>
              <w:t>LSC</w:t>
            </w:r>
            <w:r w:rsidRPr="00830578" w:rsidR="00B4022E">
              <w:rPr>
                <w:rFonts w:ascii="Times New Roman" w:hAnsi="Times New Roman" w:cs="Times New Roman" w:eastAsiaTheme="minorHAnsi"/>
                <w:b/>
                <w:bCs/>
                <w:szCs w:val="20"/>
              </w:rPr>
              <w:t xml:space="preserve"> </w:t>
            </w:r>
            <w:r w:rsidRPr="00830578" w:rsidR="00B4022E">
              <w:rPr>
                <w:rFonts w:ascii="Times New Roman" w:hAnsi="Times New Roman" w:cs="Times New Roman" w:eastAsiaTheme="minorHAnsi"/>
                <w:szCs w:val="20"/>
              </w:rPr>
              <w:t xml:space="preserve">comment letter </w:t>
            </w:r>
            <w:r w:rsidRPr="00830578" w:rsidR="00830578">
              <w:rPr>
                <w:rFonts w:ascii="Times New Roman" w:hAnsi="Times New Roman" w:cs="Times New Roman" w:eastAsiaTheme="minorHAnsi"/>
                <w:szCs w:val="20"/>
              </w:rPr>
              <w:t xml:space="preserve">requesting changes.  After </w:t>
            </w:r>
            <w:r w:rsidR="00830578">
              <w:rPr>
                <w:rFonts w:ascii="Times New Roman" w:hAnsi="Times New Roman" w:cs="Times New Roman" w:eastAsiaTheme="minorHAnsi"/>
                <w:szCs w:val="20"/>
              </w:rPr>
              <w:t xml:space="preserve">considering these </w:t>
            </w:r>
            <w:r w:rsidRPr="00830578" w:rsidR="00B4022E">
              <w:rPr>
                <w:rFonts w:ascii="Times New Roman" w:hAnsi="Times New Roman" w:cs="Times New Roman" w:eastAsiaTheme="minorHAnsi"/>
                <w:szCs w:val="20"/>
              </w:rPr>
              <w:t>comments</w:t>
            </w:r>
            <w:r w:rsidRPr="00830578" w:rsidR="00830578">
              <w:rPr>
                <w:rFonts w:ascii="Times New Roman" w:hAnsi="Times New Roman" w:cs="Times New Roman" w:eastAsiaTheme="minorHAnsi"/>
                <w:szCs w:val="20"/>
              </w:rPr>
              <w:t xml:space="preserve">, </w:t>
            </w:r>
            <w:r w:rsidRPr="00830578" w:rsidR="00830578">
              <w:rPr>
                <w:rFonts w:ascii="Times New Roman" w:hAnsi="Times New Roman" w:cs="Times New Roman"/>
                <w:color w:val="222A35"/>
                <w:szCs w:val="20"/>
              </w:rPr>
              <w:t xml:space="preserve">IRS </w:t>
            </w:r>
            <w:r w:rsidR="001719EE">
              <w:rPr>
                <w:rFonts w:ascii="Times New Roman" w:hAnsi="Times New Roman" w:cs="Times New Roman"/>
                <w:color w:val="222A35"/>
                <w:szCs w:val="20"/>
              </w:rPr>
              <w:t>is not adopting the recommended changes</w:t>
            </w:r>
            <w:r w:rsidR="00FD05D9">
              <w:rPr>
                <w:rFonts w:ascii="Times New Roman" w:hAnsi="Times New Roman" w:cs="Times New Roman"/>
                <w:color w:val="222A35"/>
                <w:szCs w:val="20"/>
              </w:rPr>
              <w:t xml:space="preserve"> to the form</w:t>
            </w:r>
            <w:r w:rsidRPr="00830578" w:rsidR="00830578">
              <w:rPr>
                <w:rFonts w:ascii="Times New Roman" w:hAnsi="Times New Roman" w:cs="Times New Roman"/>
                <w:color w:val="222A35"/>
                <w:szCs w:val="20"/>
              </w:rPr>
              <w:t>. </w:t>
            </w:r>
          </w:p>
        </w:tc>
      </w:tr>
    </w:tbl>
    <w:p w:rsidR="002D32BD" w:rsidP="009E3D48" w:rsidRDefault="002D32BD" w14:paraId="0DE18756" w14:textId="2A3C719F">
      <w:pPr>
        <w:tabs>
          <w:tab w:val="left" w:pos="540"/>
        </w:tabs>
        <w:ind w:left="540" w:hanging="540"/>
        <w:rPr>
          <w:szCs w:val="24"/>
        </w:rPr>
      </w:pPr>
    </w:p>
    <w:p w:rsidRPr="004606C9" w:rsidR="00183523" w:rsidP="004606C9" w:rsidRDefault="009E3D48" w14:paraId="46BD5C06" w14:textId="3BB474EE">
      <w:pPr>
        <w:tabs>
          <w:tab w:val="left" w:pos="540"/>
        </w:tabs>
        <w:ind w:left="540" w:hanging="540"/>
        <w:rPr>
          <w:rFonts w:asciiTheme="minorHAnsi" w:hAnsiTheme="minorHAnsi"/>
          <w:sz w:val="22"/>
        </w:rPr>
      </w:pPr>
      <w:r>
        <w:rPr>
          <w:szCs w:val="24"/>
        </w:rPr>
        <w:tab/>
      </w:r>
      <w:r w:rsidRPr="004606C9" w:rsidR="004606C9">
        <w:rPr>
          <w:rFonts w:asciiTheme="minorHAnsi" w:hAnsiTheme="minorHAnsi"/>
          <w:sz w:val="22"/>
        </w:rPr>
        <w:t xml:space="preserve"> </w:t>
      </w:r>
    </w:p>
    <w:p w:rsidR="009E3D48" w:rsidP="009E3D48" w:rsidRDefault="009E3D48" w14:paraId="69801B88" w14:textId="6A1B41C8">
      <w:pPr>
        <w:tabs>
          <w:tab w:val="left" w:pos="540"/>
        </w:tabs>
        <w:ind w:left="540" w:hanging="540"/>
        <w:rPr>
          <w:rFonts w:asciiTheme="minorHAnsi" w:hAnsiTheme="minorHAnsi"/>
          <w:sz w:val="22"/>
        </w:rPr>
      </w:pPr>
    </w:p>
    <w:p w:rsidRPr="00F87A66" w:rsidR="009F01D3" w:rsidP="009E3D48" w:rsidRDefault="009F01D3" w14:paraId="32B79017" w14:textId="77777777">
      <w:pPr>
        <w:tabs>
          <w:tab w:val="left" w:pos="540"/>
        </w:tabs>
        <w:ind w:left="540" w:hanging="540"/>
        <w:rPr>
          <w:rFonts w:asciiTheme="minorHAnsi" w:hAnsiTheme="minorHAnsi"/>
          <w:sz w:val="22"/>
        </w:rPr>
      </w:pPr>
    </w:p>
    <w:p w:rsidRPr="00DC1585" w:rsidR="009E3D48" w:rsidP="009E3D48" w:rsidRDefault="009E3D48" w14:paraId="72AD29F0"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EXPLANATION OF DECISION TO PROVIDE ANY PAYMENT OR GIFT TO RESPONDENTS </w:t>
      </w:r>
    </w:p>
    <w:p w:rsidRPr="00F87A66" w:rsidR="009E3D48" w:rsidP="009E3D48" w:rsidRDefault="009E3D48" w14:paraId="782ECDDA" w14:textId="77777777">
      <w:pPr>
        <w:tabs>
          <w:tab w:val="left" w:pos="540"/>
        </w:tabs>
        <w:ind w:left="540" w:hanging="540"/>
        <w:rPr>
          <w:rFonts w:asciiTheme="minorHAnsi" w:hAnsiTheme="minorHAnsi"/>
          <w:sz w:val="22"/>
        </w:rPr>
      </w:pPr>
    </w:p>
    <w:p w:rsidRPr="00F87A66" w:rsidR="00A24315" w:rsidP="009E3D48" w:rsidRDefault="009E3D48" w14:paraId="369C132A" w14:textId="77777777">
      <w:pPr>
        <w:tabs>
          <w:tab w:val="left" w:pos="540"/>
        </w:tabs>
        <w:ind w:left="540" w:hanging="540"/>
        <w:rPr>
          <w:rFonts w:asciiTheme="minorHAnsi" w:hAnsiTheme="minorHAnsi"/>
          <w:sz w:val="22"/>
        </w:rPr>
      </w:pPr>
      <w:r w:rsidRPr="00F87A66">
        <w:rPr>
          <w:rFonts w:asciiTheme="minorHAnsi" w:hAnsiTheme="minorHAnsi"/>
          <w:sz w:val="22"/>
        </w:rPr>
        <w:tab/>
      </w:r>
      <w:r w:rsidRPr="00F87A66" w:rsidR="00A24315">
        <w:rPr>
          <w:rFonts w:asciiTheme="minorHAnsi" w:hAnsiTheme="minorHAnsi"/>
          <w:sz w:val="22"/>
        </w:rPr>
        <w:t>No payment or gift has been provided to any respondents.</w:t>
      </w:r>
    </w:p>
    <w:p w:rsidRPr="00F87A66" w:rsidR="009E3D48" w:rsidP="009E3D48" w:rsidRDefault="009E3D48" w14:paraId="1C980C8D" w14:textId="77777777">
      <w:pPr>
        <w:tabs>
          <w:tab w:val="left" w:pos="540"/>
        </w:tabs>
        <w:ind w:left="540" w:hanging="540"/>
        <w:rPr>
          <w:rFonts w:asciiTheme="minorHAnsi" w:hAnsiTheme="minorHAnsi"/>
          <w:sz w:val="22"/>
        </w:rPr>
      </w:pPr>
    </w:p>
    <w:p w:rsidRPr="00DC1585" w:rsidR="009E3D48" w:rsidP="009E3D48" w:rsidRDefault="009E3D48" w14:paraId="10262BFB"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ASSURANCE OF CONFIDENTIALITY OF RESPONSES </w:t>
      </w:r>
    </w:p>
    <w:p w:rsidRPr="00F87A66" w:rsidR="009E3D48" w:rsidP="009E3D48" w:rsidRDefault="009E3D48" w14:paraId="2371FCD9" w14:textId="77777777">
      <w:pPr>
        <w:tabs>
          <w:tab w:val="left" w:pos="540"/>
        </w:tabs>
        <w:ind w:left="540" w:hanging="540"/>
        <w:rPr>
          <w:rFonts w:asciiTheme="minorHAnsi" w:hAnsiTheme="minorHAnsi"/>
          <w:sz w:val="22"/>
        </w:rPr>
      </w:pPr>
    </w:p>
    <w:p w:rsidRPr="00F87A66" w:rsidR="009E3D48" w:rsidP="009E3D48" w:rsidRDefault="009E3D48" w14:paraId="66FDE14E" w14:textId="77777777">
      <w:pPr>
        <w:tabs>
          <w:tab w:val="left" w:pos="540"/>
        </w:tabs>
        <w:ind w:left="540" w:hanging="540"/>
        <w:rPr>
          <w:rFonts w:asciiTheme="minorHAnsi" w:hAnsiTheme="minorHAnsi"/>
          <w:sz w:val="22"/>
        </w:rPr>
      </w:pPr>
      <w:r w:rsidRPr="00F87A66">
        <w:rPr>
          <w:rFonts w:asciiTheme="minorHAnsi" w:hAnsiTheme="minorHAnsi"/>
          <w:sz w:val="22"/>
        </w:rPr>
        <w:tab/>
        <w:t>Generally, tax returns and tax return information are confidential as required by 26 U.S.C. 6103.</w:t>
      </w:r>
    </w:p>
    <w:p w:rsidRPr="00DC1585" w:rsidR="00183523" w:rsidP="009E3D48" w:rsidRDefault="00183523" w14:paraId="34B94A53" w14:textId="77777777">
      <w:pPr>
        <w:tabs>
          <w:tab w:val="left" w:pos="540"/>
        </w:tabs>
        <w:ind w:left="540" w:hanging="540"/>
        <w:rPr>
          <w:rFonts w:asciiTheme="minorHAnsi" w:hAnsiTheme="minorHAnsi"/>
          <w:sz w:val="22"/>
          <w:u w:val="single"/>
        </w:rPr>
      </w:pPr>
    </w:p>
    <w:p w:rsidRPr="00DC1585" w:rsidR="009E3D48" w:rsidP="009E3D48" w:rsidRDefault="009E3D48" w14:paraId="43651597" w14:textId="77777777">
      <w:pPr>
        <w:pStyle w:val="ListParagraph"/>
        <w:numPr>
          <w:ilvl w:val="0"/>
          <w:numId w:val="1"/>
        </w:numPr>
        <w:tabs>
          <w:tab w:val="left" w:pos="540"/>
        </w:tabs>
        <w:ind w:left="540" w:hanging="540"/>
        <w:rPr>
          <w:rFonts w:asciiTheme="minorHAnsi" w:hAnsiTheme="minorHAnsi"/>
          <w:b/>
          <w:sz w:val="22"/>
          <w:u w:val="single"/>
        </w:rPr>
      </w:pPr>
      <w:r w:rsidRPr="005E6135">
        <w:rPr>
          <w:rFonts w:asciiTheme="minorHAnsi" w:hAnsiTheme="minorHAnsi"/>
          <w:b/>
          <w:sz w:val="22"/>
          <w:u w:val="single"/>
        </w:rPr>
        <w:t>JUSTIFI</w:t>
      </w:r>
      <w:r w:rsidRPr="00DC1585">
        <w:rPr>
          <w:rFonts w:asciiTheme="minorHAnsi" w:hAnsiTheme="minorHAnsi"/>
          <w:b/>
          <w:sz w:val="22"/>
          <w:u w:val="single"/>
        </w:rPr>
        <w:t xml:space="preserve">CATION OF SENSITIVE QUESTIONS </w:t>
      </w:r>
    </w:p>
    <w:p w:rsidRPr="00F87A66" w:rsidR="009E3D48" w:rsidP="009E3D48" w:rsidRDefault="009E3D48" w14:paraId="17FA079E" w14:textId="77777777">
      <w:pPr>
        <w:tabs>
          <w:tab w:val="left" w:pos="540"/>
        </w:tabs>
        <w:ind w:left="540" w:hanging="540"/>
        <w:rPr>
          <w:rFonts w:asciiTheme="minorHAnsi" w:hAnsiTheme="minorHAnsi"/>
          <w:b/>
          <w:sz w:val="22"/>
        </w:rPr>
      </w:pPr>
    </w:p>
    <w:p w:rsidR="00617F74" w:rsidP="00617F74" w:rsidRDefault="00617F74" w14:paraId="6E02EFFE" w14:textId="77777777">
      <w:pPr>
        <w:ind w:left="540"/>
        <w:rPr>
          <w:rFonts w:asciiTheme="minorHAnsi" w:hAnsiTheme="minorHAnsi"/>
          <w:sz w:val="22"/>
        </w:rPr>
      </w:pPr>
      <w:r w:rsidRPr="00617F74">
        <w:rPr>
          <w:rFonts w:asciiTheme="minorHAnsi" w:hAnsiTheme="minorHAnsi"/>
          <w:sz w:val="22"/>
        </w:rPr>
        <w:t xml:space="preserve">A privacy impact assessment (PIA) has been conducted for information collected under this request as part of the “Business Master file (BMF)” and a Privacy Act System of Records notice (SORN) has been issued for these systems under IRS 24.046 - CADE Business Master File (BMF. The Internal Revenue Service PIA’s can be found at </w:t>
      </w:r>
      <w:hyperlink w:history="1" r:id="rId11">
        <w:r w:rsidRPr="007A7D17">
          <w:rPr>
            <w:rStyle w:val="Hyperlink"/>
            <w:rFonts w:asciiTheme="minorHAnsi" w:hAnsiTheme="minorHAnsi"/>
            <w:sz w:val="22"/>
          </w:rPr>
          <w:t>https://www.irs.gov/uac/Privacy-Impact-Assessments-PIA</w:t>
        </w:r>
      </w:hyperlink>
      <w:r>
        <w:rPr>
          <w:rFonts w:asciiTheme="minorHAnsi" w:hAnsiTheme="minorHAnsi"/>
          <w:sz w:val="22"/>
        </w:rPr>
        <w:t xml:space="preserve"> </w:t>
      </w:r>
      <w:r w:rsidRPr="00617F74">
        <w:rPr>
          <w:rFonts w:asciiTheme="minorHAnsi" w:hAnsiTheme="minorHAnsi"/>
          <w:sz w:val="22"/>
        </w:rPr>
        <w:t xml:space="preserve"> .</w:t>
      </w:r>
    </w:p>
    <w:p w:rsidRPr="00617F74" w:rsidR="00A873B0" w:rsidP="00617F74" w:rsidRDefault="00A873B0" w14:paraId="01BDDAF0" w14:textId="77777777">
      <w:pPr>
        <w:ind w:left="540"/>
        <w:rPr>
          <w:rFonts w:asciiTheme="minorHAnsi" w:hAnsiTheme="minorHAnsi"/>
          <w:sz w:val="22"/>
        </w:rPr>
      </w:pPr>
    </w:p>
    <w:p w:rsidRPr="00617F74" w:rsidR="00617F74" w:rsidP="00617F74" w:rsidRDefault="00617F74" w14:paraId="6B84DFCF" w14:textId="77777777">
      <w:pPr>
        <w:ind w:left="540"/>
        <w:rPr>
          <w:rFonts w:asciiTheme="minorHAnsi" w:hAnsiTheme="minorHAnsi"/>
          <w:sz w:val="22"/>
        </w:rPr>
      </w:pPr>
      <w:r w:rsidRPr="00617F74">
        <w:rPr>
          <w:rFonts w:asciiTheme="minorHAnsi" w:hAnsiTheme="minorHAnsi"/>
          <w:sz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Pr="00617F74" w:rsidR="00617F74" w:rsidP="00617F74" w:rsidRDefault="00617F74" w14:paraId="638AF200" w14:textId="77777777">
      <w:pPr>
        <w:ind w:left="540"/>
        <w:rPr>
          <w:rFonts w:asciiTheme="minorHAnsi" w:hAnsiTheme="minorHAnsi"/>
          <w:sz w:val="22"/>
        </w:rPr>
      </w:pPr>
    </w:p>
    <w:p w:rsidRPr="00617F74" w:rsidR="00617F74" w:rsidP="00617F74" w:rsidRDefault="00617F74" w14:paraId="6472C6D6" w14:textId="77777777">
      <w:pPr>
        <w:ind w:left="540"/>
        <w:rPr>
          <w:rFonts w:asciiTheme="minorHAnsi" w:hAnsiTheme="minorHAnsi"/>
          <w:sz w:val="22"/>
        </w:rPr>
      </w:pPr>
      <w:r w:rsidRPr="00617F74">
        <w:rPr>
          <w:rFonts w:asciiTheme="minorHAnsi" w:hAnsiTheme="minorHAnsi"/>
          <w:sz w:val="22"/>
        </w:rPr>
        <w:t xml:space="preserve">The Privacy Act statement associated with this attachment is listed in the </w:t>
      </w:r>
      <w:r w:rsidR="0016207D">
        <w:rPr>
          <w:rFonts w:asciiTheme="minorHAnsi" w:hAnsiTheme="minorHAnsi"/>
          <w:sz w:val="22"/>
        </w:rPr>
        <w:t>instructions</w:t>
      </w:r>
      <w:r w:rsidRPr="00617F74">
        <w:rPr>
          <w:rFonts w:asciiTheme="minorHAnsi" w:hAnsiTheme="minorHAnsi"/>
          <w:sz w:val="22"/>
        </w:rPr>
        <w:t>.</w:t>
      </w:r>
    </w:p>
    <w:p w:rsidRPr="00BD1F42" w:rsidR="002C7C4B" w:rsidP="00637C90" w:rsidRDefault="002C7C4B" w14:paraId="2242DB9B" w14:textId="77777777">
      <w:pPr>
        <w:ind w:left="540"/>
        <w:rPr>
          <w:rFonts w:asciiTheme="minorHAnsi" w:hAnsiTheme="minorHAnsi"/>
          <w:sz w:val="22"/>
        </w:rPr>
      </w:pPr>
    </w:p>
    <w:p w:rsidRPr="001F656C" w:rsidR="00B860C5" w:rsidP="005078BE" w:rsidRDefault="009E3D48" w14:paraId="79EF974E" w14:textId="77777777">
      <w:pPr>
        <w:pStyle w:val="ListParagraph"/>
        <w:numPr>
          <w:ilvl w:val="0"/>
          <w:numId w:val="1"/>
        </w:numPr>
        <w:tabs>
          <w:tab w:val="left" w:pos="540"/>
        </w:tabs>
        <w:ind w:left="540" w:hanging="540"/>
        <w:rPr>
          <w:rFonts w:asciiTheme="minorHAnsi" w:hAnsiTheme="minorHAnsi"/>
          <w:sz w:val="22"/>
        </w:rPr>
      </w:pPr>
      <w:r w:rsidRPr="001F656C">
        <w:rPr>
          <w:rFonts w:asciiTheme="minorHAnsi" w:hAnsiTheme="minorHAnsi"/>
          <w:b/>
          <w:sz w:val="22"/>
          <w:u w:val="single"/>
        </w:rPr>
        <w:t>ESTIMA</w:t>
      </w:r>
      <w:r w:rsidRPr="00617F74">
        <w:rPr>
          <w:rFonts w:asciiTheme="minorHAnsi" w:hAnsiTheme="minorHAnsi"/>
          <w:b/>
          <w:sz w:val="22"/>
          <w:u w:val="single"/>
        </w:rPr>
        <w:t xml:space="preserve">TED BURDEN OF INFORMATION COLLECTION </w:t>
      </w:r>
    </w:p>
    <w:p w:rsidR="00D107CC" w:rsidP="00D107CC" w:rsidRDefault="00D107CC" w14:paraId="6D983AD4" w14:textId="77777777">
      <w:pPr>
        <w:pStyle w:val="Default"/>
        <w:rPr>
          <w:rFonts w:asciiTheme="minorHAnsi" w:hAnsiTheme="minorHAnsi"/>
          <w:sz w:val="22"/>
          <w:szCs w:val="22"/>
        </w:rPr>
      </w:pPr>
      <w:bookmarkStart w:name="_Hlk3891378" w:id="1"/>
    </w:p>
    <w:p w:rsidR="001F656C" w:rsidP="00D43C7E" w:rsidRDefault="001F656C" w14:paraId="081ABE4B" w14:textId="7A0EF8EB">
      <w:pPr>
        <w:ind w:left="540"/>
        <w:rPr>
          <w:rFonts w:asciiTheme="minorHAnsi" w:hAnsiTheme="minorHAnsi"/>
          <w:sz w:val="22"/>
        </w:rPr>
      </w:pPr>
      <w:r w:rsidRPr="000841A5">
        <w:rPr>
          <w:rFonts w:asciiTheme="minorHAnsi" w:hAnsiTheme="minorHAnsi"/>
          <w:sz w:val="22"/>
        </w:rPr>
        <w:t xml:space="preserve">Form 8822 is used </w:t>
      </w:r>
      <w:r w:rsidR="000841A5">
        <w:rPr>
          <w:rFonts w:asciiTheme="minorHAnsi" w:hAnsiTheme="minorHAnsi"/>
          <w:sz w:val="22"/>
        </w:rPr>
        <w:t>to change the address of</w:t>
      </w:r>
      <w:r w:rsidRPr="000841A5">
        <w:rPr>
          <w:rFonts w:asciiTheme="minorHAnsi" w:hAnsiTheme="minorHAnsi"/>
          <w:sz w:val="22"/>
        </w:rPr>
        <w:t xml:space="preserve"> individual</w:t>
      </w:r>
      <w:r w:rsidR="000841A5">
        <w:rPr>
          <w:rFonts w:asciiTheme="minorHAnsi" w:hAnsiTheme="minorHAnsi"/>
          <w:sz w:val="22"/>
        </w:rPr>
        <w:t xml:space="preserve">, </w:t>
      </w:r>
      <w:r w:rsidR="006A7D3C">
        <w:rPr>
          <w:rFonts w:asciiTheme="minorHAnsi" w:hAnsiTheme="minorHAnsi"/>
          <w:sz w:val="22"/>
        </w:rPr>
        <w:t>g</w:t>
      </w:r>
      <w:r w:rsidRPr="00D43C7E" w:rsidR="000841A5">
        <w:rPr>
          <w:rFonts w:asciiTheme="minorHAnsi" w:hAnsiTheme="minorHAnsi"/>
          <w:sz w:val="22"/>
        </w:rPr>
        <w:t xml:space="preserve">ift, </w:t>
      </w:r>
      <w:r w:rsidRPr="00D43C7E" w:rsidR="006A7D3C">
        <w:rPr>
          <w:rFonts w:asciiTheme="minorHAnsi" w:hAnsiTheme="minorHAnsi"/>
          <w:sz w:val="22"/>
        </w:rPr>
        <w:t>e</w:t>
      </w:r>
      <w:r w:rsidRPr="00D43C7E" w:rsidR="000841A5">
        <w:rPr>
          <w:rFonts w:asciiTheme="minorHAnsi" w:hAnsiTheme="minorHAnsi"/>
          <w:sz w:val="22"/>
        </w:rPr>
        <w:t xml:space="preserve">state, or </w:t>
      </w:r>
      <w:r w:rsidRPr="00D43C7E" w:rsidR="006A7D3C">
        <w:rPr>
          <w:rFonts w:asciiTheme="minorHAnsi" w:hAnsiTheme="minorHAnsi"/>
          <w:sz w:val="22"/>
        </w:rPr>
        <w:t>g</w:t>
      </w:r>
      <w:r w:rsidRPr="00D43C7E" w:rsidR="000841A5">
        <w:rPr>
          <w:rFonts w:asciiTheme="minorHAnsi" w:hAnsiTheme="minorHAnsi"/>
          <w:sz w:val="22"/>
        </w:rPr>
        <w:t>eneration-</w:t>
      </w:r>
      <w:r w:rsidRPr="00D43C7E" w:rsidR="006A7D3C">
        <w:rPr>
          <w:rFonts w:asciiTheme="minorHAnsi" w:hAnsiTheme="minorHAnsi"/>
          <w:sz w:val="22"/>
        </w:rPr>
        <w:t>s</w:t>
      </w:r>
      <w:r w:rsidRPr="00D43C7E" w:rsidR="000841A5">
        <w:rPr>
          <w:rFonts w:asciiTheme="minorHAnsi" w:hAnsiTheme="minorHAnsi"/>
          <w:sz w:val="22"/>
        </w:rPr>
        <w:t>kipping</w:t>
      </w:r>
      <w:r w:rsidRPr="00D43C7E" w:rsidR="006A247B">
        <w:rPr>
          <w:rFonts w:asciiTheme="minorHAnsi" w:hAnsiTheme="minorHAnsi"/>
          <w:sz w:val="22"/>
        </w:rPr>
        <w:t xml:space="preserve"> </w:t>
      </w:r>
      <w:r w:rsidRPr="00D43C7E" w:rsidR="006A7D3C">
        <w:rPr>
          <w:rFonts w:asciiTheme="minorHAnsi" w:hAnsiTheme="minorHAnsi"/>
          <w:sz w:val="22"/>
        </w:rPr>
        <w:t>t</w:t>
      </w:r>
      <w:r w:rsidRPr="00D43C7E" w:rsidR="000841A5">
        <w:rPr>
          <w:rFonts w:asciiTheme="minorHAnsi" w:hAnsiTheme="minorHAnsi"/>
          <w:sz w:val="22"/>
        </w:rPr>
        <w:t xml:space="preserve">ransfer </w:t>
      </w:r>
      <w:r w:rsidRPr="00D43C7E" w:rsidR="006A7D3C">
        <w:rPr>
          <w:rFonts w:asciiTheme="minorHAnsi" w:hAnsiTheme="minorHAnsi"/>
          <w:sz w:val="22"/>
        </w:rPr>
        <w:t>t</w:t>
      </w:r>
      <w:r w:rsidRPr="00D43C7E" w:rsidR="000841A5">
        <w:rPr>
          <w:rFonts w:asciiTheme="minorHAnsi" w:hAnsiTheme="minorHAnsi"/>
          <w:sz w:val="22"/>
        </w:rPr>
        <w:t xml:space="preserve">ax return filers. </w:t>
      </w:r>
      <w:bookmarkEnd w:id="1"/>
      <w:r w:rsidR="00D43C7E">
        <w:rPr>
          <w:rFonts w:asciiTheme="minorHAnsi" w:hAnsiTheme="minorHAnsi"/>
          <w:sz w:val="22"/>
        </w:rPr>
        <w:t>The burden for estate and trust</w:t>
      </w:r>
      <w:r w:rsidR="00F57457">
        <w:rPr>
          <w:rFonts w:asciiTheme="minorHAnsi" w:hAnsiTheme="minorHAnsi"/>
          <w:sz w:val="22"/>
        </w:rPr>
        <w:t>, and individual</w:t>
      </w:r>
      <w:r w:rsidR="00D43C7E">
        <w:rPr>
          <w:rFonts w:asciiTheme="minorHAnsi" w:hAnsiTheme="minorHAnsi"/>
          <w:sz w:val="22"/>
        </w:rPr>
        <w:t xml:space="preserve"> filers</w:t>
      </w:r>
      <w:r w:rsidR="006A7D3C">
        <w:rPr>
          <w:rFonts w:asciiTheme="minorHAnsi" w:hAnsiTheme="minorHAnsi"/>
          <w:sz w:val="22"/>
        </w:rPr>
        <w:t xml:space="preserve"> are</w:t>
      </w:r>
      <w:r w:rsidR="00D43C7E">
        <w:rPr>
          <w:rFonts w:asciiTheme="minorHAnsi" w:hAnsiTheme="minorHAnsi"/>
          <w:sz w:val="22"/>
        </w:rPr>
        <w:t xml:space="preserve"> </w:t>
      </w:r>
      <w:r w:rsidR="006A7D3C">
        <w:rPr>
          <w:rFonts w:asciiTheme="minorHAnsi" w:hAnsiTheme="minorHAnsi"/>
          <w:sz w:val="22"/>
        </w:rPr>
        <w:t>reported under 1545-1163.</w:t>
      </w:r>
    </w:p>
    <w:p w:rsidRPr="000841A5" w:rsidR="006A7D3C" w:rsidP="003D7359" w:rsidRDefault="006A7D3C" w14:paraId="050305DC" w14:textId="77777777">
      <w:pPr>
        <w:pStyle w:val="Default"/>
        <w:ind w:left="720"/>
        <w:rPr>
          <w:rFonts w:asciiTheme="minorHAnsi" w:hAnsiTheme="minorHAnsi"/>
          <w:sz w:val="22"/>
          <w:szCs w:val="22"/>
        </w:rPr>
      </w:pPr>
    </w:p>
    <w:p w:rsidR="006A7D3C" w:rsidP="006A247B" w:rsidRDefault="006A247B" w14:paraId="60048EC1" w14:textId="34962EA7">
      <w:pPr>
        <w:pStyle w:val="Default"/>
        <w:rPr>
          <w:rFonts w:cs="HelveticaNeueLT Std" w:asciiTheme="minorHAnsi" w:hAnsiTheme="minorHAnsi"/>
          <w:sz w:val="22"/>
          <w:szCs w:val="22"/>
        </w:rPr>
      </w:pPr>
      <w:bookmarkStart w:name="_Hlk3891482" w:id="2"/>
      <w:r>
        <w:rPr>
          <w:rFonts w:asciiTheme="minorHAnsi" w:hAnsiTheme="minorHAnsi"/>
          <w:sz w:val="22"/>
          <w:szCs w:val="22"/>
        </w:rPr>
        <w:t xml:space="preserve">           </w:t>
      </w:r>
      <w:r w:rsidRPr="006A7D3C" w:rsidR="000841A5">
        <w:rPr>
          <w:rFonts w:asciiTheme="minorHAnsi" w:hAnsiTheme="minorHAnsi"/>
          <w:sz w:val="22"/>
          <w:szCs w:val="22"/>
        </w:rPr>
        <w:t xml:space="preserve">Form 8822-B </w:t>
      </w:r>
      <w:r w:rsidR="00D107CC">
        <w:rPr>
          <w:rFonts w:asciiTheme="minorHAnsi" w:hAnsiTheme="minorHAnsi"/>
          <w:sz w:val="22"/>
          <w:szCs w:val="22"/>
        </w:rPr>
        <w:t>is</w:t>
      </w:r>
      <w:r w:rsidRPr="006A7D3C" w:rsidR="000841A5">
        <w:rPr>
          <w:rFonts w:asciiTheme="minorHAnsi" w:hAnsiTheme="minorHAnsi"/>
          <w:sz w:val="22"/>
          <w:szCs w:val="22"/>
        </w:rPr>
        <w:t xml:space="preserve"> used by business taxpayers </w:t>
      </w:r>
      <w:r w:rsidRPr="006A7D3C" w:rsidR="000841A5">
        <w:rPr>
          <w:rFonts w:cs="HelveticaNeueLT Std" w:asciiTheme="minorHAnsi" w:hAnsiTheme="minorHAnsi"/>
          <w:sz w:val="22"/>
          <w:szCs w:val="22"/>
        </w:rPr>
        <w:t>to notify the Internal Revenue Service if the</w:t>
      </w:r>
      <w:r w:rsidRPr="006A7D3C" w:rsidR="006A7D3C">
        <w:rPr>
          <w:rFonts w:cs="HelveticaNeueLT Std" w:asciiTheme="minorHAnsi" w:hAnsiTheme="minorHAnsi"/>
          <w:sz w:val="22"/>
          <w:szCs w:val="22"/>
        </w:rPr>
        <w:t>y</w:t>
      </w:r>
    </w:p>
    <w:p w:rsidR="006A7D3C" w:rsidP="006A247B" w:rsidRDefault="006A247B" w14:paraId="29E5670B" w14:textId="749E3F35">
      <w:pPr>
        <w:pStyle w:val="Default"/>
        <w:rPr>
          <w:rFonts w:cs="HelveticaNeueLT Std" w:asciiTheme="minorHAnsi" w:hAnsiTheme="minorHAnsi"/>
          <w:sz w:val="22"/>
          <w:szCs w:val="22"/>
        </w:rPr>
      </w:pPr>
      <w:r>
        <w:rPr>
          <w:rFonts w:cs="HelveticaNeueLT Std" w:asciiTheme="minorHAnsi" w:hAnsiTheme="minorHAnsi"/>
          <w:sz w:val="22"/>
          <w:szCs w:val="22"/>
        </w:rPr>
        <w:t xml:space="preserve">           </w:t>
      </w:r>
      <w:r w:rsidR="006A7D3C">
        <w:rPr>
          <w:rFonts w:cs="HelveticaNeueLT Std" w:asciiTheme="minorHAnsi" w:hAnsiTheme="minorHAnsi"/>
          <w:sz w:val="22"/>
          <w:szCs w:val="22"/>
        </w:rPr>
        <w:t>c</w:t>
      </w:r>
      <w:r w:rsidRPr="006A7D3C" w:rsidR="000841A5">
        <w:rPr>
          <w:rFonts w:cs="HelveticaNeueLT Std" w:asciiTheme="minorHAnsi" w:hAnsiTheme="minorHAnsi"/>
          <w:sz w:val="22"/>
          <w:szCs w:val="22"/>
        </w:rPr>
        <w:t>hanged</w:t>
      </w:r>
      <w:r w:rsidR="006A7D3C">
        <w:rPr>
          <w:rFonts w:cs="HelveticaNeueLT Std" w:asciiTheme="minorHAnsi" w:hAnsiTheme="minorHAnsi"/>
          <w:sz w:val="22"/>
          <w:szCs w:val="22"/>
        </w:rPr>
        <w:t xml:space="preserve"> </w:t>
      </w:r>
      <w:r w:rsidRPr="006A7D3C" w:rsidR="006A7D3C">
        <w:rPr>
          <w:rFonts w:cs="HelveticaNeueLT Std" w:asciiTheme="minorHAnsi" w:hAnsiTheme="minorHAnsi"/>
          <w:sz w:val="22"/>
          <w:szCs w:val="22"/>
        </w:rPr>
        <w:t>the</w:t>
      </w:r>
      <w:r w:rsidRPr="006A7D3C" w:rsidR="000841A5">
        <w:rPr>
          <w:rFonts w:cs="HelveticaNeueLT Std" w:asciiTheme="minorHAnsi" w:hAnsiTheme="minorHAnsi"/>
          <w:sz w:val="22"/>
          <w:szCs w:val="22"/>
        </w:rPr>
        <w:t xml:space="preserve"> business mailing address, business location, or the identity of </w:t>
      </w:r>
      <w:r w:rsidRPr="006A7D3C" w:rsidR="006A7D3C">
        <w:rPr>
          <w:rFonts w:cs="HelveticaNeueLT Std" w:asciiTheme="minorHAnsi" w:hAnsiTheme="minorHAnsi"/>
          <w:sz w:val="22"/>
          <w:szCs w:val="22"/>
        </w:rPr>
        <w:t>the</w:t>
      </w:r>
      <w:r w:rsidRPr="006A7D3C" w:rsidR="000841A5">
        <w:rPr>
          <w:rFonts w:cs="HelveticaNeueLT Std" w:asciiTheme="minorHAnsi" w:hAnsiTheme="minorHAnsi"/>
          <w:sz w:val="22"/>
          <w:szCs w:val="22"/>
        </w:rPr>
        <w:t xml:space="preserve"> responsible party.</w:t>
      </w:r>
    </w:p>
    <w:p w:rsidR="006A7D3C" w:rsidP="006A247B" w:rsidRDefault="006A247B" w14:paraId="60AEDE2C" w14:textId="6B69B463">
      <w:pPr>
        <w:pStyle w:val="Default"/>
        <w:rPr>
          <w:rFonts w:cs="HelveticaNeueLT Std" w:asciiTheme="minorHAnsi" w:hAnsiTheme="minorHAnsi"/>
          <w:sz w:val="22"/>
          <w:szCs w:val="22"/>
        </w:rPr>
      </w:pPr>
      <w:r>
        <w:rPr>
          <w:rFonts w:cs="HelveticaNeueLT Std" w:asciiTheme="minorHAnsi" w:hAnsiTheme="minorHAnsi"/>
          <w:sz w:val="22"/>
          <w:szCs w:val="22"/>
        </w:rPr>
        <w:t xml:space="preserve">           </w:t>
      </w:r>
      <w:r w:rsidRPr="006A7D3C" w:rsidR="000841A5">
        <w:rPr>
          <w:rFonts w:cs="HelveticaNeueLT Std" w:asciiTheme="minorHAnsi" w:hAnsiTheme="minorHAnsi"/>
          <w:sz w:val="22"/>
          <w:szCs w:val="22"/>
        </w:rPr>
        <w:t xml:space="preserve">Also, any entities that </w:t>
      </w:r>
      <w:r w:rsidR="006A7D3C">
        <w:rPr>
          <w:rFonts w:cs="HelveticaNeueLT Std" w:asciiTheme="minorHAnsi" w:hAnsiTheme="minorHAnsi"/>
          <w:sz w:val="22"/>
          <w:szCs w:val="22"/>
        </w:rPr>
        <w:t>ch</w:t>
      </w:r>
      <w:r w:rsidRPr="006A7D3C" w:rsidR="000841A5">
        <w:rPr>
          <w:rFonts w:cs="HelveticaNeueLT Std" w:asciiTheme="minorHAnsi" w:hAnsiTheme="minorHAnsi"/>
          <w:sz w:val="22"/>
          <w:szCs w:val="22"/>
        </w:rPr>
        <w:t>ange the address or identity of their responsible party must file Form</w:t>
      </w:r>
    </w:p>
    <w:p w:rsidR="006A7D3C" w:rsidP="006A247B" w:rsidRDefault="006A247B" w14:paraId="2F8E1B45" w14:textId="2B704D41">
      <w:pPr>
        <w:pStyle w:val="Default"/>
        <w:rPr>
          <w:rFonts w:cs="HelveticaNeueLT Std" w:asciiTheme="minorHAnsi" w:hAnsiTheme="minorHAnsi"/>
          <w:sz w:val="22"/>
          <w:szCs w:val="22"/>
        </w:rPr>
      </w:pPr>
      <w:r>
        <w:rPr>
          <w:rFonts w:cs="HelveticaNeueLT Std" w:asciiTheme="minorHAnsi" w:hAnsiTheme="minorHAnsi"/>
          <w:sz w:val="22"/>
          <w:szCs w:val="22"/>
        </w:rPr>
        <w:t xml:space="preserve">           </w:t>
      </w:r>
      <w:r w:rsidRPr="006A7D3C" w:rsidR="000841A5">
        <w:rPr>
          <w:rFonts w:cs="HelveticaNeueLT Std" w:asciiTheme="minorHAnsi" w:hAnsiTheme="minorHAnsi"/>
          <w:sz w:val="22"/>
          <w:szCs w:val="22"/>
        </w:rPr>
        <w:t xml:space="preserve">8822-B, </w:t>
      </w:r>
      <w:proofErr w:type="gramStart"/>
      <w:r w:rsidRPr="006A7D3C" w:rsidR="000841A5">
        <w:rPr>
          <w:rFonts w:cs="HelveticaNeueLT Std" w:asciiTheme="minorHAnsi" w:hAnsiTheme="minorHAnsi"/>
          <w:sz w:val="22"/>
          <w:szCs w:val="22"/>
        </w:rPr>
        <w:t>whether or not</w:t>
      </w:r>
      <w:proofErr w:type="gramEnd"/>
      <w:r w:rsidRPr="006A7D3C" w:rsidR="000841A5">
        <w:rPr>
          <w:rFonts w:cs="HelveticaNeueLT Std" w:asciiTheme="minorHAnsi" w:hAnsiTheme="minorHAnsi"/>
          <w:sz w:val="22"/>
          <w:szCs w:val="22"/>
        </w:rPr>
        <w:t xml:space="preserve"> they are</w:t>
      </w:r>
      <w:r w:rsidRPr="006A7D3C" w:rsidR="006A7D3C">
        <w:rPr>
          <w:rFonts w:cs="HelveticaNeueLT Std" w:asciiTheme="minorHAnsi" w:hAnsiTheme="minorHAnsi"/>
          <w:sz w:val="22"/>
          <w:szCs w:val="22"/>
        </w:rPr>
        <w:t xml:space="preserve"> </w:t>
      </w:r>
      <w:r w:rsidRPr="006A7D3C" w:rsidR="000841A5">
        <w:rPr>
          <w:rFonts w:cs="HelveticaNeueLT Std" w:asciiTheme="minorHAnsi" w:hAnsiTheme="minorHAnsi"/>
          <w:sz w:val="22"/>
          <w:szCs w:val="22"/>
        </w:rPr>
        <w:t xml:space="preserve">engaged in a trade or business. </w:t>
      </w:r>
      <w:bookmarkEnd w:id="2"/>
      <w:r w:rsidR="006A7D3C">
        <w:rPr>
          <w:rFonts w:cs="HelveticaNeueLT Std" w:asciiTheme="minorHAnsi" w:hAnsiTheme="minorHAnsi"/>
          <w:sz w:val="22"/>
          <w:szCs w:val="22"/>
        </w:rPr>
        <w:t xml:space="preserve">Form 1065 and </w:t>
      </w:r>
      <w:r w:rsidR="00746D3B">
        <w:rPr>
          <w:rFonts w:cs="HelveticaNeueLT Std" w:asciiTheme="minorHAnsi" w:hAnsiTheme="minorHAnsi"/>
          <w:sz w:val="22"/>
          <w:szCs w:val="22"/>
        </w:rPr>
        <w:t xml:space="preserve">1120 </w:t>
      </w:r>
      <w:r w:rsidR="006A7D3C">
        <w:rPr>
          <w:rFonts w:cs="HelveticaNeueLT Std" w:asciiTheme="minorHAnsi" w:hAnsiTheme="minorHAnsi"/>
          <w:sz w:val="22"/>
          <w:szCs w:val="22"/>
        </w:rPr>
        <w:t>filers of</w:t>
      </w:r>
    </w:p>
    <w:p w:rsidRPr="006A7D3C" w:rsidR="001F656C" w:rsidP="00D43C7E" w:rsidRDefault="006A7D3C" w14:paraId="4A100F83" w14:textId="0FCEA8C5">
      <w:pPr>
        <w:pStyle w:val="Default"/>
        <w:ind w:left="540"/>
        <w:rPr>
          <w:rFonts w:asciiTheme="minorHAnsi" w:hAnsiTheme="minorHAnsi"/>
          <w:sz w:val="22"/>
        </w:rPr>
      </w:pPr>
      <w:r>
        <w:rPr>
          <w:rFonts w:cs="HelveticaNeueLT Std" w:asciiTheme="minorHAnsi" w:hAnsiTheme="minorHAnsi"/>
          <w:sz w:val="22"/>
          <w:szCs w:val="22"/>
        </w:rPr>
        <w:t>Form 8822</w:t>
      </w:r>
      <w:r w:rsidR="00746D3B">
        <w:rPr>
          <w:rFonts w:cs="HelveticaNeueLT Std" w:asciiTheme="minorHAnsi" w:hAnsiTheme="minorHAnsi"/>
          <w:sz w:val="22"/>
          <w:szCs w:val="22"/>
        </w:rPr>
        <w:t>-B</w:t>
      </w:r>
      <w:r>
        <w:rPr>
          <w:rFonts w:cs="HelveticaNeueLT Std" w:asciiTheme="minorHAnsi" w:hAnsiTheme="minorHAnsi"/>
          <w:sz w:val="22"/>
          <w:szCs w:val="22"/>
        </w:rPr>
        <w:t xml:space="preserve"> are reported under 1545-0123. </w:t>
      </w:r>
      <w:r w:rsidR="00D43C7E">
        <w:rPr>
          <w:rFonts w:cs="HelveticaNeueLT Std" w:asciiTheme="minorHAnsi" w:hAnsiTheme="minorHAnsi"/>
          <w:sz w:val="22"/>
          <w:szCs w:val="22"/>
        </w:rPr>
        <w:t xml:space="preserve">The burden for estate and trust, tax-exempt, and </w:t>
      </w:r>
      <w:proofErr w:type="gramStart"/>
      <w:r w:rsidR="00D43C7E">
        <w:rPr>
          <w:rFonts w:cs="HelveticaNeueLT Std" w:asciiTheme="minorHAnsi" w:hAnsiTheme="minorHAnsi"/>
          <w:sz w:val="22"/>
          <w:szCs w:val="22"/>
        </w:rPr>
        <w:t>individuals</w:t>
      </w:r>
      <w:proofErr w:type="gramEnd"/>
      <w:r w:rsidR="00D43C7E">
        <w:rPr>
          <w:rFonts w:cs="HelveticaNeueLT Std" w:asciiTheme="minorHAnsi" w:hAnsiTheme="minorHAnsi"/>
          <w:sz w:val="22"/>
          <w:szCs w:val="22"/>
        </w:rPr>
        <w:t xml:space="preserve"> </w:t>
      </w:r>
      <w:r>
        <w:rPr>
          <w:rFonts w:cs="HelveticaNeueLT Std" w:asciiTheme="minorHAnsi" w:hAnsiTheme="minorHAnsi"/>
          <w:sz w:val="22"/>
          <w:szCs w:val="22"/>
        </w:rPr>
        <w:t>filers are reported under 1545-1163 (i.e.</w:t>
      </w:r>
      <w:r w:rsidR="006A247B">
        <w:rPr>
          <w:rFonts w:cs="HelveticaNeueLT Std" w:asciiTheme="minorHAnsi" w:hAnsiTheme="minorHAnsi"/>
          <w:sz w:val="22"/>
        </w:rPr>
        <w:t xml:space="preserve"> </w:t>
      </w:r>
      <w:r w:rsidRPr="006A7D3C">
        <w:rPr>
          <w:rFonts w:cs="HelveticaNeueLT Std" w:asciiTheme="minorHAnsi" w:hAnsiTheme="minorHAnsi"/>
          <w:sz w:val="22"/>
        </w:rPr>
        <w:t>Forms 720, 940, 941, 990, 1041, 5500, 5000-EZ</w:t>
      </w:r>
      <w:r w:rsidR="00D43C7E">
        <w:rPr>
          <w:rFonts w:cs="HelveticaNeueLT Std" w:asciiTheme="minorHAnsi" w:hAnsiTheme="minorHAnsi"/>
          <w:sz w:val="22"/>
        </w:rPr>
        <w:t>)</w:t>
      </w:r>
      <w:r w:rsidRPr="006A7D3C">
        <w:rPr>
          <w:rFonts w:cs="HelveticaNeueLT Std" w:asciiTheme="minorHAnsi" w:hAnsiTheme="minorHAnsi"/>
          <w:sz w:val="22"/>
        </w:rPr>
        <w:t>.</w:t>
      </w:r>
    </w:p>
    <w:p w:rsidRPr="00641BA3" w:rsidR="00641BA3" w:rsidP="00641BA3" w:rsidRDefault="00641BA3" w14:paraId="652FF41F" w14:textId="77777777">
      <w:pPr>
        <w:tabs>
          <w:tab w:val="left" w:pos="540"/>
        </w:tabs>
        <w:rPr>
          <w:rFonts w:asciiTheme="minorHAnsi" w:hAnsiTheme="minorHAnsi"/>
          <w:sz w:val="22"/>
        </w:rPr>
      </w:pPr>
    </w:p>
    <w:tbl>
      <w:tblPr>
        <w:tblW w:w="10185" w:type="dxa"/>
        <w:tblInd w:w="93" w:type="dxa"/>
        <w:tblLayout w:type="fixed"/>
        <w:tblLook w:val="04A0" w:firstRow="1" w:lastRow="0" w:firstColumn="1" w:lastColumn="0" w:noHBand="0" w:noVBand="1"/>
      </w:tblPr>
      <w:tblGrid>
        <w:gridCol w:w="1635"/>
        <w:gridCol w:w="3060"/>
        <w:gridCol w:w="990"/>
        <w:gridCol w:w="1170"/>
        <w:gridCol w:w="1080"/>
        <w:gridCol w:w="990"/>
        <w:gridCol w:w="1260"/>
      </w:tblGrid>
      <w:tr w:rsidR="00A648C2" w:rsidTr="00A648C2" w14:paraId="040CDE96" w14:textId="77777777">
        <w:trPr>
          <w:trHeight w:val="675"/>
        </w:trPr>
        <w:tc>
          <w:tcPr>
            <w:tcW w:w="1635" w:type="dxa"/>
            <w:tcBorders>
              <w:top w:val="single" w:color="auto" w:sz="8" w:space="0"/>
              <w:left w:val="single" w:color="auto" w:sz="8" w:space="0"/>
              <w:bottom w:val="single" w:color="auto" w:sz="8" w:space="0"/>
              <w:right w:val="single" w:color="auto" w:sz="8" w:space="0"/>
            </w:tcBorders>
            <w:noWrap/>
            <w:vAlign w:val="center"/>
            <w:hideMark/>
          </w:tcPr>
          <w:p w:rsidR="00A648C2" w:rsidRDefault="009302A1" w14:paraId="7BB539CD"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Form</w:t>
            </w:r>
          </w:p>
        </w:tc>
        <w:tc>
          <w:tcPr>
            <w:tcW w:w="3060" w:type="dxa"/>
            <w:tcBorders>
              <w:top w:val="single" w:color="auto" w:sz="8" w:space="0"/>
              <w:left w:val="nil"/>
              <w:bottom w:val="single" w:color="auto" w:sz="8" w:space="0"/>
              <w:right w:val="single" w:color="auto" w:sz="8" w:space="0"/>
            </w:tcBorders>
            <w:noWrap/>
            <w:vAlign w:val="center"/>
            <w:hideMark/>
          </w:tcPr>
          <w:p w:rsidR="00A648C2" w:rsidRDefault="00A648C2" w14:paraId="727766EE"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Description</w:t>
            </w:r>
          </w:p>
        </w:tc>
        <w:tc>
          <w:tcPr>
            <w:tcW w:w="990" w:type="dxa"/>
            <w:tcBorders>
              <w:top w:val="single" w:color="auto" w:sz="8" w:space="0"/>
              <w:left w:val="nil"/>
              <w:bottom w:val="single" w:color="auto" w:sz="8" w:space="0"/>
              <w:right w:val="single" w:color="auto" w:sz="8" w:space="0"/>
            </w:tcBorders>
            <w:vAlign w:val="center"/>
            <w:hideMark/>
          </w:tcPr>
          <w:p w:rsidR="00A648C2" w:rsidRDefault="00A648C2" w14:paraId="69B4A33B"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 Respondents</w:t>
            </w:r>
          </w:p>
        </w:tc>
        <w:tc>
          <w:tcPr>
            <w:tcW w:w="1170" w:type="dxa"/>
            <w:tcBorders>
              <w:top w:val="single" w:color="auto" w:sz="8" w:space="0"/>
              <w:left w:val="nil"/>
              <w:bottom w:val="single" w:color="auto" w:sz="8" w:space="0"/>
              <w:right w:val="single" w:color="auto" w:sz="8" w:space="0"/>
            </w:tcBorders>
            <w:vAlign w:val="center"/>
            <w:hideMark/>
          </w:tcPr>
          <w:p w:rsidR="00A648C2" w:rsidRDefault="00A648C2" w14:paraId="51E7087E" w14:textId="77777777">
            <w:pPr>
              <w:keepNext/>
              <w:keepLines/>
              <w:jc w:val="center"/>
              <w:rPr>
                <w:rFonts w:ascii="Arial Narrow" w:hAnsi="Arial Narrow" w:cs="Calibri"/>
                <w:color w:val="000000"/>
                <w:sz w:val="20"/>
                <w:szCs w:val="20"/>
              </w:rPr>
            </w:pPr>
            <w:r>
              <w:rPr>
                <w:rFonts w:ascii="Arial Narrow" w:hAnsi="Arial Narrow" w:cs="Calibri"/>
                <w:color w:val="000000"/>
                <w:sz w:val="20"/>
                <w:szCs w:val="20"/>
              </w:rPr>
              <w:t># Responses Per Respondent-</w:t>
            </w:r>
          </w:p>
          <w:p w:rsidR="00A648C2" w:rsidRDefault="00A648C2" w14:paraId="273D9F7E"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Approximate</w:t>
            </w:r>
          </w:p>
        </w:tc>
        <w:tc>
          <w:tcPr>
            <w:tcW w:w="1080" w:type="dxa"/>
            <w:tcBorders>
              <w:top w:val="single" w:color="auto" w:sz="8" w:space="0"/>
              <w:left w:val="nil"/>
              <w:bottom w:val="single" w:color="auto" w:sz="8" w:space="0"/>
              <w:right w:val="single" w:color="auto" w:sz="8" w:space="0"/>
            </w:tcBorders>
            <w:vAlign w:val="center"/>
            <w:hideMark/>
          </w:tcPr>
          <w:p w:rsidR="00A648C2" w:rsidRDefault="00A648C2" w14:paraId="021C76D3"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Total Annual Responses</w:t>
            </w:r>
          </w:p>
        </w:tc>
        <w:tc>
          <w:tcPr>
            <w:tcW w:w="990" w:type="dxa"/>
            <w:tcBorders>
              <w:top w:val="single" w:color="auto" w:sz="8" w:space="0"/>
              <w:left w:val="nil"/>
              <w:bottom w:val="single" w:color="auto" w:sz="8" w:space="0"/>
              <w:right w:val="single" w:color="auto" w:sz="8" w:space="0"/>
            </w:tcBorders>
            <w:vAlign w:val="center"/>
            <w:hideMark/>
          </w:tcPr>
          <w:p w:rsidR="00A648C2" w:rsidRDefault="00A648C2" w14:paraId="19072C29"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Hours Per Response</w:t>
            </w:r>
          </w:p>
        </w:tc>
        <w:tc>
          <w:tcPr>
            <w:tcW w:w="1260" w:type="dxa"/>
            <w:tcBorders>
              <w:top w:val="single" w:color="auto" w:sz="8" w:space="0"/>
              <w:left w:val="nil"/>
              <w:bottom w:val="single" w:color="auto" w:sz="8" w:space="0"/>
              <w:right w:val="single" w:color="auto" w:sz="8" w:space="0"/>
            </w:tcBorders>
            <w:vAlign w:val="center"/>
            <w:hideMark/>
          </w:tcPr>
          <w:p w:rsidR="00A648C2" w:rsidRDefault="00A648C2" w14:paraId="4335DA84"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Total Burden</w:t>
            </w:r>
          </w:p>
        </w:tc>
      </w:tr>
      <w:tr w:rsidR="00A648C2" w:rsidTr="00E37E63" w14:paraId="06AA9C69" w14:textId="77777777">
        <w:trPr>
          <w:trHeight w:val="345"/>
        </w:trPr>
        <w:tc>
          <w:tcPr>
            <w:tcW w:w="1635" w:type="dxa"/>
            <w:tcBorders>
              <w:top w:val="single" w:color="auto" w:sz="8" w:space="0"/>
              <w:left w:val="single" w:color="auto" w:sz="8" w:space="0"/>
              <w:bottom w:val="single" w:color="auto" w:sz="8" w:space="0"/>
              <w:right w:val="single" w:color="auto" w:sz="8" w:space="0"/>
            </w:tcBorders>
            <w:noWrap/>
            <w:vAlign w:val="center"/>
          </w:tcPr>
          <w:p w:rsidR="00A648C2" w:rsidRDefault="0016207D" w14:paraId="7CC3D1CB"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8822</w:t>
            </w:r>
          </w:p>
        </w:tc>
        <w:tc>
          <w:tcPr>
            <w:tcW w:w="3060" w:type="dxa"/>
            <w:tcBorders>
              <w:top w:val="single" w:color="auto" w:sz="8" w:space="0"/>
              <w:left w:val="single" w:color="auto" w:sz="8" w:space="0"/>
              <w:bottom w:val="single" w:color="auto" w:sz="8" w:space="0"/>
              <w:right w:val="single" w:color="auto" w:sz="8" w:space="0"/>
            </w:tcBorders>
            <w:vAlign w:val="center"/>
          </w:tcPr>
          <w:p w:rsidR="00A648C2" w:rsidP="005E6135" w:rsidRDefault="0016207D" w14:paraId="7F544683" w14:textId="77777777">
            <w:pPr>
              <w:keepNext/>
              <w:keepLines/>
              <w:widowControl w:val="0"/>
              <w:autoSpaceDN w:val="0"/>
              <w:rPr>
                <w:rFonts w:ascii="Arial Narrow" w:hAnsi="Arial Narrow" w:cs="Calibri"/>
                <w:color w:val="000000"/>
                <w:sz w:val="20"/>
                <w:szCs w:val="20"/>
              </w:rPr>
            </w:pPr>
            <w:r>
              <w:rPr>
                <w:rFonts w:ascii="Arial Narrow" w:hAnsi="Arial Narrow" w:cs="Calibri"/>
                <w:color w:val="000000"/>
                <w:sz w:val="20"/>
                <w:szCs w:val="20"/>
              </w:rPr>
              <w:t>Change of Address</w:t>
            </w:r>
          </w:p>
        </w:tc>
        <w:tc>
          <w:tcPr>
            <w:tcW w:w="990" w:type="dxa"/>
            <w:tcBorders>
              <w:top w:val="single" w:color="auto" w:sz="8" w:space="0"/>
              <w:left w:val="nil"/>
              <w:bottom w:val="single" w:color="auto" w:sz="8" w:space="0"/>
              <w:right w:val="single" w:color="auto" w:sz="8" w:space="0"/>
            </w:tcBorders>
            <w:noWrap/>
            <w:vAlign w:val="center"/>
          </w:tcPr>
          <w:p w:rsidR="00A648C2" w:rsidRDefault="00641BA3" w14:paraId="5F2213D6"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845,000</w:t>
            </w:r>
          </w:p>
        </w:tc>
        <w:tc>
          <w:tcPr>
            <w:tcW w:w="1170" w:type="dxa"/>
            <w:tcBorders>
              <w:top w:val="single" w:color="auto" w:sz="8" w:space="0"/>
              <w:left w:val="nil"/>
              <w:bottom w:val="single" w:color="auto" w:sz="8" w:space="0"/>
              <w:right w:val="single" w:color="auto" w:sz="8" w:space="0"/>
            </w:tcBorders>
            <w:noWrap/>
            <w:vAlign w:val="center"/>
          </w:tcPr>
          <w:p w:rsidR="00A648C2" w:rsidRDefault="00E37E63" w14:paraId="395FE983"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w:t>
            </w:r>
          </w:p>
        </w:tc>
        <w:tc>
          <w:tcPr>
            <w:tcW w:w="1080" w:type="dxa"/>
            <w:tcBorders>
              <w:top w:val="single" w:color="auto" w:sz="8" w:space="0"/>
              <w:left w:val="nil"/>
              <w:bottom w:val="single" w:color="auto" w:sz="8" w:space="0"/>
              <w:right w:val="single" w:color="auto" w:sz="8" w:space="0"/>
            </w:tcBorders>
            <w:noWrap/>
            <w:vAlign w:val="center"/>
          </w:tcPr>
          <w:p w:rsidR="00A648C2" w:rsidRDefault="00641BA3" w14:paraId="2F8E083A"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845,000</w:t>
            </w:r>
          </w:p>
        </w:tc>
        <w:tc>
          <w:tcPr>
            <w:tcW w:w="990" w:type="dxa"/>
            <w:tcBorders>
              <w:top w:val="single" w:color="auto" w:sz="8" w:space="0"/>
              <w:left w:val="nil"/>
              <w:bottom w:val="single" w:color="auto" w:sz="8" w:space="0"/>
              <w:right w:val="single" w:color="auto" w:sz="8" w:space="0"/>
            </w:tcBorders>
            <w:noWrap/>
            <w:vAlign w:val="center"/>
          </w:tcPr>
          <w:p w:rsidR="00A648C2" w:rsidP="00F87A66" w:rsidRDefault="00641BA3" w14:paraId="76DE7767"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.26 hours</w:t>
            </w:r>
          </w:p>
        </w:tc>
        <w:tc>
          <w:tcPr>
            <w:tcW w:w="1260" w:type="dxa"/>
            <w:tcBorders>
              <w:top w:val="single" w:color="auto" w:sz="8" w:space="0"/>
              <w:left w:val="nil"/>
              <w:bottom w:val="single" w:color="auto" w:sz="8" w:space="0"/>
              <w:right w:val="single" w:color="auto" w:sz="8" w:space="0"/>
            </w:tcBorders>
            <w:noWrap/>
            <w:vAlign w:val="center"/>
          </w:tcPr>
          <w:p w:rsidR="00A648C2" w:rsidP="00F87A66" w:rsidRDefault="00641BA3" w14:paraId="4F979E8E"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218,292</w:t>
            </w:r>
          </w:p>
        </w:tc>
      </w:tr>
      <w:tr w:rsidR="0016207D" w:rsidTr="006007BC" w14:paraId="6F0E3F5D" w14:textId="77777777">
        <w:trPr>
          <w:trHeight w:val="345"/>
        </w:trPr>
        <w:tc>
          <w:tcPr>
            <w:tcW w:w="1635" w:type="dxa"/>
            <w:tcBorders>
              <w:top w:val="single" w:color="auto" w:sz="8" w:space="0"/>
              <w:left w:val="single" w:color="auto" w:sz="8" w:space="0"/>
              <w:bottom w:val="single" w:color="auto" w:sz="8" w:space="0"/>
              <w:right w:val="single" w:color="auto" w:sz="8" w:space="0"/>
            </w:tcBorders>
            <w:noWrap/>
            <w:vAlign w:val="center"/>
          </w:tcPr>
          <w:p w:rsidR="0016207D" w:rsidRDefault="0016207D" w14:paraId="5A3F0E0F"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8822-B</w:t>
            </w:r>
          </w:p>
        </w:tc>
        <w:tc>
          <w:tcPr>
            <w:tcW w:w="3060" w:type="dxa"/>
            <w:tcBorders>
              <w:top w:val="single" w:color="auto" w:sz="8" w:space="0"/>
              <w:left w:val="single" w:color="auto" w:sz="8" w:space="0"/>
              <w:bottom w:val="single" w:color="auto" w:sz="8" w:space="0"/>
              <w:right w:val="single" w:color="auto" w:sz="8" w:space="0"/>
            </w:tcBorders>
            <w:vAlign w:val="center"/>
          </w:tcPr>
          <w:p w:rsidR="0016207D" w:rsidP="005E6135" w:rsidRDefault="0016207D" w14:paraId="400B2BD8" w14:textId="77777777">
            <w:pPr>
              <w:keepNext/>
              <w:keepLines/>
              <w:widowControl w:val="0"/>
              <w:autoSpaceDN w:val="0"/>
              <w:rPr>
                <w:rFonts w:ascii="Arial Narrow" w:hAnsi="Arial Narrow" w:cs="Calibri"/>
                <w:color w:val="000000"/>
                <w:sz w:val="20"/>
                <w:szCs w:val="20"/>
              </w:rPr>
            </w:pPr>
            <w:r>
              <w:rPr>
                <w:rFonts w:ascii="Arial Narrow" w:hAnsi="Arial Narrow" w:cs="Calibri"/>
                <w:color w:val="000000"/>
                <w:sz w:val="20"/>
                <w:szCs w:val="20"/>
              </w:rPr>
              <w:t xml:space="preserve">Change of Address </w:t>
            </w:r>
            <w:r w:rsidRPr="0016207D">
              <w:rPr>
                <w:rFonts w:ascii="Arial Narrow" w:hAnsi="Arial Narrow" w:cs="Calibri"/>
                <w:color w:val="000000"/>
                <w:sz w:val="20"/>
                <w:szCs w:val="20"/>
              </w:rPr>
              <w:t>or Responsible Party — Business</w:t>
            </w:r>
          </w:p>
        </w:tc>
        <w:tc>
          <w:tcPr>
            <w:tcW w:w="990" w:type="dxa"/>
            <w:tcBorders>
              <w:top w:val="single" w:color="auto" w:sz="8" w:space="0"/>
              <w:left w:val="nil"/>
              <w:bottom w:val="single" w:color="auto" w:sz="8" w:space="0"/>
              <w:right w:val="single" w:color="auto" w:sz="8" w:space="0"/>
            </w:tcBorders>
            <w:noWrap/>
            <w:vAlign w:val="center"/>
          </w:tcPr>
          <w:p w:rsidRPr="00641BA3" w:rsidR="0016207D" w:rsidRDefault="00641BA3" w14:paraId="079DC182" w14:textId="77777777">
            <w:pPr>
              <w:keepNext/>
              <w:keepLines/>
              <w:widowControl w:val="0"/>
              <w:autoSpaceDN w:val="0"/>
              <w:jc w:val="center"/>
              <w:rPr>
                <w:rFonts w:ascii="Arial Narrow" w:hAnsi="Arial Narrow" w:cs="Arial"/>
                <w:color w:val="000000"/>
                <w:sz w:val="20"/>
                <w:szCs w:val="20"/>
              </w:rPr>
            </w:pPr>
            <w:r w:rsidRPr="00641BA3">
              <w:rPr>
                <w:rFonts w:ascii="Arial Narrow" w:hAnsi="Arial Narrow" w:cs="Arial"/>
                <w:color w:val="000000"/>
                <w:sz w:val="20"/>
                <w:szCs w:val="20"/>
              </w:rPr>
              <w:t>15,</w:t>
            </w:r>
            <w:r w:rsidR="008C24F2">
              <w:rPr>
                <w:rFonts w:ascii="Arial Narrow" w:hAnsi="Arial Narrow" w:cs="Arial"/>
                <w:color w:val="000000"/>
                <w:sz w:val="20"/>
                <w:szCs w:val="20"/>
              </w:rPr>
              <w:t>5</w:t>
            </w:r>
            <w:r w:rsidRPr="00641BA3">
              <w:rPr>
                <w:rFonts w:ascii="Arial Narrow" w:hAnsi="Arial Narrow" w:cs="Arial"/>
                <w:color w:val="000000"/>
                <w:sz w:val="20"/>
                <w:szCs w:val="20"/>
              </w:rPr>
              <w:t>00</w:t>
            </w:r>
          </w:p>
        </w:tc>
        <w:tc>
          <w:tcPr>
            <w:tcW w:w="1170" w:type="dxa"/>
            <w:tcBorders>
              <w:top w:val="single" w:color="auto" w:sz="8" w:space="0"/>
              <w:left w:val="nil"/>
              <w:bottom w:val="single" w:color="auto" w:sz="8" w:space="0"/>
              <w:right w:val="single" w:color="auto" w:sz="8" w:space="0"/>
            </w:tcBorders>
            <w:noWrap/>
            <w:vAlign w:val="center"/>
          </w:tcPr>
          <w:p w:rsidR="0016207D" w:rsidRDefault="00641BA3" w14:paraId="4A154901"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w:t>
            </w:r>
          </w:p>
        </w:tc>
        <w:tc>
          <w:tcPr>
            <w:tcW w:w="1080" w:type="dxa"/>
            <w:tcBorders>
              <w:top w:val="single" w:color="auto" w:sz="8" w:space="0"/>
              <w:left w:val="nil"/>
              <w:bottom w:val="single" w:color="auto" w:sz="8" w:space="0"/>
              <w:right w:val="single" w:color="auto" w:sz="8" w:space="0"/>
            </w:tcBorders>
            <w:noWrap/>
            <w:vAlign w:val="center"/>
          </w:tcPr>
          <w:p w:rsidR="0016207D" w:rsidRDefault="008C24F2" w14:paraId="2D9E8EB8" w14:textId="77777777">
            <w:pPr>
              <w:keepNext/>
              <w:keepLines/>
              <w:widowControl w:val="0"/>
              <w:autoSpaceDN w:val="0"/>
              <w:jc w:val="center"/>
              <w:rPr>
                <w:rFonts w:ascii="Arial Narrow" w:hAnsi="Arial Narrow" w:cs="Calibri"/>
                <w:color w:val="000000"/>
                <w:sz w:val="20"/>
                <w:szCs w:val="20"/>
              </w:rPr>
            </w:pPr>
            <w:r w:rsidRPr="00641BA3">
              <w:rPr>
                <w:rFonts w:ascii="Arial Narrow" w:hAnsi="Arial Narrow" w:cs="Arial"/>
                <w:color w:val="000000"/>
                <w:sz w:val="20"/>
                <w:szCs w:val="20"/>
              </w:rPr>
              <w:t>15,</w:t>
            </w:r>
            <w:r>
              <w:rPr>
                <w:rFonts w:ascii="Arial Narrow" w:hAnsi="Arial Narrow" w:cs="Arial"/>
                <w:color w:val="000000"/>
                <w:sz w:val="20"/>
                <w:szCs w:val="20"/>
              </w:rPr>
              <w:t>5</w:t>
            </w:r>
            <w:r w:rsidRPr="00641BA3">
              <w:rPr>
                <w:rFonts w:ascii="Arial Narrow" w:hAnsi="Arial Narrow" w:cs="Arial"/>
                <w:color w:val="000000"/>
                <w:sz w:val="20"/>
                <w:szCs w:val="20"/>
              </w:rPr>
              <w:t>00</w:t>
            </w:r>
          </w:p>
        </w:tc>
        <w:tc>
          <w:tcPr>
            <w:tcW w:w="990" w:type="dxa"/>
            <w:tcBorders>
              <w:top w:val="single" w:color="auto" w:sz="8" w:space="0"/>
              <w:left w:val="nil"/>
              <w:bottom w:val="single" w:color="auto" w:sz="8" w:space="0"/>
              <w:right w:val="single" w:color="auto" w:sz="8" w:space="0"/>
            </w:tcBorders>
            <w:noWrap/>
            <w:vAlign w:val="center"/>
          </w:tcPr>
          <w:p w:rsidR="0016207D" w:rsidP="00F87A66" w:rsidRDefault="00641BA3" w14:paraId="36D5FD24"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.3 hours</w:t>
            </w:r>
          </w:p>
        </w:tc>
        <w:tc>
          <w:tcPr>
            <w:tcW w:w="1260" w:type="dxa"/>
            <w:tcBorders>
              <w:top w:val="single" w:color="auto" w:sz="8" w:space="0"/>
              <w:left w:val="nil"/>
              <w:bottom w:val="single" w:color="auto" w:sz="8" w:space="0"/>
              <w:right w:val="single" w:color="auto" w:sz="8" w:space="0"/>
            </w:tcBorders>
            <w:noWrap/>
            <w:vAlign w:val="center"/>
          </w:tcPr>
          <w:p w:rsidR="0016207D" w:rsidP="00F87A66" w:rsidRDefault="00641BA3" w14:paraId="4A5D0ED1" w14:textId="0F07F40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4</w:t>
            </w:r>
            <w:r w:rsidR="00671735">
              <w:rPr>
                <w:rFonts w:ascii="Arial Narrow" w:hAnsi="Arial Narrow" w:cs="Calibri"/>
                <w:color w:val="000000"/>
                <w:sz w:val="20"/>
                <w:szCs w:val="20"/>
              </w:rPr>
              <w:t>,</w:t>
            </w:r>
            <w:r>
              <w:rPr>
                <w:rFonts w:ascii="Arial Narrow" w:hAnsi="Arial Narrow" w:cs="Calibri"/>
                <w:color w:val="000000"/>
                <w:sz w:val="20"/>
                <w:szCs w:val="20"/>
              </w:rPr>
              <w:t>650</w:t>
            </w:r>
          </w:p>
        </w:tc>
      </w:tr>
      <w:tr w:rsidR="006007BC" w:rsidTr="006007BC" w14:paraId="51304778" w14:textId="77777777">
        <w:trPr>
          <w:trHeight w:val="345"/>
        </w:trPr>
        <w:tc>
          <w:tcPr>
            <w:tcW w:w="1635" w:type="dxa"/>
            <w:tcBorders>
              <w:top w:val="single" w:color="auto" w:sz="8" w:space="0"/>
              <w:left w:val="single" w:color="auto" w:sz="8" w:space="0"/>
              <w:bottom w:val="single" w:color="auto" w:sz="8" w:space="0"/>
              <w:right w:val="single" w:color="auto" w:sz="8" w:space="0"/>
            </w:tcBorders>
            <w:noWrap/>
            <w:vAlign w:val="center"/>
          </w:tcPr>
          <w:p w:rsidR="006007BC" w:rsidRDefault="00E37E63" w14:paraId="10A1D204"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TOTAL</w:t>
            </w:r>
          </w:p>
        </w:tc>
        <w:tc>
          <w:tcPr>
            <w:tcW w:w="3060" w:type="dxa"/>
            <w:tcBorders>
              <w:top w:val="single" w:color="auto" w:sz="8" w:space="0"/>
              <w:left w:val="single" w:color="auto" w:sz="8" w:space="0"/>
              <w:bottom w:val="single" w:color="auto" w:sz="8" w:space="0"/>
              <w:right w:val="single" w:color="auto" w:sz="8" w:space="0"/>
            </w:tcBorders>
            <w:vAlign w:val="center"/>
          </w:tcPr>
          <w:p w:rsidR="006007BC" w:rsidP="005E6135" w:rsidRDefault="006007BC" w14:paraId="2B02A76A" w14:textId="77777777">
            <w:pPr>
              <w:keepNext/>
              <w:keepLines/>
              <w:widowControl w:val="0"/>
              <w:autoSpaceDN w:val="0"/>
              <w:rPr>
                <w:rFonts w:ascii="Arial Narrow" w:hAnsi="Arial Narrow" w:cs="Calibri"/>
                <w:color w:val="000000"/>
                <w:sz w:val="20"/>
                <w:szCs w:val="20"/>
              </w:rPr>
            </w:pPr>
          </w:p>
        </w:tc>
        <w:tc>
          <w:tcPr>
            <w:tcW w:w="990" w:type="dxa"/>
            <w:tcBorders>
              <w:top w:val="single" w:color="auto" w:sz="8" w:space="0"/>
              <w:left w:val="nil"/>
              <w:bottom w:val="single" w:color="auto" w:sz="8" w:space="0"/>
              <w:right w:val="single" w:color="auto" w:sz="8" w:space="0"/>
            </w:tcBorders>
            <w:noWrap/>
            <w:vAlign w:val="center"/>
          </w:tcPr>
          <w:p w:rsidR="006007BC" w:rsidRDefault="006007BC" w14:paraId="1FDD5DAF" w14:textId="77777777">
            <w:pPr>
              <w:keepNext/>
              <w:keepLines/>
              <w:widowControl w:val="0"/>
              <w:autoSpaceDN w:val="0"/>
              <w:jc w:val="center"/>
              <w:rPr>
                <w:rFonts w:ascii="Arial Narrow" w:hAnsi="Arial Narrow" w:cs="Calibri"/>
                <w:color w:val="000000"/>
                <w:sz w:val="20"/>
                <w:szCs w:val="20"/>
              </w:rPr>
            </w:pPr>
          </w:p>
        </w:tc>
        <w:tc>
          <w:tcPr>
            <w:tcW w:w="1170" w:type="dxa"/>
            <w:tcBorders>
              <w:top w:val="single" w:color="auto" w:sz="8" w:space="0"/>
              <w:left w:val="nil"/>
              <w:bottom w:val="single" w:color="auto" w:sz="8" w:space="0"/>
              <w:right w:val="single" w:color="auto" w:sz="8" w:space="0"/>
            </w:tcBorders>
            <w:noWrap/>
            <w:vAlign w:val="center"/>
          </w:tcPr>
          <w:p w:rsidR="006007BC" w:rsidRDefault="006007BC" w14:paraId="0A5FC3B1" w14:textId="77777777">
            <w:pPr>
              <w:keepNext/>
              <w:keepLines/>
              <w:widowControl w:val="0"/>
              <w:autoSpaceDN w:val="0"/>
              <w:jc w:val="center"/>
              <w:rPr>
                <w:rFonts w:ascii="Arial Narrow" w:hAnsi="Arial Narrow" w:cs="Calibri"/>
                <w:color w:val="000000"/>
                <w:sz w:val="20"/>
                <w:szCs w:val="20"/>
              </w:rPr>
            </w:pPr>
          </w:p>
        </w:tc>
        <w:tc>
          <w:tcPr>
            <w:tcW w:w="1080" w:type="dxa"/>
            <w:tcBorders>
              <w:top w:val="single" w:color="auto" w:sz="8" w:space="0"/>
              <w:left w:val="nil"/>
              <w:bottom w:val="single" w:color="auto" w:sz="8" w:space="0"/>
              <w:right w:val="single" w:color="auto" w:sz="8" w:space="0"/>
            </w:tcBorders>
            <w:noWrap/>
            <w:vAlign w:val="center"/>
          </w:tcPr>
          <w:p w:rsidR="006007BC" w:rsidRDefault="008C24F2" w14:paraId="16E30ADC"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fldChar w:fldCharType="begin"/>
            </w:r>
            <w:r>
              <w:rPr>
                <w:rFonts w:ascii="Arial Narrow" w:hAnsi="Arial Narrow" w:cs="Calibri"/>
                <w:color w:val="000000"/>
                <w:sz w:val="20"/>
                <w:szCs w:val="20"/>
              </w:rPr>
              <w:instrText xml:space="preserve"> =SUM(ABOVE) </w:instrText>
            </w:r>
            <w:r>
              <w:rPr>
                <w:rFonts w:ascii="Arial Narrow" w:hAnsi="Arial Narrow" w:cs="Calibri"/>
                <w:color w:val="000000"/>
                <w:sz w:val="20"/>
                <w:szCs w:val="20"/>
              </w:rPr>
              <w:fldChar w:fldCharType="separate"/>
            </w:r>
            <w:r>
              <w:rPr>
                <w:rFonts w:ascii="Arial Narrow" w:hAnsi="Arial Narrow" w:cs="Calibri"/>
                <w:noProof/>
                <w:color w:val="000000"/>
                <w:sz w:val="20"/>
                <w:szCs w:val="20"/>
              </w:rPr>
              <w:t>860,500</w:t>
            </w:r>
            <w:r>
              <w:rPr>
                <w:rFonts w:ascii="Arial Narrow" w:hAnsi="Arial Narrow" w:cs="Calibri"/>
                <w:color w:val="000000"/>
                <w:sz w:val="20"/>
                <w:szCs w:val="20"/>
              </w:rPr>
              <w:fldChar w:fldCharType="end"/>
            </w:r>
          </w:p>
        </w:tc>
        <w:tc>
          <w:tcPr>
            <w:tcW w:w="990" w:type="dxa"/>
            <w:tcBorders>
              <w:top w:val="single" w:color="auto" w:sz="8" w:space="0"/>
              <w:left w:val="nil"/>
              <w:bottom w:val="single" w:color="auto" w:sz="8" w:space="0"/>
              <w:right w:val="single" w:color="auto" w:sz="8" w:space="0"/>
            </w:tcBorders>
            <w:noWrap/>
            <w:vAlign w:val="center"/>
          </w:tcPr>
          <w:p w:rsidR="006007BC" w:rsidP="00F87A66" w:rsidRDefault="006007BC" w14:paraId="1F245E2F" w14:textId="77777777">
            <w:pPr>
              <w:keepNext/>
              <w:keepLines/>
              <w:widowControl w:val="0"/>
              <w:autoSpaceDN w:val="0"/>
              <w:jc w:val="center"/>
              <w:rPr>
                <w:rFonts w:ascii="Arial Narrow" w:hAnsi="Arial Narrow" w:cs="Calibri"/>
                <w:color w:val="000000"/>
                <w:sz w:val="20"/>
                <w:szCs w:val="20"/>
              </w:rPr>
            </w:pPr>
          </w:p>
        </w:tc>
        <w:tc>
          <w:tcPr>
            <w:tcW w:w="1260" w:type="dxa"/>
            <w:tcBorders>
              <w:top w:val="single" w:color="auto" w:sz="8" w:space="0"/>
              <w:left w:val="nil"/>
              <w:bottom w:val="single" w:color="auto" w:sz="8" w:space="0"/>
              <w:right w:val="single" w:color="auto" w:sz="8" w:space="0"/>
            </w:tcBorders>
            <w:noWrap/>
            <w:vAlign w:val="center"/>
          </w:tcPr>
          <w:p w:rsidR="006007BC" w:rsidP="00F87A66" w:rsidRDefault="008C24F2" w14:paraId="513DF6C2"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fldChar w:fldCharType="begin"/>
            </w:r>
            <w:r>
              <w:rPr>
                <w:rFonts w:ascii="Arial Narrow" w:hAnsi="Arial Narrow" w:cs="Calibri"/>
                <w:color w:val="000000"/>
                <w:sz w:val="20"/>
                <w:szCs w:val="20"/>
              </w:rPr>
              <w:instrText xml:space="preserve"> =SUM(ABOVE) </w:instrText>
            </w:r>
            <w:r>
              <w:rPr>
                <w:rFonts w:ascii="Arial Narrow" w:hAnsi="Arial Narrow" w:cs="Calibri"/>
                <w:color w:val="000000"/>
                <w:sz w:val="20"/>
                <w:szCs w:val="20"/>
              </w:rPr>
              <w:fldChar w:fldCharType="separate"/>
            </w:r>
            <w:r>
              <w:rPr>
                <w:rFonts w:ascii="Arial Narrow" w:hAnsi="Arial Narrow" w:cs="Calibri"/>
                <w:noProof/>
                <w:color w:val="000000"/>
                <w:sz w:val="20"/>
                <w:szCs w:val="20"/>
              </w:rPr>
              <w:t>222,942</w:t>
            </w:r>
            <w:r>
              <w:rPr>
                <w:rFonts w:ascii="Arial Narrow" w:hAnsi="Arial Narrow" w:cs="Calibri"/>
                <w:color w:val="000000"/>
                <w:sz w:val="20"/>
                <w:szCs w:val="20"/>
              </w:rPr>
              <w:fldChar w:fldCharType="end"/>
            </w:r>
          </w:p>
        </w:tc>
      </w:tr>
    </w:tbl>
    <w:p w:rsidR="009F01D3" w:rsidP="006007BC" w:rsidRDefault="009F01D3" w14:paraId="30A063E5" w14:textId="6B8C6411">
      <w:pPr>
        <w:autoSpaceDE w:val="0"/>
        <w:autoSpaceDN w:val="0"/>
        <w:adjustRightInd w:val="0"/>
        <w:ind w:left="540"/>
        <w:rPr>
          <w:rFonts w:cs="Times New Roman" w:asciiTheme="minorHAnsi" w:hAnsiTheme="minorHAnsi"/>
          <w:sz w:val="22"/>
        </w:rPr>
      </w:pPr>
    </w:p>
    <w:p w:rsidR="007073D8" w:rsidP="006007BC" w:rsidRDefault="007073D8" w14:paraId="03E7BFDD" w14:textId="77777777">
      <w:pPr>
        <w:autoSpaceDE w:val="0"/>
        <w:autoSpaceDN w:val="0"/>
        <w:adjustRightInd w:val="0"/>
        <w:ind w:left="540"/>
        <w:rPr>
          <w:rFonts w:cs="Times New Roman" w:asciiTheme="minorHAnsi" w:hAnsiTheme="minorHAnsi"/>
          <w:sz w:val="22"/>
        </w:rPr>
      </w:pPr>
    </w:p>
    <w:p w:rsidRPr="00DA39D1" w:rsidR="009E3D48" w:rsidP="00DA39D1" w:rsidRDefault="00DA39D1" w14:paraId="359D0F7A" w14:textId="04A9D858">
      <w:pPr>
        <w:autoSpaceDE w:val="0"/>
        <w:autoSpaceDN w:val="0"/>
        <w:adjustRightInd w:val="0"/>
        <w:rPr>
          <w:szCs w:val="24"/>
        </w:rPr>
      </w:pPr>
      <w:r w:rsidRPr="00DA39D1">
        <w:rPr>
          <w:rFonts w:asciiTheme="minorHAnsi" w:hAnsiTheme="minorHAnsi"/>
          <w:b/>
          <w:sz w:val="22"/>
        </w:rPr>
        <w:lastRenderedPageBreak/>
        <w:t xml:space="preserve">13.  </w:t>
      </w:r>
      <w:r w:rsidRPr="00DA39D1" w:rsidR="009E3D48">
        <w:rPr>
          <w:rFonts w:asciiTheme="minorHAnsi" w:hAnsiTheme="minorHAnsi"/>
          <w:b/>
          <w:sz w:val="22"/>
          <w:u w:val="single"/>
        </w:rPr>
        <w:t xml:space="preserve">ESTIMATED TOTAL ANNUAL COST BURDEN TO RESPONDENTS </w:t>
      </w:r>
    </w:p>
    <w:p w:rsidRPr="00F87A66" w:rsidR="009E3D48" w:rsidP="009E3D48" w:rsidRDefault="009E3D48" w14:paraId="656799CE" w14:textId="77777777">
      <w:pPr>
        <w:tabs>
          <w:tab w:val="left" w:pos="540"/>
        </w:tabs>
        <w:ind w:left="540" w:hanging="540"/>
        <w:rPr>
          <w:rFonts w:asciiTheme="minorHAnsi" w:hAnsiTheme="minorHAnsi"/>
          <w:b/>
          <w:sz w:val="22"/>
        </w:rPr>
      </w:pPr>
    </w:p>
    <w:p w:rsidR="00DA39D1" w:rsidP="009E3D48" w:rsidRDefault="00DA39D1" w14:paraId="08C501E8" w14:textId="26F2406D">
      <w:pPr>
        <w:tabs>
          <w:tab w:val="left" w:pos="540"/>
        </w:tabs>
        <w:ind w:left="540" w:hanging="540"/>
        <w:rPr>
          <w:rFonts w:asciiTheme="minorHAnsi" w:hAnsiTheme="minorHAnsi"/>
          <w:sz w:val="22"/>
        </w:rPr>
      </w:pPr>
      <w:r>
        <w:rPr>
          <w:rFonts w:asciiTheme="minorHAnsi" w:hAnsiTheme="minorHAnsi"/>
          <w:sz w:val="22"/>
        </w:rPr>
        <w:t xml:space="preserve">        </w:t>
      </w:r>
      <w:r w:rsidRPr="00F87A66" w:rsidR="00A648C2">
        <w:rPr>
          <w:rFonts w:asciiTheme="minorHAnsi" w:hAnsiTheme="minorHAnsi"/>
          <w:sz w:val="22"/>
        </w:rPr>
        <w:t>To ensure more accuracy and consistency across its information collections, IRS is currently in the</w:t>
      </w:r>
      <w:r>
        <w:rPr>
          <w:rFonts w:asciiTheme="minorHAnsi" w:hAnsiTheme="minorHAnsi"/>
          <w:sz w:val="22"/>
        </w:rPr>
        <w:t xml:space="preserve"> </w:t>
      </w:r>
    </w:p>
    <w:p w:rsidR="00DA39D1" w:rsidP="009E3D48" w:rsidRDefault="00DA39D1" w14:paraId="10B308A8" w14:textId="369E53B7">
      <w:pPr>
        <w:tabs>
          <w:tab w:val="left" w:pos="540"/>
        </w:tabs>
        <w:ind w:left="540" w:hanging="540"/>
        <w:rPr>
          <w:rFonts w:asciiTheme="minorHAnsi" w:hAnsiTheme="minorHAnsi"/>
          <w:sz w:val="22"/>
        </w:rPr>
      </w:pPr>
      <w:r>
        <w:rPr>
          <w:rFonts w:asciiTheme="minorHAnsi" w:hAnsiTheme="minorHAnsi"/>
          <w:sz w:val="22"/>
        </w:rPr>
        <w:t xml:space="preserve">        </w:t>
      </w:r>
      <w:r w:rsidRPr="00F87A66" w:rsidR="00A648C2">
        <w:rPr>
          <w:rFonts w:asciiTheme="minorHAnsi" w:hAnsiTheme="minorHAnsi"/>
          <w:sz w:val="22"/>
        </w:rPr>
        <w:t>process of revising the methodology it uses to estimate burden and costs. Once this methodology is</w:t>
      </w:r>
    </w:p>
    <w:p w:rsidR="00DA39D1" w:rsidP="009E3D48" w:rsidRDefault="00DA39D1" w14:paraId="3F1F4128" w14:textId="72FE5D35">
      <w:pPr>
        <w:tabs>
          <w:tab w:val="left" w:pos="540"/>
        </w:tabs>
        <w:ind w:left="540" w:hanging="540"/>
        <w:rPr>
          <w:rFonts w:asciiTheme="minorHAnsi" w:hAnsiTheme="minorHAnsi"/>
          <w:sz w:val="22"/>
        </w:rPr>
      </w:pPr>
      <w:r>
        <w:rPr>
          <w:rFonts w:asciiTheme="minorHAnsi" w:hAnsiTheme="minorHAnsi"/>
          <w:sz w:val="22"/>
        </w:rPr>
        <w:t xml:space="preserve">       </w:t>
      </w:r>
      <w:r w:rsidRPr="00F87A66" w:rsidR="00A648C2">
        <w:rPr>
          <w:rFonts w:asciiTheme="minorHAnsi" w:hAnsiTheme="minorHAnsi"/>
          <w:sz w:val="22"/>
        </w:rPr>
        <w:t xml:space="preserve"> complete, IRS will update this information collection to reflect a more precise estimate of burden </w:t>
      </w:r>
    </w:p>
    <w:p w:rsidRPr="00F87A66" w:rsidR="00641BA3" w:rsidP="009E3D48" w:rsidRDefault="00DA39D1" w14:paraId="52844F8C" w14:textId="234AB045">
      <w:pPr>
        <w:tabs>
          <w:tab w:val="left" w:pos="540"/>
        </w:tabs>
        <w:ind w:left="540" w:hanging="540"/>
        <w:rPr>
          <w:rFonts w:asciiTheme="minorHAnsi" w:hAnsiTheme="minorHAnsi"/>
          <w:sz w:val="22"/>
        </w:rPr>
      </w:pPr>
      <w:r>
        <w:rPr>
          <w:rFonts w:asciiTheme="minorHAnsi" w:hAnsiTheme="minorHAnsi"/>
          <w:sz w:val="22"/>
        </w:rPr>
        <w:t xml:space="preserve">        </w:t>
      </w:r>
      <w:r w:rsidRPr="00F87A66" w:rsidR="00A648C2">
        <w:rPr>
          <w:rFonts w:asciiTheme="minorHAnsi" w:hAnsiTheme="minorHAnsi"/>
          <w:sz w:val="22"/>
        </w:rPr>
        <w:t>and costs.</w:t>
      </w:r>
      <w:r w:rsidR="009302A1">
        <w:rPr>
          <w:rFonts w:asciiTheme="minorHAnsi" w:hAnsiTheme="minorHAnsi"/>
          <w:sz w:val="22"/>
        </w:rPr>
        <w:t xml:space="preserve">   </w:t>
      </w:r>
    </w:p>
    <w:p w:rsidRPr="00DC1585" w:rsidR="009E3D48" w:rsidP="009E3D48" w:rsidRDefault="009E3D48" w14:paraId="38EC9449" w14:textId="77777777">
      <w:pPr>
        <w:tabs>
          <w:tab w:val="left" w:pos="540"/>
        </w:tabs>
        <w:ind w:left="540" w:hanging="540"/>
        <w:rPr>
          <w:rFonts w:asciiTheme="minorHAnsi" w:hAnsiTheme="minorHAnsi"/>
          <w:b/>
          <w:sz w:val="22"/>
          <w:u w:val="single"/>
        </w:rPr>
      </w:pPr>
    </w:p>
    <w:p w:rsidRPr="00DA39D1" w:rsidR="009E3D48" w:rsidP="00DA39D1" w:rsidRDefault="00DA39D1" w14:paraId="670199F8" w14:textId="52F10DC3">
      <w:pPr>
        <w:tabs>
          <w:tab w:val="left" w:pos="540"/>
        </w:tabs>
        <w:rPr>
          <w:rFonts w:asciiTheme="minorHAnsi" w:hAnsiTheme="minorHAnsi"/>
          <w:b/>
          <w:sz w:val="22"/>
          <w:u w:val="single"/>
        </w:rPr>
      </w:pPr>
      <w:r w:rsidRPr="00DA39D1">
        <w:rPr>
          <w:rFonts w:asciiTheme="minorHAnsi" w:hAnsiTheme="minorHAnsi"/>
          <w:b/>
          <w:sz w:val="22"/>
        </w:rPr>
        <w:t xml:space="preserve">14.   </w:t>
      </w:r>
      <w:r w:rsidRPr="00DA39D1" w:rsidR="009E3D48">
        <w:rPr>
          <w:rFonts w:asciiTheme="minorHAnsi" w:hAnsiTheme="minorHAnsi"/>
          <w:b/>
          <w:sz w:val="22"/>
          <w:u w:val="single"/>
        </w:rPr>
        <w:t xml:space="preserve">ESTIMATED ANNUALIZED COST TO THE FEDERAL GOVERNMENT </w:t>
      </w:r>
    </w:p>
    <w:p w:rsidRPr="00F87A66" w:rsidR="009E3D48" w:rsidP="009E3D48" w:rsidRDefault="009E3D48" w14:paraId="437CBD0C" w14:textId="77777777">
      <w:pPr>
        <w:tabs>
          <w:tab w:val="left" w:pos="540"/>
        </w:tabs>
        <w:ind w:left="540" w:hanging="540"/>
        <w:rPr>
          <w:rFonts w:asciiTheme="minorHAnsi" w:hAnsiTheme="minorHAnsi"/>
          <w:sz w:val="22"/>
        </w:rPr>
      </w:pPr>
    </w:p>
    <w:p w:rsidR="00A35947" w:rsidP="007152D0" w:rsidRDefault="00A35947" w14:paraId="236D5C2A" w14:textId="2FCE8FA9">
      <w:pPr>
        <w:tabs>
          <w:tab w:val="left" w:pos="450"/>
        </w:tabs>
        <w:ind w:left="450"/>
        <w:rPr>
          <w:rFonts w:asciiTheme="minorHAnsi" w:hAnsiTheme="minorHAnsi"/>
          <w:sz w:val="22"/>
        </w:rPr>
      </w:pPr>
      <w:r w:rsidRPr="003B2E51">
        <w:rPr>
          <w:rFonts w:asciiTheme="minorHAnsi" w:hAnsiTheme="minorHAnsi"/>
          <w:sz w:val="22"/>
        </w:rPr>
        <w:t xml:space="preserve">The Federal government cost estimate is based on a model that considers the following three cost factors for each information </w:t>
      </w:r>
      <w:r>
        <w:rPr>
          <w:rFonts w:asciiTheme="minorHAnsi" w:hAnsiTheme="minorHAnsi"/>
          <w:sz w:val="22"/>
        </w:rPr>
        <w:t>product</w:t>
      </w:r>
      <w:r w:rsidRPr="003B2E51">
        <w:rPr>
          <w:rFonts w:asciiTheme="minorHAnsi" w:hAnsiTheme="minorHAnsi"/>
          <w:sz w:val="22"/>
        </w:rPr>
        <w:t>: aggregate labor costs for development</w:t>
      </w:r>
      <w:r>
        <w:rPr>
          <w:rFonts w:asciiTheme="minorHAnsi" w:hAnsiTheme="minorHAnsi"/>
          <w:sz w:val="22"/>
        </w:rPr>
        <w:t>, including annualized start up expenses</w:t>
      </w:r>
      <w:r w:rsidRPr="003B2E51">
        <w:rPr>
          <w:rFonts w:asciiTheme="minorHAnsi" w:hAnsiTheme="minorHAnsi"/>
          <w:sz w:val="22"/>
        </w:rPr>
        <w:t xml:space="preserve">, operating and maintenance expenses, and distribution of the </w:t>
      </w:r>
      <w:r>
        <w:rPr>
          <w:rFonts w:asciiTheme="minorHAnsi" w:hAnsiTheme="minorHAnsi"/>
          <w:sz w:val="22"/>
        </w:rPr>
        <w:t>product that collects the information</w:t>
      </w:r>
      <w:r w:rsidRPr="003B2E51">
        <w:rPr>
          <w:rFonts w:asciiTheme="minorHAnsi" w:hAnsiTheme="minorHAnsi"/>
          <w:sz w:val="22"/>
        </w:rPr>
        <w:t xml:space="preserve">.  </w:t>
      </w:r>
    </w:p>
    <w:p w:rsidR="00A35947" w:rsidP="00A35947" w:rsidRDefault="00A35947" w14:paraId="357572D4" w14:textId="77777777">
      <w:pPr>
        <w:ind w:left="360"/>
        <w:rPr>
          <w:rFonts w:asciiTheme="minorHAnsi" w:hAnsiTheme="minorHAnsi"/>
          <w:sz w:val="22"/>
        </w:rPr>
      </w:pPr>
    </w:p>
    <w:p w:rsidR="007152D0" w:rsidP="007152D0" w:rsidRDefault="007152D0" w14:paraId="2B1B665C" w14:textId="77777777">
      <w:pPr>
        <w:rPr>
          <w:rFonts w:asciiTheme="minorHAnsi" w:hAnsiTheme="minorHAnsi"/>
          <w:sz w:val="22"/>
        </w:rPr>
      </w:pPr>
      <w:r>
        <w:rPr>
          <w:rFonts w:asciiTheme="minorHAnsi" w:hAnsiTheme="minorHAnsi"/>
          <w:sz w:val="22"/>
        </w:rPr>
        <w:t xml:space="preserve">         </w:t>
      </w:r>
      <w:r w:rsidR="00A35947">
        <w:rPr>
          <w:rFonts w:asciiTheme="minorHAnsi" w:hAnsiTheme="minorHAnsi"/>
          <w:sz w:val="22"/>
        </w:rPr>
        <w:t xml:space="preserve">The government computes cost using a multi-step process.  First, the government </w:t>
      </w:r>
      <w:r w:rsidRPr="003D5F5B" w:rsidR="00A35947">
        <w:rPr>
          <w:rFonts w:asciiTheme="minorHAnsi" w:hAnsiTheme="minorHAnsi"/>
          <w:sz w:val="22"/>
        </w:rPr>
        <w:t>create</w:t>
      </w:r>
      <w:r w:rsidR="00A35947">
        <w:rPr>
          <w:rFonts w:asciiTheme="minorHAnsi" w:hAnsiTheme="minorHAnsi"/>
          <w:sz w:val="22"/>
        </w:rPr>
        <w:t>s</w:t>
      </w:r>
      <w:r w:rsidRPr="003D5F5B" w:rsidR="00A35947">
        <w:rPr>
          <w:rFonts w:asciiTheme="minorHAnsi" w:hAnsiTheme="minorHAnsi"/>
          <w:sz w:val="22"/>
        </w:rPr>
        <w:t xml:space="preserve"> a </w:t>
      </w:r>
      <w:r>
        <w:rPr>
          <w:rFonts w:asciiTheme="minorHAnsi" w:hAnsiTheme="minorHAnsi"/>
          <w:sz w:val="22"/>
        </w:rPr>
        <w:t xml:space="preserve">    </w:t>
      </w:r>
    </w:p>
    <w:p w:rsidR="007152D0" w:rsidP="007152D0" w:rsidRDefault="007152D0" w14:paraId="7F295737" w14:textId="77777777">
      <w:pPr>
        <w:rPr>
          <w:rFonts w:asciiTheme="minorHAnsi" w:hAnsiTheme="minorHAnsi"/>
          <w:sz w:val="22"/>
        </w:rPr>
      </w:pPr>
      <w:r>
        <w:rPr>
          <w:rFonts w:asciiTheme="minorHAnsi" w:hAnsiTheme="minorHAnsi"/>
          <w:sz w:val="22"/>
        </w:rPr>
        <w:t xml:space="preserve">         </w:t>
      </w:r>
      <w:r w:rsidRPr="003D5F5B" w:rsidR="00A35947">
        <w:rPr>
          <w:rFonts w:asciiTheme="minorHAnsi" w:hAnsiTheme="minorHAnsi"/>
          <w:sz w:val="22"/>
        </w:rPr>
        <w:t xml:space="preserve">weighted factor for the level of effort to create each information </w:t>
      </w:r>
      <w:r w:rsidR="00A35947">
        <w:rPr>
          <w:rFonts w:asciiTheme="minorHAnsi" w:hAnsiTheme="minorHAnsi"/>
          <w:sz w:val="22"/>
        </w:rPr>
        <w:t>collection product</w:t>
      </w:r>
      <w:r w:rsidRPr="003D5F5B" w:rsidR="00A35947">
        <w:rPr>
          <w:rFonts w:asciiTheme="minorHAnsi" w:hAnsiTheme="minorHAnsi"/>
          <w:sz w:val="22"/>
        </w:rPr>
        <w:t xml:space="preserve"> based on </w:t>
      </w:r>
    </w:p>
    <w:p w:rsidR="007152D0" w:rsidP="007152D0" w:rsidRDefault="007152D0" w14:paraId="7B1C515D" w14:textId="77777777">
      <w:pPr>
        <w:rPr>
          <w:rFonts w:asciiTheme="minorHAnsi" w:hAnsiTheme="minorHAnsi"/>
          <w:sz w:val="22"/>
        </w:rPr>
      </w:pPr>
      <w:r>
        <w:rPr>
          <w:rFonts w:asciiTheme="minorHAnsi" w:hAnsiTheme="minorHAnsi"/>
          <w:sz w:val="22"/>
        </w:rPr>
        <w:t xml:space="preserve">         </w:t>
      </w:r>
      <w:r w:rsidRPr="003D5F5B" w:rsidR="00A35947">
        <w:rPr>
          <w:rFonts w:asciiTheme="minorHAnsi" w:hAnsiTheme="minorHAnsi"/>
          <w:sz w:val="22"/>
        </w:rPr>
        <w:t xml:space="preserve">variables such </w:t>
      </w:r>
      <w:proofErr w:type="gramStart"/>
      <w:r w:rsidRPr="003D5F5B" w:rsidR="00A35947">
        <w:rPr>
          <w:rFonts w:asciiTheme="minorHAnsi" w:hAnsiTheme="minorHAnsi"/>
          <w:sz w:val="22"/>
        </w:rPr>
        <w:t>as;</w:t>
      </w:r>
      <w:proofErr w:type="gramEnd"/>
      <w:r w:rsidRPr="003D5F5B" w:rsidR="00A35947">
        <w:rPr>
          <w:rFonts w:asciiTheme="minorHAnsi" w:hAnsiTheme="minorHAnsi"/>
          <w:sz w:val="22"/>
        </w:rPr>
        <w:t xml:space="preserve"> complexity, number of pages, type of product and frequency of revision. </w:t>
      </w:r>
      <w:r w:rsidR="00A35947">
        <w:rPr>
          <w:rFonts w:asciiTheme="minorHAnsi" w:hAnsiTheme="minorHAnsi"/>
          <w:sz w:val="22"/>
        </w:rPr>
        <w:t xml:space="preserve"> Second, </w:t>
      </w:r>
    </w:p>
    <w:p w:rsidR="007152D0" w:rsidP="007152D0" w:rsidRDefault="007152D0" w14:paraId="425DE805" w14:textId="77777777">
      <w:pPr>
        <w:rPr>
          <w:rFonts w:asciiTheme="minorHAnsi" w:hAnsiTheme="minorHAnsi"/>
          <w:sz w:val="22"/>
        </w:rPr>
      </w:pPr>
      <w:r>
        <w:rPr>
          <w:rFonts w:asciiTheme="minorHAnsi" w:hAnsiTheme="minorHAnsi"/>
          <w:sz w:val="22"/>
        </w:rPr>
        <w:t xml:space="preserve">         </w:t>
      </w:r>
      <w:r w:rsidR="00A35947">
        <w:rPr>
          <w:rFonts w:asciiTheme="minorHAnsi" w:hAnsiTheme="minorHAnsi"/>
          <w:sz w:val="22"/>
        </w:rPr>
        <w:t>the</w:t>
      </w:r>
      <w:r w:rsidRPr="003D5F5B" w:rsidR="00A35947">
        <w:rPr>
          <w:rFonts w:asciiTheme="minorHAnsi" w:hAnsiTheme="minorHAnsi"/>
          <w:sz w:val="22"/>
        </w:rPr>
        <w:t xml:space="preserve"> </w:t>
      </w:r>
      <w:r w:rsidR="00A35947">
        <w:rPr>
          <w:rFonts w:asciiTheme="minorHAnsi" w:hAnsiTheme="minorHAnsi"/>
          <w:sz w:val="22"/>
        </w:rPr>
        <w:t xml:space="preserve">total costs associated with developing the product such as labor cost, and operating expenses </w:t>
      </w:r>
    </w:p>
    <w:p w:rsidR="007152D0" w:rsidP="007152D0" w:rsidRDefault="007152D0" w14:paraId="3CDB307C" w14:textId="58E2EA22">
      <w:pPr>
        <w:rPr>
          <w:rFonts w:asciiTheme="minorHAnsi" w:hAnsiTheme="minorHAnsi"/>
          <w:sz w:val="22"/>
        </w:rPr>
      </w:pPr>
      <w:r>
        <w:rPr>
          <w:rFonts w:asciiTheme="minorHAnsi" w:hAnsiTheme="minorHAnsi"/>
          <w:sz w:val="22"/>
        </w:rPr>
        <w:t xml:space="preserve">         </w:t>
      </w:r>
      <w:r w:rsidR="00A35947">
        <w:rPr>
          <w:rFonts w:asciiTheme="minorHAnsi" w:hAnsiTheme="minorHAnsi"/>
          <w:sz w:val="22"/>
        </w:rPr>
        <w:t xml:space="preserve">associated with the downstream impact such as support functions, are added together to obtain </w:t>
      </w:r>
    </w:p>
    <w:p w:rsidR="007152D0" w:rsidP="007152D0" w:rsidRDefault="007152D0" w14:paraId="165CE087" w14:textId="77777777">
      <w:pPr>
        <w:rPr>
          <w:rFonts w:asciiTheme="minorHAnsi" w:hAnsiTheme="minorHAnsi"/>
          <w:sz w:val="22"/>
        </w:rPr>
      </w:pPr>
      <w:r>
        <w:rPr>
          <w:rFonts w:asciiTheme="minorHAnsi" w:hAnsiTheme="minorHAnsi"/>
          <w:sz w:val="22"/>
        </w:rPr>
        <w:t xml:space="preserve">         </w:t>
      </w:r>
      <w:r w:rsidR="00A35947">
        <w:rPr>
          <w:rFonts w:asciiTheme="minorHAnsi" w:hAnsiTheme="minorHAnsi"/>
          <w:sz w:val="22"/>
        </w:rPr>
        <w:t xml:space="preserve">the aggregated total cost.  Then, the aggregated total cost and factor are multiplied together to </w:t>
      </w:r>
    </w:p>
    <w:p w:rsidR="007152D0" w:rsidP="007152D0" w:rsidRDefault="007152D0" w14:paraId="7EE86B46" w14:textId="77777777">
      <w:pPr>
        <w:rPr>
          <w:rFonts w:asciiTheme="minorHAnsi" w:hAnsiTheme="minorHAnsi"/>
          <w:sz w:val="22"/>
        </w:rPr>
      </w:pPr>
      <w:r>
        <w:rPr>
          <w:rFonts w:asciiTheme="minorHAnsi" w:hAnsiTheme="minorHAnsi"/>
          <w:sz w:val="22"/>
        </w:rPr>
        <w:t xml:space="preserve">         </w:t>
      </w:r>
      <w:r w:rsidR="00A35947">
        <w:rPr>
          <w:rFonts w:asciiTheme="minorHAnsi" w:hAnsiTheme="minorHAnsi"/>
          <w:sz w:val="22"/>
        </w:rPr>
        <w:t xml:space="preserve">obtain the aggregated cost per product.  Lastly, the aggregated cost per product is added to the </w:t>
      </w:r>
    </w:p>
    <w:p w:rsidR="007152D0" w:rsidP="007152D0" w:rsidRDefault="007152D0" w14:paraId="78F186FC" w14:textId="77777777">
      <w:pPr>
        <w:rPr>
          <w:rFonts w:asciiTheme="minorHAnsi" w:hAnsiTheme="minorHAnsi"/>
          <w:sz w:val="22"/>
        </w:rPr>
      </w:pPr>
      <w:r>
        <w:rPr>
          <w:rFonts w:asciiTheme="minorHAnsi" w:hAnsiTheme="minorHAnsi"/>
          <w:sz w:val="22"/>
        </w:rPr>
        <w:t xml:space="preserve">         </w:t>
      </w:r>
      <w:r w:rsidR="00A35947">
        <w:rPr>
          <w:rFonts w:asciiTheme="minorHAnsi" w:hAnsiTheme="minorHAnsi"/>
          <w:sz w:val="22"/>
        </w:rPr>
        <w:t xml:space="preserve">cost of shipping and printing each product to IRS offices, National Distribution Center, libraries and </w:t>
      </w:r>
    </w:p>
    <w:p w:rsidR="00A35947" w:rsidP="004137B8" w:rsidRDefault="007152D0" w14:paraId="52CAD2AD" w14:textId="3EE42724">
      <w:pPr>
        <w:rPr>
          <w:rFonts w:asciiTheme="minorHAnsi" w:hAnsiTheme="minorHAnsi"/>
          <w:sz w:val="22"/>
        </w:rPr>
      </w:pPr>
      <w:r>
        <w:rPr>
          <w:rFonts w:asciiTheme="minorHAnsi" w:hAnsiTheme="minorHAnsi"/>
          <w:sz w:val="22"/>
        </w:rPr>
        <w:t xml:space="preserve">         </w:t>
      </w:r>
      <w:r w:rsidR="00A35947">
        <w:rPr>
          <w:rFonts w:asciiTheme="minorHAnsi" w:hAnsiTheme="minorHAnsi"/>
          <w:sz w:val="22"/>
        </w:rPr>
        <w:t>other outlets. The result is the Government cost estimate per product.</w:t>
      </w:r>
    </w:p>
    <w:p w:rsidR="004137B8" w:rsidP="004137B8" w:rsidRDefault="004137B8" w14:paraId="51BE6F03" w14:textId="77777777">
      <w:pPr>
        <w:rPr>
          <w:rFonts w:asciiTheme="minorHAnsi" w:hAnsiTheme="minorHAnsi"/>
          <w:sz w:val="22"/>
        </w:rPr>
      </w:pPr>
    </w:p>
    <w:p w:rsidR="00A35947" w:rsidP="00A35947" w:rsidRDefault="00895855" w14:paraId="4A01073F" w14:textId="7E17BF2E">
      <w:pPr>
        <w:ind w:left="360"/>
        <w:rPr>
          <w:rFonts w:asciiTheme="minorHAnsi" w:hAnsiTheme="minorHAnsi"/>
          <w:sz w:val="22"/>
        </w:rPr>
      </w:pPr>
      <w:r>
        <w:rPr>
          <w:rFonts w:asciiTheme="minorHAnsi" w:hAnsiTheme="minorHAnsi"/>
          <w:sz w:val="22"/>
        </w:rPr>
        <w:t xml:space="preserve"> </w:t>
      </w:r>
      <w:r w:rsidR="00A35947">
        <w:rPr>
          <w:rFonts w:asciiTheme="minorHAnsi" w:hAnsiTheme="minorHAnsi"/>
          <w:sz w:val="22"/>
        </w:rPr>
        <w:t>The government cost estimate for this collection is summarized in the table below.</w:t>
      </w:r>
    </w:p>
    <w:p w:rsidR="00A35947" w:rsidP="00A35947" w:rsidRDefault="00A35947" w14:paraId="247FD1E8" w14:textId="77777777">
      <w:pPr>
        <w:ind w:left="360"/>
        <w:rPr>
          <w:rFonts w:asciiTheme="minorHAnsi" w:hAnsiTheme="minorHAnsi"/>
          <w:sz w:val="22"/>
        </w:rPr>
      </w:pPr>
    </w:p>
    <w:tbl>
      <w:tblPr>
        <w:tblW w:w="8355"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58"/>
        <w:gridCol w:w="1980"/>
        <w:gridCol w:w="303"/>
        <w:gridCol w:w="1745"/>
        <w:gridCol w:w="387"/>
        <w:gridCol w:w="1582"/>
      </w:tblGrid>
      <w:tr w:rsidRPr="008E4D11" w:rsidR="00A35947" w:rsidTr="0052663A" w14:paraId="018DF8CB" w14:textId="77777777">
        <w:tc>
          <w:tcPr>
            <w:tcW w:w="2358" w:type="dxa"/>
            <w:shd w:val="clear" w:color="auto" w:fill="auto"/>
            <w:vAlign w:val="bottom"/>
          </w:tcPr>
          <w:p w:rsidRPr="00E20033" w:rsidR="00A35947" w:rsidP="0052663A" w:rsidRDefault="00A35947" w14:paraId="56A478D6"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Product</w:t>
            </w:r>
          </w:p>
        </w:tc>
        <w:tc>
          <w:tcPr>
            <w:tcW w:w="1980" w:type="dxa"/>
            <w:shd w:val="clear" w:color="auto" w:fill="auto"/>
            <w:vAlign w:val="bottom"/>
          </w:tcPr>
          <w:p w:rsidRPr="00E20033" w:rsidR="00A35947" w:rsidP="0052663A" w:rsidRDefault="00A35947" w14:paraId="7EBC957C"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Aggregate Cost per Product (factor applied)</w:t>
            </w:r>
          </w:p>
        </w:tc>
        <w:tc>
          <w:tcPr>
            <w:tcW w:w="303" w:type="dxa"/>
            <w:shd w:val="clear" w:color="auto" w:fill="auto"/>
          </w:tcPr>
          <w:p w:rsidRPr="00E20033" w:rsidR="00A35947" w:rsidP="0052663A" w:rsidRDefault="00A35947" w14:paraId="23BFBDE5" w14:textId="77777777">
            <w:pPr>
              <w:keepNext/>
              <w:keepLines/>
              <w:jc w:val="center"/>
              <w:rPr>
                <w:rFonts w:ascii="Arial Narrow" w:hAnsi="Arial Narrow"/>
                <w:b/>
                <w:sz w:val="18"/>
                <w:szCs w:val="18"/>
                <w:u w:val="single"/>
              </w:rPr>
            </w:pPr>
          </w:p>
        </w:tc>
        <w:tc>
          <w:tcPr>
            <w:tcW w:w="1745" w:type="dxa"/>
            <w:shd w:val="clear" w:color="auto" w:fill="auto"/>
            <w:vAlign w:val="bottom"/>
          </w:tcPr>
          <w:p w:rsidRPr="00E20033" w:rsidR="00A35947" w:rsidP="0052663A" w:rsidRDefault="00A35947" w14:paraId="0DE4B9CF"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Printing and Distribution</w:t>
            </w:r>
          </w:p>
        </w:tc>
        <w:tc>
          <w:tcPr>
            <w:tcW w:w="387" w:type="dxa"/>
            <w:shd w:val="clear" w:color="auto" w:fill="auto"/>
          </w:tcPr>
          <w:p w:rsidRPr="00E20033" w:rsidR="00A35947" w:rsidP="0052663A" w:rsidRDefault="00A35947" w14:paraId="1AB8F5D8" w14:textId="77777777">
            <w:pPr>
              <w:keepNext/>
              <w:keepLines/>
              <w:jc w:val="center"/>
              <w:rPr>
                <w:rFonts w:ascii="Arial Narrow" w:hAnsi="Arial Narrow"/>
                <w:b/>
                <w:sz w:val="18"/>
                <w:szCs w:val="18"/>
                <w:u w:val="single"/>
              </w:rPr>
            </w:pPr>
          </w:p>
        </w:tc>
        <w:tc>
          <w:tcPr>
            <w:tcW w:w="1582" w:type="dxa"/>
            <w:shd w:val="clear" w:color="auto" w:fill="auto"/>
            <w:vAlign w:val="bottom"/>
          </w:tcPr>
          <w:p w:rsidRPr="00E20033" w:rsidR="00A35947" w:rsidP="0052663A" w:rsidRDefault="00A35947" w14:paraId="44BC296C"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Government Cost Estimate per Product</w:t>
            </w:r>
          </w:p>
        </w:tc>
      </w:tr>
      <w:tr w:rsidRPr="008E4D11" w:rsidR="00A35947" w:rsidTr="00651FD9" w14:paraId="3F6EE16D" w14:textId="77777777">
        <w:tc>
          <w:tcPr>
            <w:tcW w:w="2358" w:type="dxa"/>
            <w:shd w:val="clear" w:color="auto" w:fill="auto"/>
            <w:vAlign w:val="bottom"/>
          </w:tcPr>
          <w:p w:rsidRPr="00E20033" w:rsidR="00A35947" w:rsidP="00A35947" w:rsidRDefault="00A35947" w14:paraId="3E8E2E15" w14:textId="77777777">
            <w:pPr>
              <w:keepNext/>
              <w:keepLines/>
              <w:numPr>
                <w:ilvl w:val="12"/>
                <w:numId w:val="0"/>
              </w:numPr>
              <w:rPr>
                <w:rFonts w:ascii="Arial Narrow" w:hAnsi="Arial Narrow"/>
                <w:sz w:val="18"/>
                <w:szCs w:val="18"/>
              </w:rPr>
            </w:pPr>
            <w:r w:rsidRPr="00E20033">
              <w:rPr>
                <w:rFonts w:ascii="Arial Narrow" w:hAnsi="Arial Narrow"/>
                <w:sz w:val="18"/>
                <w:szCs w:val="18"/>
              </w:rPr>
              <w:t xml:space="preserve">Form </w:t>
            </w:r>
            <w:r w:rsidR="00E7194C">
              <w:rPr>
                <w:rFonts w:ascii="Arial Narrow" w:hAnsi="Arial Narrow"/>
                <w:sz w:val="18"/>
                <w:szCs w:val="18"/>
              </w:rPr>
              <w:t>8822</w:t>
            </w:r>
          </w:p>
        </w:tc>
        <w:tc>
          <w:tcPr>
            <w:tcW w:w="1980" w:type="dxa"/>
            <w:shd w:val="clear" w:color="auto" w:fill="auto"/>
            <w:vAlign w:val="bottom"/>
          </w:tcPr>
          <w:p w:rsidRPr="00E20033" w:rsidR="00A35947" w:rsidP="00A35947" w:rsidRDefault="00A35947" w14:paraId="6F8AA728" w14:textId="34508AB6">
            <w:pPr>
              <w:keepNext/>
              <w:keepLines/>
              <w:jc w:val="center"/>
              <w:rPr>
                <w:rFonts w:ascii="Arial Narrow" w:hAnsi="Arial Narrow"/>
                <w:sz w:val="18"/>
                <w:szCs w:val="18"/>
              </w:rPr>
            </w:pPr>
            <w:r w:rsidRPr="00651FD9">
              <w:rPr>
                <w:rFonts w:ascii="Arial Narrow" w:hAnsi="Arial Narrow"/>
                <w:sz w:val="18"/>
                <w:szCs w:val="18"/>
              </w:rPr>
              <w:t xml:space="preserve"> $</w:t>
            </w:r>
            <w:r w:rsidR="00D107CC">
              <w:rPr>
                <w:rFonts w:ascii="Arial Narrow" w:hAnsi="Arial Narrow"/>
                <w:sz w:val="18"/>
                <w:szCs w:val="18"/>
              </w:rPr>
              <w:t>29,677</w:t>
            </w:r>
          </w:p>
        </w:tc>
        <w:tc>
          <w:tcPr>
            <w:tcW w:w="303" w:type="dxa"/>
            <w:shd w:val="clear" w:color="auto" w:fill="auto"/>
          </w:tcPr>
          <w:p w:rsidRPr="00E20033" w:rsidR="00A35947" w:rsidP="00A35947" w:rsidRDefault="00A35947" w14:paraId="353B926F" w14:textId="77777777">
            <w:pPr>
              <w:keepNext/>
              <w:keepLines/>
              <w:jc w:val="center"/>
              <w:rPr>
                <w:rFonts w:ascii="Arial Narrow" w:hAnsi="Arial Narrow"/>
                <w:sz w:val="18"/>
                <w:szCs w:val="18"/>
              </w:rPr>
            </w:pPr>
          </w:p>
        </w:tc>
        <w:tc>
          <w:tcPr>
            <w:tcW w:w="1745" w:type="dxa"/>
            <w:shd w:val="clear" w:color="auto" w:fill="auto"/>
          </w:tcPr>
          <w:p w:rsidRPr="00E20033" w:rsidR="00A35947" w:rsidP="00A35947" w:rsidRDefault="00895855" w14:paraId="496D6B30" w14:textId="77777777">
            <w:pPr>
              <w:keepNext/>
              <w:keepLines/>
              <w:jc w:val="center"/>
              <w:rPr>
                <w:rFonts w:ascii="Arial Narrow" w:hAnsi="Arial Narrow"/>
                <w:sz w:val="18"/>
                <w:szCs w:val="18"/>
              </w:rPr>
            </w:pPr>
            <w:r>
              <w:rPr>
                <w:rFonts w:ascii="Arial Narrow" w:hAnsi="Arial Narrow"/>
                <w:sz w:val="18"/>
                <w:szCs w:val="18"/>
              </w:rPr>
              <w:t>0</w:t>
            </w:r>
          </w:p>
        </w:tc>
        <w:tc>
          <w:tcPr>
            <w:tcW w:w="387" w:type="dxa"/>
            <w:shd w:val="clear" w:color="auto" w:fill="auto"/>
          </w:tcPr>
          <w:p w:rsidRPr="00E20033" w:rsidR="00A35947" w:rsidP="00A35947" w:rsidRDefault="00A35947" w14:paraId="05B5F97E" w14:textId="77777777">
            <w:pPr>
              <w:keepNext/>
              <w:keepLines/>
              <w:jc w:val="center"/>
              <w:rPr>
                <w:rFonts w:ascii="Arial Narrow" w:hAnsi="Arial Narrow"/>
                <w:sz w:val="18"/>
                <w:szCs w:val="18"/>
              </w:rPr>
            </w:pPr>
          </w:p>
        </w:tc>
        <w:tc>
          <w:tcPr>
            <w:tcW w:w="1582" w:type="dxa"/>
            <w:shd w:val="clear" w:color="auto" w:fill="auto"/>
            <w:vAlign w:val="bottom"/>
          </w:tcPr>
          <w:p w:rsidRPr="00E20033" w:rsidR="00A35947" w:rsidP="00A35947" w:rsidRDefault="00A35947" w14:paraId="3130FD36" w14:textId="31E78D95">
            <w:pPr>
              <w:keepNext/>
              <w:keepLines/>
              <w:jc w:val="center"/>
              <w:rPr>
                <w:rFonts w:ascii="Arial Narrow" w:hAnsi="Arial Narrow"/>
                <w:sz w:val="18"/>
                <w:szCs w:val="18"/>
              </w:rPr>
            </w:pPr>
            <w:r w:rsidRPr="0052663A">
              <w:rPr>
                <w:rFonts w:ascii="Arial Narrow" w:hAnsi="Arial Narrow"/>
                <w:sz w:val="18"/>
                <w:szCs w:val="18"/>
              </w:rPr>
              <w:t xml:space="preserve"> $</w:t>
            </w:r>
            <w:r w:rsidR="00D107CC">
              <w:rPr>
                <w:rFonts w:ascii="Arial Narrow" w:hAnsi="Arial Narrow"/>
                <w:sz w:val="18"/>
                <w:szCs w:val="18"/>
              </w:rPr>
              <w:t>29,677</w:t>
            </w:r>
            <w:r w:rsidRPr="0052663A">
              <w:rPr>
                <w:rFonts w:ascii="Arial Narrow" w:hAnsi="Arial Narrow"/>
                <w:sz w:val="18"/>
                <w:szCs w:val="18"/>
              </w:rPr>
              <w:t xml:space="preserve"> </w:t>
            </w:r>
          </w:p>
        </w:tc>
      </w:tr>
      <w:tr w:rsidRPr="008E4D11" w:rsidR="00E7194C" w:rsidTr="00651FD9" w14:paraId="7FA6E5CB" w14:textId="77777777">
        <w:tc>
          <w:tcPr>
            <w:tcW w:w="2358" w:type="dxa"/>
            <w:shd w:val="clear" w:color="auto" w:fill="auto"/>
            <w:vAlign w:val="bottom"/>
          </w:tcPr>
          <w:p w:rsidRPr="00E20033" w:rsidR="00E7194C" w:rsidP="00A35947" w:rsidRDefault="00E7194C" w14:paraId="1BCAE027" w14:textId="77777777">
            <w:pPr>
              <w:keepNext/>
              <w:keepLines/>
              <w:numPr>
                <w:ilvl w:val="12"/>
                <w:numId w:val="0"/>
              </w:numPr>
              <w:rPr>
                <w:rFonts w:ascii="Arial Narrow" w:hAnsi="Arial Narrow"/>
                <w:sz w:val="18"/>
                <w:szCs w:val="18"/>
              </w:rPr>
            </w:pPr>
            <w:r>
              <w:rPr>
                <w:rFonts w:ascii="Arial Narrow" w:hAnsi="Arial Narrow"/>
                <w:sz w:val="18"/>
                <w:szCs w:val="18"/>
              </w:rPr>
              <w:t>Form 8822-B</w:t>
            </w:r>
          </w:p>
        </w:tc>
        <w:tc>
          <w:tcPr>
            <w:tcW w:w="1980" w:type="dxa"/>
            <w:shd w:val="clear" w:color="auto" w:fill="auto"/>
            <w:vAlign w:val="bottom"/>
          </w:tcPr>
          <w:p w:rsidRPr="00651FD9" w:rsidR="00E7194C" w:rsidP="00A35947" w:rsidRDefault="00E7194C" w14:paraId="5105EB91" w14:textId="6DB1DE0D">
            <w:pPr>
              <w:keepNext/>
              <w:keepLines/>
              <w:jc w:val="center"/>
              <w:rPr>
                <w:rFonts w:ascii="Arial Narrow" w:hAnsi="Arial Narrow"/>
                <w:sz w:val="18"/>
                <w:szCs w:val="18"/>
              </w:rPr>
            </w:pPr>
            <w:r>
              <w:rPr>
                <w:rFonts w:ascii="Arial Narrow" w:hAnsi="Arial Narrow"/>
                <w:sz w:val="18"/>
                <w:szCs w:val="18"/>
              </w:rPr>
              <w:t>$</w:t>
            </w:r>
            <w:r w:rsidR="00D107CC">
              <w:rPr>
                <w:rFonts w:ascii="Arial Narrow" w:hAnsi="Arial Narrow"/>
                <w:sz w:val="18"/>
                <w:szCs w:val="18"/>
              </w:rPr>
              <w:t>22,829</w:t>
            </w:r>
          </w:p>
        </w:tc>
        <w:tc>
          <w:tcPr>
            <w:tcW w:w="303" w:type="dxa"/>
            <w:shd w:val="clear" w:color="auto" w:fill="auto"/>
          </w:tcPr>
          <w:p w:rsidRPr="00E20033" w:rsidR="00E7194C" w:rsidP="00A35947" w:rsidRDefault="00E7194C" w14:paraId="6B2B0ABE" w14:textId="77777777">
            <w:pPr>
              <w:keepNext/>
              <w:keepLines/>
              <w:jc w:val="center"/>
              <w:rPr>
                <w:rFonts w:ascii="Arial Narrow" w:hAnsi="Arial Narrow"/>
                <w:sz w:val="18"/>
                <w:szCs w:val="18"/>
              </w:rPr>
            </w:pPr>
          </w:p>
        </w:tc>
        <w:tc>
          <w:tcPr>
            <w:tcW w:w="1745" w:type="dxa"/>
            <w:shd w:val="clear" w:color="auto" w:fill="auto"/>
          </w:tcPr>
          <w:p w:rsidR="00E7194C" w:rsidP="00A35947" w:rsidRDefault="003709BF" w14:paraId="6D47F888" w14:textId="77777777">
            <w:pPr>
              <w:keepNext/>
              <w:keepLines/>
              <w:jc w:val="center"/>
              <w:rPr>
                <w:rFonts w:ascii="Arial Narrow" w:hAnsi="Arial Narrow"/>
                <w:sz w:val="18"/>
                <w:szCs w:val="18"/>
              </w:rPr>
            </w:pPr>
            <w:r>
              <w:rPr>
                <w:rFonts w:ascii="Arial Narrow" w:hAnsi="Arial Narrow"/>
                <w:sz w:val="18"/>
                <w:szCs w:val="18"/>
              </w:rPr>
              <w:t>0</w:t>
            </w:r>
          </w:p>
        </w:tc>
        <w:tc>
          <w:tcPr>
            <w:tcW w:w="387" w:type="dxa"/>
            <w:shd w:val="clear" w:color="auto" w:fill="auto"/>
          </w:tcPr>
          <w:p w:rsidRPr="00E20033" w:rsidR="00E7194C" w:rsidP="00A35947" w:rsidRDefault="00E7194C" w14:paraId="7D166D9E" w14:textId="77777777">
            <w:pPr>
              <w:keepNext/>
              <w:keepLines/>
              <w:jc w:val="center"/>
              <w:rPr>
                <w:rFonts w:ascii="Arial Narrow" w:hAnsi="Arial Narrow"/>
                <w:sz w:val="18"/>
                <w:szCs w:val="18"/>
              </w:rPr>
            </w:pPr>
          </w:p>
        </w:tc>
        <w:tc>
          <w:tcPr>
            <w:tcW w:w="1582" w:type="dxa"/>
            <w:shd w:val="clear" w:color="auto" w:fill="auto"/>
            <w:vAlign w:val="bottom"/>
          </w:tcPr>
          <w:p w:rsidRPr="0052663A" w:rsidR="00E7194C" w:rsidP="00A35947" w:rsidRDefault="00E7194C" w14:paraId="60783C1C" w14:textId="02541478">
            <w:pPr>
              <w:keepNext/>
              <w:keepLines/>
              <w:jc w:val="center"/>
              <w:rPr>
                <w:rFonts w:ascii="Arial Narrow" w:hAnsi="Arial Narrow"/>
                <w:sz w:val="18"/>
                <w:szCs w:val="18"/>
              </w:rPr>
            </w:pPr>
            <w:r>
              <w:rPr>
                <w:rFonts w:ascii="Arial Narrow" w:hAnsi="Arial Narrow"/>
                <w:sz w:val="18"/>
                <w:szCs w:val="18"/>
              </w:rPr>
              <w:t>$</w:t>
            </w:r>
            <w:r w:rsidR="00D107CC">
              <w:rPr>
                <w:rFonts w:ascii="Arial Narrow" w:hAnsi="Arial Narrow"/>
                <w:sz w:val="18"/>
                <w:szCs w:val="18"/>
              </w:rPr>
              <w:t>22,829</w:t>
            </w:r>
          </w:p>
        </w:tc>
      </w:tr>
      <w:tr w:rsidRPr="008E4D11" w:rsidR="00D107CC" w:rsidTr="00651FD9" w14:paraId="7F924168" w14:textId="77777777">
        <w:tc>
          <w:tcPr>
            <w:tcW w:w="2358" w:type="dxa"/>
            <w:shd w:val="clear" w:color="auto" w:fill="auto"/>
            <w:vAlign w:val="bottom"/>
          </w:tcPr>
          <w:p w:rsidR="00D107CC" w:rsidP="00A35947" w:rsidRDefault="00D107CC" w14:paraId="6F569E9C" w14:textId="2681C738">
            <w:pPr>
              <w:keepNext/>
              <w:keepLines/>
              <w:numPr>
                <w:ilvl w:val="12"/>
                <w:numId w:val="0"/>
              </w:numPr>
              <w:rPr>
                <w:rFonts w:ascii="Arial Narrow" w:hAnsi="Arial Narrow"/>
                <w:sz w:val="18"/>
                <w:szCs w:val="18"/>
              </w:rPr>
            </w:pPr>
            <w:r>
              <w:rPr>
                <w:rFonts w:ascii="Arial Narrow" w:hAnsi="Arial Narrow"/>
                <w:sz w:val="18"/>
                <w:szCs w:val="18"/>
              </w:rPr>
              <w:t xml:space="preserve">      Total</w:t>
            </w:r>
          </w:p>
        </w:tc>
        <w:tc>
          <w:tcPr>
            <w:tcW w:w="1980" w:type="dxa"/>
            <w:shd w:val="clear" w:color="auto" w:fill="auto"/>
            <w:vAlign w:val="bottom"/>
          </w:tcPr>
          <w:p w:rsidR="00D107CC" w:rsidP="00A35947" w:rsidRDefault="00D107CC" w14:paraId="690FBBEF" w14:textId="04B02DCE">
            <w:pPr>
              <w:keepNext/>
              <w:keepLines/>
              <w:jc w:val="center"/>
              <w:rPr>
                <w:rFonts w:ascii="Arial Narrow" w:hAnsi="Arial Narrow"/>
                <w:sz w:val="18"/>
                <w:szCs w:val="18"/>
              </w:rPr>
            </w:pPr>
            <w:r>
              <w:rPr>
                <w:rFonts w:ascii="Arial Narrow" w:hAnsi="Arial Narrow"/>
                <w:sz w:val="18"/>
                <w:szCs w:val="18"/>
              </w:rPr>
              <w:t>$52,506</w:t>
            </w:r>
          </w:p>
        </w:tc>
        <w:tc>
          <w:tcPr>
            <w:tcW w:w="303" w:type="dxa"/>
            <w:shd w:val="clear" w:color="auto" w:fill="auto"/>
          </w:tcPr>
          <w:p w:rsidRPr="00E20033" w:rsidR="00D107CC" w:rsidP="00A35947" w:rsidRDefault="00D107CC" w14:paraId="1BA9A402" w14:textId="77777777">
            <w:pPr>
              <w:keepNext/>
              <w:keepLines/>
              <w:jc w:val="center"/>
              <w:rPr>
                <w:rFonts w:ascii="Arial Narrow" w:hAnsi="Arial Narrow"/>
                <w:sz w:val="18"/>
                <w:szCs w:val="18"/>
              </w:rPr>
            </w:pPr>
          </w:p>
        </w:tc>
        <w:tc>
          <w:tcPr>
            <w:tcW w:w="1745" w:type="dxa"/>
            <w:shd w:val="clear" w:color="auto" w:fill="auto"/>
          </w:tcPr>
          <w:p w:rsidR="00D107CC" w:rsidP="00A35947" w:rsidRDefault="00D107CC" w14:paraId="56058E95" w14:textId="77777777">
            <w:pPr>
              <w:keepNext/>
              <w:keepLines/>
              <w:jc w:val="center"/>
              <w:rPr>
                <w:rFonts w:ascii="Arial Narrow" w:hAnsi="Arial Narrow"/>
                <w:sz w:val="18"/>
                <w:szCs w:val="18"/>
              </w:rPr>
            </w:pPr>
          </w:p>
        </w:tc>
        <w:tc>
          <w:tcPr>
            <w:tcW w:w="387" w:type="dxa"/>
            <w:shd w:val="clear" w:color="auto" w:fill="auto"/>
          </w:tcPr>
          <w:p w:rsidRPr="00E20033" w:rsidR="00D107CC" w:rsidP="00A35947" w:rsidRDefault="00D107CC" w14:paraId="2E3BCA43" w14:textId="77777777">
            <w:pPr>
              <w:keepNext/>
              <w:keepLines/>
              <w:jc w:val="center"/>
              <w:rPr>
                <w:rFonts w:ascii="Arial Narrow" w:hAnsi="Arial Narrow"/>
                <w:sz w:val="18"/>
                <w:szCs w:val="18"/>
              </w:rPr>
            </w:pPr>
          </w:p>
        </w:tc>
        <w:tc>
          <w:tcPr>
            <w:tcW w:w="1582" w:type="dxa"/>
            <w:shd w:val="clear" w:color="auto" w:fill="auto"/>
            <w:vAlign w:val="bottom"/>
          </w:tcPr>
          <w:p w:rsidR="00D107CC" w:rsidP="00A35947" w:rsidRDefault="00D107CC" w14:paraId="46CB47E7" w14:textId="1F7F43BB">
            <w:pPr>
              <w:keepNext/>
              <w:keepLines/>
              <w:jc w:val="center"/>
              <w:rPr>
                <w:rFonts w:ascii="Arial Narrow" w:hAnsi="Arial Narrow"/>
                <w:sz w:val="18"/>
                <w:szCs w:val="18"/>
              </w:rPr>
            </w:pPr>
            <w:r>
              <w:rPr>
                <w:rFonts w:ascii="Arial Narrow" w:hAnsi="Arial Narrow"/>
                <w:sz w:val="18"/>
                <w:szCs w:val="18"/>
              </w:rPr>
              <w:t>$52,506</w:t>
            </w:r>
          </w:p>
        </w:tc>
      </w:tr>
      <w:tr w:rsidRPr="0055550C" w:rsidR="00A35947" w:rsidTr="0052663A" w14:paraId="39277A43" w14:textId="77777777">
        <w:tc>
          <w:tcPr>
            <w:tcW w:w="8355" w:type="dxa"/>
            <w:gridSpan w:val="6"/>
            <w:shd w:val="clear" w:color="auto" w:fill="auto"/>
          </w:tcPr>
          <w:p w:rsidRPr="00E20033" w:rsidR="00A35947" w:rsidP="0052663A" w:rsidRDefault="00A35947" w14:paraId="40CAA4F7" w14:textId="20D1F9CB">
            <w:pPr>
              <w:keepNext/>
              <w:keepLines/>
              <w:rPr>
                <w:rFonts w:ascii="Arial Narrow" w:hAnsi="Arial Narrow"/>
                <w:sz w:val="18"/>
                <w:szCs w:val="18"/>
              </w:rPr>
            </w:pPr>
            <w:r w:rsidRPr="00E20033">
              <w:rPr>
                <w:rFonts w:ascii="Arial Narrow" w:hAnsi="Arial Narrow"/>
                <w:sz w:val="18"/>
                <w:szCs w:val="18"/>
              </w:rPr>
              <w:t>Table costs are based on 20</w:t>
            </w:r>
            <w:r w:rsidR="00D107CC">
              <w:rPr>
                <w:rFonts w:ascii="Arial Narrow" w:hAnsi="Arial Narrow"/>
                <w:sz w:val="18"/>
                <w:szCs w:val="18"/>
              </w:rPr>
              <w:t>21</w:t>
            </w:r>
            <w:r w:rsidRPr="00E20033">
              <w:rPr>
                <w:rFonts w:ascii="Arial Narrow" w:hAnsi="Arial Narrow"/>
                <w:sz w:val="18"/>
                <w:szCs w:val="18"/>
              </w:rPr>
              <w:t xml:space="preserve"> actuals obtained from IRS Chief Financial Office and Media and Publications</w:t>
            </w:r>
          </w:p>
        </w:tc>
      </w:tr>
    </w:tbl>
    <w:p w:rsidR="007073D8" w:rsidP="009E3D48" w:rsidRDefault="007073D8" w14:paraId="28C1953E" w14:textId="77777777">
      <w:pPr>
        <w:tabs>
          <w:tab w:val="left" w:pos="540"/>
        </w:tabs>
        <w:ind w:left="540" w:hanging="540"/>
        <w:rPr>
          <w:rFonts w:asciiTheme="minorHAnsi" w:hAnsiTheme="minorHAnsi"/>
          <w:b/>
          <w:sz w:val="22"/>
        </w:rPr>
      </w:pPr>
    </w:p>
    <w:p w:rsidRPr="00DA39D1" w:rsidR="00DB3926" w:rsidP="00DA39D1" w:rsidRDefault="00DA39D1" w14:paraId="6452E776" w14:textId="54301060">
      <w:pPr>
        <w:tabs>
          <w:tab w:val="left" w:pos="540"/>
        </w:tabs>
        <w:rPr>
          <w:rFonts w:asciiTheme="minorHAnsi" w:hAnsiTheme="minorHAnsi"/>
          <w:b/>
          <w:sz w:val="22"/>
          <w:u w:val="single"/>
        </w:rPr>
      </w:pPr>
      <w:r w:rsidRPr="00DA39D1">
        <w:rPr>
          <w:rFonts w:asciiTheme="minorHAnsi" w:hAnsiTheme="minorHAnsi"/>
          <w:b/>
          <w:sz w:val="22"/>
        </w:rPr>
        <w:t xml:space="preserve">15.  </w:t>
      </w:r>
      <w:r w:rsidRPr="00DA39D1" w:rsidR="009E3D48">
        <w:rPr>
          <w:rFonts w:asciiTheme="minorHAnsi" w:hAnsiTheme="minorHAnsi"/>
          <w:b/>
          <w:sz w:val="22"/>
          <w:u w:val="single"/>
        </w:rPr>
        <w:t xml:space="preserve">REASONS FOR CHANGE IN BURDEN </w:t>
      </w:r>
    </w:p>
    <w:p w:rsidR="00DB3926" w:rsidP="00DB3926" w:rsidRDefault="00DB3926" w14:paraId="5B8681CB" w14:textId="77777777">
      <w:pPr>
        <w:pStyle w:val="ListParagraph"/>
        <w:tabs>
          <w:tab w:val="left" w:pos="540"/>
        </w:tabs>
        <w:ind w:left="540"/>
        <w:rPr>
          <w:rFonts w:asciiTheme="minorHAnsi" w:hAnsiTheme="minorHAnsi"/>
          <w:b/>
          <w:sz w:val="22"/>
        </w:rPr>
      </w:pPr>
    </w:p>
    <w:p w:rsidR="004137B8" w:rsidP="004137B8" w:rsidRDefault="007152D0" w14:paraId="46B6553A" w14:textId="294BB20D">
      <w:pPr>
        <w:tabs>
          <w:tab w:val="left" w:pos="540"/>
        </w:tabs>
        <w:ind w:left="540" w:hanging="540"/>
        <w:rPr>
          <w:rFonts w:asciiTheme="minorHAnsi" w:hAnsiTheme="minorHAnsi"/>
          <w:sz w:val="22"/>
        </w:rPr>
      </w:pPr>
      <w:r>
        <w:rPr>
          <w:rFonts w:asciiTheme="minorHAnsi" w:hAnsiTheme="minorHAnsi"/>
          <w:sz w:val="22"/>
        </w:rPr>
        <w:t xml:space="preserve">    </w:t>
      </w:r>
      <w:r w:rsidR="00894F2F">
        <w:rPr>
          <w:rFonts w:asciiTheme="minorHAnsi" w:hAnsiTheme="minorHAnsi"/>
          <w:sz w:val="22"/>
        </w:rPr>
        <w:t xml:space="preserve"> </w:t>
      </w:r>
      <w:r>
        <w:rPr>
          <w:rFonts w:asciiTheme="minorHAnsi" w:hAnsiTheme="minorHAnsi"/>
          <w:sz w:val="22"/>
        </w:rPr>
        <w:t xml:space="preserve"> </w:t>
      </w:r>
      <w:r w:rsidR="00DA39D1">
        <w:rPr>
          <w:rFonts w:asciiTheme="minorHAnsi" w:hAnsiTheme="minorHAnsi"/>
          <w:sz w:val="22"/>
        </w:rPr>
        <w:t xml:space="preserve"> </w:t>
      </w:r>
      <w:r w:rsidR="004137B8">
        <w:rPr>
          <w:rFonts w:asciiTheme="minorHAnsi" w:hAnsiTheme="minorHAnsi"/>
          <w:sz w:val="22"/>
        </w:rPr>
        <w:t xml:space="preserve">There are no changes to the paperwork burden previously approved by OMB.  IRS is making this </w:t>
      </w:r>
    </w:p>
    <w:p w:rsidR="0084728B" w:rsidP="000032BF" w:rsidRDefault="004137B8" w14:paraId="223943D6" w14:textId="57FA71C4">
      <w:pPr>
        <w:ind w:left="360" w:hanging="360"/>
        <w:rPr>
          <w:rFonts w:asciiTheme="minorHAnsi" w:hAnsiTheme="minorHAnsi"/>
          <w:sz w:val="22"/>
        </w:rPr>
      </w:pPr>
      <w:r>
        <w:rPr>
          <w:rFonts w:asciiTheme="minorHAnsi" w:hAnsiTheme="minorHAnsi"/>
          <w:sz w:val="22"/>
        </w:rPr>
        <w:t xml:space="preserve">     </w:t>
      </w:r>
      <w:r w:rsidR="00894F2F">
        <w:rPr>
          <w:rFonts w:asciiTheme="minorHAnsi" w:hAnsiTheme="minorHAnsi"/>
          <w:sz w:val="22"/>
        </w:rPr>
        <w:t xml:space="preserve"> </w:t>
      </w:r>
      <w:r>
        <w:rPr>
          <w:rFonts w:asciiTheme="minorHAnsi" w:hAnsiTheme="minorHAnsi"/>
          <w:sz w:val="22"/>
        </w:rPr>
        <w:t xml:space="preserve"> submission for renewal purposes.</w:t>
      </w:r>
      <w:r w:rsidR="00CE689E">
        <w:rPr>
          <w:rFonts w:asciiTheme="minorHAnsi" w:hAnsiTheme="minorHAnsi"/>
          <w:sz w:val="22"/>
        </w:rPr>
        <w:t xml:space="preserve">  </w:t>
      </w:r>
      <w:r w:rsidR="0052580F">
        <w:rPr>
          <w:rFonts w:asciiTheme="minorHAnsi" w:hAnsiTheme="minorHAnsi"/>
          <w:sz w:val="22"/>
        </w:rPr>
        <w:t>Form 8822 was</w:t>
      </w:r>
      <w:r w:rsidR="00CE689E">
        <w:rPr>
          <w:rFonts w:asciiTheme="minorHAnsi" w:hAnsiTheme="minorHAnsi"/>
          <w:sz w:val="22"/>
        </w:rPr>
        <w:t xml:space="preserve"> revised to</w:t>
      </w:r>
      <w:r w:rsidR="00C71619">
        <w:rPr>
          <w:rFonts w:asciiTheme="minorHAnsi" w:hAnsiTheme="minorHAnsi"/>
          <w:sz w:val="22"/>
        </w:rPr>
        <w:t xml:space="preserve"> update the </w:t>
      </w:r>
      <w:r w:rsidR="0052580F">
        <w:rPr>
          <w:rFonts w:asciiTheme="minorHAnsi" w:hAnsiTheme="minorHAnsi"/>
          <w:sz w:val="22"/>
        </w:rPr>
        <w:t>forms</w:t>
      </w:r>
      <w:r w:rsidR="001B1055">
        <w:rPr>
          <w:rFonts w:asciiTheme="minorHAnsi" w:hAnsiTheme="minorHAnsi"/>
          <w:sz w:val="22"/>
        </w:rPr>
        <w:t xml:space="preserve"> listed in question 1</w:t>
      </w:r>
      <w:r w:rsidR="00671735">
        <w:rPr>
          <w:rFonts w:asciiTheme="minorHAnsi" w:hAnsiTheme="minorHAnsi"/>
          <w:sz w:val="22"/>
        </w:rPr>
        <w:t xml:space="preserve">, </w:t>
      </w:r>
      <w:r w:rsidR="001B1055">
        <w:rPr>
          <w:rFonts w:asciiTheme="minorHAnsi" w:hAnsiTheme="minorHAnsi"/>
          <w:sz w:val="22"/>
        </w:rPr>
        <w:t>to update the mailing addresses in the Where to File section</w:t>
      </w:r>
      <w:r w:rsidR="00671735">
        <w:rPr>
          <w:rFonts w:asciiTheme="minorHAnsi" w:hAnsiTheme="minorHAnsi"/>
          <w:sz w:val="22"/>
        </w:rPr>
        <w:t>, and to add a statement that individuals can update their address online</w:t>
      </w:r>
      <w:r w:rsidR="00CE689E">
        <w:rPr>
          <w:rFonts w:asciiTheme="minorHAnsi" w:hAnsiTheme="minorHAnsi"/>
          <w:sz w:val="22"/>
        </w:rPr>
        <w:t xml:space="preserve">. </w:t>
      </w:r>
      <w:r w:rsidR="00C71619">
        <w:rPr>
          <w:rFonts w:asciiTheme="minorHAnsi" w:hAnsiTheme="minorHAnsi"/>
          <w:sz w:val="22"/>
        </w:rPr>
        <w:t xml:space="preserve">  These changes are considered de minimis and do not require OMB approval. </w:t>
      </w:r>
      <w:r w:rsidR="00CE689E">
        <w:rPr>
          <w:rFonts w:asciiTheme="minorHAnsi" w:hAnsiTheme="minorHAnsi"/>
          <w:sz w:val="22"/>
        </w:rPr>
        <w:t xml:space="preserve"> </w:t>
      </w:r>
    </w:p>
    <w:p w:rsidR="004137B8" w:rsidP="004137B8" w:rsidRDefault="004137B8" w14:paraId="640D7697" w14:textId="77777777">
      <w:pPr>
        <w:tabs>
          <w:tab w:val="left" w:pos="540"/>
        </w:tabs>
        <w:ind w:left="540" w:hanging="540"/>
        <w:rPr>
          <w:rFonts w:asciiTheme="minorHAnsi" w:hAnsiTheme="minorHAnsi"/>
          <w:sz w:val="22"/>
        </w:rPr>
      </w:pPr>
    </w:p>
    <w:p w:rsidRPr="007152D0" w:rsidR="009E3D48" w:rsidP="007152D0" w:rsidRDefault="007152D0" w14:paraId="09EC3626" w14:textId="0EA1CC4A">
      <w:pPr>
        <w:tabs>
          <w:tab w:val="left" w:pos="540"/>
        </w:tabs>
        <w:rPr>
          <w:rFonts w:asciiTheme="minorHAnsi" w:hAnsiTheme="minorHAnsi"/>
          <w:b/>
          <w:sz w:val="22"/>
          <w:u w:val="single"/>
        </w:rPr>
      </w:pPr>
      <w:r w:rsidRPr="007152D0">
        <w:rPr>
          <w:rFonts w:asciiTheme="minorHAnsi" w:hAnsiTheme="minorHAnsi"/>
          <w:b/>
          <w:sz w:val="22"/>
        </w:rPr>
        <w:t>16</w:t>
      </w:r>
      <w:r>
        <w:rPr>
          <w:rFonts w:asciiTheme="minorHAnsi" w:hAnsiTheme="minorHAnsi"/>
          <w:b/>
          <w:sz w:val="22"/>
        </w:rPr>
        <w:t xml:space="preserve">. </w:t>
      </w:r>
      <w:r w:rsidRPr="007152D0">
        <w:rPr>
          <w:rFonts w:asciiTheme="minorHAnsi" w:hAnsiTheme="minorHAnsi"/>
          <w:bCs/>
          <w:sz w:val="22"/>
        </w:rPr>
        <w:t xml:space="preserve">  </w:t>
      </w:r>
      <w:r w:rsidRPr="007152D0" w:rsidR="009E3D48">
        <w:rPr>
          <w:rFonts w:asciiTheme="minorHAnsi" w:hAnsiTheme="minorHAnsi"/>
          <w:b/>
          <w:sz w:val="22"/>
          <w:u w:val="single"/>
        </w:rPr>
        <w:t xml:space="preserve">PLANS FOR TABULATION, STATISTICAL ANALYSIS AND PUBLICATION </w:t>
      </w:r>
    </w:p>
    <w:p w:rsidRPr="00F87A66" w:rsidR="009E3D48" w:rsidP="009E3D48" w:rsidRDefault="009E3D48" w14:paraId="45E5F545" w14:textId="77777777">
      <w:pPr>
        <w:tabs>
          <w:tab w:val="left" w:pos="540"/>
        </w:tabs>
        <w:ind w:left="540" w:hanging="540"/>
        <w:rPr>
          <w:rFonts w:asciiTheme="minorHAnsi" w:hAnsiTheme="minorHAnsi"/>
          <w:sz w:val="22"/>
        </w:rPr>
      </w:pPr>
    </w:p>
    <w:p w:rsidRPr="00F87A66" w:rsidR="0004104E" w:rsidP="0004104E" w:rsidRDefault="007152D0" w14:paraId="21FF2B04" w14:textId="68549C92">
      <w:pPr>
        <w:tabs>
          <w:tab w:val="left" w:pos="540"/>
        </w:tabs>
        <w:ind w:left="540" w:hanging="540"/>
        <w:rPr>
          <w:rFonts w:asciiTheme="minorHAnsi" w:hAnsiTheme="minorHAnsi"/>
          <w:sz w:val="22"/>
        </w:rPr>
      </w:pPr>
      <w:r>
        <w:rPr>
          <w:rFonts w:asciiTheme="minorHAnsi" w:hAnsiTheme="minorHAnsi"/>
          <w:sz w:val="22"/>
        </w:rPr>
        <w:t xml:space="preserve">    </w:t>
      </w:r>
      <w:r w:rsidR="00DA39D1">
        <w:rPr>
          <w:rFonts w:asciiTheme="minorHAnsi" w:hAnsiTheme="minorHAnsi"/>
          <w:sz w:val="22"/>
        </w:rPr>
        <w:t xml:space="preserve"> </w:t>
      </w:r>
      <w:r>
        <w:rPr>
          <w:rFonts w:asciiTheme="minorHAnsi" w:hAnsiTheme="minorHAnsi"/>
          <w:sz w:val="22"/>
        </w:rPr>
        <w:t xml:space="preserve"> </w:t>
      </w:r>
      <w:r w:rsidR="00DA39D1">
        <w:rPr>
          <w:rFonts w:asciiTheme="minorHAnsi" w:hAnsiTheme="minorHAnsi"/>
          <w:sz w:val="22"/>
        </w:rPr>
        <w:t xml:space="preserve">  </w:t>
      </w:r>
      <w:r w:rsidRPr="00F87A66" w:rsidR="00A648C2">
        <w:rPr>
          <w:rFonts w:asciiTheme="minorHAnsi" w:hAnsiTheme="minorHAnsi"/>
          <w:sz w:val="22"/>
        </w:rPr>
        <w:t>There are no plans for tabulation, statistical analysis, and publication.</w:t>
      </w:r>
    </w:p>
    <w:p w:rsidR="009F01D3" w:rsidP="009E3D48" w:rsidRDefault="009F01D3" w14:paraId="4FA43A7D" w14:textId="5FAAAB7B">
      <w:pPr>
        <w:tabs>
          <w:tab w:val="left" w:pos="540"/>
        </w:tabs>
        <w:ind w:left="540" w:hanging="540"/>
        <w:rPr>
          <w:rFonts w:asciiTheme="minorHAnsi" w:hAnsiTheme="minorHAnsi"/>
          <w:sz w:val="22"/>
          <w:u w:val="single"/>
        </w:rPr>
      </w:pPr>
    </w:p>
    <w:p w:rsidR="007073D8" w:rsidP="009E3D48" w:rsidRDefault="007073D8" w14:paraId="31816C18" w14:textId="4D1CA976">
      <w:pPr>
        <w:tabs>
          <w:tab w:val="left" w:pos="540"/>
        </w:tabs>
        <w:ind w:left="540" w:hanging="540"/>
        <w:rPr>
          <w:rFonts w:asciiTheme="minorHAnsi" w:hAnsiTheme="minorHAnsi"/>
          <w:sz w:val="22"/>
          <w:u w:val="single"/>
        </w:rPr>
      </w:pPr>
    </w:p>
    <w:p w:rsidR="007073D8" w:rsidP="009E3D48" w:rsidRDefault="007073D8" w14:paraId="5F9DFE6A" w14:textId="4B360D96">
      <w:pPr>
        <w:tabs>
          <w:tab w:val="left" w:pos="540"/>
        </w:tabs>
        <w:ind w:left="540" w:hanging="540"/>
        <w:rPr>
          <w:rFonts w:asciiTheme="minorHAnsi" w:hAnsiTheme="minorHAnsi"/>
          <w:sz w:val="22"/>
          <w:u w:val="single"/>
        </w:rPr>
      </w:pPr>
    </w:p>
    <w:p w:rsidR="007073D8" w:rsidP="009E3D48" w:rsidRDefault="007073D8" w14:paraId="73B40E9A" w14:textId="77777777">
      <w:pPr>
        <w:tabs>
          <w:tab w:val="left" w:pos="540"/>
        </w:tabs>
        <w:ind w:left="540" w:hanging="540"/>
        <w:rPr>
          <w:rFonts w:asciiTheme="minorHAnsi" w:hAnsiTheme="minorHAnsi"/>
          <w:sz w:val="22"/>
          <w:u w:val="single"/>
        </w:rPr>
      </w:pPr>
    </w:p>
    <w:p w:rsidRPr="007152D0" w:rsidR="009E3D48" w:rsidP="007152D0" w:rsidRDefault="007152D0" w14:paraId="11D4F618" w14:textId="7A429B81">
      <w:pPr>
        <w:tabs>
          <w:tab w:val="left" w:pos="540"/>
        </w:tabs>
        <w:rPr>
          <w:rFonts w:asciiTheme="minorHAnsi" w:hAnsiTheme="minorHAnsi"/>
          <w:b/>
          <w:sz w:val="22"/>
          <w:u w:val="single"/>
        </w:rPr>
      </w:pPr>
      <w:r w:rsidRPr="007152D0">
        <w:rPr>
          <w:rFonts w:asciiTheme="minorHAnsi" w:hAnsiTheme="minorHAnsi"/>
          <w:b/>
          <w:sz w:val="22"/>
        </w:rPr>
        <w:lastRenderedPageBreak/>
        <w:t>17.</w:t>
      </w:r>
      <w:r w:rsidRPr="007152D0" w:rsidR="00DA39D1">
        <w:rPr>
          <w:rFonts w:asciiTheme="minorHAnsi" w:hAnsiTheme="minorHAnsi"/>
          <w:b/>
          <w:sz w:val="22"/>
        </w:rPr>
        <w:t xml:space="preserve"> </w:t>
      </w:r>
      <w:r w:rsidRPr="007152D0">
        <w:rPr>
          <w:rFonts w:asciiTheme="minorHAnsi" w:hAnsiTheme="minorHAnsi"/>
          <w:b/>
          <w:sz w:val="22"/>
        </w:rPr>
        <w:t xml:space="preserve">  </w:t>
      </w:r>
      <w:r w:rsidRPr="007152D0" w:rsidR="009E3D48">
        <w:rPr>
          <w:rFonts w:asciiTheme="minorHAnsi" w:hAnsiTheme="minorHAnsi"/>
          <w:b/>
          <w:sz w:val="22"/>
          <w:u w:val="single"/>
        </w:rPr>
        <w:t xml:space="preserve">REASONS WHY DISPLAYING THE OMB EXPIRATION DATE IS INAPPROPRIATE </w:t>
      </w:r>
    </w:p>
    <w:p w:rsidR="007152D0" w:rsidP="007152D0" w:rsidRDefault="007152D0" w14:paraId="2F710978" w14:textId="77777777">
      <w:pPr>
        <w:tabs>
          <w:tab w:val="left" w:pos="540"/>
        </w:tabs>
        <w:rPr>
          <w:rFonts w:asciiTheme="minorHAnsi" w:hAnsiTheme="minorHAnsi"/>
          <w:b/>
          <w:sz w:val="22"/>
        </w:rPr>
      </w:pPr>
    </w:p>
    <w:p w:rsidR="00DA39D1" w:rsidP="007152D0" w:rsidRDefault="007152D0" w14:paraId="0026790A" w14:textId="721ADDD0">
      <w:pPr>
        <w:tabs>
          <w:tab w:val="left" w:pos="540"/>
        </w:tabs>
        <w:rPr>
          <w:rFonts w:asciiTheme="minorHAnsi" w:hAnsiTheme="minorHAnsi"/>
          <w:sz w:val="22"/>
        </w:rPr>
      </w:pPr>
      <w:r>
        <w:rPr>
          <w:rFonts w:asciiTheme="minorHAnsi" w:hAnsiTheme="minorHAnsi"/>
          <w:b/>
          <w:sz w:val="22"/>
        </w:rPr>
        <w:t xml:space="preserve">       </w:t>
      </w:r>
      <w:r w:rsidR="00DA39D1">
        <w:rPr>
          <w:rFonts w:asciiTheme="minorHAnsi" w:hAnsiTheme="minorHAnsi"/>
          <w:sz w:val="22"/>
        </w:rPr>
        <w:t xml:space="preserve"> </w:t>
      </w:r>
      <w:r w:rsidRPr="004606C9" w:rsidR="004606C9">
        <w:rPr>
          <w:rFonts w:asciiTheme="minorHAnsi" w:hAnsiTheme="minorHAnsi"/>
          <w:sz w:val="22"/>
        </w:rPr>
        <w:t xml:space="preserve">IRS believes that displaying the OMB expiration date is inappropriate because it could cause </w:t>
      </w:r>
      <w:r w:rsidR="00DA39D1">
        <w:rPr>
          <w:rFonts w:asciiTheme="minorHAnsi" w:hAnsiTheme="minorHAnsi"/>
          <w:sz w:val="22"/>
        </w:rPr>
        <w:t xml:space="preserve">   </w:t>
      </w:r>
    </w:p>
    <w:p w:rsidR="00DA39D1" w:rsidP="007152D0" w:rsidRDefault="007152D0" w14:paraId="4C180B89" w14:textId="66B281C6">
      <w:pPr>
        <w:tabs>
          <w:tab w:val="left" w:pos="540"/>
        </w:tabs>
        <w:rPr>
          <w:rFonts w:asciiTheme="minorHAnsi" w:hAnsiTheme="minorHAnsi"/>
          <w:sz w:val="22"/>
        </w:rPr>
      </w:pPr>
      <w:r>
        <w:rPr>
          <w:rFonts w:asciiTheme="minorHAnsi" w:hAnsiTheme="minorHAnsi"/>
          <w:sz w:val="22"/>
        </w:rPr>
        <w:t xml:space="preserve">    </w:t>
      </w:r>
      <w:r w:rsidR="00DA39D1">
        <w:rPr>
          <w:rFonts w:asciiTheme="minorHAnsi" w:hAnsiTheme="minorHAnsi"/>
          <w:sz w:val="22"/>
        </w:rPr>
        <w:t xml:space="preserve">    </w:t>
      </w:r>
      <w:r w:rsidRPr="004606C9" w:rsidR="004606C9">
        <w:rPr>
          <w:rFonts w:asciiTheme="minorHAnsi" w:hAnsiTheme="minorHAnsi"/>
          <w:sz w:val="22"/>
        </w:rPr>
        <w:t xml:space="preserve">confusion by leading taxpayers to believe that the </w:t>
      </w:r>
      <w:r w:rsidR="00D107CC">
        <w:rPr>
          <w:rFonts w:asciiTheme="minorHAnsi" w:hAnsiTheme="minorHAnsi"/>
          <w:sz w:val="22"/>
        </w:rPr>
        <w:t xml:space="preserve">forms </w:t>
      </w:r>
      <w:r w:rsidRPr="004606C9" w:rsidR="004606C9">
        <w:rPr>
          <w:rFonts w:asciiTheme="minorHAnsi" w:hAnsiTheme="minorHAnsi"/>
          <w:sz w:val="22"/>
        </w:rPr>
        <w:t>sunset</w:t>
      </w:r>
      <w:r w:rsidR="004606C9">
        <w:rPr>
          <w:rFonts w:asciiTheme="minorHAnsi" w:hAnsiTheme="minorHAnsi"/>
          <w:sz w:val="22"/>
        </w:rPr>
        <w:t xml:space="preserve"> </w:t>
      </w:r>
      <w:r w:rsidRPr="004606C9" w:rsidR="004606C9">
        <w:rPr>
          <w:rFonts w:asciiTheme="minorHAnsi" w:hAnsiTheme="minorHAnsi"/>
          <w:sz w:val="22"/>
        </w:rPr>
        <w:t xml:space="preserve">as of the expiration date.  </w:t>
      </w:r>
    </w:p>
    <w:p w:rsidR="00DA39D1" w:rsidP="007152D0" w:rsidRDefault="007152D0" w14:paraId="79B9DB8F" w14:textId="3C1BEF37">
      <w:pPr>
        <w:tabs>
          <w:tab w:val="left" w:pos="540"/>
        </w:tabs>
        <w:rPr>
          <w:rFonts w:asciiTheme="minorHAnsi" w:hAnsiTheme="minorHAnsi"/>
          <w:sz w:val="22"/>
        </w:rPr>
      </w:pPr>
      <w:r>
        <w:rPr>
          <w:rFonts w:asciiTheme="minorHAnsi" w:hAnsiTheme="minorHAnsi"/>
          <w:sz w:val="22"/>
        </w:rPr>
        <w:t xml:space="preserve">    </w:t>
      </w:r>
      <w:r w:rsidR="00DA39D1">
        <w:rPr>
          <w:rFonts w:asciiTheme="minorHAnsi" w:hAnsiTheme="minorHAnsi"/>
          <w:sz w:val="22"/>
        </w:rPr>
        <w:t xml:space="preserve">    </w:t>
      </w:r>
      <w:r w:rsidRPr="004606C9" w:rsidR="004606C9">
        <w:rPr>
          <w:rFonts w:asciiTheme="minorHAnsi" w:hAnsiTheme="minorHAnsi"/>
          <w:sz w:val="22"/>
        </w:rPr>
        <w:t xml:space="preserve">Taxpayers are not likely to be aware that the </w:t>
      </w:r>
      <w:r w:rsidR="00B43ED1">
        <w:rPr>
          <w:rFonts w:asciiTheme="minorHAnsi" w:hAnsiTheme="minorHAnsi"/>
          <w:sz w:val="22"/>
        </w:rPr>
        <w:t>IRS</w:t>
      </w:r>
      <w:r w:rsidRPr="004606C9" w:rsidR="00B43ED1">
        <w:rPr>
          <w:rFonts w:asciiTheme="minorHAnsi" w:hAnsiTheme="minorHAnsi"/>
          <w:sz w:val="22"/>
        </w:rPr>
        <w:t xml:space="preserve"> </w:t>
      </w:r>
      <w:r w:rsidRPr="004606C9" w:rsidR="004606C9">
        <w:rPr>
          <w:rFonts w:asciiTheme="minorHAnsi" w:hAnsiTheme="minorHAnsi"/>
          <w:sz w:val="22"/>
        </w:rPr>
        <w:t xml:space="preserve">intends to request renewal of the OMB </w:t>
      </w:r>
    </w:p>
    <w:p w:rsidRPr="00F87A66" w:rsidR="0004104E" w:rsidP="007152D0" w:rsidRDefault="007152D0" w14:paraId="1DF2FF29" w14:textId="582E441F">
      <w:pPr>
        <w:tabs>
          <w:tab w:val="left" w:pos="540"/>
        </w:tabs>
        <w:rPr>
          <w:rFonts w:asciiTheme="minorHAnsi" w:hAnsiTheme="minorHAnsi"/>
          <w:sz w:val="22"/>
        </w:rPr>
      </w:pPr>
      <w:r>
        <w:rPr>
          <w:rFonts w:asciiTheme="minorHAnsi" w:hAnsiTheme="minorHAnsi"/>
          <w:sz w:val="22"/>
        </w:rPr>
        <w:t xml:space="preserve">    </w:t>
      </w:r>
      <w:r w:rsidR="00DA39D1">
        <w:rPr>
          <w:rFonts w:asciiTheme="minorHAnsi" w:hAnsiTheme="minorHAnsi"/>
          <w:sz w:val="22"/>
        </w:rPr>
        <w:t xml:space="preserve">    </w:t>
      </w:r>
      <w:r w:rsidRPr="004606C9" w:rsidR="004606C9">
        <w:rPr>
          <w:rFonts w:asciiTheme="minorHAnsi" w:hAnsiTheme="minorHAnsi"/>
          <w:sz w:val="22"/>
        </w:rPr>
        <w:t>approval and obtain a new expiration date before the old one expires</w:t>
      </w:r>
      <w:r w:rsidR="004606C9">
        <w:rPr>
          <w:rFonts w:asciiTheme="minorHAnsi" w:hAnsiTheme="minorHAnsi"/>
          <w:sz w:val="22"/>
        </w:rPr>
        <w:t>.</w:t>
      </w:r>
    </w:p>
    <w:p w:rsidRPr="00DC1585" w:rsidR="00D463E0" w:rsidP="009E3D48" w:rsidRDefault="00D463E0" w14:paraId="0E337D66" w14:textId="77777777">
      <w:pPr>
        <w:tabs>
          <w:tab w:val="left" w:pos="540"/>
        </w:tabs>
        <w:ind w:left="540" w:hanging="540"/>
        <w:rPr>
          <w:rFonts w:asciiTheme="minorHAnsi" w:hAnsiTheme="minorHAnsi"/>
          <w:b/>
          <w:sz w:val="22"/>
          <w:u w:val="single"/>
        </w:rPr>
      </w:pPr>
    </w:p>
    <w:p w:rsidRPr="007152D0" w:rsidR="009E3D48" w:rsidP="007152D0" w:rsidRDefault="007152D0" w14:paraId="685E59B1" w14:textId="700B964E">
      <w:pPr>
        <w:tabs>
          <w:tab w:val="left" w:pos="540"/>
        </w:tabs>
        <w:rPr>
          <w:rFonts w:asciiTheme="minorHAnsi" w:hAnsiTheme="minorHAnsi"/>
          <w:b/>
          <w:sz w:val="22"/>
          <w:u w:val="single"/>
        </w:rPr>
      </w:pPr>
      <w:r w:rsidRPr="007152D0">
        <w:rPr>
          <w:rFonts w:asciiTheme="minorHAnsi" w:hAnsiTheme="minorHAnsi"/>
          <w:b/>
          <w:sz w:val="22"/>
        </w:rPr>
        <w:t>18.</w:t>
      </w:r>
      <w:r>
        <w:rPr>
          <w:rFonts w:asciiTheme="minorHAnsi" w:hAnsiTheme="minorHAnsi"/>
          <w:b/>
          <w:sz w:val="22"/>
        </w:rPr>
        <w:t xml:space="preserve">  </w:t>
      </w:r>
      <w:r w:rsidRPr="007152D0" w:rsidR="009E3D48">
        <w:rPr>
          <w:rFonts w:asciiTheme="minorHAnsi" w:hAnsiTheme="minorHAnsi"/>
          <w:b/>
          <w:sz w:val="22"/>
          <w:u w:val="single"/>
        </w:rPr>
        <w:t>EXCEPTIONS TO THE CERTIFICATION STATEMENT</w:t>
      </w:r>
    </w:p>
    <w:p w:rsidR="007152D0" w:rsidP="007152D0" w:rsidRDefault="007152D0" w14:paraId="0C4022A6" w14:textId="77777777">
      <w:pPr>
        <w:rPr>
          <w:rFonts w:asciiTheme="minorHAnsi" w:hAnsiTheme="minorHAnsi"/>
          <w:sz w:val="22"/>
        </w:rPr>
      </w:pPr>
    </w:p>
    <w:p w:rsidRPr="00F87A66" w:rsidR="00A648C2" w:rsidP="007152D0" w:rsidRDefault="007152D0" w14:paraId="51EA51EE" w14:textId="5D2A2C7D">
      <w:pPr>
        <w:rPr>
          <w:rFonts w:asciiTheme="minorHAnsi" w:hAnsiTheme="minorHAnsi"/>
          <w:sz w:val="22"/>
        </w:rPr>
      </w:pPr>
      <w:r>
        <w:rPr>
          <w:rFonts w:asciiTheme="minorHAnsi" w:hAnsiTheme="minorHAnsi"/>
          <w:sz w:val="22"/>
        </w:rPr>
        <w:t xml:space="preserve">       </w:t>
      </w:r>
      <w:r w:rsidRPr="00F87A66" w:rsidR="00A648C2">
        <w:rPr>
          <w:rFonts w:asciiTheme="minorHAnsi" w:hAnsiTheme="minorHAnsi"/>
          <w:sz w:val="22"/>
        </w:rPr>
        <w:t>There are no exceptions to the certification statement</w:t>
      </w:r>
      <w:r w:rsidR="00D107CC">
        <w:rPr>
          <w:rFonts w:asciiTheme="minorHAnsi" w:hAnsiTheme="minorHAnsi"/>
          <w:sz w:val="22"/>
        </w:rPr>
        <w:t xml:space="preserve"> for this collection</w:t>
      </w:r>
      <w:r w:rsidRPr="00F87A66" w:rsidR="00A648C2">
        <w:rPr>
          <w:rFonts w:asciiTheme="minorHAnsi" w:hAnsiTheme="minorHAnsi"/>
          <w:sz w:val="22"/>
        </w:rPr>
        <w:t>.</w:t>
      </w:r>
    </w:p>
    <w:p w:rsidRPr="00F87A66" w:rsidR="0004104E" w:rsidP="0004104E" w:rsidRDefault="0004104E" w14:paraId="2555F739" w14:textId="77777777">
      <w:pPr>
        <w:tabs>
          <w:tab w:val="left" w:pos="540"/>
        </w:tabs>
        <w:ind w:left="540" w:hanging="540"/>
        <w:rPr>
          <w:rFonts w:asciiTheme="minorHAnsi" w:hAnsiTheme="minorHAnsi"/>
          <w:sz w:val="22"/>
        </w:rPr>
      </w:pPr>
    </w:p>
    <w:p w:rsidRPr="00F87A66" w:rsidR="0004104E" w:rsidP="00E744E9" w:rsidRDefault="0004104E" w14:paraId="6DF9FE6D" w14:textId="28A21FC4">
      <w:pPr>
        <w:tabs>
          <w:tab w:val="left" w:pos="720"/>
        </w:tabs>
        <w:ind w:left="720" w:hanging="360"/>
        <w:rPr>
          <w:rFonts w:asciiTheme="minorHAnsi" w:hAnsiTheme="minorHAnsi"/>
          <w:sz w:val="22"/>
        </w:rPr>
      </w:pPr>
      <w:r w:rsidRPr="00F87A66">
        <w:rPr>
          <w:rFonts w:asciiTheme="minorHAnsi" w:hAnsiTheme="minorHAnsi"/>
          <w:sz w:val="22"/>
        </w:rPr>
        <w:t>Note:</w:t>
      </w:r>
      <w:r w:rsidR="00FE1DF4">
        <w:rPr>
          <w:rFonts w:asciiTheme="minorHAnsi" w:hAnsiTheme="minorHAnsi"/>
          <w:sz w:val="22"/>
        </w:rPr>
        <w:t xml:space="preserve">  </w:t>
      </w:r>
      <w:r w:rsidRPr="00F87A66">
        <w:rPr>
          <w:rFonts w:asciiTheme="minorHAnsi" w:hAnsiTheme="minorHAnsi"/>
          <w:sz w:val="22"/>
        </w:rPr>
        <w:t xml:space="preserve">The following paragraph applies to </w:t>
      </w:r>
      <w:proofErr w:type="gramStart"/>
      <w:r w:rsidRPr="00F87A66">
        <w:rPr>
          <w:rFonts w:asciiTheme="minorHAnsi" w:hAnsiTheme="minorHAnsi"/>
          <w:sz w:val="22"/>
        </w:rPr>
        <w:t>all of</w:t>
      </w:r>
      <w:proofErr w:type="gramEnd"/>
      <w:r w:rsidRPr="00F87A66">
        <w:rPr>
          <w:rFonts w:asciiTheme="minorHAnsi" w:hAnsiTheme="minorHAnsi"/>
          <w:sz w:val="22"/>
        </w:rPr>
        <w:t xml:space="preserve"> the collections of information in this submission:</w:t>
      </w:r>
    </w:p>
    <w:p w:rsidRPr="00F87A66" w:rsidR="00CB358B" w:rsidP="0004104E" w:rsidRDefault="00CB358B" w14:paraId="2AA288B2" w14:textId="77777777">
      <w:pPr>
        <w:tabs>
          <w:tab w:val="left" w:pos="720"/>
        </w:tabs>
        <w:ind w:left="720" w:hanging="720"/>
        <w:rPr>
          <w:rFonts w:asciiTheme="minorHAnsi" w:hAnsiTheme="minorHAnsi"/>
          <w:sz w:val="22"/>
        </w:rPr>
      </w:pPr>
    </w:p>
    <w:p w:rsidRPr="00F87A66" w:rsidR="00D463E0" w:rsidP="00FE1DF4" w:rsidRDefault="0004104E" w14:paraId="3862DA20" w14:textId="77777777">
      <w:pPr>
        <w:tabs>
          <w:tab w:val="left" w:pos="360"/>
        </w:tabs>
        <w:ind w:left="360" w:hanging="180"/>
        <w:rPr>
          <w:rFonts w:asciiTheme="minorHAnsi" w:hAnsiTheme="minorHAnsi"/>
          <w:sz w:val="22"/>
        </w:rPr>
      </w:pPr>
      <w:r w:rsidRPr="00F87A66">
        <w:rPr>
          <w:rFonts w:asciiTheme="minorHAnsi" w:hAnsiTheme="minorHAnsi"/>
          <w:sz w:val="22"/>
        </w:rPr>
        <w:tab/>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F87A66">
        <w:rPr>
          <w:rFonts w:asciiTheme="minorHAnsi" w:hAnsiTheme="minorHAnsi"/>
          <w:sz w:val="22"/>
        </w:rPr>
        <w:t>as long as</w:t>
      </w:r>
      <w:proofErr w:type="gramEnd"/>
      <w:r w:rsidRPr="00F87A66">
        <w:rPr>
          <w:rFonts w:asciiTheme="minorHAnsi" w:hAnsiTheme="minorHAnsi"/>
          <w:sz w:val="22"/>
        </w:rPr>
        <w:t xml:space="preserve"> their contents may become material in the administration of any internal revenue law.  Generally, tax returns and tax return information are confidential, as required by 26 U.S.C. 6103.</w:t>
      </w:r>
    </w:p>
    <w:sectPr w:rsidRPr="00F87A66" w:rsidR="00D463E0">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2E80D" w14:textId="77777777" w:rsidR="00A262C7" w:rsidRDefault="00A262C7" w:rsidP="009E3D48">
      <w:r>
        <w:separator/>
      </w:r>
    </w:p>
  </w:endnote>
  <w:endnote w:type="continuationSeparator" w:id="0">
    <w:p w14:paraId="1EEFF380" w14:textId="77777777" w:rsidR="00A262C7" w:rsidRDefault="00A262C7" w:rsidP="009E3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HelveticaNeueLT Std">
    <w:altName w:val="Arial"/>
    <w:panose1 w:val="00000000000000000000"/>
    <w:charset w:val="00"/>
    <w:family w:val="roman"/>
    <w:notTrueType/>
    <w:pitch w:val="default"/>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6700687"/>
      <w:docPartObj>
        <w:docPartGallery w:val="Page Numbers (Bottom of Page)"/>
        <w:docPartUnique/>
      </w:docPartObj>
    </w:sdtPr>
    <w:sdtEndPr>
      <w:rPr>
        <w:noProof/>
      </w:rPr>
    </w:sdtEndPr>
    <w:sdtContent>
      <w:p w14:paraId="33CB205A" w14:textId="77777777" w:rsidR="001B5BD6" w:rsidRDefault="001B5BD6">
        <w:pPr>
          <w:pStyle w:val="Footer"/>
          <w:jc w:val="right"/>
        </w:pPr>
        <w:r>
          <w:fldChar w:fldCharType="begin"/>
        </w:r>
        <w:r>
          <w:instrText xml:space="preserve"> PAGE   \* MERGEFORMAT </w:instrText>
        </w:r>
        <w:r>
          <w:fldChar w:fldCharType="separate"/>
        </w:r>
        <w:r w:rsidR="00374A80">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9F2A9" w14:textId="77777777" w:rsidR="00A262C7" w:rsidRDefault="00A262C7" w:rsidP="009E3D48">
      <w:r>
        <w:separator/>
      </w:r>
    </w:p>
  </w:footnote>
  <w:footnote w:type="continuationSeparator" w:id="0">
    <w:p w14:paraId="432AD99A" w14:textId="77777777" w:rsidR="00A262C7" w:rsidRDefault="00A262C7" w:rsidP="009E3D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393D17E"/>
    <w:multiLevelType w:val="hybridMultilevel"/>
    <w:tmpl w:val="444C755C"/>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CB6F780D"/>
    <w:multiLevelType w:val="hybridMultilevel"/>
    <w:tmpl w:val="AD830274"/>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1A59114B"/>
    <w:multiLevelType w:val="hybridMultilevel"/>
    <w:tmpl w:val="B980E89E"/>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030751"/>
    <w:multiLevelType w:val="hybridMultilevel"/>
    <w:tmpl w:val="0CEC2E40"/>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981607"/>
    <w:multiLevelType w:val="hybridMultilevel"/>
    <w:tmpl w:val="86863AA0"/>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94392B"/>
    <w:multiLevelType w:val="hybridMultilevel"/>
    <w:tmpl w:val="4B5A0ACC"/>
    <w:lvl w:ilvl="0" w:tplc="4D16ADC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568A219D"/>
    <w:multiLevelType w:val="hybridMultilevel"/>
    <w:tmpl w:val="5C5E0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BE4910"/>
    <w:multiLevelType w:val="hybridMultilevel"/>
    <w:tmpl w:val="4BB6D4AA"/>
    <w:lvl w:ilvl="0" w:tplc="0409000F">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4"/>
  </w:num>
  <w:num w:numId="4">
    <w:abstractNumId w:val="2"/>
  </w:num>
  <w:num w:numId="5">
    <w:abstractNumId w:val="7"/>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D48"/>
    <w:rsid w:val="00001370"/>
    <w:rsid w:val="000032BF"/>
    <w:rsid w:val="000104BB"/>
    <w:rsid w:val="0004104E"/>
    <w:rsid w:val="000720DB"/>
    <w:rsid w:val="0007317C"/>
    <w:rsid w:val="000841A5"/>
    <w:rsid w:val="00097F65"/>
    <w:rsid w:val="000D26FB"/>
    <w:rsid w:val="000E7436"/>
    <w:rsid w:val="0012304F"/>
    <w:rsid w:val="0012312C"/>
    <w:rsid w:val="00132F0E"/>
    <w:rsid w:val="00144CE5"/>
    <w:rsid w:val="00153E5B"/>
    <w:rsid w:val="001616BC"/>
    <w:rsid w:val="0016207D"/>
    <w:rsid w:val="00163E8B"/>
    <w:rsid w:val="001719EE"/>
    <w:rsid w:val="00182BE3"/>
    <w:rsid w:val="00183523"/>
    <w:rsid w:val="0018588A"/>
    <w:rsid w:val="00187B33"/>
    <w:rsid w:val="00190335"/>
    <w:rsid w:val="0019453D"/>
    <w:rsid w:val="00197CEF"/>
    <w:rsid w:val="001B1055"/>
    <w:rsid w:val="001B5BD6"/>
    <w:rsid w:val="001D050E"/>
    <w:rsid w:val="001D1550"/>
    <w:rsid w:val="001E351B"/>
    <w:rsid w:val="001F656C"/>
    <w:rsid w:val="00224850"/>
    <w:rsid w:val="00235AD5"/>
    <w:rsid w:val="002456AB"/>
    <w:rsid w:val="002600AF"/>
    <w:rsid w:val="002736EC"/>
    <w:rsid w:val="00277A26"/>
    <w:rsid w:val="002911BE"/>
    <w:rsid w:val="00296B5E"/>
    <w:rsid w:val="002A463C"/>
    <w:rsid w:val="002C05CE"/>
    <w:rsid w:val="002C7C4B"/>
    <w:rsid w:val="002D1260"/>
    <w:rsid w:val="002D32BD"/>
    <w:rsid w:val="002E399E"/>
    <w:rsid w:val="00313D91"/>
    <w:rsid w:val="003178E8"/>
    <w:rsid w:val="00322862"/>
    <w:rsid w:val="003709BF"/>
    <w:rsid w:val="00374A80"/>
    <w:rsid w:val="00377A8D"/>
    <w:rsid w:val="003965E9"/>
    <w:rsid w:val="003D7359"/>
    <w:rsid w:val="003F6658"/>
    <w:rsid w:val="004137B8"/>
    <w:rsid w:val="00436E54"/>
    <w:rsid w:val="00453441"/>
    <w:rsid w:val="00455DF9"/>
    <w:rsid w:val="004606C9"/>
    <w:rsid w:val="0047046A"/>
    <w:rsid w:val="004D0F5C"/>
    <w:rsid w:val="004F5BCB"/>
    <w:rsid w:val="0052580F"/>
    <w:rsid w:val="005365D6"/>
    <w:rsid w:val="005476DE"/>
    <w:rsid w:val="00550E5B"/>
    <w:rsid w:val="005732DF"/>
    <w:rsid w:val="005B773F"/>
    <w:rsid w:val="005D75B6"/>
    <w:rsid w:val="005E6135"/>
    <w:rsid w:val="006007BC"/>
    <w:rsid w:val="006031DF"/>
    <w:rsid w:val="00617F74"/>
    <w:rsid w:val="00637C90"/>
    <w:rsid w:val="00641BA3"/>
    <w:rsid w:val="00651FD9"/>
    <w:rsid w:val="006546DD"/>
    <w:rsid w:val="00671735"/>
    <w:rsid w:val="00692D23"/>
    <w:rsid w:val="006A247B"/>
    <w:rsid w:val="006A7D3C"/>
    <w:rsid w:val="006B08BA"/>
    <w:rsid w:val="00700CA4"/>
    <w:rsid w:val="007073D8"/>
    <w:rsid w:val="007152D0"/>
    <w:rsid w:val="00732204"/>
    <w:rsid w:val="00736DBB"/>
    <w:rsid w:val="00746D3B"/>
    <w:rsid w:val="00770EAA"/>
    <w:rsid w:val="007C611A"/>
    <w:rsid w:val="00801000"/>
    <w:rsid w:val="008264A0"/>
    <w:rsid w:val="00830578"/>
    <w:rsid w:val="0084725C"/>
    <w:rsid w:val="0084728B"/>
    <w:rsid w:val="00894F2F"/>
    <w:rsid w:val="00895855"/>
    <w:rsid w:val="008C24F2"/>
    <w:rsid w:val="008C63D7"/>
    <w:rsid w:val="008F35C9"/>
    <w:rsid w:val="009302A1"/>
    <w:rsid w:val="00946CFC"/>
    <w:rsid w:val="0096150B"/>
    <w:rsid w:val="009622BB"/>
    <w:rsid w:val="00964FD7"/>
    <w:rsid w:val="00996DDD"/>
    <w:rsid w:val="009A2892"/>
    <w:rsid w:val="009C573C"/>
    <w:rsid w:val="009E3D48"/>
    <w:rsid w:val="009F01D3"/>
    <w:rsid w:val="00A24315"/>
    <w:rsid w:val="00A262C7"/>
    <w:rsid w:val="00A35947"/>
    <w:rsid w:val="00A46678"/>
    <w:rsid w:val="00A54F5E"/>
    <w:rsid w:val="00A648C2"/>
    <w:rsid w:val="00A873B0"/>
    <w:rsid w:val="00A9461B"/>
    <w:rsid w:val="00AA034F"/>
    <w:rsid w:val="00AC4C78"/>
    <w:rsid w:val="00AE0BE9"/>
    <w:rsid w:val="00B041DE"/>
    <w:rsid w:val="00B248B3"/>
    <w:rsid w:val="00B4022E"/>
    <w:rsid w:val="00B43ED1"/>
    <w:rsid w:val="00B82E1A"/>
    <w:rsid w:val="00B860C5"/>
    <w:rsid w:val="00BD1F42"/>
    <w:rsid w:val="00BD774A"/>
    <w:rsid w:val="00C14F69"/>
    <w:rsid w:val="00C2011E"/>
    <w:rsid w:val="00C25CB7"/>
    <w:rsid w:val="00C331DA"/>
    <w:rsid w:val="00C45CAF"/>
    <w:rsid w:val="00C5319F"/>
    <w:rsid w:val="00C71619"/>
    <w:rsid w:val="00CB358B"/>
    <w:rsid w:val="00CE689E"/>
    <w:rsid w:val="00CF61FE"/>
    <w:rsid w:val="00D01D12"/>
    <w:rsid w:val="00D01E6A"/>
    <w:rsid w:val="00D07FD5"/>
    <w:rsid w:val="00D107CC"/>
    <w:rsid w:val="00D43C7E"/>
    <w:rsid w:val="00D463E0"/>
    <w:rsid w:val="00D47DDC"/>
    <w:rsid w:val="00D91961"/>
    <w:rsid w:val="00D92C35"/>
    <w:rsid w:val="00D9453F"/>
    <w:rsid w:val="00DA39D1"/>
    <w:rsid w:val="00DB3926"/>
    <w:rsid w:val="00DC1585"/>
    <w:rsid w:val="00DD050B"/>
    <w:rsid w:val="00DF6A65"/>
    <w:rsid w:val="00E02C14"/>
    <w:rsid w:val="00E03502"/>
    <w:rsid w:val="00E20185"/>
    <w:rsid w:val="00E27DAE"/>
    <w:rsid w:val="00E378C3"/>
    <w:rsid w:val="00E37E63"/>
    <w:rsid w:val="00E7194C"/>
    <w:rsid w:val="00E729D0"/>
    <w:rsid w:val="00E744E9"/>
    <w:rsid w:val="00E80ACC"/>
    <w:rsid w:val="00EB0140"/>
    <w:rsid w:val="00EB5D43"/>
    <w:rsid w:val="00EB6683"/>
    <w:rsid w:val="00ED3A16"/>
    <w:rsid w:val="00ED4AE0"/>
    <w:rsid w:val="00F011BC"/>
    <w:rsid w:val="00F02F40"/>
    <w:rsid w:val="00F10096"/>
    <w:rsid w:val="00F57457"/>
    <w:rsid w:val="00F82330"/>
    <w:rsid w:val="00F87A66"/>
    <w:rsid w:val="00F972DB"/>
    <w:rsid w:val="00FB7B94"/>
    <w:rsid w:val="00FD05D9"/>
    <w:rsid w:val="00FE1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B65"/>
  <w15:docId w15:val="{640EF7A1-554B-4B9B-9648-69A67D45F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1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3D48"/>
    <w:pPr>
      <w:autoSpaceDE w:val="0"/>
      <w:autoSpaceDN w:val="0"/>
      <w:adjustRightInd w:val="0"/>
    </w:pPr>
    <w:rPr>
      <w:rFonts w:ascii="Arial" w:hAnsi="Arial" w:cs="Arial"/>
      <w:color w:val="000000"/>
      <w:szCs w:val="24"/>
    </w:rPr>
  </w:style>
  <w:style w:type="paragraph" w:styleId="ListParagraph">
    <w:name w:val="List Paragraph"/>
    <w:basedOn w:val="Normal"/>
    <w:uiPriority w:val="34"/>
    <w:qFormat/>
    <w:rsid w:val="009E3D48"/>
    <w:pPr>
      <w:ind w:left="720"/>
      <w:contextualSpacing/>
    </w:pPr>
  </w:style>
  <w:style w:type="paragraph" w:styleId="Header">
    <w:name w:val="header"/>
    <w:basedOn w:val="Normal"/>
    <w:link w:val="HeaderChar"/>
    <w:uiPriority w:val="99"/>
    <w:unhideWhenUsed/>
    <w:rsid w:val="009E3D48"/>
    <w:pPr>
      <w:tabs>
        <w:tab w:val="center" w:pos="4680"/>
        <w:tab w:val="right" w:pos="9360"/>
      </w:tabs>
    </w:pPr>
  </w:style>
  <w:style w:type="character" w:customStyle="1" w:styleId="HeaderChar">
    <w:name w:val="Header Char"/>
    <w:basedOn w:val="DefaultParagraphFont"/>
    <w:link w:val="Header"/>
    <w:uiPriority w:val="99"/>
    <w:rsid w:val="009E3D48"/>
  </w:style>
  <w:style w:type="paragraph" w:styleId="Footer">
    <w:name w:val="footer"/>
    <w:basedOn w:val="Normal"/>
    <w:link w:val="FooterChar"/>
    <w:uiPriority w:val="99"/>
    <w:unhideWhenUsed/>
    <w:rsid w:val="009E3D48"/>
    <w:pPr>
      <w:tabs>
        <w:tab w:val="center" w:pos="4680"/>
        <w:tab w:val="right" w:pos="9360"/>
      </w:tabs>
    </w:pPr>
  </w:style>
  <w:style w:type="character" w:customStyle="1" w:styleId="FooterChar">
    <w:name w:val="Footer Char"/>
    <w:basedOn w:val="DefaultParagraphFont"/>
    <w:link w:val="Footer"/>
    <w:uiPriority w:val="99"/>
    <w:rsid w:val="009E3D48"/>
  </w:style>
  <w:style w:type="paragraph" w:styleId="BalloonText">
    <w:name w:val="Balloon Text"/>
    <w:basedOn w:val="Normal"/>
    <w:link w:val="BalloonTextChar"/>
    <w:uiPriority w:val="99"/>
    <w:semiHidden/>
    <w:unhideWhenUsed/>
    <w:rsid w:val="00DB3926"/>
    <w:rPr>
      <w:rFonts w:ascii="Tahoma" w:hAnsi="Tahoma" w:cs="Tahoma"/>
      <w:sz w:val="16"/>
      <w:szCs w:val="16"/>
    </w:rPr>
  </w:style>
  <w:style w:type="character" w:customStyle="1" w:styleId="BalloonTextChar">
    <w:name w:val="Balloon Text Char"/>
    <w:basedOn w:val="DefaultParagraphFont"/>
    <w:link w:val="BalloonText"/>
    <w:uiPriority w:val="99"/>
    <w:semiHidden/>
    <w:rsid w:val="00DB3926"/>
    <w:rPr>
      <w:rFonts w:ascii="Tahoma" w:hAnsi="Tahoma" w:cs="Tahoma"/>
      <w:sz w:val="16"/>
      <w:szCs w:val="16"/>
    </w:rPr>
  </w:style>
  <w:style w:type="character" w:styleId="Hyperlink">
    <w:name w:val="Hyperlink"/>
    <w:basedOn w:val="DefaultParagraphFont"/>
    <w:uiPriority w:val="99"/>
    <w:unhideWhenUsed/>
    <w:rsid w:val="00F972DB"/>
    <w:rPr>
      <w:color w:val="0000FF" w:themeColor="hyperlink"/>
      <w:u w:val="single"/>
    </w:rPr>
  </w:style>
  <w:style w:type="character" w:customStyle="1" w:styleId="UnresolvedMention1">
    <w:name w:val="Unresolved Mention1"/>
    <w:basedOn w:val="DefaultParagraphFont"/>
    <w:uiPriority w:val="99"/>
    <w:semiHidden/>
    <w:unhideWhenUsed/>
    <w:rsid w:val="001D1550"/>
    <w:rPr>
      <w:color w:val="808080"/>
      <w:shd w:val="clear" w:color="auto" w:fill="E6E6E6"/>
    </w:rPr>
  </w:style>
  <w:style w:type="character" w:customStyle="1" w:styleId="UnresolvedMention2">
    <w:name w:val="Unresolved Mention2"/>
    <w:basedOn w:val="DefaultParagraphFont"/>
    <w:uiPriority w:val="99"/>
    <w:semiHidden/>
    <w:unhideWhenUsed/>
    <w:rsid w:val="00182BE3"/>
    <w:rPr>
      <w:color w:val="808080"/>
      <w:shd w:val="clear" w:color="auto" w:fill="E6E6E6"/>
    </w:rPr>
  </w:style>
  <w:style w:type="character" w:customStyle="1" w:styleId="UnresolvedMention3">
    <w:name w:val="Unresolved Mention3"/>
    <w:basedOn w:val="DefaultParagraphFont"/>
    <w:uiPriority w:val="99"/>
    <w:semiHidden/>
    <w:unhideWhenUsed/>
    <w:rsid w:val="00617F74"/>
    <w:rPr>
      <w:color w:val="808080"/>
      <w:shd w:val="clear" w:color="auto" w:fill="E6E6E6"/>
    </w:rPr>
  </w:style>
  <w:style w:type="character" w:styleId="FollowedHyperlink">
    <w:name w:val="FollowedHyperlink"/>
    <w:basedOn w:val="DefaultParagraphFont"/>
    <w:uiPriority w:val="99"/>
    <w:semiHidden/>
    <w:unhideWhenUsed/>
    <w:rsid w:val="00692D23"/>
    <w:rPr>
      <w:color w:val="800080" w:themeColor="followedHyperlink"/>
      <w:u w:val="single"/>
    </w:rPr>
  </w:style>
  <w:style w:type="character" w:styleId="CommentReference">
    <w:name w:val="annotation reference"/>
    <w:basedOn w:val="DefaultParagraphFont"/>
    <w:uiPriority w:val="99"/>
    <w:semiHidden/>
    <w:unhideWhenUsed/>
    <w:rsid w:val="00692D23"/>
    <w:rPr>
      <w:sz w:val="16"/>
      <w:szCs w:val="16"/>
    </w:rPr>
  </w:style>
  <w:style w:type="paragraph" w:styleId="CommentText">
    <w:name w:val="annotation text"/>
    <w:basedOn w:val="Normal"/>
    <w:link w:val="CommentTextChar"/>
    <w:uiPriority w:val="99"/>
    <w:semiHidden/>
    <w:unhideWhenUsed/>
    <w:rsid w:val="00692D23"/>
    <w:rPr>
      <w:sz w:val="20"/>
      <w:szCs w:val="20"/>
    </w:rPr>
  </w:style>
  <w:style w:type="character" w:customStyle="1" w:styleId="CommentTextChar">
    <w:name w:val="Comment Text Char"/>
    <w:basedOn w:val="DefaultParagraphFont"/>
    <w:link w:val="CommentText"/>
    <w:uiPriority w:val="99"/>
    <w:semiHidden/>
    <w:rsid w:val="00692D23"/>
    <w:rPr>
      <w:sz w:val="20"/>
      <w:szCs w:val="20"/>
    </w:rPr>
  </w:style>
  <w:style w:type="paragraph" w:styleId="CommentSubject">
    <w:name w:val="annotation subject"/>
    <w:basedOn w:val="CommentText"/>
    <w:next w:val="CommentText"/>
    <w:link w:val="CommentSubjectChar"/>
    <w:uiPriority w:val="99"/>
    <w:semiHidden/>
    <w:unhideWhenUsed/>
    <w:rsid w:val="00692D23"/>
    <w:rPr>
      <w:b/>
      <w:bCs/>
    </w:rPr>
  </w:style>
  <w:style w:type="character" w:customStyle="1" w:styleId="CommentSubjectChar">
    <w:name w:val="Comment Subject Char"/>
    <w:basedOn w:val="CommentTextChar"/>
    <w:link w:val="CommentSubject"/>
    <w:uiPriority w:val="99"/>
    <w:semiHidden/>
    <w:rsid w:val="00692D23"/>
    <w:rPr>
      <w:b/>
      <w:bCs/>
      <w:sz w:val="20"/>
      <w:szCs w:val="20"/>
    </w:rPr>
  </w:style>
  <w:style w:type="table" w:styleId="TableGrid">
    <w:name w:val="Table Grid"/>
    <w:basedOn w:val="TableNormal"/>
    <w:rsid w:val="002D32BD"/>
    <w:pPr>
      <w:widowControl w:val="0"/>
      <w:autoSpaceDE w:val="0"/>
      <w:autoSpaceDN w:val="0"/>
      <w:adjustRightInd w:val="0"/>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687386">
      <w:bodyDiv w:val="1"/>
      <w:marLeft w:val="0"/>
      <w:marRight w:val="0"/>
      <w:marTop w:val="0"/>
      <w:marBottom w:val="0"/>
      <w:divBdr>
        <w:top w:val="none" w:sz="0" w:space="0" w:color="auto"/>
        <w:left w:val="none" w:sz="0" w:space="0" w:color="auto"/>
        <w:bottom w:val="none" w:sz="0" w:space="0" w:color="auto"/>
        <w:right w:val="none" w:sz="0" w:space="0" w:color="auto"/>
      </w:divBdr>
      <w:divsChild>
        <w:div w:id="1261259205">
          <w:marLeft w:val="0"/>
          <w:marRight w:val="0"/>
          <w:marTop w:val="0"/>
          <w:marBottom w:val="0"/>
          <w:divBdr>
            <w:top w:val="none" w:sz="0" w:space="0" w:color="auto"/>
            <w:left w:val="none" w:sz="0" w:space="0" w:color="auto"/>
            <w:bottom w:val="none" w:sz="0" w:space="0" w:color="auto"/>
            <w:right w:val="none" w:sz="0" w:space="0" w:color="auto"/>
          </w:divBdr>
          <w:divsChild>
            <w:div w:id="1959486449">
              <w:marLeft w:val="0"/>
              <w:marRight w:val="0"/>
              <w:marTop w:val="0"/>
              <w:marBottom w:val="0"/>
              <w:divBdr>
                <w:top w:val="single" w:sz="6" w:space="11" w:color="FCFCFC"/>
                <w:left w:val="single" w:sz="6" w:space="11" w:color="ECECEC"/>
                <w:bottom w:val="single" w:sz="6" w:space="4" w:color="ECECEC"/>
                <w:right w:val="single" w:sz="6" w:space="11" w:color="ECECEC"/>
              </w:divBdr>
              <w:divsChild>
                <w:div w:id="193960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31717">
      <w:bodyDiv w:val="1"/>
      <w:marLeft w:val="0"/>
      <w:marRight w:val="0"/>
      <w:marTop w:val="0"/>
      <w:marBottom w:val="0"/>
      <w:divBdr>
        <w:top w:val="none" w:sz="0" w:space="0" w:color="auto"/>
        <w:left w:val="none" w:sz="0" w:space="0" w:color="auto"/>
        <w:bottom w:val="none" w:sz="0" w:space="0" w:color="auto"/>
        <w:right w:val="none" w:sz="0" w:space="0" w:color="auto"/>
      </w:divBdr>
      <w:divsChild>
        <w:div w:id="863207060">
          <w:marLeft w:val="0"/>
          <w:marRight w:val="0"/>
          <w:marTop w:val="0"/>
          <w:marBottom w:val="0"/>
          <w:divBdr>
            <w:top w:val="none" w:sz="0" w:space="0" w:color="auto"/>
            <w:left w:val="none" w:sz="0" w:space="0" w:color="auto"/>
            <w:bottom w:val="none" w:sz="0" w:space="0" w:color="auto"/>
            <w:right w:val="none" w:sz="0" w:space="0" w:color="auto"/>
          </w:divBdr>
          <w:divsChild>
            <w:div w:id="401878300">
              <w:marLeft w:val="0"/>
              <w:marRight w:val="0"/>
              <w:marTop w:val="0"/>
              <w:marBottom w:val="0"/>
              <w:divBdr>
                <w:top w:val="single" w:sz="6" w:space="11" w:color="FCFCFC"/>
                <w:left w:val="single" w:sz="6" w:space="11" w:color="ECECEC"/>
                <w:bottom w:val="single" w:sz="6" w:space="4" w:color="ECECEC"/>
                <w:right w:val="single" w:sz="6" w:space="11" w:color="ECECEC"/>
              </w:divBdr>
              <w:divsChild>
                <w:div w:id="112774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289508">
      <w:bodyDiv w:val="1"/>
      <w:marLeft w:val="0"/>
      <w:marRight w:val="0"/>
      <w:marTop w:val="0"/>
      <w:marBottom w:val="0"/>
      <w:divBdr>
        <w:top w:val="none" w:sz="0" w:space="0" w:color="auto"/>
        <w:left w:val="none" w:sz="0" w:space="0" w:color="auto"/>
        <w:bottom w:val="none" w:sz="0" w:space="0" w:color="auto"/>
        <w:right w:val="none" w:sz="0" w:space="0" w:color="auto"/>
      </w:divBdr>
      <w:divsChild>
        <w:div w:id="268005342">
          <w:marLeft w:val="0"/>
          <w:marRight w:val="0"/>
          <w:marTop w:val="0"/>
          <w:marBottom w:val="0"/>
          <w:divBdr>
            <w:top w:val="none" w:sz="0" w:space="0" w:color="auto"/>
            <w:left w:val="none" w:sz="0" w:space="0" w:color="auto"/>
            <w:bottom w:val="none" w:sz="0" w:space="0" w:color="auto"/>
            <w:right w:val="none" w:sz="0" w:space="0" w:color="auto"/>
          </w:divBdr>
          <w:divsChild>
            <w:div w:id="1408305563">
              <w:marLeft w:val="0"/>
              <w:marRight w:val="0"/>
              <w:marTop w:val="0"/>
              <w:marBottom w:val="0"/>
              <w:divBdr>
                <w:top w:val="single" w:sz="6" w:space="11" w:color="FCFCFC"/>
                <w:left w:val="single" w:sz="6" w:space="11" w:color="ECECEC"/>
                <w:bottom w:val="single" w:sz="6" w:space="4" w:color="ECECEC"/>
                <w:right w:val="single" w:sz="6" w:space="11" w:color="ECECEC"/>
              </w:divBdr>
              <w:divsChild>
                <w:div w:id="111417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464336">
      <w:bodyDiv w:val="1"/>
      <w:marLeft w:val="0"/>
      <w:marRight w:val="0"/>
      <w:marTop w:val="0"/>
      <w:marBottom w:val="0"/>
      <w:divBdr>
        <w:top w:val="none" w:sz="0" w:space="0" w:color="auto"/>
        <w:left w:val="none" w:sz="0" w:space="0" w:color="auto"/>
        <w:bottom w:val="none" w:sz="0" w:space="0" w:color="auto"/>
        <w:right w:val="none" w:sz="0" w:space="0" w:color="auto"/>
      </w:divBdr>
    </w:div>
    <w:div w:id="1733698947">
      <w:bodyDiv w:val="1"/>
      <w:marLeft w:val="0"/>
      <w:marRight w:val="0"/>
      <w:marTop w:val="0"/>
      <w:marBottom w:val="0"/>
      <w:divBdr>
        <w:top w:val="none" w:sz="0" w:space="0" w:color="auto"/>
        <w:left w:val="none" w:sz="0" w:space="0" w:color="auto"/>
        <w:bottom w:val="none" w:sz="0" w:space="0" w:color="auto"/>
        <w:right w:val="none" w:sz="0" w:space="0" w:color="auto"/>
      </w:divBdr>
      <w:divsChild>
        <w:div w:id="1703436581">
          <w:marLeft w:val="0"/>
          <w:marRight w:val="0"/>
          <w:marTop w:val="0"/>
          <w:marBottom w:val="0"/>
          <w:divBdr>
            <w:top w:val="none" w:sz="0" w:space="0" w:color="auto"/>
            <w:left w:val="none" w:sz="0" w:space="0" w:color="auto"/>
            <w:bottom w:val="none" w:sz="0" w:space="0" w:color="auto"/>
            <w:right w:val="none" w:sz="0" w:space="0" w:color="auto"/>
          </w:divBdr>
          <w:divsChild>
            <w:div w:id="411050069">
              <w:marLeft w:val="0"/>
              <w:marRight w:val="0"/>
              <w:marTop w:val="0"/>
              <w:marBottom w:val="0"/>
              <w:divBdr>
                <w:top w:val="single" w:sz="6" w:space="11" w:color="FCFCFC"/>
                <w:left w:val="single" w:sz="6" w:space="11" w:color="ECECEC"/>
                <w:bottom w:val="single" w:sz="6" w:space="4" w:color="ECECEC"/>
                <w:right w:val="single" w:sz="6" w:space="11" w:color="ECECEC"/>
              </w:divBdr>
              <w:divsChild>
                <w:div w:id="149815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745598">
      <w:bodyDiv w:val="1"/>
      <w:marLeft w:val="0"/>
      <w:marRight w:val="0"/>
      <w:marTop w:val="0"/>
      <w:marBottom w:val="0"/>
      <w:divBdr>
        <w:top w:val="none" w:sz="0" w:space="0" w:color="auto"/>
        <w:left w:val="none" w:sz="0" w:space="0" w:color="auto"/>
        <w:bottom w:val="none" w:sz="0" w:space="0" w:color="auto"/>
        <w:right w:val="none" w:sz="0" w:space="0" w:color="auto"/>
      </w:divBdr>
      <w:divsChild>
        <w:div w:id="297153879">
          <w:marLeft w:val="0"/>
          <w:marRight w:val="0"/>
          <w:marTop w:val="0"/>
          <w:marBottom w:val="0"/>
          <w:divBdr>
            <w:top w:val="none" w:sz="0" w:space="0" w:color="auto"/>
            <w:left w:val="none" w:sz="0" w:space="0" w:color="auto"/>
            <w:bottom w:val="none" w:sz="0" w:space="0" w:color="auto"/>
            <w:right w:val="none" w:sz="0" w:space="0" w:color="auto"/>
          </w:divBdr>
          <w:divsChild>
            <w:div w:id="497159229">
              <w:marLeft w:val="0"/>
              <w:marRight w:val="0"/>
              <w:marTop w:val="0"/>
              <w:marBottom w:val="0"/>
              <w:divBdr>
                <w:top w:val="single" w:sz="6" w:space="11" w:color="FCFCFC"/>
                <w:left w:val="single" w:sz="6" w:space="11" w:color="ECECEC"/>
                <w:bottom w:val="single" w:sz="6" w:space="4" w:color="ECECEC"/>
                <w:right w:val="single" w:sz="6" w:space="11" w:color="ECECEC"/>
              </w:divBdr>
              <w:divsChild>
                <w:div w:id="25462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987303">
      <w:bodyDiv w:val="1"/>
      <w:marLeft w:val="0"/>
      <w:marRight w:val="0"/>
      <w:marTop w:val="0"/>
      <w:marBottom w:val="0"/>
      <w:divBdr>
        <w:top w:val="none" w:sz="0" w:space="0" w:color="auto"/>
        <w:left w:val="none" w:sz="0" w:space="0" w:color="auto"/>
        <w:bottom w:val="none" w:sz="0" w:space="0" w:color="auto"/>
        <w:right w:val="none" w:sz="0" w:space="0" w:color="auto"/>
      </w:divBdr>
    </w:div>
    <w:div w:id="2106420202">
      <w:bodyDiv w:val="1"/>
      <w:marLeft w:val="0"/>
      <w:marRight w:val="0"/>
      <w:marTop w:val="0"/>
      <w:marBottom w:val="0"/>
      <w:divBdr>
        <w:top w:val="none" w:sz="0" w:space="0" w:color="auto"/>
        <w:left w:val="none" w:sz="0" w:space="0" w:color="auto"/>
        <w:bottom w:val="none" w:sz="0" w:space="0" w:color="auto"/>
        <w:right w:val="none" w:sz="0" w:space="0" w:color="auto"/>
      </w:divBdr>
    </w:div>
    <w:div w:id="2119400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rs.gov/uac/Privacy-Impact-Assessments-PIA"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3E76F536F5C6D4381C7E6E2ED7D7CC1" ma:contentTypeVersion="0" ma:contentTypeDescription="Create a new document." ma:contentTypeScope="" ma:versionID="002c627cbd211377ac8f0837352c2ae0">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FEC70F-81BE-4E36-83DD-D1620441511C}">
  <ds:schemaRefs>
    <ds:schemaRef ds:uri="http://schemas.openxmlformats.org/officeDocument/2006/bibliography"/>
  </ds:schemaRefs>
</ds:datastoreItem>
</file>

<file path=customXml/itemProps2.xml><?xml version="1.0" encoding="utf-8"?>
<ds:datastoreItem xmlns:ds="http://schemas.openxmlformats.org/officeDocument/2006/customXml" ds:itemID="{54FA731E-91C6-48AA-9E5A-5F99ACDFC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389368E-D2DD-4591-A1CB-06E61C63D4AC}">
  <ds:schemaRefs>
    <ds:schemaRef ds:uri="http://schemas.microsoft.com/sharepoint/v3/contenttype/forms"/>
  </ds:schemaRefs>
</ds:datastoreItem>
</file>

<file path=customXml/itemProps4.xml><?xml version="1.0" encoding="utf-8"?>
<ds:datastoreItem xmlns:ds="http://schemas.openxmlformats.org/officeDocument/2006/customXml" ds:itemID="{F074B5DB-4E90-4BD4-805A-ECD632C02AC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1491</Words>
  <Characters>8499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Wolfgang, Dawn</dc:creator>
  <cp:lastModifiedBy>Brinson Martha R</cp:lastModifiedBy>
  <cp:revision>2</cp:revision>
  <dcterms:created xsi:type="dcterms:W3CDTF">2022-08-30T18:30:00Z</dcterms:created>
  <dcterms:modified xsi:type="dcterms:W3CDTF">2022-08-30T18:30:00Z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0x01010033E76F536F5C6D4381C7E6E2ED7D7CC1</vt:lpwstr>
  </property>
</Properties>
</file>