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3B1E" w:rsidR="00B25D84" w:rsidP="00717AE5" w:rsidRDefault="00B25D84" w14:paraId="509B3F80" w14:textId="77777777">
      <w:pPr>
        <w:pStyle w:val="Title"/>
        <w:rPr>
          <w:sz w:val="23"/>
          <w:szCs w:val="23"/>
        </w:rPr>
      </w:pPr>
      <w:r w:rsidRPr="003D3B1E">
        <w:rPr>
          <w:sz w:val="23"/>
          <w:szCs w:val="23"/>
        </w:rPr>
        <w:t>Office of the Comptroller of the Currency (OCC)</w:t>
      </w:r>
    </w:p>
    <w:p w:rsidRPr="003D3B1E" w:rsidR="00651CFB" w:rsidP="00717AE5" w:rsidRDefault="00651CFB" w14:paraId="6EDFE57E" w14:textId="77777777">
      <w:pPr>
        <w:pStyle w:val="Title"/>
        <w:rPr>
          <w:sz w:val="23"/>
          <w:szCs w:val="23"/>
        </w:rPr>
      </w:pPr>
      <w:r w:rsidRPr="003D3B1E">
        <w:rPr>
          <w:sz w:val="23"/>
          <w:szCs w:val="23"/>
        </w:rPr>
        <w:t>Supporting Statement</w:t>
      </w:r>
    </w:p>
    <w:p w:rsidRPr="003D3B1E" w:rsidR="008A19A2" w:rsidP="00717AE5" w:rsidRDefault="008A19A2" w14:paraId="1E74045E" w14:textId="77777777">
      <w:pPr>
        <w:pStyle w:val="Title"/>
        <w:rPr>
          <w:b w:val="0"/>
          <w:bCs w:val="0"/>
          <w:sz w:val="23"/>
          <w:szCs w:val="23"/>
        </w:rPr>
      </w:pPr>
      <w:r w:rsidRPr="003D3B1E">
        <w:rPr>
          <w:sz w:val="23"/>
          <w:szCs w:val="23"/>
        </w:rPr>
        <w:t>Federal Financial Institutions Examination Council (FFIEC)</w:t>
      </w:r>
    </w:p>
    <w:p w:rsidRPr="003D3B1E" w:rsidR="00651CFB" w:rsidP="00717AE5" w:rsidRDefault="005F555C" w14:paraId="63D84BB5" w14:textId="77777777">
      <w:pPr>
        <w:jc w:val="center"/>
        <w:rPr>
          <w:b/>
          <w:bCs/>
          <w:sz w:val="23"/>
          <w:szCs w:val="23"/>
        </w:rPr>
      </w:pPr>
      <w:r w:rsidRPr="003D3B1E">
        <w:rPr>
          <w:b/>
          <w:bCs/>
          <w:sz w:val="23"/>
          <w:szCs w:val="23"/>
        </w:rPr>
        <w:t xml:space="preserve">Cybersecurity </w:t>
      </w:r>
      <w:r w:rsidRPr="003D3B1E" w:rsidR="00651CFB">
        <w:rPr>
          <w:b/>
          <w:bCs/>
          <w:sz w:val="23"/>
          <w:szCs w:val="23"/>
        </w:rPr>
        <w:t>Assessment</w:t>
      </w:r>
      <w:r w:rsidRPr="003D3B1E">
        <w:rPr>
          <w:b/>
          <w:bCs/>
          <w:sz w:val="23"/>
          <w:szCs w:val="23"/>
        </w:rPr>
        <w:t xml:space="preserve"> Tool</w:t>
      </w:r>
    </w:p>
    <w:p w:rsidRPr="003D3B1E" w:rsidR="003E606A" w:rsidP="00717AE5" w:rsidRDefault="00753AFF" w14:paraId="7BDD5C7B" w14:textId="77777777">
      <w:pPr>
        <w:jc w:val="center"/>
        <w:rPr>
          <w:b/>
          <w:bCs/>
          <w:sz w:val="23"/>
          <w:szCs w:val="23"/>
        </w:rPr>
      </w:pPr>
      <w:r w:rsidRPr="003D3B1E">
        <w:rPr>
          <w:b/>
          <w:bCs/>
          <w:sz w:val="23"/>
          <w:szCs w:val="23"/>
        </w:rPr>
        <w:t>OMB Control No. 1557-0328</w:t>
      </w:r>
    </w:p>
    <w:p w:rsidRPr="003D3B1E" w:rsidR="00EE1282" w:rsidP="00717AE5" w:rsidRDefault="00EE1282" w14:paraId="7631D2F1" w14:textId="77777777">
      <w:pPr>
        <w:rPr>
          <w:b/>
          <w:bCs/>
          <w:sz w:val="23"/>
          <w:szCs w:val="23"/>
        </w:rPr>
      </w:pPr>
    </w:p>
    <w:p w:rsidRPr="003D3B1E" w:rsidR="00EE1282" w:rsidP="00717AE5" w:rsidRDefault="00EE1282" w14:paraId="707655EB" w14:textId="77777777">
      <w:pPr>
        <w:rPr>
          <w:b/>
          <w:bCs/>
          <w:sz w:val="23"/>
          <w:szCs w:val="23"/>
        </w:rPr>
      </w:pPr>
    </w:p>
    <w:p w:rsidRPr="003D3B1E" w:rsidR="00651CFB" w:rsidP="00717AE5" w:rsidRDefault="00651CFB" w14:paraId="06CB07A5" w14:textId="77777777">
      <w:pPr>
        <w:rPr>
          <w:b/>
          <w:bCs/>
          <w:sz w:val="23"/>
          <w:szCs w:val="23"/>
        </w:rPr>
      </w:pPr>
      <w:r w:rsidRPr="003D3B1E">
        <w:rPr>
          <w:b/>
          <w:bCs/>
          <w:sz w:val="23"/>
          <w:szCs w:val="23"/>
        </w:rPr>
        <w:t>A.  Justification.</w:t>
      </w:r>
    </w:p>
    <w:p w:rsidRPr="003D3B1E" w:rsidR="00651CFB" w:rsidP="00717AE5" w:rsidRDefault="00651CFB" w14:paraId="35F0EE61" w14:textId="77777777">
      <w:pPr>
        <w:rPr>
          <w:sz w:val="23"/>
          <w:szCs w:val="23"/>
        </w:rPr>
      </w:pPr>
    </w:p>
    <w:p w:rsidRPr="003D3B1E" w:rsidR="00651CFB" w:rsidP="00717AE5" w:rsidRDefault="00651CFB" w14:paraId="76F5C3DF" w14:textId="77777777">
      <w:pPr>
        <w:rPr>
          <w:b/>
          <w:bCs/>
          <w:i/>
          <w:iCs/>
          <w:sz w:val="23"/>
          <w:szCs w:val="23"/>
        </w:rPr>
      </w:pPr>
      <w:r w:rsidRPr="003D3B1E">
        <w:rPr>
          <w:b/>
          <w:bCs/>
          <w:i/>
          <w:iCs/>
          <w:sz w:val="23"/>
          <w:szCs w:val="23"/>
        </w:rPr>
        <w:t>1.  Circumstances that make the collection necessary:</w:t>
      </w:r>
    </w:p>
    <w:p w:rsidRPr="003D3B1E" w:rsidR="00651CFB" w:rsidP="00717AE5" w:rsidRDefault="00651CFB" w14:paraId="4D682A89" w14:textId="77777777">
      <w:pPr>
        <w:rPr>
          <w:sz w:val="23"/>
          <w:szCs w:val="23"/>
        </w:rPr>
      </w:pPr>
    </w:p>
    <w:p w:rsidR="009E3405" w:rsidP="00157196" w:rsidRDefault="009E3405" w14:paraId="3034B298" w14:textId="7F085C65">
      <w:pPr>
        <w:rPr>
          <w:sz w:val="23"/>
          <w:szCs w:val="23"/>
        </w:rPr>
      </w:pPr>
      <w:r w:rsidRPr="003D3B1E">
        <w:rPr>
          <w:sz w:val="23"/>
          <w:szCs w:val="23"/>
        </w:rPr>
        <w:tab/>
        <w:t xml:space="preserve">Cyber threats </w:t>
      </w:r>
      <w:r w:rsidR="00C620C0">
        <w:rPr>
          <w:sz w:val="23"/>
          <w:szCs w:val="23"/>
        </w:rPr>
        <w:t>continue to</w:t>
      </w:r>
      <w:r w:rsidRPr="003D3B1E">
        <w:rPr>
          <w:sz w:val="23"/>
          <w:szCs w:val="23"/>
        </w:rPr>
        <w:t xml:space="preserve"> evolve and increase</w:t>
      </w:r>
      <w:r w:rsidR="00C44333">
        <w:rPr>
          <w:sz w:val="23"/>
          <w:szCs w:val="23"/>
        </w:rPr>
        <w:t xml:space="preserve"> in frequency and</w:t>
      </w:r>
      <w:r w:rsidRPr="003D3B1E">
        <w:rPr>
          <w:sz w:val="23"/>
          <w:szCs w:val="23"/>
        </w:rPr>
        <w:t xml:space="preserve"> sophistication.  Financial institutions</w:t>
      </w:r>
      <w:r w:rsidRPr="003D3B1E">
        <w:rPr>
          <w:rStyle w:val="FootnoteReference"/>
          <w:sz w:val="23"/>
          <w:szCs w:val="23"/>
        </w:rPr>
        <w:footnoteReference w:id="1"/>
      </w:r>
      <w:r w:rsidRPr="003D3B1E">
        <w:rPr>
          <w:sz w:val="23"/>
          <w:szCs w:val="23"/>
        </w:rPr>
        <w:t xml:space="preserve"> are exposed to cyber risks because they are dependent on information technology to deliver services to consumers and businesses every day.  Cyberattacks on financial institutions may result in access to, and the compromise of, confidential information, </w:t>
      </w:r>
      <w:r w:rsidR="00EE0262">
        <w:rPr>
          <w:sz w:val="23"/>
          <w:szCs w:val="23"/>
        </w:rPr>
        <w:t>as well as</w:t>
      </w:r>
      <w:r w:rsidRPr="003D3B1E">
        <w:rPr>
          <w:sz w:val="23"/>
          <w:szCs w:val="23"/>
        </w:rPr>
        <w:t xml:space="preserve"> the destruction of critical data and systems.  Disruption, degradation, or unauthorized alteration of information and systems can affect a financial institution’s operations and core processes and undermine confidence in the nation</w:t>
      </w:r>
      <w:r w:rsidR="00BC5711">
        <w:rPr>
          <w:sz w:val="23"/>
          <w:szCs w:val="23"/>
        </w:rPr>
        <w:t>’</w:t>
      </w:r>
      <w:r w:rsidRPr="003D3B1E">
        <w:rPr>
          <w:sz w:val="23"/>
          <w:szCs w:val="23"/>
        </w:rPr>
        <w:t xml:space="preserve">s financial services sector.  Absent </w:t>
      </w:r>
      <w:r w:rsidRPr="00566DF2">
        <w:rPr>
          <w:sz w:val="23"/>
          <w:szCs w:val="23"/>
        </w:rPr>
        <w:t>immediate</w:t>
      </w:r>
      <w:r w:rsidRPr="003D3B1E">
        <w:rPr>
          <w:sz w:val="23"/>
          <w:szCs w:val="23"/>
        </w:rPr>
        <w:t xml:space="preserve"> attention to these rapidly increasing threats, </w:t>
      </w:r>
      <w:r w:rsidR="00491622">
        <w:rPr>
          <w:sz w:val="23"/>
          <w:szCs w:val="23"/>
        </w:rPr>
        <w:t xml:space="preserve">individual </w:t>
      </w:r>
      <w:r w:rsidRPr="003D3B1E">
        <w:rPr>
          <w:sz w:val="23"/>
          <w:szCs w:val="23"/>
        </w:rPr>
        <w:t xml:space="preserve">financial institutions and the </w:t>
      </w:r>
      <w:r w:rsidR="00491622">
        <w:rPr>
          <w:sz w:val="23"/>
          <w:szCs w:val="23"/>
        </w:rPr>
        <w:t xml:space="preserve">whole </w:t>
      </w:r>
      <w:r w:rsidRPr="003D3B1E">
        <w:rPr>
          <w:sz w:val="23"/>
          <w:szCs w:val="23"/>
        </w:rPr>
        <w:t xml:space="preserve">financial sector are at risk.  </w:t>
      </w:r>
    </w:p>
    <w:p w:rsidRPr="003D3B1E" w:rsidR="00157196" w:rsidP="00157196" w:rsidRDefault="00157196" w14:paraId="70B44F7A" w14:textId="77777777">
      <w:pPr>
        <w:rPr>
          <w:sz w:val="23"/>
          <w:szCs w:val="23"/>
        </w:rPr>
      </w:pPr>
    </w:p>
    <w:p w:rsidRPr="003D3B1E" w:rsidR="009E3405" w:rsidP="00717AE5" w:rsidRDefault="009E3405" w14:paraId="5059E87D" w14:textId="7ECD88F9">
      <w:pPr>
        <w:spacing w:before="100" w:after="100"/>
        <w:ind w:right="-180" w:firstLine="720"/>
        <w:rPr>
          <w:color w:val="000000"/>
          <w:sz w:val="23"/>
          <w:szCs w:val="23"/>
        </w:rPr>
      </w:pPr>
      <w:r w:rsidRPr="00EE0262">
        <w:rPr>
          <w:rStyle w:val="documentbody1"/>
          <w:rFonts w:ascii="Times New Roman" w:hAnsi="Times New Roman"/>
          <w:color w:val="000000"/>
          <w:sz w:val="23"/>
          <w:szCs w:val="23"/>
        </w:rPr>
        <w:t xml:space="preserve">For this reason, the </w:t>
      </w:r>
      <w:r w:rsidRPr="00EE0262" w:rsidR="00AE14AD">
        <w:rPr>
          <w:sz w:val="23"/>
          <w:szCs w:val="23"/>
        </w:rPr>
        <w:t>O</w:t>
      </w:r>
      <w:r w:rsidRPr="00EE0262" w:rsidR="00BC5711">
        <w:rPr>
          <w:sz w:val="23"/>
          <w:szCs w:val="23"/>
        </w:rPr>
        <w:t>CC</w:t>
      </w:r>
      <w:r w:rsidRPr="00EE0262" w:rsidR="00AE14AD">
        <w:rPr>
          <w:sz w:val="23"/>
          <w:szCs w:val="23"/>
        </w:rPr>
        <w:t xml:space="preserve">, </w:t>
      </w:r>
      <w:r w:rsidRPr="00EE0262" w:rsidR="00BC5711">
        <w:rPr>
          <w:sz w:val="23"/>
          <w:szCs w:val="23"/>
        </w:rPr>
        <w:t xml:space="preserve">the Board of Governors of the Federal Reserve, </w:t>
      </w:r>
      <w:r w:rsidRPr="00EE0262" w:rsidR="00AE14AD">
        <w:rPr>
          <w:sz w:val="23"/>
          <w:szCs w:val="23"/>
        </w:rPr>
        <w:t>the Federal Deposit Insurance Corporation, and the National Credit Union Administration (</w:t>
      </w:r>
      <w:r w:rsidR="00EE0262">
        <w:rPr>
          <w:sz w:val="23"/>
          <w:szCs w:val="23"/>
        </w:rPr>
        <w:t>collectively</w:t>
      </w:r>
      <w:r w:rsidRPr="00EE0262" w:rsidR="00AE14AD">
        <w:rPr>
          <w:sz w:val="23"/>
          <w:szCs w:val="23"/>
        </w:rPr>
        <w:t>, the Agencies)</w:t>
      </w:r>
      <w:r w:rsidRPr="00EE0262">
        <w:rPr>
          <w:rStyle w:val="documentbody1"/>
          <w:rFonts w:ascii="Times New Roman" w:hAnsi="Times New Roman"/>
          <w:color w:val="000000"/>
          <w:sz w:val="23"/>
          <w:szCs w:val="23"/>
        </w:rPr>
        <w:t xml:space="preserve">, under the auspices of the FFIEC, have </w:t>
      </w:r>
      <w:r w:rsidRPr="00EE0262" w:rsidR="00306B97">
        <w:rPr>
          <w:rStyle w:val="documentbody1"/>
          <w:rFonts w:ascii="Times New Roman" w:hAnsi="Times New Roman"/>
          <w:color w:val="000000"/>
          <w:sz w:val="23"/>
          <w:szCs w:val="23"/>
        </w:rPr>
        <w:t>worked</w:t>
      </w:r>
      <w:r w:rsidRPr="00EE0262">
        <w:rPr>
          <w:rStyle w:val="documentbody1"/>
          <w:rFonts w:ascii="Times New Roman" w:hAnsi="Times New Roman"/>
          <w:color w:val="000000"/>
          <w:sz w:val="23"/>
          <w:szCs w:val="23"/>
        </w:rPr>
        <w:t xml:space="preserve"> </w:t>
      </w:r>
      <w:r w:rsidRPr="00EE0262" w:rsidR="00306B97">
        <w:rPr>
          <w:rStyle w:val="documentbody1"/>
          <w:rFonts w:ascii="Times New Roman" w:hAnsi="Times New Roman"/>
          <w:color w:val="000000"/>
          <w:sz w:val="23"/>
          <w:szCs w:val="23"/>
        </w:rPr>
        <w:t xml:space="preserve">diligently </w:t>
      </w:r>
      <w:r w:rsidRPr="00EE0262">
        <w:rPr>
          <w:rStyle w:val="documentbody1"/>
          <w:rFonts w:ascii="Times New Roman" w:hAnsi="Times New Roman"/>
          <w:color w:val="000000"/>
          <w:sz w:val="23"/>
          <w:szCs w:val="23"/>
        </w:rPr>
        <w:t xml:space="preserve">to assess and enhance the state of the financial industry’s cyber preparedness and to improve the Agencies’ examination procedures and training </w:t>
      </w:r>
      <w:r w:rsidR="00157196">
        <w:rPr>
          <w:rStyle w:val="documentbody1"/>
          <w:rFonts w:ascii="Times New Roman" w:hAnsi="Times New Roman"/>
          <w:color w:val="000000"/>
          <w:sz w:val="23"/>
          <w:szCs w:val="23"/>
        </w:rPr>
        <w:t>to</w:t>
      </w:r>
      <w:r w:rsidRPr="00EE0262">
        <w:rPr>
          <w:rStyle w:val="documentbody1"/>
          <w:rFonts w:ascii="Times New Roman" w:hAnsi="Times New Roman"/>
          <w:color w:val="000000"/>
          <w:sz w:val="23"/>
          <w:szCs w:val="23"/>
        </w:rPr>
        <w:t xml:space="preserve"> strengthen the oversight of financial industry cybersecurity readiness.  The Agencies also have focused on provid</w:t>
      </w:r>
      <w:r w:rsidRPr="00EE0262" w:rsidR="00315F5F">
        <w:rPr>
          <w:rStyle w:val="documentbody1"/>
          <w:rFonts w:ascii="Times New Roman" w:hAnsi="Times New Roman"/>
          <w:color w:val="000000"/>
          <w:sz w:val="23"/>
          <w:szCs w:val="23"/>
        </w:rPr>
        <w:t>ing</w:t>
      </w:r>
      <w:r w:rsidRPr="00EE0262">
        <w:rPr>
          <w:rStyle w:val="documentbody1"/>
          <w:rFonts w:ascii="Times New Roman" w:hAnsi="Times New Roman"/>
          <w:color w:val="000000"/>
          <w:sz w:val="23"/>
          <w:szCs w:val="23"/>
        </w:rPr>
        <w:t xml:space="preserve"> financial institutions with resources that can assist in</w:t>
      </w:r>
      <w:r w:rsidRPr="003D3B1E">
        <w:rPr>
          <w:rStyle w:val="documentbody1"/>
          <w:rFonts w:ascii="Times New Roman" w:hAnsi="Times New Roman"/>
          <w:color w:val="000000"/>
          <w:sz w:val="23"/>
          <w:szCs w:val="23"/>
        </w:rPr>
        <w:t xml:space="preserve"> protecting </w:t>
      </w:r>
      <w:r w:rsidR="00C44333">
        <w:rPr>
          <w:rStyle w:val="documentbody1"/>
          <w:rFonts w:ascii="Times New Roman" w:hAnsi="Times New Roman"/>
          <w:color w:val="000000"/>
          <w:sz w:val="23"/>
          <w:szCs w:val="23"/>
        </w:rPr>
        <w:t>them</w:t>
      </w:r>
      <w:r w:rsidRPr="003D3B1E">
        <w:rPr>
          <w:rStyle w:val="documentbody1"/>
          <w:rFonts w:ascii="Times New Roman" w:hAnsi="Times New Roman"/>
          <w:color w:val="000000"/>
          <w:sz w:val="23"/>
          <w:szCs w:val="23"/>
        </w:rPr>
        <w:t xml:space="preserve"> and their customers from the growing risks posed by cyberattacks.</w:t>
      </w:r>
    </w:p>
    <w:p w:rsidRPr="003D3B1E" w:rsidR="00EE1282" w:rsidP="00717AE5" w:rsidRDefault="009E3405" w14:paraId="2438F647" w14:textId="77777777">
      <w:pPr>
        <w:spacing w:before="100" w:after="100"/>
        <w:ind w:right="-180"/>
        <w:rPr>
          <w:color w:val="000000"/>
          <w:sz w:val="23"/>
          <w:szCs w:val="23"/>
        </w:rPr>
      </w:pPr>
      <w:r w:rsidRPr="003D3B1E">
        <w:rPr>
          <w:color w:val="000000"/>
          <w:sz w:val="23"/>
          <w:szCs w:val="23"/>
        </w:rPr>
        <w:tab/>
        <w:t>As part of these efforts, the Agencies</w:t>
      </w:r>
      <w:r w:rsidR="00EE0262">
        <w:rPr>
          <w:color w:val="000000"/>
          <w:sz w:val="23"/>
          <w:szCs w:val="23"/>
        </w:rPr>
        <w:t xml:space="preserve">, with </w:t>
      </w:r>
      <w:r w:rsidR="00E0571D">
        <w:rPr>
          <w:color w:val="000000"/>
          <w:sz w:val="23"/>
          <w:szCs w:val="23"/>
        </w:rPr>
        <w:t xml:space="preserve">the </w:t>
      </w:r>
      <w:r w:rsidR="00EE0262">
        <w:rPr>
          <w:color w:val="000000"/>
          <w:sz w:val="23"/>
          <w:szCs w:val="23"/>
        </w:rPr>
        <w:t>other FFIEC members,</w:t>
      </w:r>
      <w:r w:rsidRPr="003D3B1E">
        <w:rPr>
          <w:color w:val="000000"/>
          <w:sz w:val="23"/>
          <w:szCs w:val="23"/>
        </w:rPr>
        <w:t xml:space="preserve"> developed the </w:t>
      </w:r>
      <w:r w:rsidR="00124AD1">
        <w:rPr>
          <w:color w:val="000000"/>
          <w:sz w:val="23"/>
          <w:szCs w:val="23"/>
        </w:rPr>
        <w:t>Cybersecurity Assessment Tool (</w:t>
      </w:r>
      <w:r w:rsidRPr="003D3B1E">
        <w:rPr>
          <w:color w:val="000000"/>
          <w:sz w:val="23"/>
          <w:szCs w:val="23"/>
        </w:rPr>
        <w:t>Assessment</w:t>
      </w:r>
      <w:r w:rsidR="00124AD1">
        <w:rPr>
          <w:color w:val="000000"/>
          <w:sz w:val="23"/>
          <w:szCs w:val="23"/>
        </w:rPr>
        <w:t>)</w:t>
      </w:r>
      <w:r w:rsidRPr="003D3B1E">
        <w:rPr>
          <w:color w:val="000000"/>
          <w:sz w:val="23"/>
          <w:szCs w:val="23"/>
        </w:rPr>
        <w:t xml:space="preserve"> to assist financial institutions of all sizes in assessing their inherent cyber risks and their risk management capabilities.  The Assessment allows a financial institution to identify its inherent cyber risk profile based on technologies and connection types, delivery channels, online/mobile products and technology services, organizational characteristics, and cyber threats it is likely to face.  Once a financial institution identifies its inherent cyber risk profile, it </w:t>
      </w:r>
      <w:r w:rsidR="00315F5F">
        <w:rPr>
          <w:color w:val="000000"/>
          <w:sz w:val="23"/>
          <w:szCs w:val="23"/>
        </w:rPr>
        <w:t>can</w:t>
      </w:r>
      <w:r w:rsidRPr="003D3B1E">
        <w:rPr>
          <w:color w:val="000000"/>
          <w:sz w:val="23"/>
          <w:szCs w:val="23"/>
        </w:rPr>
        <w:t xml:space="preserve"> use the Assessment’s maturity matrix to evaluate its level of cybersecurity preparedness based on </w:t>
      </w:r>
      <w:r w:rsidR="001E02EA">
        <w:rPr>
          <w:color w:val="000000"/>
          <w:sz w:val="23"/>
          <w:szCs w:val="23"/>
        </w:rPr>
        <w:t>its</w:t>
      </w:r>
      <w:r w:rsidRPr="003D3B1E">
        <w:rPr>
          <w:color w:val="000000"/>
          <w:sz w:val="23"/>
          <w:szCs w:val="23"/>
        </w:rPr>
        <w:t xml:space="preserve"> cyber risk management and oversight, threat intelligence </w:t>
      </w:r>
      <w:r w:rsidR="00D86989">
        <w:rPr>
          <w:color w:val="000000"/>
          <w:sz w:val="23"/>
          <w:szCs w:val="23"/>
        </w:rPr>
        <w:t>and collaboration</w:t>
      </w:r>
      <w:r w:rsidRPr="003D3B1E">
        <w:rPr>
          <w:color w:val="000000"/>
          <w:sz w:val="23"/>
          <w:szCs w:val="23"/>
        </w:rPr>
        <w:t xml:space="preserve">, cybersecurity controls, external dependency management, and cyber incident management and resiliency planning.  A financial institution may use the matrix’s maturity levels to identify opportunities for improving </w:t>
      </w:r>
      <w:r w:rsidR="00D86989">
        <w:rPr>
          <w:color w:val="000000"/>
          <w:sz w:val="23"/>
          <w:szCs w:val="23"/>
        </w:rPr>
        <w:t>its</w:t>
      </w:r>
      <w:r w:rsidRPr="003D3B1E">
        <w:rPr>
          <w:color w:val="000000"/>
          <w:sz w:val="23"/>
          <w:szCs w:val="23"/>
        </w:rPr>
        <w:t xml:space="preserve"> cyber risk management based on its inherent risk profile.  The Assessment also enables a financial institution to </w:t>
      </w:r>
      <w:r w:rsidR="00DB0415">
        <w:rPr>
          <w:color w:val="000000"/>
          <w:sz w:val="23"/>
          <w:szCs w:val="23"/>
        </w:rPr>
        <w:t xml:space="preserve">rapidly </w:t>
      </w:r>
      <w:r w:rsidRPr="003D3B1E">
        <w:rPr>
          <w:color w:val="000000"/>
          <w:sz w:val="23"/>
          <w:szCs w:val="23"/>
        </w:rPr>
        <w:t xml:space="preserve">identify areas that could improve the financial institution’s cyber response programs, </w:t>
      </w:r>
      <w:r w:rsidR="00DB0415">
        <w:rPr>
          <w:color w:val="000000"/>
          <w:sz w:val="23"/>
          <w:szCs w:val="23"/>
        </w:rPr>
        <w:t>as</w:t>
      </w:r>
      <w:r w:rsidRPr="003D3B1E" w:rsidR="00DB0415">
        <w:rPr>
          <w:color w:val="000000"/>
          <w:sz w:val="23"/>
          <w:szCs w:val="23"/>
        </w:rPr>
        <w:t xml:space="preserve"> </w:t>
      </w:r>
      <w:r w:rsidRPr="005E5659" w:rsidR="00140CC1">
        <w:rPr>
          <w:color w:val="000000"/>
          <w:sz w:val="23"/>
          <w:szCs w:val="23"/>
        </w:rPr>
        <w:t>appropriate</w:t>
      </w:r>
      <w:r w:rsidRPr="003D3B1E">
        <w:rPr>
          <w:color w:val="000000"/>
          <w:sz w:val="23"/>
          <w:szCs w:val="23"/>
        </w:rPr>
        <w:t>.  Use of the Assessment by finan</w:t>
      </w:r>
      <w:r w:rsidRPr="003D3B1E" w:rsidR="00A7456E">
        <w:rPr>
          <w:color w:val="000000"/>
          <w:sz w:val="23"/>
          <w:szCs w:val="23"/>
        </w:rPr>
        <w:t>cial institutions is voluntary.</w:t>
      </w:r>
    </w:p>
    <w:p w:rsidRPr="00AB4A1A" w:rsidR="00651CFB" w:rsidP="007355E5" w:rsidRDefault="002020EE" w14:paraId="384CC6BA" w14:textId="77777777">
      <w:pPr>
        <w:keepNext/>
        <w:tabs>
          <w:tab w:val="left" w:pos="720"/>
        </w:tabs>
        <w:spacing w:before="100" w:after="100"/>
        <w:ind w:right="-180"/>
        <w:rPr>
          <w:b/>
          <w:bCs/>
          <w:i/>
          <w:sz w:val="23"/>
          <w:szCs w:val="23"/>
        </w:rPr>
      </w:pPr>
      <w:r w:rsidRPr="00AB4A1A">
        <w:rPr>
          <w:b/>
          <w:bCs/>
          <w:i/>
          <w:sz w:val="23"/>
          <w:szCs w:val="23"/>
        </w:rPr>
        <w:t>2.  Use of the information:</w:t>
      </w:r>
    </w:p>
    <w:p w:rsidRPr="003D3B1E" w:rsidR="00121344" w:rsidP="007355E5" w:rsidRDefault="009A787F" w14:paraId="7470AB9A" w14:textId="77777777">
      <w:pPr>
        <w:pStyle w:val="NormalWeb"/>
        <w:keepNext/>
        <w:spacing w:beforeAutospacing="0" w:afterAutospacing="0"/>
        <w:rPr>
          <w:iCs/>
          <w:sz w:val="23"/>
          <w:szCs w:val="23"/>
        </w:rPr>
      </w:pPr>
      <w:r w:rsidRPr="003D3B1E">
        <w:rPr>
          <w:iCs/>
          <w:sz w:val="23"/>
          <w:szCs w:val="23"/>
        </w:rPr>
        <w:tab/>
      </w:r>
      <w:r w:rsidRPr="003D3B1E" w:rsidR="00A374E2">
        <w:rPr>
          <w:iCs/>
          <w:sz w:val="23"/>
          <w:szCs w:val="23"/>
        </w:rPr>
        <w:t xml:space="preserve">The </w:t>
      </w:r>
      <w:r w:rsidRPr="003D3B1E" w:rsidR="00855AA5">
        <w:rPr>
          <w:iCs/>
          <w:sz w:val="23"/>
          <w:szCs w:val="23"/>
        </w:rPr>
        <w:t xml:space="preserve">Assessment </w:t>
      </w:r>
      <w:r w:rsidRPr="003D3B1E" w:rsidR="009F0AA6">
        <w:rPr>
          <w:iCs/>
          <w:sz w:val="23"/>
          <w:szCs w:val="23"/>
        </w:rPr>
        <w:t>may be</w:t>
      </w:r>
      <w:r w:rsidRPr="003D3B1E" w:rsidR="00A374E2">
        <w:rPr>
          <w:iCs/>
          <w:sz w:val="23"/>
          <w:szCs w:val="23"/>
        </w:rPr>
        <w:t xml:space="preserve"> used </w:t>
      </w:r>
      <w:r w:rsidRPr="003D3B1E" w:rsidR="00947CBF">
        <w:rPr>
          <w:iCs/>
          <w:sz w:val="23"/>
          <w:szCs w:val="23"/>
        </w:rPr>
        <w:t xml:space="preserve">by financial institutions </w:t>
      </w:r>
      <w:r w:rsidRPr="003D3B1E" w:rsidR="00A374E2">
        <w:rPr>
          <w:iCs/>
          <w:sz w:val="23"/>
          <w:szCs w:val="23"/>
        </w:rPr>
        <w:t xml:space="preserve">to </w:t>
      </w:r>
      <w:r w:rsidRPr="003D3B1E" w:rsidR="00121344">
        <w:rPr>
          <w:iCs/>
          <w:sz w:val="23"/>
          <w:szCs w:val="23"/>
        </w:rPr>
        <w:t xml:space="preserve">assist in evaluating </w:t>
      </w:r>
      <w:r w:rsidRPr="003D3B1E" w:rsidR="009B4D9B">
        <w:rPr>
          <w:iCs/>
          <w:sz w:val="23"/>
          <w:szCs w:val="23"/>
        </w:rPr>
        <w:t xml:space="preserve">and managing </w:t>
      </w:r>
      <w:r w:rsidRPr="003D3B1E" w:rsidR="00121344">
        <w:rPr>
          <w:iCs/>
          <w:sz w:val="23"/>
          <w:szCs w:val="23"/>
        </w:rPr>
        <w:t>their inherent risk</w:t>
      </w:r>
      <w:r w:rsidRPr="003D3B1E" w:rsidR="0002305F">
        <w:rPr>
          <w:iCs/>
          <w:sz w:val="23"/>
          <w:szCs w:val="23"/>
        </w:rPr>
        <w:t xml:space="preserve"> and cyber</w:t>
      </w:r>
      <w:r w:rsidRPr="003D3B1E" w:rsidR="009F0AA6">
        <w:rPr>
          <w:iCs/>
          <w:sz w:val="23"/>
          <w:szCs w:val="23"/>
        </w:rPr>
        <w:t>security</w:t>
      </w:r>
      <w:r w:rsidRPr="003D3B1E" w:rsidR="0002305F">
        <w:rPr>
          <w:iCs/>
          <w:sz w:val="23"/>
          <w:szCs w:val="23"/>
        </w:rPr>
        <w:t xml:space="preserve"> preparedness.</w:t>
      </w:r>
      <w:r w:rsidRPr="003D3B1E" w:rsidR="0002305F">
        <w:rPr>
          <w:i/>
          <w:iCs/>
          <w:sz w:val="23"/>
          <w:szCs w:val="23"/>
        </w:rPr>
        <w:t xml:space="preserve">  </w:t>
      </w:r>
      <w:r w:rsidRPr="003D3B1E" w:rsidR="00947CBF">
        <w:rPr>
          <w:sz w:val="23"/>
          <w:szCs w:val="23"/>
        </w:rPr>
        <w:t>Financial institutions</w:t>
      </w:r>
      <w:r w:rsidRPr="003D3B1E" w:rsidR="00A374E2">
        <w:rPr>
          <w:sz w:val="23"/>
          <w:szCs w:val="23"/>
        </w:rPr>
        <w:t xml:space="preserve">, particularly smaller </w:t>
      </w:r>
      <w:r w:rsidRPr="003D3B1E" w:rsidR="00A374E2">
        <w:rPr>
          <w:sz w:val="23"/>
          <w:szCs w:val="23"/>
        </w:rPr>
        <w:lastRenderedPageBreak/>
        <w:t>institutions, have requested this assistance.</w:t>
      </w:r>
      <w:r w:rsidRPr="003D3B1E" w:rsidR="00BC38AA">
        <w:rPr>
          <w:sz w:val="23"/>
          <w:szCs w:val="23"/>
        </w:rPr>
        <w:t xml:space="preserve">  </w:t>
      </w:r>
      <w:r w:rsidRPr="003D3B1E" w:rsidR="00F8381D">
        <w:rPr>
          <w:sz w:val="23"/>
          <w:szCs w:val="23"/>
        </w:rPr>
        <w:t xml:space="preserve">The </w:t>
      </w:r>
      <w:r w:rsidRPr="003D3B1E" w:rsidR="00855AA5">
        <w:rPr>
          <w:sz w:val="23"/>
          <w:szCs w:val="23"/>
        </w:rPr>
        <w:t xml:space="preserve">Assessment </w:t>
      </w:r>
      <w:r w:rsidRPr="003D3B1E" w:rsidR="00F8381D">
        <w:rPr>
          <w:sz w:val="23"/>
          <w:szCs w:val="23"/>
        </w:rPr>
        <w:t>facilitate</w:t>
      </w:r>
      <w:r w:rsidRPr="003D3B1E" w:rsidR="00A7456E">
        <w:rPr>
          <w:sz w:val="23"/>
          <w:szCs w:val="23"/>
        </w:rPr>
        <w:t>s</w:t>
      </w:r>
      <w:r w:rsidRPr="003D3B1E" w:rsidR="00F8381D">
        <w:rPr>
          <w:sz w:val="23"/>
          <w:szCs w:val="23"/>
        </w:rPr>
        <w:t xml:space="preserve"> the ability of financial institutions to </w:t>
      </w:r>
      <w:r w:rsidRPr="003D3B1E" w:rsidR="009B4D9B">
        <w:rPr>
          <w:sz w:val="23"/>
          <w:szCs w:val="23"/>
        </w:rPr>
        <w:t xml:space="preserve">address their cybersecurity preparedness on an ongoing basis, as cyber threats evolve, and as </w:t>
      </w:r>
      <w:r w:rsidR="00157196">
        <w:rPr>
          <w:sz w:val="23"/>
          <w:szCs w:val="23"/>
        </w:rPr>
        <w:t>they</w:t>
      </w:r>
      <w:r w:rsidRPr="003D3B1E" w:rsidR="00CD2A1F">
        <w:rPr>
          <w:sz w:val="23"/>
          <w:szCs w:val="23"/>
        </w:rPr>
        <w:t xml:space="preserve"> </w:t>
      </w:r>
      <w:r w:rsidRPr="003D3B1E" w:rsidR="009B4D9B">
        <w:rPr>
          <w:sz w:val="23"/>
          <w:szCs w:val="23"/>
        </w:rPr>
        <w:t>introduce new products and services and employ new technologies.</w:t>
      </w:r>
      <w:r w:rsidRPr="003D3B1E" w:rsidR="00904D18">
        <w:rPr>
          <w:iCs/>
          <w:sz w:val="23"/>
          <w:szCs w:val="23"/>
        </w:rPr>
        <w:t xml:space="preserve">  </w:t>
      </w:r>
    </w:p>
    <w:p w:rsidRPr="003D3B1E" w:rsidR="00252CDB" w:rsidP="00717AE5" w:rsidRDefault="00252CDB" w14:paraId="21743194" w14:textId="77777777">
      <w:pPr>
        <w:pStyle w:val="BodyText"/>
        <w:rPr>
          <w:i w:val="0"/>
          <w:iCs w:val="0"/>
          <w:sz w:val="23"/>
          <w:szCs w:val="23"/>
        </w:rPr>
      </w:pPr>
    </w:p>
    <w:p w:rsidRPr="003D3B1E" w:rsidR="00651CFB" w:rsidP="00717AE5" w:rsidRDefault="00651CFB" w14:paraId="019EAD59" w14:textId="77777777">
      <w:pPr>
        <w:rPr>
          <w:b/>
          <w:bCs/>
          <w:i/>
          <w:iCs/>
          <w:sz w:val="23"/>
          <w:szCs w:val="23"/>
        </w:rPr>
      </w:pPr>
      <w:r w:rsidRPr="003D3B1E">
        <w:rPr>
          <w:b/>
          <w:bCs/>
          <w:i/>
          <w:iCs/>
          <w:sz w:val="23"/>
          <w:szCs w:val="23"/>
        </w:rPr>
        <w:t>3.  Consideration of the use of improved information technology:</w:t>
      </w:r>
    </w:p>
    <w:p w:rsidRPr="003D3B1E" w:rsidR="00651CFB" w:rsidP="00717AE5" w:rsidRDefault="00651CFB" w14:paraId="3F6CD3BF" w14:textId="77777777">
      <w:pPr>
        <w:rPr>
          <w:sz w:val="23"/>
          <w:szCs w:val="23"/>
        </w:rPr>
      </w:pPr>
    </w:p>
    <w:p w:rsidRPr="003D3B1E" w:rsidR="00651CFB" w:rsidP="00717AE5" w:rsidRDefault="009A787F" w14:paraId="4D042ADE" w14:textId="77777777">
      <w:pPr>
        <w:pStyle w:val="BodyText"/>
        <w:rPr>
          <w:i w:val="0"/>
          <w:iCs w:val="0"/>
          <w:sz w:val="23"/>
          <w:szCs w:val="23"/>
        </w:rPr>
      </w:pPr>
      <w:r w:rsidRPr="003D3B1E">
        <w:rPr>
          <w:i w:val="0"/>
          <w:iCs w:val="0"/>
          <w:sz w:val="23"/>
          <w:szCs w:val="23"/>
        </w:rPr>
        <w:tab/>
      </w:r>
      <w:r w:rsidRPr="003D3B1E" w:rsidR="00FA5514">
        <w:rPr>
          <w:i w:val="0"/>
          <w:iCs w:val="0"/>
          <w:sz w:val="23"/>
          <w:szCs w:val="23"/>
        </w:rPr>
        <w:t xml:space="preserve">The collection </w:t>
      </w:r>
      <w:r w:rsidRPr="003D3B1E">
        <w:rPr>
          <w:i w:val="0"/>
          <w:iCs w:val="0"/>
          <w:sz w:val="23"/>
          <w:szCs w:val="23"/>
        </w:rPr>
        <w:t>is</w:t>
      </w:r>
      <w:r w:rsidRPr="003D3B1E" w:rsidR="00FA5514">
        <w:rPr>
          <w:i w:val="0"/>
          <w:iCs w:val="0"/>
          <w:sz w:val="23"/>
          <w:szCs w:val="23"/>
        </w:rPr>
        <w:t xml:space="preserve"> available electronically.  </w:t>
      </w:r>
      <w:r w:rsidRPr="003D3B1E" w:rsidR="004959E9">
        <w:rPr>
          <w:i w:val="0"/>
          <w:iCs w:val="0"/>
          <w:sz w:val="23"/>
          <w:szCs w:val="23"/>
        </w:rPr>
        <w:t>A</w:t>
      </w:r>
      <w:r w:rsidRPr="003D3B1E" w:rsidR="00651CFB">
        <w:rPr>
          <w:i w:val="0"/>
          <w:iCs w:val="0"/>
          <w:sz w:val="23"/>
          <w:szCs w:val="23"/>
        </w:rPr>
        <w:t xml:space="preserve">ny </w:t>
      </w:r>
      <w:r w:rsidRPr="003D3B1E" w:rsidR="003E606A">
        <w:rPr>
          <w:i w:val="0"/>
          <w:iCs w:val="0"/>
          <w:sz w:val="23"/>
          <w:szCs w:val="23"/>
        </w:rPr>
        <w:t xml:space="preserve">improved </w:t>
      </w:r>
      <w:r w:rsidRPr="003D3B1E" w:rsidR="00651CFB">
        <w:rPr>
          <w:i w:val="0"/>
          <w:iCs w:val="0"/>
          <w:sz w:val="23"/>
          <w:szCs w:val="23"/>
        </w:rPr>
        <w:t xml:space="preserve">information technology </w:t>
      </w:r>
      <w:r w:rsidRPr="003D3B1E" w:rsidR="004959E9">
        <w:rPr>
          <w:i w:val="0"/>
          <w:iCs w:val="0"/>
          <w:sz w:val="23"/>
          <w:szCs w:val="23"/>
        </w:rPr>
        <w:t>may be used to complete the assessment</w:t>
      </w:r>
      <w:r w:rsidRPr="003D3B1E" w:rsidR="00651CFB">
        <w:rPr>
          <w:i w:val="0"/>
          <w:iCs w:val="0"/>
          <w:sz w:val="23"/>
          <w:szCs w:val="23"/>
        </w:rPr>
        <w:t>.</w:t>
      </w:r>
    </w:p>
    <w:p w:rsidRPr="003D3B1E" w:rsidR="00651CFB" w:rsidP="00717AE5" w:rsidRDefault="00651CFB" w14:paraId="33ED5BD8" w14:textId="77777777">
      <w:pPr>
        <w:rPr>
          <w:sz w:val="23"/>
          <w:szCs w:val="23"/>
        </w:rPr>
      </w:pPr>
    </w:p>
    <w:p w:rsidRPr="003D3B1E" w:rsidR="00651CFB" w:rsidP="00717AE5" w:rsidRDefault="00651CFB" w14:paraId="33E9351A" w14:textId="77777777">
      <w:pPr>
        <w:rPr>
          <w:b/>
          <w:bCs/>
          <w:i/>
          <w:iCs/>
          <w:sz w:val="23"/>
          <w:szCs w:val="23"/>
        </w:rPr>
      </w:pPr>
      <w:r w:rsidRPr="003D3B1E">
        <w:rPr>
          <w:b/>
          <w:bCs/>
          <w:i/>
          <w:iCs/>
          <w:sz w:val="23"/>
          <w:szCs w:val="23"/>
        </w:rPr>
        <w:t>4.  Efforts to identify duplication:</w:t>
      </w:r>
    </w:p>
    <w:p w:rsidRPr="003D3B1E" w:rsidR="00651CFB" w:rsidP="00717AE5" w:rsidRDefault="00651CFB" w14:paraId="14A6F2CD" w14:textId="77777777">
      <w:pPr>
        <w:rPr>
          <w:sz w:val="23"/>
          <w:szCs w:val="23"/>
        </w:rPr>
      </w:pPr>
    </w:p>
    <w:p w:rsidRPr="003D3B1E" w:rsidR="00651CFB" w:rsidP="00717AE5" w:rsidRDefault="009A787F" w14:paraId="63BD5978" w14:textId="77777777">
      <w:pPr>
        <w:rPr>
          <w:sz w:val="23"/>
          <w:szCs w:val="23"/>
        </w:rPr>
      </w:pPr>
      <w:r w:rsidRPr="003D3B1E">
        <w:rPr>
          <w:sz w:val="23"/>
          <w:szCs w:val="23"/>
        </w:rPr>
        <w:tab/>
      </w:r>
      <w:r w:rsidRPr="003D3B1E" w:rsidR="00651CFB">
        <w:rPr>
          <w:sz w:val="23"/>
          <w:szCs w:val="23"/>
        </w:rPr>
        <w:t>The information is unique and is not duplicative of any other information already collected.</w:t>
      </w:r>
    </w:p>
    <w:p w:rsidRPr="003D3B1E" w:rsidR="00651CFB" w:rsidP="00717AE5" w:rsidRDefault="00651CFB" w14:paraId="721E36DE" w14:textId="77777777">
      <w:pPr>
        <w:rPr>
          <w:i/>
          <w:sz w:val="23"/>
          <w:szCs w:val="23"/>
        </w:rPr>
      </w:pPr>
    </w:p>
    <w:p w:rsidRPr="003D3B1E" w:rsidR="00651CFB" w:rsidP="00717AE5" w:rsidRDefault="00BC38AA" w14:paraId="0C2BE088" w14:textId="77777777">
      <w:pPr>
        <w:autoSpaceDE w:val="0"/>
        <w:autoSpaceDN w:val="0"/>
        <w:adjustRightInd w:val="0"/>
        <w:rPr>
          <w:sz w:val="23"/>
          <w:szCs w:val="23"/>
        </w:rPr>
      </w:pPr>
      <w:r w:rsidRPr="003D3B1E">
        <w:rPr>
          <w:b/>
          <w:bCs/>
          <w:i/>
          <w:sz w:val="23"/>
          <w:szCs w:val="23"/>
        </w:rPr>
        <w:t>5</w:t>
      </w:r>
      <w:r w:rsidRPr="003D3B1E">
        <w:rPr>
          <w:b/>
          <w:bCs/>
          <w:sz w:val="23"/>
          <w:szCs w:val="23"/>
        </w:rPr>
        <w:t xml:space="preserve">.  </w:t>
      </w:r>
      <w:r w:rsidRPr="003D3B1E" w:rsidR="00346420">
        <w:rPr>
          <w:b/>
          <w:i/>
          <w:sz w:val="23"/>
          <w:szCs w:val="23"/>
        </w:rPr>
        <w:t xml:space="preserve">If the collection of information impacts small businesses or other small entities, describe any </w:t>
      </w:r>
      <w:r w:rsidRPr="003D3B1E">
        <w:rPr>
          <w:b/>
          <w:i/>
          <w:sz w:val="23"/>
          <w:szCs w:val="23"/>
        </w:rPr>
        <w:t>methods used to minimize burden:</w:t>
      </w:r>
    </w:p>
    <w:p w:rsidRPr="003D3B1E" w:rsidR="00651CFB" w:rsidP="00717AE5" w:rsidRDefault="00651CFB" w14:paraId="0A517AE1" w14:textId="77777777">
      <w:pPr>
        <w:rPr>
          <w:sz w:val="23"/>
          <w:szCs w:val="23"/>
        </w:rPr>
      </w:pPr>
    </w:p>
    <w:p w:rsidRPr="003D3B1E" w:rsidR="00847E0A" w:rsidP="00717AE5" w:rsidRDefault="009A787F" w14:paraId="72E3C96D" w14:textId="77777777">
      <w:pPr>
        <w:spacing w:after="240"/>
        <w:rPr>
          <w:sz w:val="23"/>
          <w:szCs w:val="23"/>
        </w:rPr>
      </w:pPr>
      <w:r w:rsidRPr="003D3B1E">
        <w:rPr>
          <w:sz w:val="23"/>
          <w:szCs w:val="23"/>
        </w:rPr>
        <w:tab/>
      </w:r>
      <w:r w:rsidRPr="003D3B1E" w:rsidR="003B5F93">
        <w:rPr>
          <w:sz w:val="23"/>
          <w:szCs w:val="23"/>
        </w:rPr>
        <w:t xml:space="preserve">Financial institutions of all sizes, including </w:t>
      </w:r>
      <w:r w:rsidRPr="003D3B1E" w:rsidR="003179F5">
        <w:rPr>
          <w:sz w:val="23"/>
          <w:szCs w:val="23"/>
        </w:rPr>
        <w:t xml:space="preserve">small </w:t>
      </w:r>
      <w:r w:rsidRPr="003D3B1E" w:rsidR="003B5F93">
        <w:rPr>
          <w:sz w:val="23"/>
          <w:szCs w:val="23"/>
        </w:rPr>
        <w:t xml:space="preserve">institutions, </w:t>
      </w:r>
      <w:r w:rsidRPr="003D3B1E" w:rsidR="009F0AA6">
        <w:rPr>
          <w:sz w:val="23"/>
          <w:szCs w:val="23"/>
        </w:rPr>
        <w:t xml:space="preserve">may </w:t>
      </w:r>
      <w:r w:rsidRPr="003D3B1E" w:rsidR="003B5F93">
        <w:rPr>
          <w:sz w:val="23"/>
          <w:szCs w:val="23"/>
        </w:rPr>
        <w:t xml:space="preserve">use the </w:t>
      </w:r>
      <w:r w:rsidRPr="003D3B1E" w:rsidR="00847E0A">
        <w:rPr>
          <w:sz w:val="23"/>
          <w:szCs w:val="23"/>
        </w:rPr>
        <w:t>Assessment</w:t>
      </w:r>
      <w:r w:rsidRPr="003D3B1E" w:rsidR="003B5F93">
        <w:rPr>
          <w:sz w:val="23"/>
          <w:szCs w:val="23"/>
        </w:rPr>
        <w:t xml:space="preserve"> to evaluate and manage their inherent risk and cyber</w:t>
      </w:r>
      <w:r w:rsidRPr="003D3B1E" w:rsidR="009F0AA6">
        <w:rPr>
          <w:sz w:val="23"/>
          <w:szCs w:val="23"/>
        </w:rPr>
        <w:t>security</w:t>
      </w:r>
      <w:r w:rsidRPr="003D3B1E" w:rsidR="003B5F93">
        <w:rPr>
          <w:sz w:val="23"/>
          <w:szCs w:val="23"/>
        </w:rPr>
        <w:t xml:space="preserve"> preparedness</w:t>
      </w:r>
      <w:r w:rsidRPr="003D3B1E" w:rsidR="00847E0A">
        <w:rPr>
          <w:sz w:val="23"/>
          <w:szCs w:val="23"/>
        </w:rPr>
        <w:t>.  The Assessment takes into account an individual institution’s risk and complexity.  Further, use of the Assessment</w:t>
      </w:r>
      <w:r w:rsidRPr="003D3B1E" w:rsidR="009F0AA6">
        <w:rPr>
          <w:sz w:val="23"/>
          <w:szCs w:val="23"/>
        </w:rPr>
        <w:t xml:space="preserve"> by financial institutions</w:t>
      </w:r>
      <w:r w:rsidRPr="003D3B1E" w:rsidR="003179F5">
        <w:rPr>
          <w:sz w:val="23"/>
          <w:szCs w:val="23"/>
        </w:rPr>
        <w:t xml:space="preserve"> is </w:t>
      </w:r>
      <w:r w:rsidRPr="003D3B1E" w:rsidR="009F0AA6">
        <w:rPr>
          <w:sz w:val="23"/>
          <w:szCs w:val="23"/>
        </w:rPr>
        <w:t>voluntary</w:t>
      </w:r>
      <w:r w:rsidRPr="003D3B1E" w:rsidR="003B5F93">
        <w:rPr>
          <w:sz w:val="23"/>
          <w:szCs w:val="23"/>
        </w:rPr>
        <w:t>.</w:t>
      </w:r>
      <w:r w:rsidRPr="003D3B1E" w:rsidR="003179F5">
        <w:rPr>
          <w:sz w:val="23"/>
          <w:szCs w:val="23"/>
        </w:rPr>
        <w:t xml:space="preserve">  </w:t>
      </w:r>
    </w:p>
    <w:p w:rsidR="00651CFB" w:rsidP="00717AE5" w:rsidRDefault="009A787F" w14:paraId="27B34393" w14:textId="77777777">
      <w:pPr>
        <w:rPr>
          <w:sz w:val="23"/>
          <w:szCs w:val="23"/>
        </w:rPr>
      </w:pPr>
      <w:r w:rsidRPr="003D3B1E">
        <w:rPr>
          <w:sz w:val="23"/>
          <w:szCs w:val="23"/>
        </w:rPr>
        <w:tab/>
      </w:r>
      <w:r w:rsidRPr="003D3B1E" w:rsidR="003B5F93">
        <w:rPr>
          <w:sz w:val="23"/>
          <w:szCs w:val="23"/>
        </w:rPr>
        <w:t>To a</w:t>
      </w:r>
      <w:r w:rsidRPr="003D3B1E" w:rsidR="00AF676F">
        <w:rPr>
          <w:sz w:val="23"/>
          <w:szCs w:val="23"/>
        </w:rPr>
        <w:t xml:space="preserve">ssist financial institutions </w:t>
      </w:r>
      <w:r w:rsidRPr="003D3B1E" w:rsidR="00E645BD">
        <w:rPr>
          <w:sz w:val="23"/>
          <w:szCs w:val="23"/>
        </w:rPr>
        <w:t xml:space="preserve">in using </w:t>
      </w:r>
      <w:r w:rsidRPr="003D3B1E" w:rsidR="00AF676F">
        <w:rPr>
          <w:sz w:val="23"/>
          <w:szCs w:val="23"/>
        </w:rPr>
        <w:t xml:space="preserve">the </w:t>
      </w:r>
      <w:r w:rsidRPr="003D3B1E" w:rsidR="00D40A6E">
        <w:rPr>
          <w:sz w:val="23"/>
          <w:szCs w:val="23"/>
        </w:rPr>
        <w:t>Assessment</w:t>
      </w:r>
      <w:r w:rsidRPr="003D3B1E" w:rsidR="00E645BD">
        <w:rPr>
          <w:sz w:val="23"/>
          <w:szCs w:val="23"/>
        </w:rPr>
        <w:t xml:space="preserve"> efficiently</w:t>
      </w:r>
      <w:r w:rsidRPr="003D3B1E" w:rsidR="00AF676F">
        <w:rPr>
          <w:sz w:val="23"/>
          <w:szCs w:val="23"/>
        </w:rPr>
        <w:t xml:space="preserve">, the </w:t>
      </w:r>
      <w:r w:rsidR="00461AF2">
        <w:rPr>
          <w:sz w:val="23"/>
          <w:szCs w:val="23"/>
        </w:rPr>
        <w:t>A</w:t>
      </w:r>
      <w:r w:rsidRPr="003D3B1E" w:rsidR="00AF676F">
        <w:rPr>
          <w:sz w:val="23"/>
          <w:szCs w:val="23"/>
        </w:rPr>
        <w:t xml:space="preserve">gencies developed a User’s Guide that explains how to complete the </w:t>
      </w:r>
      <w:r w:rsidRPr="003D3B1E" w:rsidR="00D40A6E">
        <w:rPr>
          <w:sz w:val="23"/>
          <w:szCs w:val="23"/>
        </w:rPr>
        <w:t xml:space="preserve">Assessment and a </w:t>
      </w:r>
      <w:r w:rsidRPr="003D3B1E" w:rsidR="00BC38AA">
        <w:rPr>
          <w:sz w:val="23"/>
          <w:szCs w:val="23"/>
        </w:rPr>
        <w:t>G</w:t>
      </w:r>
      <w:r w:rsidRPr="003D3B1E" w:rsidR="00D40A6E">
        <w:rPr>
          <w:sz w:val="23"/>
          <w:szCs w:val="23"/>
        </w:rPr>
        <w:t>lossary to provide easy access to the definitions of terms contained in the Assessment</w:t>
      </w:r>
      <w:r w:rsidRPr="003D3B1E" w:rsidR="00AF676F">
        <w:rPr>
          <w:sz w:val="23"/>
          <w:szCs w:val="23"/>
        </w:rPr>
        <w:t xml:space="preserve">.  </w:t>
      </w:r>
      <w:r w:rsidRPr="003D3B1E" w:rsidR="00FF0EB2">
        <w:rPr>
          <w:sz w:val="23"/>
          <w:szCs w:val="23"/>
        </w:rPr>
        <w:t xml:space="preserve">The </w:t>
      </w:r>
      <w:r w:rsidR="00461AF2">
        <w:rPr>
          <w:sz w:val="23"/>
          <w:szCs w:val="23"/>
        </w:rPr>
        <w:t>A</w:t>
      </w:r>
      <w:r w:rsidRPr="003D3B1E" w:rsidR="00FF0EB2">
        <w:rPr>
          <w:sz w:val="23"/>
          <w:szCs w:val="23"/>
        </w:rPr>
        <w:t xml:space="preserve">gencies </w:t>
      </w:r>
      <w:r w:rsidRPr="003D3B1E" w:rsidR="00E84263">
        <w:rPr>
          <w:sz w:val="23"/>
          <w:szCs w:val="23"/>
        </w:rPr>
        <w:t xml:space="preserve">also </w:t>
      </w:r>
      <w:r w:rsidRPr="003D3B1E" w:rsidR="00FF0EB2">
        <w:rPr>
          <w:sz w:val="23"/>
          <w:szCs w:val="23"/>
        </w:rPr>
        <w:t xml:space="preserve">have included an appendix to the </w:t>
      </w:r>
      <w:r w:rsidRPr="003D3B1E" w:rsidR="00D40A6E">
        <w:rPr>
          <w:sz w:val="23"/>
          <w:szCs w:val="23"/>
        </w:rPr>
        <w:t>Assessment</w:t>
      </w:r>
      <w:r w:rsidRPr="003D3B1E" w:rsidR="00FF0EB2">
        <w:rPr>
          <w:sz w:val="23"/>
          <w:szCs w:val="23"/>
        </w:rPr>
        <w:t xml:space="preserve"> that maps the baseline maturity level statements</w:t>
      </w:r>
      <w:r w:rsidRPr="003D3B1E" w:rsidR="00F14927">
        <w:rPr>
          <w:sz w:val="23"/>
          <w:szCs w:val="23"/>
        </w:rPr>
        <w:t xml:space="preserve"> contained in the </w:t>
      </w:r>
      <w:r w:rsidRPr="003D3B1E" w:rsidR="00D40A6E">
        <w:rPr>
          <w:sz w:val="23"/>
          <w:szCs w:val="23"/>
        </w:rPr>
        <w:t>Assessment</w:t>
      </w:r>
      <w:r w:rsidRPr="003D3B1E" w:rsidR="00FF0EB2">
        <w:rPr>
          <w:sz w:val="23"/>
          <w:szCs w:val="23"/>
        </w:rPr>
        <w:t xml:space="preserve"> to the risk management and control </w:t>
      </w:r>
      <w:r w:rsidR="00157196">
        <w:rPr>
          <w:sz w:val="23"/>
          <w:szCs w:val="23"/>
        </w:rPr>
        <w:t>standards</w:t>
      </w:r>
      <w:r w:rsidRPr="003D3B1E" w:rsidR="00157196">
        <w:rPr>
          <w:sz w:val="23"/>
          <w:szCs w:val="23"/>
        </w:rPr>
        <w:t xml:space="preserve"> </w:t>
      </w:r>
      <w:r w:rsidRPr="003D3B1E" w:rsidR="00FF0EB2">
        <w:rPr>
          <w:sz w:val="23"/>
          <w:szCs w:val="23"/>
        </w:rPr>
        <w:t>outlined in the FFIEC I</w:t>
      </w:r>
      <w:r w:rsidR="00157196">
        <w:rPr>
          <w:sz w:val="23"/>
          <w:szCs w:val="23"/>
        </w:rPr>
        <w:t xml:space="preserve">nformation </w:t>
      </w:r>
      <w:r w:rsidRPr="003D3B1E" w:rsidR="00FF0EB2">
        <w:rPr>
          <w:sz w:val="23"/>
          <w:szCs w:val="23"/>
        </w:rPr>
        <w:t>T</w:t>
      </w:r>
      <w:r w:rsidR="00157196">
        <w:rPr>
          <w:sz w:val="23"/>
          <w:szCs w:val="23"/>
        </w:rPr>
        <w:t>echnology</w:t>
      </w:r>
      <w:r w:rsidRPr="003D3B1E" w:rsidR="00FF0EB2">
        <w:rPr>
          <w:sz w:val="23"/>
          <w:szCs w:val="23"/>
        </w:rPr>
        <w:t xml:space="preserve"> Examination Handbook.  </w:t>
      </w:r>
      <w:r w:rsidR="0072353F">
        <w:rPr>
          <w:sz w:val="23"/>
          <w:szCs w:val="23"/>
        </w:rPr>
        <w:t>T</w:t>
      </w:r>
      <w:r w:rsidRPr="003D3B1E" w:rsidR="00AF676F">
        <w:rPr>
          <w:sz w:val="23"/>
          <w:szCs w:val="23"/>
        </w:rPr>
        <w:t xml:space="preserve">he </w:t>
      </w:r>
      <w:r w:rsidR="00461AF2">
        <w:rPr>
          <w:sz w:val="23"/>
          <w:szCs w:val="23"/>
        </w:rPr>
        <w:t>A</w:t>
      </w:r>
      <w:r w:rsidRPr="003D3B1E" w:rsidR="00AF676F">
        <w:rPr>
          <w:sz w:val="23"/>
          <w:szCs w:val="23"/>
        </w:rPr>
        <w:t xml:space="preserve">gencies </w:t>
      </w:r>
      <w:r w:rsidR="0072353F">
        <w:rPr>
          <w:sz w:val="23"/>
          <w:szCs w:val="23"/>
        </w:rPr>
        <w:t xml:space="preserve">also </w:t>
      </w:r>
      <w:r w:rsidRPr="003D3B1E" w:rsidR="00AC709B">
        <w:rPr>
          <w:sz w:val="23"/>
          <w:szCs w:val="23"/>
        </w:rPr>
        <w:t>issued</w:t>
      </w:r>
      <w:r w:rsidRPr="003D3B1E" w:rsidR="00BC38AA">
        <w:rPr>
          <w:sz w:val="23"/>
          <w:szCs w:val="23"/>
        </w:rPr>
        <w:t xml:space="preserve"> </w:t>
      </w:r>
      <w:r w:rsidR="0072353F">
        <w:rPr>
          <w:sz w:val="23"/>
          <w:szCs w:val="23"/>
        </w:rPr>
        <w:t xml:space="preserve">responses to frequently asked questions and </w:t>
      </w:r>
      <w:r w:rsidRPr="003D3B1E" w:rsidR="00BC38AA">
        <w:rPr>
          <w:sz w:val="23"/>
          <w:szCs w:val="23"/>
        </w:rPr>
        <w:t>an “Overview for Chief Executive Officer</w:t>
      </w:r>
      <w:r w:rsidRPr="003D3B1E" w:rsidR="00AF676F">
        <w:rPr>
          <w:sz w:val="23"/>
          <w:szCs w:val="23"/>
        </w:rPr>
        <w:t xml:space="preserve">s and Boards of Directors” that provides an executive summary of the </w:t>
      </w:r>
      <w:r w:rsidRPr="003D3B1E" w:rsidR="00D40A6E">
        <w:rPr>
          <w:sz w:val="23"/>
          <w:szCs w:val="23"/>
        </w:rPr>
        <w:t>Assessment</w:t>
      </w:r>
      <w:r w:rsidRPr="003D3B1E" w:rsidR="00AF676F">
        <w:rPr>
          <w:sz w:val="23"/>
          <w:szCs w:val="23"/>
        </w:rPr>
        <w:t xml:space="preserve"> and identifies questions </w:t>
      </w:r>
      <w:r w:rsidRPr="003D3B1E" w:rsidR="00FF0EB2">
        <w:rPr>
          <w:sz w:val="23"/>
          <w:szCs w:val="23"/>
        </w:rPr>
        <w:t xml:space="preserve">financial institution boards and senior management may ask to facilitate the use of the </w:t>
      </w:r>
      <w:r w:rsidRPr="003D3B1E" w:rsidR="00D40A6E">
        <w:rPr>
          <w:sz w:val="23"/>
          <w:szCs w:val="23"/>
        </w:rPr>
        <w:t>Assessment</w:t>
      </w:r>
      <w:r w:rsidRPr="003D3B1E" w:rsidR="00FF0EB2">
        <w:rPr>
          <w:sz w:val="23"/>
          <w:szCs w:val="23"/>
        </w:rPr>
        <w:t xml:space="preserve"> by institutions.  </w:t>
      </w:r>
      <w:r w:rsidR="00177D7E">
        <w:rPr>
          <w:sz w:val="23"/>
          <w:szCs w:val="23"/>
        </w:rPr>
        <w:br/>
      </w:r>
    </w:p>
    <w:p w:rsidRPr="003D3B1E" w:rsidR="00177D7E" w:rsidP="00717AE5" w:rsidRDefault="00177D7E" w14:paraId="23342450" w14:textId="77777777">
      <w:pPr>
        <w:rPr>
          <w:sz w:val="23"/>
          <w:szCs w:val="23"/>
        </w:rPr>
      </w:pPr>
      <w:r>
        <w:rPr>
          <w:sz w:val="23"/>
          <w:szCs w:val="23"/>
        </w:rPr>
        <w:tab/>
        <w:t xml:space="preserve">The Agencies also updated the Assessment to provide </w:t>
      </w:r>
      <w:r w:rsidRPr="002E0ED3">
        <w:rPr>
          <w:sz w:val="23"/>
          <w:szCs w:val="23"/>
        </w:rPr>
        <w:t>additional response options</w:t>
      </w:r>
      <w:r>
        <w:rPr>
          <w:sz w:val="23"/>
          <w:szCs w:val="23"/>
        </w:rPr>
        <w:t xml:space="preserve"> for each declarative statement.  With the additional response options, f</w:t>
      </w:r>
      <w:r w:rsidRPr="002E0ED3">
        <w:rPr>
          <w:sz w:val="23"/>
          <w:szCs w:val="23"/>
        </w:rPr>
        <w:t xml:space="preserve">inancial institution management </w:t>
      </w:r>
      <w:r>
        <w:rPr>
          <w:sz w:val="23"/>
          <w:szCs w:val="23"/>
        </w:rPr>
        <w:t>may</w:t>
      </w:r>
      <w:r w:rsidRPr="002E0ED3">
        <w:rPr>
          <w:sz w:val="23"/>
          <w:szCs w:val="23"/>
        </w:rPr>
        <w:t xml:space="preserve"> include supplementary or complementary behaviors, practices</w:t>
      </w:r>
      <w:r>
        <w:rPr>
          <w:sz w:val="23"/>
          <w:szCs w:val="23"/>
        </w:rPr>
        <w:t>,</w:t>
      </w:r>
      <w:r w:rsidRPr="002E0ED3">
        <w:rPr>
          <w:sz w:val="23"/>
          <w:szCs w:val="23"/>
        </w:rPr>
        <w:t xml:space="preserve"> and processes</w:t>
      </w:r>
      <w:r>
        <w:rPr>
          <w:sz w:val="23"/>
          <w:szCs w:val="23"/>
        </w:rPr>
        <w:t xml:space="preserve"> that represent the institution’s current practices.</w:t>
      </w:r>
    </w:p>
    <w:p w:rsidRPr="003D3B1E" w:rsidR="00AC709B" w:rsidP="00717AE5" w:rsidRDefault="00AC709B" w14:paraId="2261D699" w14:textId="77777777">
      <w:pPr>
        <w:pStyle w:val="BodyText"/>
        <w:rPr>
          <w:b/>
          <w:bCs/>
          <w:sz w:val="23"/>
          <w:szCs w:val="23"/>
        </w:rPr>
      </w:pPr>
    </w:p>
    <w:p w:rsidRPr="003D3B1E" w:rsidR="00651CFB" w:rsidP="00717AE5" w:rsidRDefault="00651CFB" w14:paraId="1E7274A4" w14:textId="77777777">
      <w:pPr>
        <w:pStyle w:val="BodyText"/>
        <w:rPr>
          <w:b/>
          <w:bCs/>
          <w:sz w:val="23"/>
          <w:szCs w:val="23"/>
        </w:rPr>
      </w:pPr>
      <w:r w:rsidRPr="003D3B1E">
        <w:rPr>
          <w:b/>
          <w:bCs/>
          <w:sz w:val="23"/>
          <w:szCs w:val="23"/>
        </w:rPr>
        <w:t>6.  Consequences to the Federal program if the collection were conducted less frequently:</w:t>
      </w:r>
    </w:p>
    <w:p w:rsidRPr="003D3B1E" w:rsidR="00457B1C" w:rsidP="00717AE5" w:rsidRDefault="00457B1C" w14:paraId="27F16EE1" w14:textId="77777777">
      <w:pPr>
        <w:pStyle w:val="BodyText"/>
        <w:rPr>
          <w:sz w:val="23"/>
          <w:szCs w:val="23"/>
        </w:rPr>
      </w:pPr>
    </w:p>
    <w:p w:rsidRPr="003D3B1E" w:rsidR="00651CFB" w:rsidP="00717AE5" w:rsidRDefault="009A787F" w14:paraId="74376329" w14:textId="77777777">
      <w:pPr>
        <w:pStyle w:val="NormalWeb"/>
        <w:rPr>
          <w:sz w:val="23"/>
          <w:szCs w:val="23"/>
        </w:rPr>
      </w:pPr>
      <w:r w:rsidRPr="003D3B1E">
        <w:rPr>
          <w:sz w:val="23"/>
          <w:szCs w:val="23"/>
        </w:rPr>
        <w:tab/>
      </w:r>
      <w:r w:rsidRPr="003D3B1E" w:rsidR="006843A9">
        <w:rPr>
          <w:sz w:val="23"/>
          <w:szCs w:val="23"/>
        </w:rPr>
        <w:t>The</w:t>
      </w:r>
      <w:r w:rsidRPr="003D3B1E" w:rsidR="004959E9">
        <w:rPr>
          <w:sz w:val="23"/>
          <w:szCs w:val="23"/>
        </w:rPr>
        <w:t xml:space="preserve"> collection </w:t>
      </w:r>
      <w:r w:rsidRPr="003D3B1E" w:rsidR="00753AFF">
        <w:rPr>
          <w:sz w:val="23"/>
          <w:szCs w:val="23"/>
        </w:rPr>
        <w:t>is</w:t>
      </w:r>
      <w:r w:rsidRPr="003D3B1E" w:rsidR="004959E9">
        <w:rPr>
          <w:sz w:val="23"/>
          <w:szCs w:val="23"/>
        </w:rPr>
        <w:t xml:space="preserve"> collected at the minimum level of frequency.  </w:t>
      </w:r>
      <w:r w:rsidRPr="003D3B1E" w:rsidR="00FA5514">
        <w:rPr>
          <w:sz w:val="23"/>
          <w:szCs w:val="23"/>
        </w:rPr>
        <w:t>If the collection were conducted less frequently, disruption, degradation, or unauthorized alteration of information and systems could affect a</w:t>
      </w:r>
      <w:r w:rsidRPr="003D3B1E" w:rsidR="00E84263">
        <w:rPr>
          <w:sz w:val="23"/>
          <w:szCs w:val="23"/>
        </w:rPr>
        <w:t xml:space="preserve"> financial</w:t>
      </w:r>
      <w:r w:rsidRPr="003D3B1E" w:rsidR="00FA5514">
        <w:rPr>
          <w:sz w:val="23"/>
          <w:szCs w:val="23"/>
        </w:rPr>
        <w:t xml:space="preserve"> institution’s operations and core processes and undermine confidence in the nation</w:t>
      </w:r>
      <w:r w:rsidR="00900ACE">
        <w:rPr>
          <w:sz w:val="23"/>
          <w:szCs w:val="23"/>
        </w:rPr>
        <w:t>’</w:t>
      </w:r>
      <w:r w:rsidRPr="003D3B1E" w:rsidR="00FA5514">
        <w:rPr>
          <w:sz w:val="23"/>
          <w:szCs w:val="23"/>
        </w:rPr>
        <w:t xml:space="preserve">s financial services sector.  Absent immediate attention to these rapidly increasing threats, financial institutions and the financial sector as a whole </w:t>
      </w:r>
      <w:r w:rsidRPr="003D3B1E" w:rsidR="009D6205">
        <w:rPr>
          <w:sz w:val="23"/>
          <w:szCs w:val="23"/>
        </w:rPr>
        <w:t>would be</w:t>
      </w:r>
      <w:r w:rsidRPr="003D3B1E" w:rsidR="00FA5514">
        <w:rPr>
          <w:sz w:val="23"/>
          <w:szCs w:val="23"/>
        </w:rPr>
        <w:t xml:space="preserve"> at risk.</w:t>
      </w:r>
    </w:p>
    <w:p w:rsidRPr="003D3B1E" w:rsidR="004959E9" w:rsidP="00717AE5" w:rsidRDefault="004959E9" w14:paraId="0BE4094B" w14:textId="77777777">
      <w:pPr>
        <w:rPr>
          <w:sz w:val="23"/>
          <w:szCs w:val="23"/>
        </w:rPr>
      </w:pPr>
    </w:p>
    <w:p w:rsidRPr="003D3B1E" w:rsidR="00651CFB" w:rsidP="007355E5" w:rsidRDefault="00651CFB" w14:paraId="46453D37" w14:textId="77777777">
      <w:pPr>
        <w:pStyle w:val="BodyText"/>
        <w:keepNext/>
        <w:rPr>
          <w:b/>
          <w:bCs/>
          <w:sz w:val="23"/>
          <w:szCs w:val="23"/>
        </w:rPr>
      </w:pPr>
      <w:r w:rsidRPr="003D3B1E">
        <w:rPr>
          <w:b/>
          <w:bCs/>
          <w:sz w:val="23"/>
          <w:szCs w:val="23"/>
        </w:rPr>
        <w:lastRenderedPageBreak/>
        <w:t xml:space="preserve">7.  Special circumstances that would cause an information collection to be conducted in a manner inconsistent with 5 CFR </w:t>
      </w:r>
      <w:r w:rsidR="00AB4A1A">
        <w:rPr>
          <w:b/>
          <w:bCs/>
          <w:sz w:val="23"/>
          <w:szCs w:val="23"/>
        </w:rPr>
        <w:t>p</w:t>
      </w:r>
      <w:r w:rsidRPr="003D3B1E">
        <w:rPr>
          <w:b/>
          <w:bCs/>
          <w:sz w:val="23"/>
          <w:szCs w:val="23"/>
        </w:rPr>
        <w:t>art 1320:</w:t>
      </w:r>
    </w:p>
    <w:p w:rsidRPr="003D3B1E" w:rsidR="00651CFB" w:rsidP="007355E5" w:rsidRDefault="00651CFB" w14:paraId="694A3EF2" w14:textId="77777777">
      <w:pPr>
        <w:keepNext/>
        <w:rPr>
          <w:sz w:val="23"/>
          <w:szCs w:val="23"/>
        </w:rPr>
      </w:pPr>
    </w:p>
    <w:p w:rsidRPr="003D3B1E" w:rsidR="00651CFB" w:rsidP="007355E5" w:rsidRDefault="009A787F" w14:paraId="605DAD31" w14:textId="77777777">
      <w:pPr>
        <w:keepNext/>
        <w:rPr>
          <w:sz w:val="23"/>
          <w:szCs w:val="23"/>
        </w:rPr>
      </w:pPr>
      <w:r w:rsidRPr="003D3B1E">
        <w:rPr>
          <w:sz w:val="23"/>
          <w:szCs w:val="23"/>
        </w:rPr>
        <w:tab/>
      </w:r>
      <w:r w:rsidRPr="003D3B1E" w:rsidR="00651CFB">
        <w:rPr>
          <w:sz w:val="23"/>
          <w:szCs w:val="23"/>
        </w:rPr>
        <w:t xml:space="preserve">The information collection </w:t>
      </w:r>
      <w:r w:rsidRPr="003D3B1E" w:rsidR="00AC709B">
        <w:rPr>
          <w:sz w:val="23"/>
          <w:szCs w:val="23"/>
        </w:rPr>
        <w:t>is</w:t>
      </w:r>
      <w:r w:rsidRPr="003D3B1E" w:rsidR="00651CFB">
        <w:rPr>
          <w:sz w:val="23"/>
          <w:szCs w:val="23"/>
        </w:rPr>
        <w:t xml:space="preserve"> conducted in a manner consistent with 5 CFR 1320</w:t>
      </w:r>
      <w:r w:rsidRPr="003D3B1E" w:rsidR="000C121A">
        <w:rPr>
          <w:sz w:val="23"/>
          <w:szCs w:val="23"/>
        </w:rPr>
        <w:t>.5(d)(2)</w:t>
      </w:r>
      <w:r w:rsidRPr="003D3B1E" w:rsidR="00651CFB">
        <w:rPr>
          <w:sz w:val="23"/>
          <w:szCs w:val="23"/>
        </w:rPr>
        <w:t>.</w:t>
      </w:r>
    </w:p>
    <w:p w:rsidRPr="003D3B1E" w:rsidR="00651CFB" w:rsidP="00717AE5" w:rsidRDefault="00651CFB" w14:paraId="04CA247E" w14:textId="77777777">
      <w:pPr>
        <w:rPr>
          <w:sz w:val="23"/>
          <w:szCs w:val="23"/>
        </w:rPr>
      </w:pPr>
    </w:p>
    <w:p w:rsidR="008154B4" w:rsidP="008154B4" w:rsidRDefault="008154B4" w14:paraId="59E6BAA2" w14:textId="77777777">
      <w:pPr>
        <w:pStyle w:val="BodyText"/>
        <w:rPr>
          <w:b/>
          <w:bCs/>
          <w:szCs w:val="24"/>
        </w:rPr>
      </w:pPr>
      <w:r>
        <w:rPr>
          <w:b/>
          <w:bCs/>
          <w:szCs w:val="24"/>
        </w:rPr>
        <w:t>8. Efforts to consult with persons outside the agency:</w:t>
      </w:r>
    </w:p>
    <w:p w:rsidR="008154B4" w:rsidP="008154B4" w:rsidRDefault="008154B4" w14:paraId="0392AFEC" w14:textId="77777777">
      <w:pPr>
        <w:pStyle w:val="BodyText"/>
        <w:rPr>
          <w:b/>
          <w:bCs/>
          <w:szCs w:val="24"/>
        </w:rPr>
      </w:pPr>
    </w:p>
    <w:p w:rsidR="00643F61" w:rsidP="00643F61" w:rsidRDefault="00643F61" w14:paraId="2D73A6C2" w14:textId="6A1C917A">
      <w:pPr>
        <w:pStyle w:val="BodyText"/>
        <w:ind w:firstLine="720"/>
        <w:rPr>
          <w:i w:val="0"/>
          <w:szCs w:val="24"/>
        </w:rPr>
      </w:pPr>
      <w:r w:rsidRPr="00FE3898">
        <w:rPr>
          <w:i w:val="0"/>
          <w:szCs w:val="24"/>
        </w:rPr>
        <w:t xml:space="preserve">On </w:t>
      </w:r>
      <w:r w:rsidR="00E42F97">
        <w:rPr>
          <w:i w:val="0"/>
          <w:szCs w:val="24"/>
        </w:rPr>
        <w:t>May 31</w:t>
      </w:r>
      <w:r w:rsidR="009C473A">
        <w:rPr>
          <w:i w:val="0"/>
          <w:szCs w:val="24"/>
        </w:rPr>
        <w:t>, 2022</w:t>
      </w:r>
      <w:r w:rsidRPr="00FE3898">
        <w:rPr>
          <w:i w:val="0"/>
          <w:szCs w:val="24"/>
        </w:rPr>
        <w:t>, the OCC, on behalf of the Agencies</w:t>
      </w:r>
      <w:r w:rsidR="00FC6E08">
        <w:rPr>
          <w:i w:val="0"/>
          <w:szCs w:val="24"/>
        </w:rPr>
        <w:t>,</w:t>
      </w:r>
      <w:r w:rsidRPr="00FE3898">
        <w:rPr>
          <w:i w:val="0"/>
          <w:szCs w:val="24"/>
        </w:rPr>
        <w:t xml:space="preserve"> published a 60-day notice requesting comment on th</w:t>
      </w:r>
      <w:r>
        <w:rPr>
          <w:i w:val="0"/>
          <w:szCs w:val="24"/>
        </w:rPr>
        <w:t>is</w:t>
      </w:r>
      <w:r w:rsidRPr="00FE3898">
        <w:rPr>
          <w:i w:val="0"/>
          <w:szCs w:val="24"/>
        </w:rPr>
        <w:t xml:space="preserve"> collection of information</w:t>
      </w:r>
      <w:r w:rsidR="009E743D">
        <w:rPr>
          <w:i w:val="0"/>
          <w:szCs w:val="24"/>
        </w:rPr>
        <w:t xml:space="preserve">, 87 FR </w:t>
      </w:r>
      <w:r w:rsidR="00E42F97">
        <w:rPr>
          <w:i w:val="0"/>
          <w:szCs w:val="24"/>
        </w:rPr>
        <w:t>32497</w:t>
      </w:r>
      <w:r w:rsidR="009E743D">
        <w:rPr>
          <w:i w:val="0"/>
          <w:szCs w:val="24"/>
        </w:rPr>
        <w:t>.</w:t>
      </w:r>
      <w:r w:rsidR="001C3CBD">
        <w:rPr>
          <w:i w:val="0"/>
          <w:szCs w:val="24"/>
        </w:rPr>
        <w:t xml:space="preserve">  No comments were received.</w:t>
      </w:r>
    </w:p>
    <w:p w:rsidRPr="003D3B1E" w:rsidR="002020EE" w:rsidP="00717AE5" w:rsidRDefault="002020EE" w14:paraId="625E478C" w14:textId="77777777">
      <w:pPr>
        <w:tabs>
          <w:tab w:val="left" w:pos="900"/>
        </w:tabs>
        <w:rPr>
          <w:sz w:val="23"/>
          <w:szCs w:val="23"/>
        </w:rPr>
      </w:pPr>
    </w:p>
    <w:p w:rsidRPr="003D3B1E" w:rsidR="00651CFB" w:rsidP="00717AE5" w:rsidRDefault="00651CFB" w14:paraId="55EBB354" w14:textId="77777777">
      <w:pPr>
        <w:pStyle w:val="BodyText"/>
        <w:rPr>
          <w:b/>
          <w:bCs/>
          <w:sz w:val="23"/>
          <w:szCs w:val="23"/>
        </w:rPr>
      </w:pPr>
      <w:r w:rsidRPr="003D3B1E">
        <w:rPr>
          <w:b/>
          <w:bCs/>
          <w:sz w:val="23"/>
          <w:szCs w:val="23"/>
        </w:rPr>
        <w:t>9.  Payment or gift to respondents:</w:t>
      </w:r>
    </w:p>
    <w:p w:rsidRPr="003D3B1E" w:rsidR="00651CFB" w:rsidP="00717AE5" w:rsidRDefault="00651CFB" w14:paraId="4E4B85D1" w14:textId="77777777">
      <w:pPr>
        <w:rPr>
          <w:sz w:val="23"/>
          <w:szCs w:val="23"/>
        </w:rPr>
      </w:pPr>
    </w:p>
    <w:p w:rsidRPr="003D3B1E" w:rsidR="00651CFB" w:rsidP="00717AE5" w:rsidRDefault="009A787F" w14:paraId="425976C5" w14:textId="77777777">
      <w:pPr>
        <w:rPr>
          <w:sz w:val="23"/>
          <w:szCs w:val="23"/>
        </w:rPr>
      </w:pPr>
      <w:r w:rsidRPr="003D3B1E">
        <w:rPr>
          <w:sz w:val="23"/>
          <w:szCs w:val="23"/>
        </w:rPr>
        <w:tab/>
      </w:r>
      <w:r w:rsidRPr="003D3B1E" w:rsidR="00651CFB">
        <w:rPr>
          <w:sz w:val="23"/>
          <w:szCs w:val="23"/>
        </w:rPr>
        <w:t>None.</w:t>
      </w:r>
    </w:p>
    <w:p w:rsidRPr="003D3B1E" w:rsidR="00587F39" w:rsidP="00717AE5" w:rsidRDefault="00587F39" w14:paraId="7D2E4738" w14:textId="77777777">
      <w:pPr>
        <w:pStyle w:val="BodyText"/>
        <w:rPr>
          <w:b/>
          <w:bCs/>
          <w:sz w:val="23"/>
          <w:szCs w:val="23"/>
        </w:rPr>
      </w:pPr>
    </w:p>
    <w:p w:rsidRPr="003D3B1E" w:rsidR="00651CFB" w:rsidP="00717AE5" w:rsidRDefault="00651CFB" w14:paraId="736F1F82" w14:textId="77777777">
      <w:pPr>
        <w:pStyle w:val="BodyText"/>
        <w:rPr>
          <w:b/>
          <w:bCs/>
          <w:sz w:val="23"/>
          <w:szCs w:val="23"/>
        </w:rPr>
      </w:pPr>
      <w:r w:rsidRPr="003D3B1E">
        <w:rPr>
          <w:b/>
          <w:bCs/>
          <w:sz w:val="23"/>
          <w:szCs w:val="23"/>
        </w:rPr>
        <w:t>10.  Any assurance of confidentiality:</w:t>
      </w:r>
    </w:p>
    <w:p w:rsidRPr="003D3B1E" w:rsidR="00651CFB" w:rsidP="00717AE5" w:rsidRDefault="00651CFB" w14:paraId="0918BB49" w14:textId="77777777">
      <w:pPr>
        <w:rPr>
          <w:sz w:val="23"/>
          <w:szCs w:val="23"/>
        </w:rPr>
      </w:pPr>
    </w:p>
    <w:p w:rsidRPr="003D3B1E" w:rsidR="00651CFB" w:rsidP="00717AE5" w:rsidRDefault="009A787F" w14:paraId="14D59924" w14:textId="77777777">
      <w:pPr>
        <w:rPr>
          <w:sz w:val="23"/>
          <w:szCs w:val="23"/>
        </w:rPr>
      </w:pPr>
      <w:r w:rsidRPr="003D3B1E">
        <w:rPr>
          <w:sz w:val="23"/>
          <w:szCs w:val="23"/>
        </w:rPr>
        <w:tab/>
      </w:r>
      <w:r w:rsidRPr="003D3B1E" w:rsidR="004959E9">
        <w:rPr>
          <w:sz w:val="23"/>
          <w:szCs w:val="23"/>
        </w:rPr>
        <w:t xml:space="preserve">The information is kept </w:t>
      </w:r>
      <w:r w:rsidRPr="003D3B1E" w:rsidR="00D57A97">
        <w:rPr>
          <w:sz w:val="23"/>
          <w:szCs w:val="23"/>
        </w:rPr>
        <w:t>private</w:t>
      </w:r>
      <w:r w:rsidRPr="003D3B1E" w:rsidR="004959E9">
        <w:rPr>
          <w:sz w:val="23"/>
          <w:szCs w:val="23"/>
        </w:rPr>
        <w:t xml:space="preserve"> to the extent permitted by law.</w:t>
      </w:r>
    </w:p>
    <w:p w:rsidRPr="003D3B1E" w:rsidR="00651CFB" w:rsidP="00717AE5" w:rsidRDefault="00651CFB" w14:paraId="6160C7B4" w14:textId="77777777">
      <w:pPr>
        <w:rPr>
          <w:sz w:val="23"/>
          <w:szCs w:val="23"/>
        </w:rPr>
      </w:pPr>
    </w:p>
    <w:p w:rsidRPr="003D3B1E" w:rsidR="00651CFB" w:rsidP="00717AE5" w:rsidRDefault="00651CFB" w14:paraId="58DA251F" w14:textId="77777777">
      <w:pPr>
        <w:pStyle w:val="BodyText"/>
        <w:widowControl w:val="0"/>
        <w:tabs>
          <w:tab w:val="left" w:pos="460"/>
        </w:tabs>
        <w:ind w:left="100" w:right="205"/>
        <w:rPr>
          <w:sz w:val="23"/>
          <w:szCs w:val="23"/>
        </w:rPr>
      </w:pPr>
      <w:r w:rsidRPr="003D3B1E">
        <w:rPr>
          <w:b/>
          <w:bCs/>
          <w:sz w:val="23"/>
          <w:szCs w:val="23"/>
        </w:rPr>
        <w:t>11.  Justification for questions of a sensitive nature:</w:t>
      </w:r>
    </w:p>
    <w:p w:rsidRPr="003D3B1E" w:rsidR="00651CFB" w:rsidP="00717AE5" w:rsidRDefault="00651CFB" w14:paraId="43CF0335" w14:textId="77777777">
      <w:pPr>
        <w:rPr>
          <w:sz w:val="23"/>
          <w:szCs w:val="23"/>
        </w:rPr>
      </w:pPr>
    </w:p>
    <w:p w:rsidRPr="003D3B1E" w:rsidR="00651CFB" w:rsidP="00717AE5" w:rsidRDefault="009A787F" w14:paraId="77BAE623" w14:textId="77777777">
      <w:pPr>
        <w:rPr>
          <w:sz w:val="23"/>
          <w:szCs w:val="23"/>
        </w:rPr>
      </w:pPr>
      <w:r w:rsidRPr="003D3B1E">
        <w:rPr>
          <w:sz w:val="23"/>
          <w:szCs w:val="23"/>
        </w:rPr>
        <w:tab/>
      </w:r>
      <w:r w:rsidRPr="003D3B1E" w:rsidR="004959E9">
        <w:rPr>
          <w:sz w:val="23"/>
          <w:szCs w:val="23"/>
        </w:rPr>
        <w:t xml:space="preserve">Not applicable.  No personally identifiable information is collected.  </w:t>
      </w:r>
    </w:p>
    <w:p w:rsidRPr="003D3B1E" w:rsidR="00EE1282" w:rsidP="00717AE5" w:rsidRDefault="00EE1282" w14:paraId="581BBD68" w14:textId="77777777">
      <w:pPr>
        <w:pStyle w:val="BodyText"/>
        <w:rPr>
          <w:b/>
          <w:bCs/>
          <w:sz w:val="23"/>
          <w:szCs w:val="23"/>
        </w:rPr>
      </w:pPr>
    </w:p>
    <w:p w:rsidR="00651CFB" w:rsidP="00717AE5" w:rsidRDefault="00651CFB" w14:paraId="3B3E1FD0" w14:textId="77777777">
      <w:pPr>
        <w:pStyle w:val="BodyText"/>
        <w:rPr>
          <w:b/>
          <w:bCs/>
          <w:sz w:val="23"/>
          <w:szCs w:val="23"/>
        </w:rPr>
      </w:pPr>
      <w:r w:rsidRPr="003D3B1E">
        <w:rPr>
          <w:b/>
          <w:bCs/>
          <w:sz w:val="23"/>
          <w:szCs w:val="23"/>
        </w:rPr>
        <w:t>12.  Burden estimate</w:t>
      </w:r>
      <w:r w:rsidR="00775C11">
        <w:rPr>
          <w:b/>
          <w:bCs/>
          <w:sz w:val="23"/>
          <w:szCs w:val="23"/>
        </w:rPr>
        <w:t>:</w:t>
      </w:r>
      <w:r w:rsidRPr="00775C11" w:rsidR="00446130">
        <w:rPr>
          <w:rStyle w:val="FootnoteReference"/>
          <w:b/>
          <w:bCs/>
          <w:i w:val="0"/>
          <w:iCs w:val="0"/>
          <w:sz w:val="23"/>
          <w:szCs w:val="23"/>
        </w:rPr>
        <w:footnoteReference w:id="2"/>
      </w:r>
      <w:r w:rsidRPr="00775C11" w:rsidR="003829CC">
        <w:rPr>
          <w:b/>
          <w:bCs/>
          <w:i w:val="0"/>
          <w:iCs w:val="0"/>
          <w:sz w:val="23"/>
          <w:szCs w:val="23"/>
        </w:rPr>
        <w:t xml:space="preserve"> </w:t>
      </w:r>
    </w:p>
    <w:p w:rsidRPr="003D3B1E" w:rsidR="00895080" w:rsidP="00717AE5" w:rsidRDefault="00895080" w14:paraId="59575104" w14:textId="77777777">
      <w:pPr>
        <w:pStyle w:val="BodyText"/>
        <w:rPr>
          <w:b/>
          <w:bCs/>
          <w:i w:val="0"/>
          <w:sz w:val="23"/>
          <w:szCs w:val="23"/>
        </w:rPr>
      </w:pPr>
    </w:p>
    <w:tbl>
      <w:tblPr>
        <w:tblW w:w="9360"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39" w:type="dxa"/>
          <w:bottom w:w="14" w:type="dxa"/>
          <w:right w:w="139" w:type="dxa"/>
        </w:tblCellMar>
        <w:tblLook w:val="04A0" w:firstRow="1" w:lastRow="0" w:firstColumn="1" w:lastColumn="0" w:noHBand="0" w:noVBand="1"/>
      </w:tblPr>
      <w:tblGrid>
        <w:gridCol w:w="1890"/>
        <w:gridCol w:w="1530"/>
        <w:gridCol w:w="1530"/>
        <w:gridCol w:w="1440"/>
        <w:gridCol w:w="1620"/>
        <w:gridCol w:w="1350"/>
      </w:tblGrid>
      <w:tr w:rsidRPr="00FC6E08" w:rsidR="00217BC7" w:rsidTr="00E474E2" w14:paraId="65DCED5D" w14:textId="77777777">
        <w:trPr>
          <w:cantSplit/>
          <w:trHeight w:val="840"/>
        </w:trPr>
        <w:tc>
          <w:tcPr>
            <w:tcW w:w="189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05CBFA39" w14:textId="77777777">
            <w:pPr>
              <w:rPr>
                <w:rFonts w:eastAsia="Calibri"/>
                <w:b/>
                <w:i/>
                <w:sz w:val="20"/>
              </w:rPr>
            </w:pPr>
            <w:bookmarkStart w:name="_Hlk97114595" w:id="0"/>
            <w:r w:rsidRPr="00FC6E08">
              <w:rPr>
                <w:rFonts w:eastAsia="Calibri"/>
                <w:b/>
                <w:i/>
                <w:sz w:val="20"/>
              </w:rPr>
              <w:t>Assessment Burden Estimate</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7D4B022B" w14:textId="77777777">
            <w:pPr>
              <w:rPr>
                <w:rFonts w:eastAsia="Calibri"/>
                <w:i/>
                <w:iCs/>
                <w:sz w:val="20"/>
              </w:rPr>
            </w:pPr>
          </w:p>
          <w:p w:rsidRPr="00FC6E08" w:rsidR="00217BC7" w:rsidP="00E474E2" w:rsidRDefault="00217BC7" w14:paraId="419F24EE" w14:textId="77777777">
            <w:pPr>
              <w:rPr>
                <w:rFonts w:eastAsia="Calibri"/>
                <w:i/>
                <w:iCs/>
                <w:sz w:val="20"/>
              </w:rPr>
            </w:pPr>
            <w:r w:rsidRPr="00FC6E08">
              <w:rPr>
                <w:rFonts w:eastAsia="Calibri"/>
                <w:i/>
                <w:iCs/>
                <w:sz w:val="20"/>
              </w:rPr>
              <w:t>Estimated</w:t>
            </w:r>
          </w:p>
          <w:p w:rsidRPr="00FC6E08" w:rsidR="00217BC7" w:rsidP="00E474E2" w:rsidRDefault="00217BC7" w14:paraId="11589B4D" w14:textId="77777777">
            <w:pPr>
              <w:rPr>
                <w:rFonts w:eastAsia="Calibri"/>
                <w:i/>
                <w:iCs/>
                <w:sz w:val="20"/>
              </w:rPr>
            </w:pPr>
            <w:r w:rsidRPr="00FC6E08">
              <w:rPr>
                <w:rFonts w:eastAsia="Calibri"/>
                <w:i/>
                <w:iCs/>
                <w:sz w:val="20"/>
              </w:rPr>
              <w:t>number of</w:t>
            </w:r>
          </w:p>
          <w:p w:rsidRPr="00FC6E08" w:rsidR="00217BC7" w:rsidP="00E474E2" w:rsidRDefault="00217BC7" w14:paraId="0F4A8E7A" w14:textId="77777777">
            <w:pPr>
              <w:rPr>
                <w:rFonts w:eastAsia="Calibri"/>
                <w:i/>
                <w:sz w:val="20"/>
              </w:rPr>
            </w:pPr>
            <w:r w:rsidRPr="00FC6E08">
              <w:rPr>
                <w:rFonts w:eastAsia="Calibri"/>
                <w:i/>
                <w:iCs/>
                <w:sz w:val="20"/>
              </w:rPr>
              <w:t>respondents</w:t>
            </w:r>
            <w:r w:rsidRPr="00FC6E08">
              <w:rPr>
                <w:rFonts w:eastAsia="Calibri"/>
                <w:sz w:val="20"/>
              </w:rPr>
              <w:t xml:space="preserve"> </w:t>
            </w:r>
            <w:r w:rsidRPr="00FC6E08">
              <w:rPr>
                <w:rFonts w:eastAsia="Calibri"/>
                <w:i/>
                <w:sz w:val="20"/>
              </w:rPr>
              <w:t>less than $500 million</w:t>
            </w:r>
          </w:p>
          <w:p w:rsidRPr="00FC6E08" w:rsidR="00217BC7" w:rsidP="00E474E2" w:rsidRDefault="00217BC7" w14:paraId="3A4885F5" w14:textId="77777777">
            <w:pPr>
              <w:rPr>
                <w:rFonts w:eastAsia="Calibri"/>
                <w:sz w:val="20"/>
              </w:rPr>
            </w:pPr>
            <w:r w:rsidRPr="00FC6E08">
              <w:rPr>
                <w:rFonts w:eastAsia="Calibri"/>
                <w:i/>
                <w:sz w:val="20"/>
              </w:rPr>
              <w:t>@</w:t>
            </w:r>
            <w:r w:rsidRPr="00FC6E08" w:rsidR="009D4A51">
              <w:rPr>
                <w:rFonts w:eastAsia="Calibri"/>
                <w:i/>
                <w:sz w:val="20"/>
              </w:rPr>
              <w:t xml:space="preserve"> </w:t>
            </w:r>
            <w:r w:rsidRPr="00FC6E08">
              <w:rPr>
                <w:rFonts w:eastAsia="Calibri"/>
                <w:i/>
                <w:sz w:val="20"/>
              </w:rPr>
              <w:t>80 hours</w:t>
            </w:r>
            <w:r w:rsidRPr="00FC6E08">
              <w:rPr>
                <w:rFonts w:eastAsia="Calibri"/>
                <w:sz w:val="20"/>
              </w:rPr>
              <w:br/>
            </w:r>
          </w:p>
        </w:tc>
        <w:tc>
          <w:tcPr>
            <w:tcW w:w="153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0B47E538" w14:textId="77777777">
            <w:pPr>
              <w:rPr>
                <w:rFonts w:eastAsia="Calibri"/>
                <w:i/>
                <w:iCs/>
                <w:sz w:val="20"/>
              </w:rPr>
            </w:pPr>
            <w:r w:rsidRPr="00FC6E08">
              <w:rPr>
                <w:rFonts w:eastAsia="Calibri"/>
                <w:i/>
                <w:iCs/>
                <w:sz w:val="20"/>
              </w:rPr>
              <w:t>Estimated</w:t>
            </w:r>
          </w:p>
          <w:p w:rsidRPr="00FC6E08" w:rsidR="00217BC7" w:rsidP="00E474E2" w:rsidRDefault="00217BC7" w14:paraId="60314752" w14:textId="77777777">
            <w:pPr>
              <w:rPr>
                <w:rFonts w:eastAsia="Calibri"/>
                <w:i/>
                <w:iCs/>
                <w:sz w:val="20"/>
              </w:rPr>
            </w:pPr>
            <w:r w:rsidRPr="00FC6E08">
              <w:rPr>
                <w:rFonts w:eastAsia="Calibri"/>
                <w:i/>
                <w:iCs/>
                <w:sz w:val="20"/>
              </w:rPr>
              <w:t>number of</w:t>
            </w:r>
          </w:p>
          <w:p w:rsidRPr="00FC6E08" w:rsidR="00217BC7" w:rsidP="00E474E2" w:rsidRDefault="00217BC7" w14:paraId="5D89F48C" w14:textId="77777777">
            <w:pPr>
              <w:rPr>
                <w:rFonts w:eastAsia="Calibri"/>
                <w:i/>
                <w:sz w:val="20"/>
              </w:rPr>
            </w:pPr>
            <w:r w:rsidRPr="00FC6E08">
              <w:rPr>
                <w:rFonts w:eastAsia="Calibri"/>
                <w:i/>
                <w:iCs/>
                <w:sz w:val="20"/>
              </w:rPr>
              <w:t>respondents</w:t>
            </w:r>
            <w:r w:rsidRPr="00FC6E08">
              <w:rPr>
                <w:rFonts w:eastAsia="Calibri"/>
                <w:sz w:val="20"/>
              </w:rPr>
              <w:t xml:space="preserve"> </w:t>
            </w:r>
            <w:r w:rsidRPr="00FC6E08">
              <w:rPr>
                <w:rFonts w:eastAsia="Calibri"/>
                <w:i/>
                <w:sz w:val="20"/>
              </w:rPr>
              <w:t>$500 million</w:t>
            </w:r>
          </w:p>
          <w:p w:rsidRPr="00FC6E08" w:rsidR="00217BC7" w:rsidP="00E474E2" w:rsidRDefault="00217BC7" w14:paraId="10777DF2" w14:textId="77777777">
            <w:pPr>
              <w:rPr>
                <w:rFonts w:eastAsia="Calibri"/>
                <w:i/>
                <w:sz w:val="20"/>
              </w:rPr>
            </w:pPr>
            <w:r w:rsidRPr="00FC6E08">
              <w:rPr>
                <w:rFonts w:eastAsia="Calibri"/>
                <w:i/>
                <w:sz w:val="20"/>
              </w:rPr>
              <w:t xml:space="preserve">- $10 billion </w:t>
            </w:r>
          </w:p>
          <w:p w:rsidRPr="00FC6E08" w:rsidR="00217BC7" w:rsidP="00E474E2" w:rsidRDefault="00217BC7" w14:paraId="532773A5" w14:textId="77777777">
            <w:pPr>
              <w:rPr>
                <w:rFonts w:eastAsia="Calibri"/>
                <w:sz w:val="20"/>
              </w:rPr>
            </w:pPr>
            <w:r w:rsidRPr="00FC6E08">
              <w:rPr>
                <w:rFonts w:eastAsia="Calibri"/>
                <w:i/>
                <w:sz w:val="20"/>
              </w:rPr>
              <w:t>@</w:t>
            </w:r>
            <w:r w:rsidRPr="00FC6E08" w:rsidR="009D4A51">
              <w:rPr>
                <w:rFonts w:eastAsia="Calibri"/>
                <w:i/>
                <w:sz w:val="20"/>
              </w:rPr>
              <w:t xml:space="preserve"> </w:t>
            </w:r>
            <w:r w:rsidRPr="00FC6E08">
              <w:rPr>
                <w:rFonts w:eastAsia="Calibri"/>
                <w:i/>
                <w:sz w:val="20"/>
              </w:rPr>
              <w:t>120 hours</w:t>
            </w:r>
            <w:r w:rsidRPr="00FC6E08">
              <w:rPr>
                <w:rFonts w:eastAsia="Calibri"/>
                <w:i/>
                <w:sz w:val="20"/>
              </w:rPr>
              <w:br/>
            </w:r>
          </w:p>
        </w:tc>
        <w:tc>
          <w:tcPr>
            <w:tcW w:w="144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2B8C6CC4" w14:textId="77777777">
            <w:pPr>
              <w:rPr>
                <w:rFonts w:eastAsia="Calibri"/>
                <w:i/>
                <w:iCs/>
                <w:sz w:val="20"/>
              </w:rPr>
            </w:pPr>
            <w:r w:rsidRPr="00FC6E08">
              <w:rPr>
                <w:rFonts w:eastAsia="Calibri"/>
                <w:i/>
                <w:iCs/>
                <w:sz w:val="20"/>
              </w:rPr>
              <w:t>Estimated</w:t>
            </w:r>
          </w:p>
          <w:p w:rsidRPr="00FC6E08" w:rsidR="00217BC7" w:rsidP="00E474E2" w:rsidRDefault="00217BC7" w14:paraId="45355D4A" w14:textId="77777777">
            <w:pPr>
              <w:rPr>
                <w:rFonts w:eastAsia="Calibri"/>
                <w:i/>
                <w:iCs/>
                <w:sz w:val="20"/>
              </w:rPr>
            </w:pPr>
            <w:r w:rsidRPr="00FC6E08">
              <w:rPr>
                <w:rFonts w:eastAsia="Calibri"/>
                <w:i/>
                <w:iCs/>
                <w:sz w:val="20"/>
              </w:rPr>
              <w:t>number of</w:t>
            </w:r>
          </w:p>
          <w:p w:rsidRPr="00FC6E08" w:rsidR="00217BC7" w:rsidP="00E474E2" w:rsidRDefault="00217BC7" w14:paraId="2B48C1AA" w14:textId="77777777">
            <w:pPr>
              <w:rPr>
                <w:rFonts w:eastAsia="Calibri"/>
                <w:i/>
                <w:sz w:val="20"/>
              </w:rPr>
            </w:pPr>
            <w:r w:rsidRPr="00FC6E08">
              <w:rPr>
                <w:rFonts w:eastAsia="Calibri"/>
                <w:i/>
                <w:iCs/>
                <w:sz w:val="20"/>
              </w:rPr>
              <w:t>respondents</w:t>
            </w:r>
            <w:r w:rsidRPr="00FC6E08">
              <w:rPr>
                <w:rFonts w:eastAsia="Calibri"/>
                <w:sz w:val="20"/>
              </w:rPr>
              <w:t xml:space="preserve"> </w:t>
            </w:r>
            <w:r w:rsidRPr="00FC6E08">
              <w:rPr>
                <w:rFonts w:eastAsia="Calibri"/>
                <w:i/>
                <w:sz w:val="20"/>
              </w:rPr>
              <w:t>$10 billion</w:t>
            </w:r>
          </w:p>
          <w:p w:rsidRPr="00FC6E08" w:rsidR="00217BC7" w:rsidP="00E474E2" w:rsidRDefault="00217BC7" w14:paraId="213A722C" w14:textId="77777777">
            <w:pPr>
              <w:rPr>
                <w:rFonts w:eastAsia="Calibri"/>
                <w:i/>
                <w:sz w:val="20"/>
              </w:rPr>
            </w:pPr>
            <w:r w:rsidRPr="00FC6E08">
              <w:rPr>
                <w:rFonts w:eastAsia="Calibri"/>
                <w:i/>
                <w:sz w:val="20"/>
              </w:rPr>
              <w:t xml:space="preserve"> - $50 billion </w:t>
            </w:r>
          </w:p>
          <w:p w:rsidRPr="00FC6E08" w:rsidR="00217BC7" w:rsidP="00E474E2" w:rsidRDefault="00217BC7" w14:paraId="5A3ACC89" w14:textId="77777777">
            <w:pPr>
              <w:rPr>
                <w:rFonts w:eastAsia="Calibri"/>
                <w:sz w:val="20"/>
              </w:rPr>
            </w:pPr>
            <w:r w:rsidRPr="00FC6E08">
              <w:rPr>
                <w:rFonts w:eastAsia="Calibri"/>
                <w:i/>
                <w:sz w:val="20"/>
              </w:rPr>
              <w:t>@</w:t>
            </w:r>
            <w:r w:rsidRPr="00FC6E08" w:rsidR="009D4A51">
              <w:rPr>
                <w:rFonts w:eastAsia="Calibri"/>
                <w:i/>
                <w:sz w:val="20"/>
              </w:rPr>
              <w:t xml:space="preserve"> </w:t>
            </w:r>
            <w:r w:rsidRPr="00FC6E08">
              <w:rPr>
                <w:rFonts w:eastAsia="Calibri"/>
                <w:i/>
                <w:sz w:val="20"/>
              </w:rPr>
              <w:t>160 hours</w:t>
            </w:r>
            <w:r w:rsidRPr="00FC6E08">
              <w:rPr>
                <w:rFonts w:eastAsia="Calibri"/>
                <w:sz w:val="20"/>
              </w:rPr>
              <w:br/>
            </w:r>
          </w:p>
        </w:tc>
        <w:tc>
          <w:tcPr>
            <w:tcW w:w="162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1CC599B6" w14:textId="77777777">
            <w:pPr>
              <w:rPr>
                <w:rFonts w:eastAsia="Calibri"/>
                <w:i/>
                <w:iCs/>
                <w:sz w:val="20"/>
              </w:rPr>
            </w:pPr>
            <w:r w:rsidRPr="00FC6E08">
              <w:rPr>
                <w:rFonts w:eastAsia="Calibri"/>
                <w:i/>
                <w:iCs/>
                <w:sz w:val="20"/>
              </w:rPr>
              <w:t>Estimated</w:t>
            </w:r>
          </w:p>
          <w:p w:rsidRPr="00FC6E08" w:rsidR="00217BC7" w:rsidP="00E474E2" w:rsidRDefault="00217BC7" w14:paraId="63A68AD8" w14:textId="77777777">
            <w:pPr>
              <w:rPr>
                <w:rFonts w:eastAsia="Calibri"/>
                <w:i/>
                <w:iCs/>
                <w:sz w:val="20"/>
              </w:rPr>
            </w:pPr>
            <w:r w:rsidRPr="00FC6E08">
              <w:rPr>
                <w:rFonts w:eastAsia="Calibri"/>
                <w:i/>
                <w:iCs/>
                <w:sz w:val="20"/>
              </w:rPr>
              <w:t>number of</w:t>
            </w:r>
          </w:p>
          <w:p w:rsidRPr="00FC6E08" w:rsidR="00217BC7" w:rsidP="00E474E2" w:rsidRDefault="00217BC7" w14:paraId="0729755C" w14:textId="77777777">
            <w:pPr>
              <w:rPr>
                <w:rFonts w:eastAsia="Calibri"/>
                <w:i/>
                <w:iCs/>
                <w:sz w:val="20"/>
              </w:rPr>
            </w:pPr>
            <w:r w:rsidRPr="00FC6E08">
              <w:rPr>
                <w:rFonts w:eastAsia="Calibri"/>
                <w:i/>
                <w:iCs/>
                <w:sz w:val="20"/>
              </w:rPr>
              <w:t>respondents over $50 billion</w:t>
            </w:r>
          </w:p>
          <w:p w:rsidRPr="00FC6E08" w:rsidR="00217BC7" w:rsidP="00E474E2" w:rsidRDefault="00217BC7" w14:paraId="5C880BAF" w14:textId="77777777">
            <w:pPr>
              <w:rPr>
                <w:rFonts w:eastAsia="Calibri"/>
                <w:i/>
                <w:iCs/>
                <w:sz w:val="20"/>
              </w:rPr>
            </w:pPr>
            <w:r w:rsidRPr="00FC6E08">
              <w:rPr>
                <w:rFonts w:eastAsia="Calibri"/>
                <w:i/>
                <w:iCs/>
                <w:sz w:val="20"/>
              </w:rPr>
              <w:t>@</w:t>
            </w:r>
            <w:r w:rsidRPr="00FC6E08" w:rsidR="009D4A51">
              <w:rPr>
                <w:rFonts w:eastAsia="Calibri"/>
                <w:i/>
                <w:iCs/>
                <w:sz w:val="20"/>
              </w:rPr>
              <w:t xml:space="preserve"> </w:t>
            </w:r>
            <w:r w:rsidRPr="00FC6E08">
              <w:rPr>
                <w:rFonts w:eastAsia="Calibri"/>
                <w:i/>
                <w:iCs/>
                <w:sz w:val="20"/>
              </w:rPr>
              <w:t>180 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6A351A6E" w14:textId="77777777">
            <w:pPr>
              <w:rPr>
                <w:rFonts w:eastAsia="Calibri"/>
                <w:i/>
                <w:iCs/>
                <w:sz w:val="20"/>
              </w:rPr>
            </w:pPr>
            <w:r w:rsidRPr="00FC6E08">
              <w:rPr>
                <w:rFonts w:eastAsia="Calibri"/>
                <w:i/>
                <w:iCs/>
                <w:sz w:val="20"/>
              </w:rPr>
              <w:t>Estimated total respondents and total</w:t>
            </w:r>
          </w:p>
          <w:p w:rsidRPr="00FC6E08" w:rsidR="00217BC7" w:rsidP="00E474E2" w:rsidRDefault="00217BC7" w14:paraId="1243D058" w14:textId="77777777">
            <w:pPr>
              <w:rPr>
                <w:rFonts w:eastAsia="Calibri"/>
                <w:i/>
                <w:iCs/>
                <w:sz w:val="20"/>
              </w:rPr>
            </w:pPr>
            <w:r w:rsidRPr="00FC6E08">
              <w:rPr>
                <w:rFonts w:eastAsia="Calibri"/>
                <w:i/>
                <w:iCs/>
                <w:sz w:val="20"/>
              </w:rPr>
              <w:t>annual burden</w:t>
            </w:r>
          </w:p>
          <w:p w:rsidRPr="00FC6E08" w:rsidR="00217BC7" w:rsidP="00E474E2" w:rsidRDefault="00217BC7" w14:paraId="4E9C8667" w14:textId="77777777">
            <w:pPr>
              <w:rPr>
                <w:rFonts w:eastAsia="Calibri"/>
                <w:sz w:val="20"/>
              </w:rPr>
            </w:pPr>
            <w:r w:rsidRPr="00FC6E08">
              <w:rPr>
                <w:rFonts w:eastAsia="Calibri"/>
                <w:i/>
                <w:iCs/>
                <w:sz w:val="20"/>
              </w:rPr>
              <w:t>hours</w:t>
            </w:r>
          </w:p>
        </w:tc>
      </w:tr>
      <w:tr w:rsidRPr="00FC6E08" w:rsidR="00217BC7" w:rsidTr="00E474E2" w14:paraId="648E53F0" w14:textId="77777777">
        <w:trPr>
          <w:cantSplit/>
          <w:trHeight w:val="395"/>
        </w:trPr>
        <w:tc>
          <w:tcPr>
            <w:tcW w:w="1890" w:type="dxa"/>
            <w:tcBorders>
              <w:top w:val="single" w:color="auto" w:sz="4" w:space="0"/>
              <w:left w:val="single" w:color="auto" w:sz="4" w:space="0"/>
              <w:bottom w:val="single" w:color="auto" w:sz="4" w:space="0"/>
              <w:right w:val="single" w:color="auto" w:sz="4" w:space="0"/>
            </w:tcBorders>
            <w:vAlign w:val="bottom"/>
          </w:tcPr>
          <w:p w:rsidRPr="00FC6E08" w:rsidR="00217BC7" w:rsidP="00E474E2" w:rsidRDefault="00217BC7" w14:paraId="678B01B8" w14:textId="77777777">
            <w:pPr>
              <w:rPr>
                <w:rFonts w:eastAsia="Calibri"/>
                <w:b/>
                <w:sz w:val="20"/>
              </w:rPr>
            </w:pPr>
            <w:r w:rsidRPr="00FC6E08">
              <w:rPr>
                <w:rFonts w:eastAsia="Calibri"/>
                <w:b/>
                <w:sz w:val="20"/>
              </w:rPr>
              <w:t>OCC</w:t>
            </w:r>
            <w:r w:rsidRPr="00FC6E08">
              <w:rPr>
                <w:rFonts w:eastAsia="Calibri"/>
                <w:sz w:val="20"/>
              </w:rPr>
              <w:t xml:space="preserve"> </w:t>
            </w:r>
            <w:r w:rsidRPr="00FC6E08">
              <w:rPr>
                <w:rFonts w:eastAsia="Calibri"/>
                <w:b/>
                <w:sz w:val="20"/>
              </w:rPr>
              <w:t>National Banks and Federal Savings Associations:</w:t>
            </w:r>
          </w:p>
          <w:p w:rsidRPr="00FC6E08" w:rsidR="00217BC7" w:rsidP="00E474E2" w:rsidRDefault="00217BC7" w14:paraId="5ACDD020" w14:textId="77777777">
            <w:pPr>
              <w:rPr>
                <w:rFonts w:eastAsia="Calibri"/>
                <w:sz w:val="20"/>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446C7D" w14:paraId="24B64520" w14:textId="77777777">
            <w:pPr>
              <w:jc w:val="center"/>
              <w:rPr>
                <w:rFonts w:eastAsia="Calibri"/>
                <w:sz w:val="20"/>
              </w:rPr>
            </w:pPr>
            <w:r w:rsidRPr="00FC6E08">
              <w:rPr>
                <w:rFonts w:eastAsia="Calibri"/>
                <w:sz w:val="20"/>
              </w:rPr>
              <w:t>656</w:t>
            </w:r>
            <w:r w:rsidRPr="00FC6E08" w:rsidR="00217BC7">
              <w:rPr>
                <w:rFonts w:eastAsia="Calibri"/>
                <w:sz w:val="20"/>
              </w:rPr>
              <w:t xml:space="preserve"> x 80 =</w:t>
            </w:r>
          </w:p>
          <w:p w:rsidRPr="00FC6E08" w:rsidR="00217BC7" w:rsidP="00E474E2" w:rsidRDefault="00446C7D" w14:paraId="7F86ACDF" w14:textId="77777777">
            <w:pPr>
              <w:jc w:val="center"/>
              <w:rPr>
                <w:rFonts w:eastAsia="Calibri"/>
                <w:sz w:val="20"/>
              </w:rPr>
            </w:pPr>
            <w:r w:rsidRPr="00FC6E08">
              <w:rPr>
                <w:rFonts w:eastAsia="Calibri"/>
                <w:sz w:val="20"/>
              </w:rPr>
              <w:t>52,480</w:t>
            </w:r>
            <w:r w:rsidRPr="00FC6E08" w:rsidR="00217BC7">
              <w:rPr>
                <w:rFonts w:eastAsia="Calibri"/>
                <w:sz w:val="20"/>
              </w:rPr>
              <w:t xml:space="preserve"> </w:t>
            </w:r>
          </w:p>
          <w:p w:rsidRPr="00FC6E08" w:rsidR="00217BC7" w:rsidP="00E474E2" w:rsidRDefault="00217BC7" w14:paraId="6CA2D574" w14:textId="77777777">
            <w:pPr>
              <w:jc w:val="center"/>
              <w:rPr>
                <w:rFonts w:eastAsia="Calibri"/>
                <w:sz w:val="20"/>
              </w:rPr>
            </w:pPr>
            <w:r w:rsidRPr="00FC6E08">
              <w:rPr>
                <w:rFonts w:eastAsia="Calibri"/>
                <w:sz w:val="20"/>
              </w:rPr>
              <w:t>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446C7D" w14:paraId="3DE3B974" w14:textId="77777777">
            <w:pPr>
              <w:jc w:val="center"/>
              <w:rPr>
                <w:rFonts w:eastAsia="Calibri"/>
                <w:sz w:val="20"/>
              </w:rPr>
            </w:pPr>
            <w:r w:rsidRPr="00FC6E08">
              <w:rPr>
                <w:rFonts w:eastAsia="Calibri"/>
                <w:sz w:val="20"/>
              </w:rPr>
              <w:t>376</w:t>
            </w:r>
            <w:r w:rsidRPr="00FC6E08" w:rsidR="00217BC7">
              <w:rPr>
                <w:rFonts w:eastAsia="Calibri"/>
                <w:sz w:val="20"/>
              </w:rPr>
              <w:t xml:space="preserve"> x 120 =</w:t>
            </w:r>
          </w:p>
          <w:p w:rsidRPr="00FC6E08" w:rsidR="00217BC7" w:rsidP="00E474E2" w:rsidRDefault="00446C7D" w14:paraId="644E69C9" w14:textId="77777777">
            <w:pPr>
              <w:jc w:val="center"/>
              <w:rPr>
                <w:rFonts w:eastAsia="Calibri"/>
                <w:sz w:val="20"/>
              </w:rPr>
            </w:pPr>
            <w:r w:rsidRPr="00FC6E08">
              <w:rPr>
                <w:rFonts w:eastAsia="Calibri"/>
                <w:sz w:val="20"/>
              </w:rPr>
              <w:t>45,120</w:t>
            </w:r>
            <w:r w:rsidRPr="00FC6E08" w:rsidR="00217BC7">
              <w:rPr>
                <w:rFonts w:eastAsia="Calibri"/>
                <w:sz w:val="20"/>
              </w:rPr>
              <w:t xml:space="preserve"> </w:t>
            </w:r>
          </w:p>
          <w:p w:rsidRPr="00FC6E08" w:rsidR="00217BC7" w:rsidP="00E474E2" w:rsidRDefault="00217BC7" w14:paraId="2F3D2B46" w14:textId="77777777">
            <w:pPr>
              <w:jc w:val="center"/>
              <w:rPr>
                <w:rFonts w:eastAsia="Calibri"/>
                <w:sz w:val="20"/>
              </w:rPr>
            </w:pPr>
            <w:r w:rsidRPr="00FC6E08">
              <w:rPr>
                <w:rFonts w:eastAsia="Calibri"/>
                <w:sz w:val="20"/>
              </w:rPr>
              <w:t>hours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446C7D" w14:paraId="58B1DB71" w14:textId="77777777">
            <w:pPr>
              <w:jc w:val="center"/>
              <w:rPr>
                <w:rFonts w:eastAsia="Calibri"/>
                <w:sz w:val="20"/>
              </w:rPr>
            </w:pPr>
            <w:r w:rsidRPr="00FC6E08">
              <w:rPr>
                <w:rFonts w:eastAsia="Calibri"/>
                <w:sz w:val="20"/>
              </w:rPr>
              <w:t>37</w:t>
            </w:r>
            <w:r w:rsidRPr="00FC6E08" w:rsidR="00217BC7">
              <w:rPr>
                <w:rFonts w:eastAsia="Calibri"/>
                <w:sz w:val="20"/>
              </w:rPr>
              <w:t xml:space="preserve"> x 160 =</w:t>
            </w:r>
          </w:p>
          <w:p w:rsidRPr="00FC6E08" w:rsidR="00217BC7" w:rsidP="00E474E2" w:rsidRDefault="00446C7D" w14:paraId="3A3C750A" w14:textId="77777777">
            <w:pPr>
              <w:jc w:val="center"/>
              <w:rPr>
                <w:rFonts w:eastAsia="Calibri"/>
                <w:sz w:val="20"/>
              </w:rPr>
            </w:pPr>
            <w:r w:rsidRPr="00FC6E08">
              <w:rPr>
                <w:rFonts w:eastAsia="Calibri"/>
                <w:sz w:val="20"/>
              </w:rPr>
              <w:t>5,920</w:t>
            </w:r>
          </w:p>
          <w:p w:rsidRPr="00FC6E08" w:rsidR="00217BC7" w:rsidP="00E474E2" w:rsidRDefault="00217BC7" w14:paraId="3C62C531" w14:textId="77777777">
            <w:pPr>
              <w:jc w:val="center"/>
              <w:rPr>
                <w:rFonts w:eastAsia="Calibri"/>
                <w:sz w:val="20"/>
              </w:rPr>
            </w:pPr>
            <w:r w:rsidRPr="00FC6E08">
              <w:rPr>
                <w:rFonts w:eastAsia="Calibri"/>
                <w:sz w:val="20"/>
              </w:rPr>
              <w:t>hours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446C7D" w14:paraId="3433CA5C" w14:textId="77777777">
            <w:pPr>
              <w:jc w:val="center"/>
              <w:rPr>
                <w:rFonts w:eastAsia="Calibri"/>
                <w:sz w:val="20"/>
              </w:rPr>
            </w:pPr>
            <w:r w:rsidRPr="00FC6E08">
              <w:rPr>
                <w:rFonts w:eastAsia="Calibri"/>
                <w:sz w:val="20"/>
              </w:rPr>
              <w:t>29</w:t>
            </w:r>
            <w:r w:rsidRPr="00FC6E08" w:rsidR="00217BC7">
              <w:rPr>
                <w:rFonts w:eastAsia="Calibri"/>
                <w:sz w:val="20"/>
              </w:rPr>
              <w:t xml:space="preserve"> x 180 =</w:t>
            </w:r>
          </w:p>
          <w:p w:rsidRPr="00FC6E08" w:rsidR="00217BC7" w:rsidP="00E474E2" w:rsidRDefault="00446C7D" w14:paraId="41E6F1EE" w14:textId="77777777">
            <w:pPr>
              <w:jc w:val="center"/>
              <w:rPr>
                <w:rFonts w:eastAsia="Calibri"/>
                <w:sz w:val="20"/>
              </w:rPr>
            </w:pPr>
            <w:r w:rsidRPr="00FC6E08">
              <w:rPr>
                <w:rFonts w:eastAsia="Calibri"/>
                <w:sz w:val="20"/>
              </w:rPr>
              <w:t>5,220</w:t>
            </w:r>
          </w:p>
          <w:p w:rsidRPr="00FC6E08" w:rsidR="00217BC7" w:rsidP="00E474E2" w:rsidRDefault="00217BC7" w14:paraId="53DC0E60" w14:textId="77777777">
            <w:pPr>
              <w:jc w:val="center"/>
              <w:rPr>
                <w:rFonts w:eastAsia="Calibri"/>
                <w:sz w:val="20"/>
              </w:rPr>
            </w:pPr>
            <w:r w:rsidRPr="00FC6E08">
              <w:rPr>
                <w:rFonts w:eastAsia="Calibri"/>
                <w:sz w:val="20"/>
              </w:rPr>
              <w:t>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3C206DB0" w14:textId="77777777">
            <w:pPr>
              <w:jc w:val="center"/>
              <w:rPr>
                <w:rFonts w:eastAsia="Calibri"/>
                <w:sz w:val="20"/>
              </w:rPr>
            </w:pPr>
            <w:r w:rsidRPr="00FC6E08">
              <w:rPr>
                <w:rFonts w:eastAsia="Calibri"/>
                <w:sz w:val="20"/>
              </w:rPr>
              <w:t>1,</w:t>
            </w:r>
            <w:r w:rsidRPr="00FC6E08" w:rsidR="00446C7D">
              <w:rPr>
                <w:rFonts w:eastAsia="Calibri"/>
                <w:sz w:val="20"/>
              </w:rPr>
              <w:t>098</w:t>
            </w:r>
          </w:p>
          <w:p w:rsidRPr="00FC6E08" w:rsidR="00217BC7" w:rsidP="00E474E2" w:rsidRDefault="00217BC7" w14:paraId="431CD998" w14:textId="77777777">
            <w:pPr>
              <w:jc w:val="center"/>
              <w:rPr>
                <w:rFonts w:eastAsia="Calibri"/>
                <w:sz w:val="20"/>
              </w:rPr>
            </w:pPr>
            <w:r w:rsidRPr="00FC6E08">
              <w:rPr>
                <w:rFonts w:eastAsia="Calibri"/>
                <w:sz w:val="20"/>
              </w:rPr>
              <w:t>respondents</w:t>
            </w:r>
          </w:p>
          <w:p w:rsidRPr="00FC6E08" w:rsidR="00217BC7" w:rsidP="00E474E2" w:rsidRDefault="00446C7D" w14:paraId="44D48232" w14:textId="77777777">
            <w:pPr>
              <w:jc w:val="center"/>
              <w:rPr>
                <w:rFonts w:eastAsia="Calibri"/>
                <w:sz w:val="20"/>
              </w:rPr>
            </w:pPr>
            <w:r w:rsidRPr="00FC6E08">
              <w:rPr>
                <w:rFonts w:eastAsia="Calibri"/>
                <w:sz w:val="20"/>
              </w:rPr>
              <w:t>108,740</w:t>
            </w:r>
          </w:p>
          <w:p w:rsidRPr="00FC6E08" w:rsidR="00217BC7" w:rsidP="00E474E2" w:rsidRDefault="00217BC7" w14:paraId="27939A2C" w14:textId="77777777">
            <w:pPr>
              <w:jc w:val="center"/>
              <w:rPr>
                <w:rFonts w:eastAsia="Calibri"/>
                <w:sz w:val="20"/>
              </w:rPr>
            </w:pPr>
            <w:r w:rsidRPr="00FC6E08">
              <w:rPr>
                <w:rFonts w:eastAsia="Calibri"/>
                <w:sz w:val="20"/>
              </w:rPr>
              <w:t>hours</w:t>
            </w:r>
          </w:p>
        </w:tc>
      </w:tr>
      <w:bookmarkEnd w:id="0"/>
      <w:tr w:rsidRPr="00FC6E08" w:rsidR="00780F75" w:rsidTr="00E474E2" w14:paraId="5C077959" w14:textId="77777777">
        <w:trPr>
          <w:cantSplit/>
          <w:trHeight w:val="395"/>
        </w:trPr>
        <w:tc>
          <w:tcPr>
            <w:tcW w:w="1890" w:type="dxa"/>
            <w:tcBorders>
              <w:top w:val="single" w:color="auto" w:sz="4" w:space="0"/>
              <w:left w:val="single" w:color="auto" w:sz="4" w:space="0"/>
              <w:bottom w:val="single" w:color="auto" w:sz="4" w:space="0"/>
              <w:right w:val="single" w:color="auto" w:sz="4" w:space="0"/>
            </w:tcBorders>
            <w:vAlign w:val="bottom"/>
            <w:hideMark/>
          </w:tcPr>
          <w:p w:rsidRPr="00FC6E08" w:rsidR="00780F75" w:rsidP="00780F75" w:rsidRDefault="00780F75" w14:paraId="433702BE" w14:textId="77777777">
            <w:pPr>
              <w:spacing w:after="200"/>
              <w:rPr>
                <w:rFonts w:eastAsia="Calibri"/>
                <w:b/>
                <w:sz w:val="20"/>
              </w:rPr>
            </w:pPr>
            <w:r w:rsidRPr="00FC6E08">
              <w:rPr>
                <w:rFonts w:eastAsia="Calibri"/>
                <w:b/>
                <w:sz w:val="20"/>
              </w:rPr>
              <w:t>FDIC State Non-Member Banks and State Savings Associations: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C6E08" w:rsidR="00780F75" w:rsidP="00780F75" w:rsidRDefault="00780F75" w14:paraId="307103B9" w14:textId="77777777">
            <w:pPr>
              <w:jc w:val="center"/>
              <w:rPr>
                <w:rFonts w:eastAsia="Calibri"/>
                <w:sz w:val="20"/>
              </w:rPr>
            </w:pPr>
            <w:r w:rsidRPr="005F315C">
              <w:rPr>
                <w:rFonts w:eastAsia="Calibri"/>
                <w:sz w:val="20"/>
              </w:rPr>
              <w:t>2,116 x 80 =</w:t>
            </w:r>
          </w:p>
          <w:p w:rsidRPr="00FC6E08" w:rsidR="00780F75" w:rsidP="00780F75" w:rsidRDefault="00780F75" w14:paraId="7AA89BBB" w14:textId="77777777">
            <w:pPr>
              <w:jc w:val="center"/>
              <w:rPr>
                <w:rFonts w:eastAsia="Calibri"/>
                <w:sz w:val="20"/>
              </w:rPr>
            </w:pPr>
            <w:r w:rsidRPr="005F315C">
              <w:rPr>
                <w:rFonts w:eastAsia="Calibri"/>
                <w:sz w:val="20"/>
              </w:rPr>
              <w:t>169,280 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5F315C" w:rsidR="00780F75" w:rsidP="00780F75" w:rsidRDefault="00780F75" w14:paraId="316B58BC" w14:textId="77777777">
            <w:pPr>
              <w:jc w:val="center"/>
              <w:rPr>
                <w:rFonts w:eastAsia="Calibri"/>
                <w:sz w:val="20"/>
              </w:rPr>
            </w:pPr>
            <w:r w:rsidRPr="005F315C">
              <w:rPr>
                <w:rFonts w:eastAsia="Calibri"/>
                <w:sz w:val="20"/>
              </w:rPr>
              <w:t>953 x 120 =</w:t>
            </w:r>
          </w:p>
          <w:p w:rsidRPr="005F315C" w:rsidR="00780F75" w:rsidP="00780F75" w:rsidRDefault="00780F75" w14:paraId="7E37EB40" w14:textId="77777777">
            <w:pPr>
              <w:jc w:val="center"/>
              <w:rPr>
                <w:rFonts w:eastAsia="Calibri"/>
                <w:sz w:val="20"/>
              </w:rPr>
            </w:pPr>
            <w:r w:rsidRPr="005F315C">
              <w:rPr>
                <w:rFonts w:eastAsia="Calibri"/>
                <w:sz w:val="20"/>
              </w:rPr>
              <w:t>114,360</w:t>
            </w:r>
          </w:p>
          <w:p w:rsidRPr="00FC6E08" w:rsidR="00780F75" w:rsidP="00780F75" w:rsidRDefault="00780F75" w14:paraId="4248F6FA" w14:textId="77777777">
            <w:pPr>
              <w:jc w:val="center"/>
              <w:rPr>
                <w:rFonts w:eastAsia="Calibri"/>
                <w:sz w:val="20"/>
              </w:rPr>
            </w:pPr>
            <w:r w:rsidRPr="005F315C">
              <w:rPr>
                <w:rFonts w:eastAsia="Calibri"/>
                <w:sz w:val="20"/>
              </w:rPr>
              <w:t>hours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F315C" w:rsidR="00780F75" w:rsidP="00780F75" w:rsidRDefault="00780F75" w14:paraId="0437B110" w14:textId="77777777">
            <w:pPr>
              <w:jc w:val="center"/>
              <w:rPr>
                <w:rFonts w:eastAsia="Calibri"/>
                <w:sz w:val="20"/>
              </w:rPr>
            </w:pPr>
            <w:r w:rsidRPr="005F315C">
              <w:rPr>
                <w:rFonts w:eastAsia="Calibri"/>
                <w:sz w:val="20"/>
              </w:rPr>
              <w:t>51 x 160 =</w:t>
            </w:r>
          </w:p>
          <w:p w:rsidRPr="005F315C" w:rsidR="00780F75" w:rsidP="00780F75" w:rsidRDefault="00780F75" w14:paraId="679056ED" w14:textId="77777777">
            <w:pPr>
              <w:jc w:val="center"/>
              <w:rPr>
                <w:rFonts w:eastAsia="Calibri"/>
                <w:sz w:val="20"/>
              </w:rPr>
            </w:pPr>
            <w:r w:rsidRPr="005F315C">
              <w:rPr>
                <w:rFonts w:eastAsia="Calibri"/>
                <w:sz w:val="20"/>
              </w:rPr>
              <w:t>8,160</w:t>
            </w:r>
          </w:p>
          <w:p w:rsidRPr="00FC6E08" w:rsidR="00780F75" w:rsidP="00780F75" w:rsidRDefault="00780F75" w14:paraId="2763B111" w14:textId="77777777">
            <w:pPr>
              <w:jc w:val="center"/>
              <w:rPr>
                <w:rFonts w:eastAsia="Calibri"/>
                <w:sz w:val="20"/>
              </w:rPr>
            </w:pPr>
            <w:r w:rsidRPr="005F315C">
              <w:rPr>
                <w:rFonts w:eastAsia="Calibri"/>
                <w:sz w:val="20"/>
              </w:rPr>
              <w:t>hours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5F315C" w:rsidR="00780F75" w:rsidP="00780F75" w:rsidRDefault="00780F75" w14:paraId="368CB364" w14:textId="77777777">
            <w:pPr>
              <w:jc w:val="center"/>
              <w:rPr>
                <w:rFonts w:eastAsia="Calibri"/>
                <w:sz w:val="20"/>
              </w:rPr>
            </w:pPr>
            <w:r w:rsidRPr="005F315C">
              <w:rPr>
                <w:rFonts w:eastAsia="Calibri"/>
                <w:sz w:val="20"/>
              </w:rPr>
              <w:t>8 x 180 =</w:t>
            </w:r>
          </w:p>
          <w:p w:rsidRPr="005F315C" w:rsidR="00780F75" w:rsidP="00780F75" w:rsidRDefault="00780F75" w14:paraId="4ECAD17A" w14:textId="77777777">
            <w:pPr>
              <w:jc w:val="center"/>
              <w:rPr>
                <w:rFonts w:eastAsia="Calibri"/>
                <w:sz w:val="20"/>
              </w:rPr>
            </w:pPr>
            <w:r w:rsidRPr="005F315C">
              <w:rPr>
                <w:rFonts w:eastAsia="Calibri"/>
                <w:sz w:val="20"/>
              </w:rPr>
              <w:t xml:space="preserve">1,440 </w:t>
            </w:r>
          </w:p>
          <w:p w:rsidRPr="00FC6E08" w:rsidR="00780F75" w:rsidP="00780F75" w:rsidRDefault="00780F75" w14:paraId="55D32077" w14:textId="77777777">
            <w:pPr>
              <w:jc w:val="center"/>
              <w:rPr>
                <w:rFonts w:eastAsia="Calibri"/>
                <w:sz w:val="20"/>
              </w:rPr>
            </w:pPr>
            <w:r w:rsidRPr="005F315C">
              <w:rPr>
                <w:rFonts w:eastAsia="Calibri"/>
                <w:sz w:val="20"/>
              </w:rPr>
              <w:t>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F315C" w:rsidR="00780F75" w:rsidP="00780F75" w:rsidRDefault="00780F75" w14:paraId="1F916BB2" w14:textId="77777777">
            <w:pPr>
              <w:jc w:val="center"/>
              <w:rPr>
                <w:rFonts w:eastAsia="Calibri"/>
                <w:sz w:val="20"/>
              </w:rPr>
            </w:pPr>
            <w:r w:rsidRPr="005F315C">
              <w:rPr>
                <w:rFonts w:eastAsia="Calibri"/>
                <w:sz w:val="20"/>
              </w:rPr>
              <w:t>3,128</w:t>
            </w:r>
          </w:p>
          <w:p w:rsidRPr="005F315C" w:rsidR="00780F75" w:rsidP="00780F75" w:rsidRDefault="00780F75" w14:paraId="28DD45CF" w14:textId="77777777">
            <w:pPr>
              <w:jc w:val="center"/>
              <w:rPr>
                <w:rFonts w:eastAsia="Calibri"/>
                <w:sz w:val="20"/>
              </w:rPr>
            </w:pPr>
            <w:r w:rsidRPr="005F315C">
              <w:rPr>
                <w:rFonts w:eastAsia="Calibri"/>
                <w:sz w:val="20"/>
              </w:rPr>
              <w:t>respondents</w:t>
            </w:r>
          </w:p>
          <w:p w:rsidRPr="005F315C" w:rsidR="00780F75" w:rsidP="00780F75" w:rsidRDefault="00780F75" w14:paraId="4BCBEE3D" w14:textId="77777777">
            <w:pPr>
              <w:jc w:val="center"/>
              <w:rPr>
                <w:rFonts w:eastAsia="Calibri"/>
                <w:sz w:val="20"/>
              </w:rPr>
            </w:pPr>
            <w:r w:rsidRPr="005F315C">
              <w:rPr>
                <w:rFonts w:eastAsia="Calibri"/>
                <w:sz w:val="20"/>
              </w:rPr>
              <w:t>293,240</w:t>
            </w:r>
          </w:p>
          <w:p w:rsidRPr="00FC6E08" w:rsidR="00780F75" w:rsidP="00780F75" w:rsidRDefault="00780F75" w14:paraId="697F8468" w14:textId="77777777">
            <w:pPr>
              <w:jc w:val="center"/>
              <w:rPr>
                <w:rFonts w:eastAsia="Calibri"/>
                <w:sz w:val="20"/>
              </w:rPr>
            </w:pPr>
            <w:r w:rsidRPr="005F315C">
              <w:rPr>
                <w:rFonts w:eastAsia="Calibri"/>
                <w:sz w:val="20"/>
              </w:rPr>
              <w:t>hours</w:t>
            </w:r>
          </w:p>
        </w:tc>
      </w:tr>
      <w:tr w:rsidRPr="00FC6E08" w:rsidR="00217BC7" w:rsidTr="00E474E2" w14:paraId="5F18DD3E" w14:textId="77777777">
        <w:trPr>
          <w:cantSplit/>
          <w:trHeight w:val="395"/>
        </w:trPr>
        <w:tc>
          <w:tcPr>
            <w:tcW w:w="189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25C736EE" w14:textId="77777777">
            <w:pPr>
              <w:spacing w:after="200"/>
              <w:rPr>
                <w:rFonts w:eastAsia="Calibri"/>
                <w:b/>
                <w:sz w:val="20"/>
              </w:rPr>
            </w:pPr>
            <w:r w:rsidRPr="00FC6E08">
              <w:rPr>
                <w:rFonts w:eastAsia="Calibri"/>
                <w:b/>
                <w:sz w:val="20"/>
              </w:rPr>
              <w:lastRenderedPageBreak/>
              <w:t>Board State Member Banks and Bank Holding Companies: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66931C01" w14:textId="77777777">
            <w:pPr>
              <w:jc w:val="center"/>
              <w:rPr>
                <w:rFonts w:eastAsia="Calibri"/>
                <w:sz w:val="20"/>
              </w:rPr>
            </w:pPr>
            <w:r w:rsidRPr="00FC6E08">
              <w:rPr>
                <w:rFonts w:eastAsia="Calibri"/>
                <w:sz w:val="20"/>
              </w:rPr>
              <w:t>2,768 x 80 =</w:t>
            </w:r>
          </w:p>
          <w:p w:rsidRPr="00FC6E08" w:rsidR="00217BC7" w:rsidP="00E474E2" w:rsidRDefault="00217BC7" w14:paraId="34A64082" w14:textId="77777777">
            <w:pPr>
              <w:jc w:val="center"/>
              <w:rPr>
                <w:rFonts w:eastAsia="Calibri"/>
                <w:sz w:val="20"/>
              </w:rPr>
            </w:pPr>
            <w:r w:rsidRPr="00FC6E08">
              <w:rPr>
                <w:rFonts w:eastAsia="Calibri"/>
                <w:sz w:val="20"/>
              </w:rPr>
              <w:t>221,440</w:t>
            </w:r>
          </w:p>
          <w:p w:rsidRPr="00FC6E08" w:rsidR="00217BC7" w:rsidP="00E474E2" w:rsidRDefault="00217BC7" w14:paraId="69059583" w14:textId="77777777">
            <w:pPr>
              <w:jc w:val="center"/>
              <w:rPr>
                <w:rFonts w:eastAsia="Calibri"/>
                <w:sz w:val="20"/>
              </w:rPr>
            </w:pPr>
            <w:r w:rsidRPr="00FC6E08">
              <w:rPr>
                <w:rFonts w:eastAsia="Calibri"/>
                <w:sz w:val="20"/>
              </w:rPr>
              <w:t>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1645BE13" w14:textId="77777777">
            <w:pPr>
              <w:jc w:val="center"/>
              <w:rPr>
                <w:rFonts w:eastAsia="Calibri"/>
                <w:sz w:val="20"/>
              </w:rPr>
            </w:pPr>
            <w:r w:rsidRPr="00FC6E08">
              <w:rPr>
                <w:rFonts w:eastAsia="Calibri"/>
                <w:sz w:val="20"/>
              </w:rPr>
              <w:t>766 x 120 =</w:t>
            </w:r>
          </w:p>
          <w:p w:rsidRPr="00FC6E08" w:rsidR="00217BC7" w:rsidP="00E474E2" w:rsidRDefault="00217BC7" w14:paraId="0C999F92" w14:textId="77777777">
            <w:pPr>
              <w:jc w:val="center"/>
              <w:rPr>
                <w:rFonts w:eastAsia="Calibri"/>
                <w:sz w:val="20"/>
              </w:rPr>
            </w:pPr>
            <w:r w:rsidRPr="00FC6E08">
              <w:rPr>
                <w:rFonts w:eastAsia="Calibri"/>
                <w:sz w:val="20"/>
              </w:rPr>
              <w:t>91,920</w:t>
            </w:r>
          </w:p>
          <w:p w:rsidRPr="00FC6E08" w:rsidR="00217BC7" w:rsidP="00E474E2" w:rsidRDefault="00217BC7" w14:paraId="7C8B4E25" w14:textId="77777777">
            <w:pPr>
              <w:jc w:val="center"/>
              <w:rPr>
                <w:rFonts w:eastAsia="Calibri"/>
                <w:sz w:val="20"/>
              </w:rPr>
            </w:pPr>
            <w:r w:rsidRPr="00FC6E08">
              <w:rPr>
                <w:rFonts w:eastAsia="Calibri"/>
                <w:sz w:val="20"/>
              </w:rPr>
              <w:t>hours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0741E4CB" w14:textId="77777777">
            <w:pPr>
              <w:jc w:val="center"/>
              <w:rPr>
                <w:rFonts w:eastAsia="Calibri"/>
                <w:sz w:val="20"/>
              </w:rPr>
            </w:pPr>
            <w:r w:rsidRPr="00FC6E08">
              <w:rPr>
                <w:rFonts w:eastAsia="Calibri"/>
                <w:sz w:val="20"/>
              </w:rPr>
              <w:t>81 x 160 =</w:t>
            </w:r>
          </w:p>
          <w:p w:rsidRPr="00FC6E08" w:rsidR="00217BC7" w:rsidP="00E474E2" w:rsidRDefault="00217BC7" w14:paraId="05F30343" w14:textId="77777777">
            <w:pPr>
              <w:jc w:val="center"/>
              <w:rPr>
                <w:rFonts w:eastAsia="Calibri"/>
                <w:sz w:val="20"/>
              </w:rPr>
            </w:pPr>
            <w:r w:rsidRPr="00FC6E08">
              <w:rPr>
                <w:rFonts w:eastAsia="Calibri"/>
                <w:sz w:val="20"/>
              </w:rPr>
              <w:t>12,960</w:t>
            </w:r>
          </w:p>
          <w:p w:rsidRPr="00FC6E08" w:rsidR="00217BC7" w:rsidP="00E474E2" w:rsidRDefault="00217BC7" w14:paraId="56D0C7B4" w14:textId="77777777">
            <w:pPr>
              <w:jc w:val="center"/>
              <w:rPr>
                <w:rFonts w:eastAsia="Calibri"/>
                <w:sz w:val="20"/>
              </w:rPr>
            </w:pPr>
            <w:r w:rsidRPr="00FC6E08">
              <w:rPr>
                <w:rFonts w:eastAsia="Calibri"/>
                <w:sz w:val="20"/>
              </w:rPr>
              <w:t>hours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228A1E3B" w14:textId="77777777">
            <w:pPr>
              <w:jc w:val="center"/>
              <w:rPr>
                <w:rFonts w:eastAsia="Calibri"/>
                <w:sz w:val="20"/>
              </w:rPr>
            </w:pPr>
            <w:r w:rsidRPr="00FC6E08">
              <w:rPr>
                <w:rFonts w:eastAsia="Calibri"/>
                <w:sz w:val="20"/>
              </w:rPr>
              <w:t>26 x 180 =</w:t>
            </w:r>
          </w:p>
          <w:p w:rsidRPr="00FC6E08" w:rsidR="00217BC7" w:rsidP="00E474E2" w:rsidRDefault="00217BC7" w14:paraId="27B68F1B" w14:textId="77777777">
            <w:pPr>
              <w:jc w:val="center"/>
              <w:rPr>
                <w:rFonts w:eastAsia="Calibri"/>
                <w:sz w:val="20"/>
              </w:rPr>
            </w:pPr>
            <w:r w:rsidRPr="00FC6E08">
              <w:rPr>
                <w:rFonts w:eastAsia="Calibri"/>
                <w:sz w:val="20"/>
              </w:rPr>
              <w:t>4,680</w:t>
            </w:r>
          </w:p>
          <w:p w:rsidRPr="00FC6E08" w:rsidR="00217BC7" w:rsidP="00E474E2" w:rsidRDefault="00217BC7" w14:paraId="219CD833" w14:textId="77777777">
            <w:pPr>
              <w:jc w:val="center"/>
              <w:rPr>
                <w:rFonts w:eastAsia="Calibri"/>
                <w:sz w:val="20"/>
              </w:rPr>
            </w:pPr>
            <w:r w:rsidRPr="00FC6E08">
              <w:rPr>
                <w:rFonts w:eastAsia="Calibri"/>
                <w:sz w:val="20"/>
              </w:rPr>
              <w:t>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C6E08" w:rsidR="00217BC7" w:rsidP="00E474E2" w:rsidRDefault="00217BC7" w14:paraId="191EEAC1" w14:textId="77777777">
            <w:pPr>
              <w:jc w:val="center"/>
              <w:rPr>
                <w:rFonts w:eastAsia="Calibri"/>
                <w:sz w:val="20"/>
              </w:rPr>
            </w:pPr>
            <w:r w:rsidRPr="00FC6E08">
              <w:rPr>
                <w:rFonts w:eastAsia="Calibri"/>
                <w:sz w:val="20"/>
              </w:rPr>
              <w:t>3,641</w:t>
            </w:r>
          </w:p>
          <w:p w:rsidRPr="00FC6E08" w:rsidR="00217BC7" w:rsidP="00E474E2" w:rsidRDefault="00217BC7" w14:paraId="5220B9DD" w14:textId="77777777">
            <w:pPr>
              <w:jc w:val="center"/>
              <w:rPr>
                <w:rFonts w:eastAsia="Calibri"/>
                <w:sz w:val="20"/>
              </w:rPr>
            </w:pPr>
            <w:r w:rsidRPr="00FC6E08">
              <w:rPr>
                <w:rFonts w:eastAsia="Calibri"/>
                <w:sz w:val="20"/>
              </w:rPr>
              <w:t>respondents</w:t>
            </w:r>
          </w:p>
          <w:p w:rsidRPr="00FC6E08" w:rsidR="00217BC7" w:rsidP="00E474E2" w:rsidRDefault="00217BC7" w14:paraId="4C8745A0" w14:textId="77777777">
            <w:pPr>
              <w:jc w:val="center"/>
              <w:rPr>
                <w:rFonts w:eastAsia="Calibri"/>
                <w:sz w:val="20"/>
              </w:rPr>
            </w:pPr>
            <w:r w:rsidRPr="00FC6E08">
              <w:rPr>
                <w:rFonts w:eastAsia="Calibri"/>
                <w:sz w:val="20"/>
              </w:rPr>
              <w:t>331,000</w:t>
            </w:r>
          </w:p>
          <w:p w:rsidRPr="00FC6E08" w:rsidR="00217BC7" w:rsidP="00E474E2" w:rsidRDefault="00217BC7" w14:paraId="7C86EC01" w14:textId="77777777">
            <w:pPr>
              <w:jc w:val="center"/>
              <w:rPr>
                <w:rFonts w:eastAsia="Calibri"/>
                <w:sz w:val="20"/>
              </w:rPr>
            </w:pPr>
            <w:r w:rsidRPr="00FC6E08">
              <w:rPr>
                <w:rFonts w:eastAsia="Calibri"/>
                <w:sz w:val="20"/>
              </w:rPr>
              <w:t>hours</w:t>
            </w:r>
          </w:p>
        </w:tc>
      </w:tr>
      <w:tr w:rsidRPr="00FC6E08" w:rsidR="00217BC7" w:rsidTr="00E474E2" w14:paraId="5FD77CFC" w14:textId="77777777">
        <w:trPr>
          <w:cantSplit/>
          <w:trHeight w:val="395"/>
        </w:trPr>
        <w:tc>
          <w:tcPr>
            <w:tcW w:w="189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57EC8F87" w14:textId="77777777">
            <w:pPr>
              <w:spacing w:after="200"/>
              <w:rPr>
                <w:rFonts w:eastAsia="Calibri"/>
                <w:b/>
                <w:sz w:val="20"/>
              </w:rPr>
            </w:pPr>
            <w:r w:rsidRPr="00FC6E08">
              <w:rPr>
                <w:rFonts w:eastAsia="Calibri"/>
                <w:b/>
                <w:sz w:val="20"/>
              </w:rPr>
              <w:t>NCUA Federally-Insured Credit Unions: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5F315C" w:rsidR="00217BC7" w:rsidP="00E474E2" w:rsidRDefault="00217BC7" w14:paraId="294B1F7C" w14:textId="77777777">
            <w:pPr>
              <w:jc w:val="center"/>
              <w:rPr>
                <w:rFonts w:eastAsia="Calibri"/>
                <w:sz w:val="20"/>
              </w:rPr>
            </w:pPr>
            <w:r w:rsidRPr="005F315C">
              <w:rPr>
                <w:rFonts w:eastAsia="Calibri"/>
                <w:sz w:val="20"/>
              </w:rPr>
              <w:t>4,</w:t>
            </w:r>
            <w:r w:rsidRPr="005F315C" w:rsidR="007A6422">
              <w:rPr>
                <w:rFonts w:eastAsia="Calibri"/>
                <w:sz w:val="20"/>
              </w:rPr>
              <w:t>223</w:t>
            </w:r>
            <w:r w:rsidRPr="005F315C">
              <w:rPr>
                <w:rFonts w:eastAsia="Calibri"/>
                <w:sz w:val="20"/>
              </w:rPr>
              <w:t xml:space="preserve"> x 80 = </w:t>
            </w:r>
          </w:p>
          <w:p w:rsidRPr="005F315C" w:rsidR="00217BC7" w:rsidP="00E474E2" w:rsidRDefault="00217BC7" w14:paraId="4203B209" w14:textId="77777777">
            <w:pPr>
              <w:jc w:val="center"/>
              <w:rPr>
                <w:rFonts w:eastAsia="Calibri"/>
                <w:sz w:val="20"/>
              </w:rPr>
            </w:pPr>
            <w:r w:rsidRPr="005F315C">
              <w:rPr>
                <w:rFonts w:eastAsia="Calibri"/>
                <w:sz w:val="20"/>
              </w:rPr>
              <w:t>3</w:t>
            </w:r>
            <w:r w:rsidRPr="005F315C" w:rsidR="007A6422">
              <w:rPr>
                <w:rFonts w:eastAsia="Calibri"/>
                <w:sz w:val="20"/>
              </w:rPr>
              <w:t>37,840</w:t>
            </w:r>
          </w:p>
          <w:p w:rsidRPr="005F315C" w:rsidR="00217BC7" w:rsidP="00E474E2" w:rsidRDefault="00217BC7" w14:paraId="22D1E2E1" w14:textId="77777777">
            <w:pPr>
              <w:jc w:val="center"/>
              <w:rPr>
                <w:rFonts w:eastAsia="Calibri"/>
                <w:sz w:val="20"/>
              </w:rPr>
            </w:pPr>
            <w:r w:rsidRPr="005F315C">
              <w:rPr>
                <w:rFonts w:eastAsia="Calibri"/>
                <w:sz w:val="20"/>
              </w:rPr>
              <w:t>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5F315C" w:rsidR="00217BC7" w:rsidP="00E474E2" w:rsidRDefault="007A6422" w14:paraId="68F9A2E2" w14:textId="77777777">
            <w:pPr>
              <w:jc w:val="center"/>
              <w:rPr>
                <w:rFonts w:eastAsia="Calibri"/>
                <w:sz w:val="20"/>
              </w:rPr>
            </w:pPr>
            <w:r w:rsidRPr="005F315C">
              <w:rPr>
                <w:rFonts w:eastAsia="Calibri"/>
                <w:sz w:val="20"/>
              </w:rPr>
              <w:t>672</w:t>
            </w:r>
            <w:r w:rsidRPr="005F315C" w:rsidR="00217BC7">
              <w:rPr>
                <w:rFonts w:eastAsia="Calibri"/>
                <w:sz w:val="20"/>
              </w:rPr>
              <w:t xml:space="preserve"> x 120 = </w:t>
            </w:r>
          </w:p>
          <w:p w:rsidRPr="005F315C" w:rsidR="00217BC7" w:rsidP="00E474E2" w:rsidRDefault="007A6422" w14:paraId="4BEAAD70" w14:textId="77777777">
            <w:pPr>
              <w:jc w:val="center"/>
              <w:rPr>
                <w:rFonts w:eastAsia="Calibri"/>
                <w:sz w:val="20"/>
              </w:rPr>
            </w:pPr>
            <w:r w:rsidRPr="005F315C">
              <w:rPr>
                <w:rFonts w:eastAsia="Calibri"/>
                <w:sz w:val="20"/>
              </w:rPr>
              <w:t>80,64</w:t>
            </w:r>
            <w:r w:rsidRPr="005F315C" w:rsidR="00217BC7">
              <w:rPr>
                <w:rFonts w:eastAsia="Calibri"/>
                <w:sz w:val="20"/>
              </w:rPr>
              <w:t>0</w:t>
            </w:r>
          </w:p>
          <w:p w:rsidRPr="005F315C" w:rsidR="00217BC7" w:rsidP="00E474E2" w:rsidRDefault="00217BC7" w14:paraId="050C8CC4" w14:textId="77777777">
            <w:pPr>
              <w:jc w:val="center"/>
              <w:rPr>
                <w:rFonts w:eastAsia="Calibri"/>
                <w:sz w:val="20"/>
              </w:rPr>
            </w:pPr>
            <w:r w:rsidRPr="005F315C">
              <w:rPr>
                <w:rFonts w:eastAsia="Calibri"/>
                <w:sz w:val="20"/>
              </w:rPr>
              <w:t>hours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F315C" w:rsidR="00217BC7" w:rsidP="00E474E2" w:rsidRDefault="007A6422" w14:paraId="4D80DDF8" w14:textId="77777777">
            <w:pPr>
              <w:jc w:val="center"/>
              <w:rPr>
                <w:rFonts w:eastAsia="Calibri"/>
                <w:sz w:val="20"/>
              </w:rPr>
            </w:pPr>
            <w:r w:rsidRPr="005F315C">
              <w:rPr>
                <w:rFonts w:eastAsia="Calibri"/>
                <w:sz w:val="20"/>
              </w:rPr>
              <w:t>17</w:t>
            </w:r>
            <w:r w:rsidRPr="005F315C" w:rsidR="00217BC7">
              <w:rPr>
                <w:rFonts w:eastAsia="Calibri"/>
                <w:sz w:val="20"/>
              </w:rPr>
              <w:t xml:space="preserve"> x 160 =</w:t>
            </w:r>
          </w:p>
          <w:p w:rsidRPr="005F315C" w:rsidR="00217BC7" w:rsidP="00E474E2" w:rsidRDefault="007A6422" w14:paraId="63D057B8" w14:textId="77777777">
            <w:pPr>
              <w:jc w:val="center"/>
              <w:rPr>
                <w:rFonts w:eastAsia="Calibri"/>
                <w:sz w:val="20"/>
              </w:rPr>
            </w:pPr>
            <w:r w:rsidRPr="005F315C">
              <w:rPr>
                <w:rFonts w:eastAsia="Calibri"/>
                <w:sz w:val="20"/>
              </w:rPr>
              <w:t>2,720</w:t>
            </w:r>
          </w:p>
          <w:p w:rsidRPr="005F315C" w:rsidR="00217BC7" w:rsidP="00E474E2" w:rsidRDefault="00217BC7" w14:paraId="4AC22BDF" w14:textId="77777777">
            <w:pPr>
              <w:jc w:val="center"/>
              <w:rPr>
                <w:rFonts w:eastAsia="Calibri"/>
                <w:sz w:val="20"/>
              </w:rPr>
            </w:pPr>
            <w:r w:rsidRPr="005F315C">
              <w:rPr>
                <w:rFonts w:eastAsia="Calibri"/>
                <w:sz w:val="20"/>
              </w:rPr>
              <w:t>hours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5F315C" w:rsidR="00217BC7" w:rsidP="00E474E2" w:rsidRDefault="007A6422" w14:paraId="1619F7C9" w14:textId="77777777">
            <w:pPr>
              <w:jc w:val="center"/>
              <w:rPr>
                <w:rFonts w:eastAsia="Calibri"/>
                <w:sz w:val="20"/>
              </w:rPr>
            </w:pPr>
            <w:r w:rsidRPr="005F315C">
              <w:rPr>
                <w:rFonts w:eastAsia="Calibri"/>
                <w:sz w:val="20"/>
              </w:rPr>
              <w:t>2</w:t>
            </w:r>
            <w:r w:rsidRPr="005F315C" w:rsidR="00217BC7">
              <w:rPr>
                <w:rFonts w:eastAsia="Calibri"/>
                <w:sz w:val="20"/>
              </w:rPr>
              <w:t xml:space="preserve"> x 180 =</w:t>
            </w:r>
          </w:p>
          <w:p w:rsidRPr="005F315C" w:rsidR="00217BC7" w:rsidP="00E474E2" w:rsidRDefault="007A6422" w14:paraId="7D439177" w14:textId="77777777">
            <w:pPr>
              <w:jc w:val="center"/>
              <w:rPr>
                <w:rFonts w:eastAsia="Calibri"/>
                <w:sz w:val="20"/>
              </w:rPr>
            </w:pPr>
            <w:r w:rsidRPr="005F315C">
              <w:rPr>
                <w:rFonts w:eastAsia="Calibri"/>
                <w:sz w:val="20"/>
              </w:rPr>
              <w:t>36</w:t>
            </w:r>
            <w:r w:rsidRPr="005F315C" w:rsidR="00217BC7">
              <w:rPr>
                <w:rFonts w:eastAsia="Calibri"/>
                <w:sz w:val="20"/>
              </w:rPr>
              <w:t xml:space="preserve">0 </w:t>
            </w:r>
          </w:p>
          <w:p w:rsidRPr="005F315C" w:rsidR="00217BC7" w:rsidP="00E474E2" w:rsidRDefault="00217BC7" w14:paraId="24306BF5" w14:textId="77777777">
            <w:pPr>
              <w:jc w:val="center"/>
              <w:rPr>
                <w:rFonts w:eastAsia="Calibri"/>
                <w:sz w:val="20"/>
              </w:rPr>
            </w:pPr>
            <w:r w:rsidRPr="005F315C">
              <w:rPr>
                <w:rFonts w:eastAsia="Calibri"/>
                <w:sz w:val="20"/>
              </w:rPr>
              <w:t>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F315C" w:rsidR="00217BC7" w:rsidP="00E474E2" w:rsidRDefault="007A6422" w14:paraId="70AA54DE" w14:textId="77777777">
            <w:pPr>
              <w:jc w:val="center"/>
              <w:rPr>
                <w:rFonts w:eastAsia="Calibri"/>
                <w:sz w:val="20"/>
              </w:rPr>
            </w:pPr>
            <w:r w:rsidRPr="005F315C">
              <w:rPr>
                <w:rFonts w:eastAsia="Calibri"/>
                <w:sz w:val="20"/>
              </w:rPr>
              <w:t>4,914</w:t>
            </w:r>
          </w:p>
          <w:p w:rsidRPr="005F315C" w:rsidR="00217BC7" w:rsidP="00E474E2" w:rsidRDefault="00217BC7" w14:paraId="5186B1B2" w14:textId="77777777">
            <w:pPr>
              <w:jc w:val="center"/>
              <w:rPr>
                <w:rFonts w:eastAsia="Calibri"/>
                <w:sz w:val="20"/>
              </w:rPr>
            </w:pPr>
            <w:r w:rsidRPr="005F315C">
              <w:rPr>
                <w:rFonts w:eastAsia="Calibri"/>
                <w:sz w:val="20"/>
              </w:rPr>
              <w:t>respondents</w:t>
            </w:r>
          </w:p>
          <w:p w:rsidRPr="005F315C" w:rsidR="00217BC7" w:rsidP="00E474E2" w:rsidRDefault="00217BC7" w14:paraId="375BECFB" w14:textId="77777777">
            <w:pPr>
              <w:jc w:val="center"/>
              <w:rPr>
                <w:rFonts w:eastAsia="Calibri"/>
                <w:sz w:val="20"/>
              </w:rPr>
            </w:pPr>
            <w:r w:rsidRPr="005F315C">
              <w:rPr>
                <w:rFonts w:eastAsia="Calibri"/>
                <w:sz w:val="20"/>
              </w:rPr>
              <w:t>4</w:t>
            </w:r>
            <w:r w:rsidRPr="005F315C" w:rsidR="007A6422">
              <w:rPr>
                <w:rFonts w:eastAsia="Calibri"/>
                <w:sz w:val="20"/>
              </w:rPr>
              <w:t>21,560</w:t>
            </w:r>
          </w:p>
          <w:p w:rsidRPr="005F315C" w:rsidR="00217BC7" w:rsidP="00E474E2" w:rsidRDefault="00217BC7" w14:paraId="5C9F2190" w14:textId="77777777">
            <w:pPr>
              <w:jc w:val="center"/>
              <w:rPr>
                <w:rFonts w:eastAsia="Calibri"/>
                <w:sz w:val="20"/>
              </w:rPr>
            </w:pPr>
            <w:r w:rsidRPr="005F315C">
              <w:rPr>
                <w:rFonts w:eastAsia="Calibri"/>
                <w:sz w:val="20"/>
              </w:rPr>
              <w:t>hours</w:t>
            </w:r>
          </w:p>
        </w:tc>
      </w:tr>
      <w:tr w:rsidRPr="00FC6E08" w:rsidR="00217BC7" w:rsidTr="00E474E2" w14:paraId="2F76DB3B" w14:textId="77777777">
        <w:trPr>
          <w:cantSplit/>
          <w:trHeight w:val="395"/>
        </w:trPr>
        <w:tc>
          <w:tcPr>
            <w:tcW w:w="1890" w:type="dxa"/>
            <w:tcBorders>
              <w:top w:val="single" w:color="auto" w:sz="4" w:space="0"/>
              <w:left w:val="single" w:color="auto" w:sz="4" w:space="0"/>
              <w:bottom w:val="single" w:color="auto" w:sz="4" w:space="0"/>
              <w:right w:val="single" w:color="auto" w:sz="4" w:space="0"/>
            </w:tcBorders>
            <w:vAlign w:val="bottom"/>
            <w:hideMark/>
          </w:tcPr>
          <w:p w:rsidRPr="00FC6E08" w:rsidR="00217BC7" w:rsidP="00E474E2" w:rsidRDefault="00217BC7" w14:paraId="68E2AA0F" w14:textId="77777777">
            <w:pPr>
              <w:rPr>
                <w:rFonts w:eastAsia="Calibri"/>
                <w:b/>
                <w:sz w:val="20"/>
              </w:rPr>
            </w:pPr>
            <w:r w:rsidRPr="00FC6E08">
              <w:rPr>
                <w:rFonts w:eastAsia="Calibri"/>
                <w:b/>
                <w:sz w:val="20"/>
              </w:rPr>
              <w:t xml:space="preserve">Total: </w:t>
            </w:r>
          </w:p>
          <w:p w:rsidRPr="00FC6E08" w:rsidR="00217BC7" w:rsidP="00E474E2" w:rsidRDefault="00217BC7" w14:paraId="5AA2EB79" w14:textId="77777777">
            <w:pPr>
              <w:rPr>
                <w:rFonts w:eastAsia="Calibri"/>
                <w:b/>
                <w:sz w:val="20"/>
              </w:rPr>
            </w:pPr>
          </w:p>
        </w:tc>
        <w:tc>
          <w:tcPr>
            <w:tcW w:w="1530" w:type="dxa"/>
            <w:tcBorders>
              <w:top w:val="single" w:color="auto" w:sz="4" w:space="0"/>
              <w:left w:val="single" w:color="auto" w:sz="4" w:space="0"/>
              <w:bottom w:val="single" w:color="auto" w:sz="4" w:space="0"/>
              <w:right w:val="single" w:color="auto" w:sz="4" w:space="0"/>
            </w:tcBorders>
            <w:vAlign w:val="center"/>
          </w:tcPr>
          <w:p w:rsidRPr="00FC6E08" w:rsidR="00217BC7" w:rsidP="00E474E2" w:rsidRDefault="00217BC7" w14:paraId="550EFFD8" w14:textId="1D5358B2">
            <w:pPr>
              <w:jc w:val="center"/>
              <w:rPr>
                <w:rFonts w:eastAsia="Calibri"/>
                <w:sz w:val="20"/>
              </w:rPr>
            </w:pPr>
          </w:p>
        </w:tc>
        <w:tc>
          <w:tcPr>
            <w:tcW w:w="1530" w:type="dxa"/>
            <w:tcBorders>
              <w:top w:val="single" w:color="auto" w:sz="4" w:space="0"/>
              <w:left w:val="single" w:color="auto" w:sz="4" w:space="0"/>
              <w:bottom w:val="single" w:color="auto" w:sz="4" w:space="0"/>
              <w:right w:val="single" w:color="auto" w:sz="4" w:space="0"/>
            </w:tcBorders>
            <w:vAlign w:val="center"/>
          </w:tcPr>
          <w:p w:rsidRPr="00FC6E08" w:rsidR="00217BC7" w:rsidP="00E474E2" w:rsidRDefault="00217BC7" w14:paraId="4BBFC44E" w14:textId="3168D22A">
            <w:pPr>
              <w:jc w:val="center"/>
              <w:rPr>
                <w:rFonts w:eastAsia="Calibri"/>
                <w:sz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FC6E08" w:rsidR="00217BC7" w:rsidP="00E474E2" w:rsidRDefault="00217BC7" w14:paraId="5F31E7DD" w14:textId="5C367D11">
            <w:pPr>
              <w:jc w:val="center"/>
              <w:rPr>
                <w:rFonts w:eastAsia="Calibri"/>
                <w:sz w:val="20"/>
              </w:rPr>
            </w:pPr>
          </w:p>
        </w:tc>
        <w:tc>
          <w:tcPr>
            <w:tcW w:w="1620" w:type="dxa"/>
            <w:tcBorders>
              <w:top w:val="single" w:color="auto" w:sz="4" w:space="0"/>
              <w:left w:val="single" w:color="auto" w:sz="4" w:space="0"/>
              <w:bottom w:val="single" w:color="auto" w:sz="4" w:space="0"/>
              <w:right w:val="single" w:color="auto" w:sz="4" w:space="0"/>
            </w:tcBorders>
            <w:vAlign w:val="center"/>
          </w:tcPr>
          <w:p w:rsidRPr="00FC6E08" w:rsidR="00217BC7" w:rsidP="00E474E2" w:rsidRDefault="00217BC7" w14:paraId="40F9DE7F" w14:textId="50796578">
            <w:pPr>
              <w:jc w:val="center"/>
              <w:rPr>
                <w:rFonts w:eastAsia="Calibri"/>
                <w:b/>
                <w:sz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FC6E08" w:rsidR="00217BC7" w:rsidP="00E474E2" w:rsidRDefault="00217BC7" w14:paraId="4CD99384" w14:textId="77777777">
            <w:pPr>
              <w:jc w:val="center"/>
              <w:rPr>
                <w:rFonts w:eastAsia="Calibri"/>
                <w:sz w:val="20"/>
              </w:rPr>
            </w:pPr>
          </w:p>
          <w:p w:rsidRPr="00FC6E08" w:rsidR="00217BC7" w:rsidP="00E474E2" w:rsidRDefault="0020724A" w14:paraId="51FCFF93" w14:textId="13DD33EE">
            <w:pPr>
              <w:jc w:val="center"/>
              <w:rPr>
                <w:rFonts w:eastAsia="Calibri"/>
                <w:sz w:val="20"/>
              </w:rPr>
            </w:pPr>
            <w:r w:rsidRPr="00FC6E08">
              <w:rPr>
                <w:rFonts w:eastAsia="Calibri"/>
                <w:sz w:val="20"/>
              </w:rPr>
              <w:t>12,781</w:t>
            </w:r>
          </w:p>
          <w:p w:rsidRPr="00FC6E08" w:rsidR="00217BC7" w:rsidP="00E474E2" w:rsidRDefault="00217BC7" w14:paraId="71E59553" w14:textId="77777777">
            <w:pPr>
              <w:jc w:val="center"/>
              <w:rPr>
                <w:rFonts w:eastAsia="Calibri"/>
                <w:sz w:val="20"/>
              </w:rPr>
            </w:pPr>
            <w:r w:rsidRPr="00FC6E08">
              <w:rPr>
                <w:rFonts w:eastAsia="Calibri"/>
                <w:sz w:val="20"/>
              </w:rPr>
              <w:t>Respondents</w:t>
            </w:r>
          </w:p>
          <w:p w:rsidRPr="00FC6E08" w:rsidR="00217BC7" w:rsidP="00E474E2" w:rsidRDefault="0020724A" w14:paraId="0F9E72B6" w14:textId="5AC21791">
            <w:pPr>
              <w:jc w:val="center"/>
              <w:rPr>
                <w:rFonts w:eastAsia="Calibri"/>
                <w:sz w:val="20"/>
              </w:rPr>
            </w:pPr>
            <w:r w:rsidRPr="00FC6E08">
              <w:rPr>
                <w:rFonts w:eastAsia="Calibri"/>
                <w:sz w:val="20"/>
              </w:rPr>
              <w:t>1,154,540</w:t>
            </w:r>
          </w:p>
          <w:p w:rsidRPr="00FC6E08" w:rsidR="00217BC7" w:rsidP="00E474E2" w:rsidRDefault="00217BC7" w14:paraId="4CA376C6" w14:textId="77777777">
            <w:pPr>
              <w:jc w:val="center"/>
              <w:rPr>
                <w:rFonts w:eastAsia="Calibri"/>
                <w:sz w:val="20"/>
              </w:rPr>
            </w:pPr>
            <w:r w:rsidRPr="00FC6E08">
              <w:rPr>
                <w:rFonts w:eastAsia="Calibri"/>
                <w:sz w:val="20"/>
              </w:rPr>
              <w:t>hours</w:t>
            </w:r>
          </w:p>
          <w:p w:rsidRPr="00FC6E08" w:rsidR="00217BC7" w:rsidP="00E474E2" w:rsidRDefault="00217BC7" w14:paraId="36106EC9" w14:textId="77777777">
            <w:pPr>
              <w:jc w:val="center"/>
              <w:rPr>
                <w:rFonts w:eastAsia="Calibri"/>
                <w:b/>
                <w:sz w:val="20"/>
              </w:rPr>
            </w:pPr>
          </w:p>
        </w:tc>
      </w:tr>
    </w:tbl>
    <w:p w:rsidR="00E0506D" w:rsidP="00717AE5" w:rsidRDefault="00E0506D" w14:paraId="7DC52179" w14:textId="77777777">
      <w:pPr>
        <w:rPr>
          <w:rStyle w:val="a"/>
          <w:b/>
          <w:sz w:val="23"/>
          <w:szCs w:val="23"/>
        </w:rPr>
      </w:pPr>
    </w:p>
    <w:p w:rsidR="00895080" w:rsidP="00717AE5" w:rsidRDefault="00895080" w14:paraId="0EA22442" w14:textId="77777777">
      <w:pPr>
        <w:rPr>
          <w:rStyle w:val="a"/>
          <w:b/>
          <w:sz w:val="23"/>
          <w:szCs w:val="23"/>
        </w:rPr>
      </w:pPr>
    </w:p>
    <w:p w:rsidRPr="003D3B1E" w:rsidR="008E3EFD" w:rsidP="00717AE5" w:rsidRDefault="00B90AFA" w14:paraId="7D55B0D8" w14:textId="49F48FAD">
      <w:pPr>
        <w:rPr>
          <w:b/>
          <w:bCs/>
          <w:iCs/>
          <w:sz w:val="23"/>
          <w:szCs w:val="23"/>
        </w:rPr>
      </w:pPr>
      <w:r>
        <w:rPr>
          <w:rStyle w:val="a"/>
          <w:b/>
          <w:sz w:val="23"/>
          <w:szCs w:val="23"/>
        </w:rPr>
        <w:t>1,154,540</w:t>
      </w:r>
      <w:r w:rsidRPr="003D3B1E" w:rsidR="00C7792D">
        <w:rPr>
          <w:rStyle w:val="a"/>
          <w:b/>
          <w:sz w:val="23"/>
          <w:szCs w:val="23"/>
        </w:rPr>
        <w:t xml:space="preserve"> </w:t>
      </w:r>
      <w:r w:rsidRPr="003D3B1E" w:rsidR="007A4F4E">
        <w:rPr>
          <w:b/>
          <w:bCs/>
          <w:iCs/>
          <w:sz w:val="23"/>
          <w:szCs w:val="23"/>
        </w:rPr>
        <w:t>x $</w:t>
      </w:r>
      <w:r w:rsidRPr="003D3B1E" w:rsidR="009E3405">
        <w:rPr>
          <w:b/>
          <w:bCs/>
          <w:iCs/>
          <w:sz w:val="23"/>
          <w:szCs w:val="23"/>
        </w:rPr>
        <w:t>1</w:t>
      </w:r>
      <w:r w:rsidR="00CC6E0E">
        <w:rPr>
          <w:b/>
          <w:bCs/>
          <w:iCs/>
          <w:sz w:val="23"/>
          <w:szCs w:val="23"/>
        </w:rPr>
        <w:t>1</w:t>
      </w:r>
      <w:r>
        <w:rPr>
          <w:b/>
          <w:bCs/>
          <w:iCs/>
          <w:sz w:val="23"/>
          <w:szCs w:val="23"/>
        </w:rPr>
        <w:t>9</w:t>
      </w:r>
      <w:r w:rsidR="007A6422">
        <w:rPr>
          <w:b/>
          <w:bCs/>
          <w:iCs/>
          <w:sz w:val="23"/>
          <w:szCs w:val="23"/>
        </w:rPr>
        <w:t>.</w:t>
      </w:r>
      <w:r>
        <w:rPr>
          <w:b/>
          <w:bCs/>
          <w:iCs/>
          <w:sz w:val="23"/>
          <w:szCs w:val="23"/>
        </w:rPr>
        <w:t>63</w:t>
      </w:r>
      <w:r w:rsidRPr="003D3B1E" w:rsidR="008E3EFD">
        <w:rPr>
          <w:b/>
          <w:bCs/>
          <w:iCs/>
          <w:sz w:val="23"/>
          <w:szCs w:val="23"/>
        </w:rPr>
        <w:t xml:space="preserve"> = </w:t>
      </w:r>
      <w:r w:rsidRPr="003D3B1E" w:rsidR="002E6C46">
        <w:rPr>
          <w:b/>
          <w:bCs/>
          <w:iCs/>
          <w:sz w:val="23"/>
          <w:szCs w:val="23"/>
        </w:rPr>
        <w:t>$</w:t>
      </w:r>
      <w:r>
        <w:rPr>
          <w:b/>
          <w:bCs/>
          <w:iCs/>
          <w:sz w:val="23"/>
          <w:szCs w:val="23"/>
        </w:rPr>
        <w:t>138,117,620.20</w:t>
      </w:r>
    </w:p>
    <w:p w:rsidRPr="003D3B1E" w:rsidR="00651CFB" w:rsidP="00717AE5" w:rsidRDefault="00651CFB" w14:paraId="5B6E4980" w14:textId="77777777">
      <w:pPr>
        <w:rPr>
          <w:b/>
          <w:bCs/>
          <w:sz w:val="23"/>
          <w:szCs w:val="23"/>
        </w:rPr>
      </w:pPr>
    </w:p>
    <w:p w:rsidR="00B90AFA" w:rsidP="00B90AFA" w:rsidRDefault="00B90AFA" w14:paraId="3D156E50" w14:textId="77777777">
      <w:pPr>
        <w:rPr>
          <w:color w:val="000000"/>
          <w:szCs w:val="24"/>
        </w:rPr>
      </w:pPr>
      <w:r>
        <w:rPr>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3D3B1E" w:rsidR="00457B1C" w:rsidP="00717AE5" w:rsidRDefault="00651CFB" w14:paraId="64E48334" w14:textId="77777777">
      <w:pPr>
        <w:rPr>
          <w:sz w:val="23"/>
          <w:szCs w:val="23"/>
        </w:rPr>
      </w:pPr>
      <w:r w:rsidRPr="003D3B1E">
        <w:rPr>
          <w:sz w:val="23"/>
          <w:szCs w:val="23"/>
        </w:rPr>
        <w:t xml:space="preserve">          </w:t>
      </w:r>
      <w:r w:rsidRPr="003D3B1E" w:rsidR="00104F41">
        <w:rPr>
          <w:sz w:val="23"/>
          <w:szCs w:val="23"/>
        </w:rPr>
        <w:t xml:space="preserve">                              </w:t>
      </w:r>
    </w:p>
    <w:p w:rsidRPr="003D3B1E" w:rsidR="00651CFB" w:rsidP="00717AE5" w:rsidRDefault="00651CFB" w14:paraId="2D8A5AC0" w14:textId="77777777">
      <w:pPr>
        <w:pStyle w:val="BodyText"/>
        <w:rPr>
          <w:b/>
          <w:bCs/>
          <w:sz w:val="23"/>
          <w:szCs w:val="23"/>
        </w:rPr>
      </w:pPr>
      <w:r w:rsidRPr="003D3B1E">
        <w:rPr>
          <w:b/>
          <w:bCs/>
          <w:sz w:val="23"/>
          <w:szCs w:val="23"/>
        </w:rPr>
        <w:t xml:space="preserve">13.  Estimate of total annual </w:t>
      </w:r>
      <w:r w:rsidRPr="003D3B1E" w:rsidR="000C121A">
        <w:rPr>
          <w:b/>
          <w:bCs/>
          <w:sz w:val="23"/>
          <w:szCs w:val="23"/>
        </w:rPr>
        <w:t xml:space="preserve">startup and annual capital </w:t>
      </w:r>
      <w:r w:rsidRPr="003D3B1E">
        <w:rPr>
          <w:b/>
          <w:bCs/>
          <w:sz w:val="23"/>
          <w:szCs w:val="23"/>
        </w:rPr>
        <w:t>costs to respondents (excluding cost of hour burden in Item #12):</w:t>
      </w:r>
    </w:p>
    <w:p w:rsidRPr="003D3B1E" w:rsidR="00651CFB" w:rsidP="00717AE5" w:rsidRDefault="00651CFB" w14:paraId="2FC85111" w14:textId="77777777">
      <w:pPr>
        <w:rPr>
          <w:sz w:val="23"/>
          <w:szCs w:val="23"/>
        </w:rPr>
      </w:pPr>
    </w:p>
    <w:p w:rsidRPr="003D3B1E" w:rsidR="00651CFB" w:rsidP="00717AE5" w:rsidRDefault="009A787F" w14:paraId="32DAC06F" w14:textId="77777777">
      <w:pPr>
        <w:rPr>
          <w:sz w:val="23"/>
          <w:szCs w:val="23"/>
        </w:rPr>
      </w:pPr>
      <w:r w:rsidRPr="003D3B1E">
        <w:rPr>
          <w:sz w:val="23"/>
          <w:szCs w:val="23"/>
        </w:rPr>
        <w:tab/>
      </w:r>
      <w:r w:rsidRPr="003D3B1E" w:rsidR="00651CFB">
        <w:rPr>
          <w:sz w:val="23"/>
          <w:szCs w:val="23"/>
        </w:rPr>
        <w:t>Not applicable.</w:t>
      </w:r>
    </w:p>
    <w:p w:rsidRPr="003D3B1E" w:rsidR="00651CFB" w:rsidP="00717AE5" w:rsidRDefault="00651CFB" w14:paraId="0D153234" w14:textId="77777777">
      <w:pPr>
        <w:rPr>
          <w:sz w:val="23"/>
          <w:szCs w:val="23"/>
        </w:rPr>
      </w:pPr>
    </w:p>
    <w:p w:rsidRPr="003D3B1E" w:rsidR="00651CFB" w:rsidP="00717AE5" w:rsidRDefault="00651CFB" w14:paraId="01339A22" w14:textId="77777777">
      <w:pPr>
        <w:pStyle w:val="BodyText"/>
        <w:rPr>
          <w:b/>
          <w:bCs/>
          <w:sz w:val="23"/>
          <w:szCs w:val="23"/>
        </w:rPr>
      </w:pPr>
      <w:r w:rsidRPr="003D3B1E">
        <w:rPr>
          <w:b/>
          <w:bCs/>
          <w:sz w:val="23"/>
          <w:szCs w:val="23"/>
        </w:rPr>
        <w:t>14.  Estimate of annualized costs to the Federal government:</w:t>
      </w:r>
    </w:p>
    <w:p w:rsidRPr="003D3B1E" w:rsidR="00651CFB" w:rsidP="00717AE5" w:rsidRDefault="00651CFB" w14:paraId="33ACC865" w14:textId="77777777">
      <w:pPr>
        <w:pStyle w:val="Footer"/>
        <w:tabs>
          <w:tab w:val="clear" w:pos="4320"/>
          <w:tab w:val="clear" w:pos="8640"/>
        </w:tabs>
        <w:rPr>
          <w:sz w:val="23"/>
          <w:szCs w:val="23"/>
        </w:rPr>
      </w:pPr>
    </w:p>
    <w:p w:rsidRPr="003D3B1E" w:rsidR="00651CFB" w:rsidP="00717AE5" w:rsidRDefault="009A787F" w14:paraId="06908D75" w14:textId="77777777">
      <w:pPr>
        <w:rPr>
          <w:sz w:val="23"/>
          <w:szCs w:val="23"/>
        </w:rPr>
      </w:pPr>
      <w:r w:rsidRPr="003D3B1E">
        <w:rPr>
          <w:sz w:val="23"/>
          <w:szCs w:val="23"/>
        </w:rPr>
        <w:tab/>
      </w:r>
      <w:r w:rsidRPr="003D3B1E" w:rsidR="00651CFB">
        <w:rPr>
          <w:sz w:val="23"/>
          <w:szCs w:val="23"/>
        </w:rPr>
        <w:t>Not applicable.</w:t>
      </w:r>
    </w:p>
    <w:p w:rsidRPr="003D3B1E" w:rsidR="00651CFB" w:rsidP="00717AE5" w:rsidRDefault="00651CFB" w14:paraId="728F7A69" w14:textId="77777777">
      <w:pPr>
        <w:rPr>
          <w:sz w:val="23"/>
          <w:szCs w:val="23"/>
        </w:rPr>
      </w:pPr>
    </w:p>
    <w:p w:rsidRPr="003D3B1E" w:rsidR="00651CFB" w:rsidP="00717AE5" w:rsidRDefault="00651CFB" w14:paraId="0557F97C" w14:textId="77777777">
      <w:pPr>
        <w:pStyle w:val="BodyText"/>
        <w:rPr>
          <w:b/>
          <w:bCs/>
          <w:sz w:val="23"/>
          <w:szCs w:val="23"/>
        </w:rPr>
      </w:pPr>
      <w:r w:rsidRPr="003D3B1E">
        <w:rPr>
          <w:b/>
          <w:bCs/>
          <w:sz w:val="23"/>
          <w:szCs w:val="23"/>
        </w:rPr>
        <w:t>15.  Change in burden:</w:t>
      </w:r>
    </w:p>
    <w:p w:rsidRPr="00E474E2" w:rsidR="00651CFB" w:rsidP="00717AE5" w:rsidRDefault="00651CFB" w14:paraId="1B0AB223" w14:textId="77777777">
      <w:pPr>
        <w:rPr>
          <w:color w:val="000000"/>
          <w:sz w:val="23"/>
          <w:szCs w:val="23"/>
        </w:rPr>
      </w:pPr>
    </w:p>
    <w:p w:rsidRPr="00E474E2" w:rsidR="00966A53" w:rsidP="00B27577" w:rsidRDefault="00B27577" w14:paraId="0460A303" w14:textId="136C8712">
      <w:pPr>
        <w:rPr>
          <w:rFonts w:eastAsia="Calibri"/>
          <w:color w:val="000000"/>
          <w:sz w:val="20"/>
        </w:rPr>
      </w:pPr>
      <w:r w:rsidRPr="00E474E2">
        <w:rPr>
          <w:color w:val="000000"/>
          <w:sz w:val="23"/>
          <w:szCs w:val="23"/>
        </w:rPr>
        <w:t xml:space="preserve">            </w:t>
      </w:r>
      <w:r w:rsidRPr="00E474E2" w:rsidR="00966A53">
        <w:rPr>
          <w:color w:val="000000"/>
          <w:sz w:val="23"/>
          <w:szCs w:val="23"/>
        </w:rPr>
        <w:t>Previous Burden</w:t>
      </w:r>
      <w:r w:rsidRPr="00E474E2" w:rsidR="00966A53">
        <w:rPr>
          <w:color w:val="000000"/>
          <w:szCs w:val="24"/>
        </w:rPr>
        <w:t xml:space="preserve">: </w:t>
      </w:r>
      <w:r w:rsidRPr="00E474E2" w:rsidR="009C473A">
        <w:rPr>
          <w:rFonts w:eastAsia="Calibri"/>
          <w:color w:val="000000"/>
          <w:szCs w:val="24"/>
        </w:rPr>
        <w:t>1,215,140</w:t>
      </w:r>
      <w:r w:rsidRPr="00E474E2" w:rsidR="00966A53">
        <w:rPr>
          <w:rFonts w:ascii="Arial" w:hAnsi="Arial" w:cs="Arial"/>
          <w:color w:val="000000"/>
          <w:sz w:val="17"/>
          <w:szCs w:val="17"/>
        </w:rPr>
        <w:br/>
      </w:r>
      <w:r w:rsidRPr="00E474E2">
        <w:rPr>
          <w:rFonts w:ascii="Arial" w:hAnsi="Arial" w:cs="Arial"/>
          <w:color w:val="000000"/>
          <w:sz w:val="17"/>
          <w:szCs w:val="17"/>
        </w:rPr>
        <w:t xml:space="preserve">               </w:t>
      </w:r>
      <w:r w:rsidRPr="00E474E2" w:rsidR="00966A53">
        <w:rPr>
          <w:color w:val="000000"/>
          <w:szCs w:val="24"/>
        </w:rPr>
        <w:t xml:space="preserve">Current Burden: </w:t>
      </w:r>
      <w:r w:rsidR="00090816">
        <w:rPr>
          <w:color w:val="000000"/>
          <w:szCs w:val="24"/>
        </w:rPr>
        <w:t>1,154,540</w:t>
      </w:r>
    </w:p>
    <w:p w:rsidRPr="00E474E2" w:rsidR="00966A53" w:rsidP="00966A53" w:rsidRDefault="00B27577" w14:paraId="0A5A69B5" w14:textId="0007CB95">
      <w:pPr>
        <w:spacing w:line="225" w:lineRule="atLeast"/>
        <w:rPr>
          <w:color w:val="000000"/>
          <w:szCs w:val="24"/>
        </w:rPr>
      </w:pPr>
      <w:r w:rsidRPr="00E474E2">
        <w:rPr>
          <w:color w:val="000000"/>
          <w:szCs w:val="24"/>
        </w:rPr>
        <w:t xml:space="preserve">            Difference:  </w:t>
      </w:r>
      <w:r w:rsidR="00ED4CAD">
        <w:rPr>
          <w:color w:val="000000"/>
          <w:szCs w:val="24"/>
        </w:rPr>
        <w:t>-</w:t>
      </w:r>
      <w:r w:rsidR="00090816">
        <w:rPr>
          <w:color w:val="000000"/>
          <w:szCs w:val="24"/>
        </w:rPr>
        <w:t xml:space="preserve"> 60,600</w:t>
      </w:r>
    </w:p>
    <w:p w:rsidRPr="00E474E2" w:rsidR="00966A53" w:rsidP="00717AE5" w:rsidRDefault="00966A53" w14:paraId="49960066" w14:textId="77777777">
      <w:pPr>
        <w:rPr>
          <w:color w:val="000000"/>
          <w:sz w:val="23"/>
          <w:szCs w:val="23"/>
        </w:rPr>
      </w:pPr>
    </w:p>
    <w:p w:rsidRPr="003D3B1E" w:rsidR="00753AFF" w:rsidP="009E1758" w:rsidRDefault="00205598" w14:paraId="1A9A1303" w14:textId="48F2551B">
      <w:pPr>
        <w:tabs>
          <w:tab w:val="left" w:pos="450"/>
          <w:tab w:val="left" w:pos="540"/>
          <w:tab w:val="left" w:pos="630"/>
          <w:tab w:val="left" w:pos="720"/>
          <w:tab w:val="left" w:pos="810"/>
        </w:tabs>
        <w:rPr>
          <w:sz w:val="23"/>
          <w:szCs w:val="23"/>
        </w:rPr>
      </w:pPr>
      <w:r>
        <w:rPr>
          <w:sz w:val="23"/>
          <w:szCs w:val="23"/>
        </w:rPr>
        <w:tab/>
      </w:r>
      <w:r w:rsidR="009E1758">
        <w:rPr>
          <w:sz w:val="23"/>
          <w:szCs w:val="23"/>
        </w:rPr>
        <w:t xml:space="preserve">    </w:t>
      </w:r>
      <w:r w:rsidR="00B27577">
        <w:rPr>
          <w:sz w:val="23"/>
          <w:szCs w:val="23"/>
        </w:rPr>
        <w:t xml:space="preserve">The </w:t>
      </w:r>
      <w:r w:rsidR="009C473A">
        <w:rPr>
          <w:sz w:val="23"/>
          <w:szCs w:val="23"/>
        </w:rPr>
        <w:t>change</w:t>
      </w:r>
      <w:r w:rsidR="00B27577">
        <w:rPr>
          <w:sz w:val="23"/>
          <w:szCs w:val="23"/>
        </w:rPr>
        <w:t xml:space="preserve"> in burden is due </w:t>
      </w:r>
      <w:r w:rsidR="00824280">
        <w:rPr>
          <w:sz w:val="23"/>
          <w:szCs w:val="23"/>
        </w:rPr>
        <w:t>to changes in the number of regulated entities within each asset size category</w:t>
      </w:r>
      <w:r w:rsidR="00820791">
        <w:rPr>
          <w:sz w:val="23"/>
          <w:szCs w:val="23"/>
        </w:rPr>
        <w:t>.</w:t>
      </w:r>
    </w:p>
    <w:p w:rsidRPr="003D3B1E" w:rsidR="00753AFF" w:rsidP="00717AE5" w:rsidRDefault="00753AFF" w14:paraId="23D81848" w14:textId="77777777">
      <w:pPr>
        <w:rPr>
          <w:sz w:val="23"/>
          <w:szCs w:val="23"/>
        </w:rPr>
      </w:pPr>
    </w:p>
    <w:p w:rsidRPr="003D3B1E" w:rsidR="00651CFB" w:rsidP="00717AE5" w:rsidRDefault="00651CFB" w14:paraId="342852DB" w14:textId="77777777">
      <w:pPr>
        <w:pStyle w:val="BodyText"/>
        <w:rPr>
          <w:b/>
          <w:bCs/>
          <w:sz w:val="23"/>
          <w:szCs w:val="23"/>
        </w:rPr>
      </w:pPr>
      <w:r w:rsidRPr="003D3B1E">
        <w:rPr>
          <w:b/>
          <w:bCs/>
          <w:sz w:val="23"/>
          <w:szCs w:val="23"/>
        </w:rPr>
        <w:t>16.  Information regarding collections whose results are to be published for statistical use:</w:t>
      </w:r>
    </w:p>
    <w:p w:rsidRPr="003D3B1E" w:rsidR="00651CFB" w:rsidP="00717AE5" w:rsidRDefault="00651CFB" w14:paraId="09FF6717" w14:textId="77777777">
      <w:pPr>
        <w:rPr>
          <w:sz w:val="23"/>
          <w:szCs w:val="23"/>
        </w:rPr>
      </w:pPr>
    </w:p>
    <w:p w:rsidRPr="003D3B1E" w:rsidR="00651CFB" w:rsidP="00717AE5" w:rsidRDefault="009A787F" w14:paraId="2622946E" w14:textId="77777777">
      <w:pPr>
        <w:rPr>
          <w:sz w:val="23"/>
          <w:szCs w:val="23"/>
        </w:rPr>
      </w:pPr>
      <w:r w:rsidRPr="003D3B1E">
        <w:rPr>
          <w:sz w:val="23"/>
          <w:szCs w:val="23"/>
        </w:rPr>
        <w:tab/>
      </w:r>
      <w:r w:rsidRPr="003D3B1E" w:rsidR="00651CFB">
        <w:rPr>
          <w:sz w:val="23"/>
          <w:szCs w:val="23"/>
        </w:rPr>
        <w:t xml:space="preserve">The </w:t>
      </w:r>
      <w:r w:rsidR="00461AF2">
        <w:rPr>
          <w:sz w:val="23"/>
          <w:szCs w:val="23"/>
        </w:rPr>
        <w:t>A</w:t>
      </w:r>
      <w:r w:rsidRPr="003D3B1E" w:rsidR="00F76A15">
        <w:rPr>
          <w:sz w:val="23"/>
          <w:szCs w:val="23"/>
        </w:rPr>
        <w:t xml:space="preserve">gencies </w:t>
      </w:r>
      <w:r w:rsidRPr="003D3B1E" w:rsidR="00651CFB">
        <w:rPr>
          <w:sz w:val="23"/>
          <w:szCs w:val="23"/>
        </w:rPr>
        <w:t>ha</w:t>
      </w:r>
      <w:r w:rsidRPr="003D3B1E" w:rsidR="00D66DA1">
        <w:rPr>
          <w:sz w:val="23"/>
          <w:szCs w:val="23"/>
        </w:rPr>
        <w:t>ve</w:t>
      </w:r>
      <w:r w:rsidRPr="003D3B1E" w:rsidR="00651CFB">
        <w:rPr>
          <w:sz w:val="23"/>
          <w:szCs w:val="23"/>
        </w:rPr>
        <w:t xml:space="preserve"> no plans to publish the information for statistical purposes.</w:t>
      </w:r>
    </w:p>
    <w:p w:rsidRPr="003D3B1E" w:rsidR="00651CFB" w:rsidP="00717AE5" w:rsidRDefault="00651CFB" w14:paraId="17A506D9" w14:textId="77777777">
      <w:pPr>
        <w:rPr>
          <w:sz w:val="23"/>
          <w:szCs w:val="23"/>
        </w:rPr>
      </w:pPr>
    </w:p>
    <w:p w:rsidRPr="003D3B1E" w:rsidR="00651CFB" w:rsidP="00366688" w:rsidRDefault="00651CFB" w14:paraId="31045FDD" w14:textId="77777777">
      <w:pPr>
        <w:pStyle w:val="BodyText"/>
        <w:keepNext/>
        <w:rPr>
          <w:b/>
          <w:bCs/>
          <w:sz w:val="23"/>
          <w:szCs w:val="23"/>
        </w:rPr>
      </w:pPr>
      <w:r w:rsidRPr="003D3B1E">
        <w:rPr>
          <w:b/>
          <w:bCs/>
          <w:sz w:val="23"/>
          <w:szCs w:val="23"/>
        </w:rPr>
        <w:lastRenderedPageBreak/>
        <w:t>17.  Reasons for not displaying OMB approval expiration date:</w:t>
      </w:r>
    </w:p>
    <w:p w:rsidRPr="003D3B1E" w:rsidR="00651CFB" w:rsidP="00366688" w:rsidRDefault="00651CFB" w14:paraId="0FDE817F" w14:textId="77777777">
      <w:pPr>
        <w:keepNext/>
        <w:rPr>
          <w:sz w:val="23"/>
          <w:szCs w:val="23"/>
        </w:rPr>
      </w:pPr>
    </w:p>
    <w:p w:rsidRPr="003D3B1E" w:rsidR="00651CFB" w:rsidP="00366688" w:rsidRDefault="009A787F" w14:paraId="661AA14D" w14:textId="77777777">
      <w:pPr>
        <w:keepNext/>
        <w:rPr>
          <w:sz w:val="23"/>
          <w:szCs w:val="23"/>
        </w:rPr>
      </w:pPr>
      <w:r w:rsidRPr="003D3B1E">
        <w:rPr>
          <w:sz w:val="23"/>
          <w:szCs w:val="23"/>
        </w:rPr>
        <w:tab/>
      </w:r>
      <w:r w:rsidRPr="003D3B1E" w:rsidR="00D66DA1">
        <w:rPr>
          <w:sz w:val="23"/>
          <w:szCs w:val="23"/>
        </w:rPr>
        <w:t xml:space="preserve">Not applicable.  </w:t>
      </w:r>
      <w:r w:rsidRPr="003D3B1E" w:rsidR="00651CFB">
        <w:rPr>
          <w:sz w:val="23"/>
          <w:szCs w:val="23"/>
        </w:rPr>
        <w:t xml:space="preserve">The </w:t>
      </w:r>
      <w:r w:rsidR="00461AF2">
        <w:rPr>
          <w:sz w:val="23"/>
          <w:szCs w:val="23"/>
        </w:rPr>
        <w:t>A</w:t>
      </w:r>
      <w:r w:rsidRPr="003D3B1E" w:rsidR="00F76A15">
        <w:rPr>
          <w:sz w:val="23"/>
          <w:szCs w:val="23"/>
        </w:rPr>
        <w:t xml:space="preserve">gencies </w:t>
      </w:r>
      <w:r w:rsidRPr="003D3B1E" w:rsidR="00E133AA">
        <w:rPr>
          <w:sz w:val="23"/>
          <w:szCs w:val="23"/>
        </w:rPr>
        <w:t>will</w:t>
      </w:r>
      <w:r w:rsidRPr="003D3B1E" w:rsidR="00651CFB">
        <w:rPr>
          <w:sz w:val="23"/>
          <w:szCs w:val="23"/>
        </w:rPr>
        <w:t xml:space="preserve"> display the OMB approval expiration date.</w:t>
      </w:r>
    </w:p>
    <w:p w:rsidRPr="003D3B1E" w:rsidR="00651CFB" w:rsidP="00717AE5" w:rsidRDefault="00651CFB" w14:paraId="26AB01B5" w14:textId="77777777">
      <w:pPr>
        <w:rPr>
          <w:sz w:val="23"/>
          <w:szCs w:val="23"/>
        </w:rPr>
      </w:pPr>
    </w:p>
    <w:p w:rsidRPr="003D3B1E" w:rsidR="00651CFB" w:rsidP="00717AE5" w:rsidRDefault="00651CFB" w14:paraId="096D4477" w14:textId="77777777">
      <w:pPr>
        <w:pStyle w:val="BodyText"/>
        <w:rPr>
          <w:b/>
          <w:bCs/>
          <w:sz w:val="23"/>
          <w:szCs w:val="23"/>
        </w:rPr>
      </w:pPr>
      <w:r w:rsidRPr="003D3B1E">
        <w:rPr>
          <w:b/>
          <w:bCs/>
          <w:sz w:val="23"/>
          <w:szCs w:val="23"/>
        </w:rPr>
        <w:t>18.  Exceptions to the certification statement:</w:t>
      </w:r>
    </w:p>
    <w:p w:rsidRPr="003D3B1E" w:rsidR="00651CFB" w:rsidP="00717AE5" w:rsidRDefault="00651CFB" w14:paraId="3FE83630" w14:textId="77777777">
      <w:pPr>
        <w:rPr>
          <w:sz w:val="23"/>
          <w:szCs w:val="23"/>
        </w:rPr>
      </w:pPr>
    </w:p>
    <w:p w:rsidRPr="003D3B1E" w:rsidR="00651CFB" w:rsidP="00717AE5" w:rsidRDefault="009A787F" w14:paraId="4A73A8AD" w14:textId="77777777">
      <w:pPr>
        <w:rPr>
          <w:sz w:val="23"/>
          <w:szCs w:val="23"/>
        </w:rPr>
      </w:pPr>
      <w:r w:rsidRPr="003D3B1E">
        <w:rPr>
          <w:sz w:val="23"/>
          <w:szCs w:val="23"/>
        </w:rPr>
        <w:tab/>
      </w:r>
      <w:r w:rsidRPr="003D3B1E" w:rsidR="00651CFB">
        <w:rPr>
          <w:sz w:val="23"/>
          <w:szCs w:val="23"/>
        </w:rPr>
        <w:t>None.</w:t>
      </w:r>
    </w:p>
    <w:p w:rsidRPr="003D3B1E" w:rsidR="00651CFB" w:rsidP="00717AE5" w:rsidRDefault="00651CFB" w14:paraId="521ADB80" w14:textId="77777777">
      <w:pPr>
        <w:rPr>
          <w:b/>
          <w:bCs/>
          <w:sz w:val="23"/>
          <w:szCs w:val="23"/>
        </w:rPr>
      </w:pPr>
    </w:p>
    <w:p w:rsidRPr="003D3B1E" w:rsidR="00651CFB" w:rsidP="00717AE5" w:rsidRDefault="00651CFB" w14:paraId="6B63917E" w14:textId="77777777">
      <w:pPr>
        <w:rPr>
          <w:sz w:val="23"/>
          <w:szCs w:val="23"/>
        </w:rPr>
      </w:pPr>
      <w:r w:rsidRPr="003D3B1E">
        <w:rPr>
          <w:b/>
          <w:bCs/>
          <w:sz w:val="23"/>
          <w:szCs w:val="23"/>
        </w:rPr>
        <w:t>B.  Collections of Information Employing Statistical Methods.</w:t>
      </w:r>
    </w:p>
    <w:p w:rsidRPr="003D3B1E" w:rsidR="00651CFB" w:rsidP="00717AE5" w:rsidRDefault="00651CFB" w14:paraId="65D1805D" w14:textId="77777777">
      <w:pPr>
        <w:rPr>
          <w:sz w:val="23"/>
          <w:szCs w:val="23"/>
        </w:rPr>
      </w:pPr>
    </w:p>
    <w:p w:rsidRPr="003D3B1E" w:rsidR="00651CFB" w:rsidP="00717AE5" w:rsidRDefault="009A787F" w14:paraId="313657B6" w14:textId="77777777">
      <w:pPr>
        <w:rPr>
          <w:sz w:val="23"/>
          <w:szCs w:val="23"/>
        </w:rPr>
      </w:pPr>
      <w:r w:rsidRPr="003D3B1E">
        <w:rPr>
          <w:sz w:val="23"/>
          <w:szCs w:val="23"/>
        </w:rPr>
        <w:tab/>
      </w:r>
      <w:r w:rsidRPr="003D3B1E" w:rsidR="00651CFB">
        <w:rPr>
          <w:sz w:val="23"/>
          <w:szCs w:val="23"/>
        </w:rPr>
        <w:t>Not applicable.</w:t>
      </w:r>
    </w:p>
    <w:p w:rsidRPr="003D3B1E" w:rsidR="00651CFB" w:rsidP="00717AE5" w:rsidRDefault="00651CFB" w14:paraId="0CCFB87D" w14:textId="77777777">
      <w:pPr>
        <w:rPr>
          <w:sz w:val="23"/>
          <w:szCs w:val="23"/>
        </w:rPr>
      </w:pPr>
    </w:p>
    <w:p w:rsidRPr="003D3B1E" w:rsidR="00651CFB" w:rsidP="00717AE5" w:rsidRDefault="00651CFB" w14:paraId="17E53EF2" w14:textId="77777777">
      <w:pPr>
        <w:rPr>
          <w:b/>
          <w:bCs/>
          <w:i/>
          <w:iCs/>
          <w:sz w:val="23"/>
          <w:szCs w:val="23"/>
          <w:u w:val="single"/>
        </w:rPr>
      </w:pPr>
    </w:p>
    <w:p w:rsidRPr="003D3B1E" w:rsidR="00651CFB" w:rsidP="00717AE5" w:rsidRDefault="00651CFB" w14:paraId="50AC91D8" w14:textId="77777777">
      <w:pPr>
        <w:rPr>
          <w:sz w:val="23"/>
          <w:szCs w:val="23"/>
        </w:rPr>
      </w:pPr>
    </w:p>
    <w:sectPr w:rsidRPr="003D3B1E" w:rsidR="00651CFB">
      <w:footerReference w:type="even" r:id="rId8"/>
      <w:foot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5472" w14:textId="77777777" w:rsidR="00163CAC" w:rsidRPr="003D3B1E" w:rsidRDefault="00163CAC">
      <w:pPr>
        <w:rPr>
          <w:sz w:val="23"/>
          <w:szCs w:val="23"/>
        </w:rPr>
      </w:pPr>
      <w:r w:rsidRPr="003D3B1E">
        <w:rPr>
          <w:sz w:val="23"/>
          <w:szCs w:val="23"/>
        </w:rPr>
        <w:separator/>
      </w:r>
    </w:p>
  </w:endnote>
  <w:endnote w:type="continuationSeparator" w:id="0">
    <w:p w14:paraId="1ADC80C3" w14:textId="77777777" w:rsidR="00163CAC" w:rsidRPr="003D3B1E" w:rsidRDefault="00163CAC">
      <w:pPr>
        <w:rPr>
          <w:sz w:val="23"/>
          <w:szCs w:val="23"/>
        </w:rPr>
      </w:pPr>
      <w:r w:rsidRPr="003D3B1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FC4A" w14:textId="77777777" w:rsidR="00651CFB" w:rsidRPr="003D3B1E" w:rsidRDefault="00651CFB">
    <w:pPr>
      <w:pStyle w:val="Footer"/>
      <w:framePr w:wrap="around" w:vAnchor="text" w:hAnchor="margin" w:xAlign="center" w:y="1"/>
      <w:rPr>
        <w:rStyle w:val="PageNumber"/>
        <w:sz w:val="23"/>
        <w:szCs w:val="23"/>
      </w:rPr>
    </w:pPr>
    <w:r w:rsidRPr="003D3B1E">
      <w:rPr>
        <w:rStyle w:val="PageNumber"/>
        <w:sz w:val="23"/>
        <w:szCs w:val="23"/>
      </w:rPr>
      <w:fldChar w:fldCharType="begin"/>
    </w:r>
    <w:r w:rsidRPr="003D3B1E">
      <w:rPr>
        <w:rStyle w:val="PageNumber"/>
        <w:sz w:val="23"/>
        <w:szCs w:val="23"/>
      </w:rPr>
      <w:instrText xml:space="preserve">PAGE  </w:instrText>
    </w:r>
    <w:r w:rsidRPr="003D3B1E">
      <w:rPr>
        <w:rStyle w:val="PageNumber"/>
        <w:sz w:val="23"/>
        <w:szCs w:val="23"/>
      </w:rPr>
      <w:fldChar w:fldCharType="end"/>
    </w:r>
  </w:p>
  <w:p w14:paraId="6B8A8F87" w14:textId="77777777" w:rsidR="00651CFB" w:rsidRPr="003D3B1E" w:rsidRDefault="00651CFB">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A180" w14:textId="77777777" w:rsidR="00651CFB" w:rsidRPr="003D3B1E" w:rsidRDefault="00651CFB">
    <w:pPr>
      <w:pStyle w:val="Footer"/>
      <w:framePr w:wrap="around" w:vAnchor="text" w:hAnchor="margin" w:xAlign="center" w:y="1"/>
      <w:rPr>
        <w:rStyle w:val="PageNumber"/>
        <w:sz w:val="23"/>
        <w:szCs w:val="23"/>
      </w:rPr>
    </w:pPr>
    <w:r w:rsidRPr="003D3B1E">
      <w:rPr>
        <w:rStyle w:val="PageNumber"/>
        <w:sz w:val="23"/>
        <w:szCs w:val="23"/>
      </w:rPr>
      <w:fldChar w:fldCharType="begin"/>
    </w:r>
    <w:r w:rsidRPr="003D3B1E">
      <w:rPr>
        <w:rStyle w:val="PageNumber"/>
        <w:sz w:val="23"/>
        <w:szCs w:val="23"/>
      </w:rPr>
      <w:instrText xml:space="preserve">PAGE  </w:instrText>
    </w:r>
    <w:r w:rsidRPr="003D3B1E">
      <w:rPr>
        <w:rStyle w:val="PageNumber"/>
        <w:sz w:val="23"/>
        <w:szCs w:val="23"/>
      </w:rPr>
      <w:fldChar w:fldCharType="separate"/>
    </w:r>
    <w:r w:rsidR="00643F61">
      <w:rPr>
        <w:rStyle w:val="PageNumber"/>
        <w:noProof/>
        <w:sz w:val="23"/>
        <w:szCs w:val="23"/>
      </w:rPr>
      <w:t>7</w:t>
    </w:r>
    <w:r w:rsidRPr="003D3B1E">
      <w:rPr>
        <w:rStyle w:val="PageNumber"/>
        <w:sz w:val="23"/>
        <w:szCs w:val="23"/>
      </w:rPr>
      <w:fldChar w:fldCharType="end"/>
    </w:r>
  </w:p>
  <w:p w14:paraId="322F89C3" w14:textId="77777777" w:rsidR="00651CFB" w:rsidRPr="003D3B1E" w:rsidRDefault="00651CFB">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F348" w14:textId="77777777" w:rsidR="00163CAC" w:rsidRPr="003D3B1E" w:rsidRDefault="00163CAC">
      <w:pPr>
        <w:rPr>
          <w:sz w:val="23"/>
          <w:szCs w:val="23"/>
        </w:rPr>
      </w:pPr>
      <w:r w:rsidRPr="003D3B1E">
        <w:rPr>
          <w:sz w:val="23"/>
          <w:szCs w:val="23"/>
        </w:rPr>
        <w:separator/>
      </w:r>
    </w:p>
  </w:footnote>
  <w:footnote w:type="continuationSeparator" w:id="0">
    <w:p w14:paraId="70D1EE51" w14:textId="77777777" w:rsidR="00163CAC" w:rsidRPr="003D3B1E" w:rsidRDefault="00163CAC">
      <w:pPr>
        <w:rPr>
          <w:sz w:val="23"/>
          <w:szCs w:val="23"/>
        </w:rPr>
      </w:pPr>
      <w:r w:rsidRPr="003D3B1E">
        <w:rPr>
          <w:sz w:val="23"/>
          <w:szCs w:val="23"/>
        </w:rPr>
        <w:continuationSeparator/>
      </w:r>
    </w:p>
  </w:footnote>
  <w:footnote w:id="1">
    <w:p w14:paraId="150F70C0" w14:textId="77777777" w:rsidR="009E3405" w:rsidRPr="009C473A" w:rsidRDefault="009E3405" w:rsidP="009E3405">
      <w:pPr>
        <w:pStyle w:val="FootnoteText"/>
        <w:rPr>
          <w:sz w:val="24"/>
          <w:szCs w:val="24"/>
        </w:rPr>
      </w:pPr>
      <w:r w:rsidRPr="009C473A">
        <w:rPr>
          <w:rStyle w:val="FootnoteReference"/>
          <w:sz w:val="24"/>
          <w:szCs w:val="24"/>
        </w:rPr>
        <w:footnoteRef/>
      </w:r>
      <w:r w:rsidRPr="009C473A">
        <w:rPr>
          <w:sz w:val="24"/>
          <w:szCs w:val="24"/>
        </w:rPr>
        <w:t xml:space="preserve"> For purposes of this information collection, the term “financial institution” includes banks, savings associations, credit unions, and bank holding companies.</w:t>
      </w:r>
    </w:p>
  </w:footnote>
  <w:footnote w:id="2">
    <w:p w14:paraId="0C652136" w14:textId="77777777" w:rsidR="00446130" w:rsidRPr="00446130" w:rsidRDefault="00446130">
      <w:pPr>
        <w:pStyle w:val="FootnoteText"/>
        <w:rPr>
          <w:sz w:val="24"/>
          <w:szCs w:val="24"/>
        </w:rPr>
      </w:pPr>
      <w:r w:rsidRPr="00446130">
        <w:rPr>
          <w:rStyle w:val="FootnoteReference"/>
          <w:sz w:val="24"/>
          <w:szCs w:val="24"/>
        </w:rPr>
        <w:footnoteRef/>
      </w:r>
      <w:r w:rsidRPr="00446130">
        <w:rPr>
          <w:sz w:val="24"/>
          <w:szCs w:val="24"/>
        </w:rPr>
        <w:t xml:space="preserve"> </w:t>
      </w:r>
      <w:r w:rsidRPr="00446130">
        <w:rPr>
          <w:rStyle w:val="documentbody1"/>
          <w:rFonts w:ascii="Times New Roman" w:hAnsi="Times New Roman"/>
          <w:color w:val="000000"/>
          <w:sz w:val="24"/>
          <w:szCs w:val="24"/>
        </w:rPr>
        <w:t>Burden is estimated conservatively and assumes all institutions will complete the Assessment.  Therefore, the estimated burden may exceed the actual burden because use of the Assessment by financial institutions is voluntary.  The burden estimates for financial institutions include technology service providers who may assist financial institutions in completing their 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E0BB" w14:textId="77777777" w:rsidR="00EC517B" w:rsidRPr="003D3B1E" w:rsidRDefault="00EC517B" w:rsidP="00EC517B">
    <w:pPr>
      <w:pStyle w:val="Header"/>
      <w:jc w:val="right"/>
      <w:rPr>
        <w:b/>
        <w:sz w:val="23"/>
        <w:szCs w:val="23"/>
      </w:rPr>
    </w:pPr>
  </w:p>
  <w:p w14:paraId="2E924A44" w14:textId="77777777" w:rsidR="00EC517B" w:rsidRPr="003D3B1E" w:rsidRDefault="00EC517B">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7BC9"/>
    <w:multiLevelType w:val="hybridMultilevel"/>
    <w:tmpl w:val="1FDA58D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F722E51"/>
    <w:multiLevelType w:val="hybridMultilevel"/>
    <w:tmpl w:val="207C7E14"/>
    <w:lvl w:ilvl="0" w:tplc="600AB362">
      <w:start w:val="1"/>
      <w:numFmt w:val="bullet"/>
      <w:lvlText w:val="*"/>
      <w:lvlJc w:val="left"/>
      <w:pPr>
        <w:ind w:left="100" w:hanging="180"/>
      </w:pPr>
      <w:rPr>
        <w:rFonts w:ascii="Times New Roman" w:eastAsia="Times New Roman" w:hAnsi="Times New Roman" w:hint="default"/>
        <w:w w:val="99"/>
        <w:sz w:val="24"/>
        <w:szCs w:val="24"/>
      </w:rPr>
    </w:lvl>
    <w:lvl w:ilvl="1" w:tplc="3AF89E4C">
      <w:start w:val="1"/>
      <w:numFmt w:val="bullet"/>
      <w:lvlText w:val="•"/>
      <w:lvlJc w:val="left"/>
      <w:pPr>
        <w:ind w:left="974" w:hanging="180"/>
      </w:pPr>
      <w:rPr>
        <w:rFonts w:hint="default"/>
      </w:rPr>
    </w:lvl>
    <w:lvl w:ilvl="2" w:tplc="7A6C15FC">
      <w:start w:val="1"/>
      <w:numFmt w:val="bullet"/>
      <w:lvlText w:val="•"/>
      <w:lvlJc w:val="left"/>
      <w:pPr>
        <w:ind w:left="1848" w:hanging="180"/>
      </w:pPr>
      <w:rPr>
        <w:rFonts w:hint="default"/>
      </w:rPr>
    </w:lvl>
    <w:lvl w:ilvl="3" w:tplc="E94A7AF4">
      <w:start w:val="1"/>
      <w:numFmt w:val="bullet"/>
      <w:lvlText w:val="•"/>
      <w:lvlJc w:val="left"/>
      <w:pPr>
        <w:ind w:left="2722" w:hanging="180"/>
      </w:pPr>
      <w:rPr>
        <w:rFonts w:hint="default"/>
      </w:rPr>
    </w:lvl>
    <w:lvl w:ilvl="4" w:tplc="71F2B39A">
      <w:start w:val="1"/>
      <w:numFmt w:val="bullet"/>
      <w:lvlText w:val="•"/>
      <w:lvlJc w:val="left"/>
      <w:pPr>
        <w:ind w:left="3596" w:hanging="180"/>
      </w:pPr>
      <w:rPr>
        <w:rFonts w:hint="default"/>
      </w:rPr>
    </w:lvl>
    <w:lvl w:ilvl="5" w:tplc="BFEA2F7A">
      <w:start w:val="1"/>
      <w:numFmt w:val="bullet"/>
      <w:lvlText w:val="•"/>
      <w:lvlJc w:val="left"/>
      <w:pPr>
        <w:ind w:left="4470" w:hanging="180"/>
      </w:pPr>
      <w:rPr>
        <w:rFonts w:hint="default"/>
      </w:rPr>
    </w:lvl>
    <w:lvl w:ilvl="6" w:tplc="DF24ECB0">
      <w:start w:val="1"/>
      <w:numFmt w:val="bullet"/>
      <w:lvlText w:val="•"/>
      <w:lvlJc w:val="left"/>
      <w:pPr>
        <w:ind w:left="5344" w:hanging="180"/>
      </w:pPr>
      <w:rPr>
        <w:rFonts w:hint="default"/>
      </w:rPr>
    </w:lvl>
    <w:lvl w:ilvl="7" w:tplc="BD142F26">
      <w:start w:val="1"/>
      <w:numFmt w:val="bullet"/>
      <w:lvlText w:val="•"/>
      <w:lvlJc w:val="left"/>
      <w:pPr>
        <w:ind w:left="6218" w:hanging="180"/>
      </w:pPr>
      <w:rPr>
        <w:rFonts w:hint="default"/>
      </w:rPr>
    </w:lvl>
    <w:lvl w:ilvl="8" w:tplc="1C347F3E">
      <w:start w:val="1"/>
      <w:numFmt w:val="bullet"/>
      <w:lvlText w:val="•"/>
      <w:lvlJc w:val="left"/>
      <w:pPr>
        <w:ind w:left="7092" w:hanging="180"/>
      </w:pPr>
      <w:rPr>
        <w:rFonts w:hint="default"/>
      </w:rPr>
    </w:lvl>
  </w:abstractNum>
  <w:abstractNum w:abstractNumId="9"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83BA6"/>
    <w:multiLevelType w:val="hybridMultilevel"/>
    <w:tmpl w:val="FB267D3C"/>
    <w:lvl w:ilvl="0" w:tplc="E3024C38">
      <w:start w:val="1"/>
      <w:numFmt w:val="upperLetter"/>
      <w:lvlText w:val="%1."/>
      <w:lvlJc w:val="left"/>
      <w:pPr>
        <w:ind w:left="100" w:hanging="293"/>
      </w:pPr>
      <w:rPr>
        <w:rFonts w:ascii="Times New Roman" w:eastAsia="Times New Roman" w:hAnsi="Times New Roman" w:hint="default"/>
        <w:b/>
        <w:bCs/>
        <w:w w:val="99"/>
        <w:sz w:val="24"/>
        <w:szCs w:val="24"/>
      </w:rPr>
    </w:lvl>
    <w:lvl w:ilvl="1" w:tplc="7D988FCC">
      <w:start w:val="1"/>
      <w:numFmt w:val="decimal"/>
      <w:lvlText w:val="%2."/>
      <w:lvlJc w:val="left"/>
      <w:pPr>
        <w:ind w:left="100" w:hanging="240"/>
      </w:pPr>
      <w:rPr>
        <w:rFonts w:ascii="Times New Roman" w:eastAsia="Times New Roman" w:hAnsi="Times New Roman" w:hint="default"/>
        <w:w w:val="99"/>
        <w:sz w:val="24"/>
        <w:szCs w:val="24"/>
      </w:rPr>
    </w:lvl>
    <w:lvl w:ilvl="2" w:tplc="0B087238">
      <w:start w:val="1"/>
      <w:numFmt w:val="bullet"/>
      <w:lvlText w:val="•"/>
      <w:lvlJc w:val="left"/>
      <w:pPr>
        <w:ind w:left="1848" w:hanging="240"/>
      </w:pPr>
      <w:rPr>
        <w:rFonts w:hint="default"/>
      </w:rPr>
    </w:lvl>
    <w:lvl w:ilvl="3" w:tplc="35767366">
      <w:start w:val="1"/>
      <w:numFmt w:val="bullet"/>
      <w:lvlText w:val="•"/>
      <w:lvlJc w:val="left"/>
      <w:pPr>
        <w:ind w:left="2722" w:hanging="240"/>
      </w:pPr>
      <w:rPr>
        <w:rFonts w:hint="default"/>
      </w:rPr>
    </w:lvl>
    <w:lvl w:ilvl="4" w:tplc="6AB4DDAE">
      <w:start w:val="1"/>
      <w:numFmt w:val="bullet"/>
      <w:lvlText w:val="•"/>
      <w:lvlJc w:val="left"/>
      <w:pPr>
        <w:ind w:left="3596" w:hanging="240"/>
      </w:pPr>
      <w:rPr>
        <w:rFonts w:hint="default"/>
      </w:rPr>
    </w:lvl>
    <w:lvl w:ilvl="5" w:tplc="11DEC594">
      <w:start w:val="1"/>
      <w:numFmt w:val="bullet"/>
      <w:lvlText w:val="•"/>
      <w:lvlJc w:val="left"/>
      <w:pPr>
        <w:ind w:left="4470" w:hanging="240"/>
      </w:pPr>
      <w:rPr>
        <w:rFonts w:hint="default"/>
      </w:rPr>
    </w:lvl>
    <w:lvl w:ilvl="6" w:tplc="70E2E87A">
      <w:start w:val="1"/>
      <w:numFmt w:val="bullet"/>
      <w:lvlText w:val="•"/>
      <w:lvlJc w:val="left"/>
      <w:pPr>
        <w:ind w:left="5344" w:hanging="240"/>
      </w:pPr>
      <w:rPr>
        <w:rFonts w:hint="default"/>
      </w:rPr>
    </w:lvl>
    <w:lvl w:ilvl="7" w:tplc="375C22E0">
      <w:start w:val="1"/>
      <w:numFmt w:val="bullet"/>
      <w:lvlText w:val="•"/>
      <w:lvlJc w:val="left"/>
      <w:pPr>
        <w:ind w:left="6218" w:hanging="240"/>
      </w:pPr>
      <w:rPr>
        <w:rFonts w:hint="default"/>
      </w:rPr>
    </w:lvl>
    <w:lvl w:ilvl="8" w:tplc="4EE05CD2">
      <w:start w:val="1"/>
      <w:numFmt w:val="bullet"/>
      <w:lvlText w:val="•"/>
      <w:lvlJc w:val="left"/>
      <w:pPr>
        <w:ind w:left="7092" w:hanging="240"/>
      </w:pPr>
      <w:rPr>
        <w:rFonts w:hint="default"/>
      </w:rPr>
    </w:lvl>
  </w:abstractNum>
  <w:abstractNum w:abstractNumId="11"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B0556"/>
    <w:multiLevelType w:val="hybridMultilevel"/>
    <w:tmpl w:val="D968EA98"/>
    <w:lvl w:ilvl="0" w:tplc="471EC1BC">
      <w:start w:val="1"/>
      <w:numFmt w:val="upperLetter"/>
      <w:lvlText w:val="%1."/>
      <w:lvlJc w:val="left"/>
      <w:pPr>
        <w:ind w:left="100" w:hanging="293"/>
      </w:pPr>
      <w:rPr>
        <w:rFonts w:ascii="Times New Roman" w:eastAsia="Times New Roman" w:hAnsi="Times New Roman" w:hint="default"/>
        <w:b/>
        <w:bCs/>
        <w:w w:val="99"/>
        <w:sz w:val="24"/>
        <w:szCs w:val="24"/>
      </w:rPr>
    </w:lvl>
    <w:lvl w:ilvl="1" w:tplc="CB24D78E">
      <w:start w:val="1"/>
      <w:numFmt w:val="decimal"/>
      <w:lvlText w:val="%2."/>
      <w:lvlJc w:val="left"/>
      <w:pPr>
        <w:ind w:left="100" w:hanging="240"/>
      </w:pPr>
      <w:rPr>
        <w:rFonts w:ascii="Times New Roman" w:eastAsia="Times New Roman" w:hAnsi="Times New Roman" w:hint="default"/>
        <w:w w:val="99"/>
        <w:sz w:val="24"/>
        <w:szCs w:val="24"/>
      </w:rPr>
    </w:lvl>
    <w:lvl w:ilvl="2" w:tplc="F05A7218">
      <w:start w:val="1"/>
      <w:numFmt w:val="bullet"/>
      <w:lvlText w:val="•"/>
      <w:lvlJc w:val="left"/>
      <w:pPr>
        <w:ind w:left="1848" w:hanging="240"/>
      </w:pPr>
      <w:rPr>
        <w:rFonts w:hint="default"/>
      </w:rPr>
    </w:lvl>
    <w:lvl w:ilvl="3" w:tplc="687266CC">
      <w:start w:val="1"/>
      <w:numFmt w:val="bullet"/>
      <w:lvlText w:val="•"/>
      <w:lvlJc w:val="left"/>
      <w:pPr>
        <w:ind w:left="2722" w:hanging="240"/>
      </w:pPr>
      <w:rPr>
        <w:rFonts w:hint="default"/>
      </w:rPr>
    </w:lvl>
    <w:lvl w:ilvl="4" w:tplc="3B9EA69E">
      <w:start w:val="1"/>
      <w:numFmt w:val="bullet"/>
      <w:lvlText w:val="•"/>
      <w:lvlJc w:val="left"/>
      <w:pPr>
        <w:ind w:left="3596" w:hanging="240"/>
      </w:pPr>
      <w:rPr>
        <w:rFonts w:hint="default"/>
      </w:rPr>
    </w:lvl>
    <w:lvl w:ilvl="5" w:tplc="955449B8">
      <w:start w:val="1"/>
      <w:numFmt w:val="bullet"/>
      <w:lvlText w:val="•"/>
      <w:lvlJc w:val="left"/>
      <w:pPr>
        <w:ind w:left="4470" w:hanging="240"/>
      </w:pPr>
      <w:rPr>
        <w:rFonts w:hint="default"/>
      </w:rPr>
    </w:lvl>
    <w:lvl w:ilvl="6" w:tplc="760C4642">
      <w:start w:val="1"/>
      <w:numFmt w:val="bullet"/>
      <w:lvlText w:val="•"/>
      <w:lvlJc w:val="left"/>
      <w:pPr>
        <w:ind w:left="5344" w:hanging="240"/>
      </w:pPr>
      <w:rPr>
        <w:rFonts w:hint="default"/>
      </w:rPr>
    </w:lvl>
    <w:lvl w:ilvl="7" w:tplc="9E3C0E8A">
      <w:start w:val="1"/>
      <w:numFmt w:val="bullet"/>
      <w:lvlText w:val="•"/>
      <w:lvlJc w:val="left"/>
      <w:pPr>
        <w:ind w:left="6218" w:hanging="240"/>
      </w:pPr>
      <w:rPr>
        <w:rFonts w:hint="default"/>
      </w:rPr>
    </w:lvl>
    <w:lvl w:ilvl="8" w:tplc="127EE1B4">
      <w:start w:val="1"/>
      <w:numFmt w:val="bullet"/>
      <w:lvlText w:val="•"/>
      <w:lvlJc w:val="left"/>
      <w:pPr>
        <w:ind w:left="7092" w:hanging="240"/>
      </w:pPr>
      <w:rPr>
        <w:rFonts w:hint="default"/>
      </w:rPr>
    </w:lvl>
  </w:abstractNum>
  <w:num w:numId="1">
    <w:abstractNumId w:val="1"/>
  </w:num>
  <w:num w:numId="2">
    <w:abstractNumId w:val="12"/>
  </w:num>
  <w:num w:numId="3">
    <w:abstractNumId w:val="7"/>
  </w:num>
  <w:num w:numId="4">
    <w:abstractNumId w:val="7"/>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7"/>
  </w:num>
  <w:num w:numId="15">
    <w:abstractNumId w:val="7"/>
  </w:num>
  <w:num w:numId="16">
    <w:abstractNumId w:val="7"/>
  </w:num>
  <w:num w:numId="17">
    <w:abstractNumId w:val="0"/>
  </w:num>
  <w:num w:numId="18">
    <w:abstractNumId w:val="4"/>
  </w:num>
  <w:num w:numId="19">
    <w:abstractNumId w:val="6"/>
  </w:num>
  <w:num w:numId="20">
    <w:abstractNumId w:val="13"/>
  </w:num>
  <w:num w:numId="21">
    <w:abstractNumId w:val="2"/>
  </w:num>
  <w:num w:numId="22">
    <w:abstractNumId w:val="11"/>
  </w:num>
  <w:num w:numId="23">
    <w:abstractNumId w:val="9"/>
  </w:num>
  <w:num w:numId="24">
    <w:abstractNumId w:val="5"/>
  </w:num>
  <w:num w:numId="25">
    <w:abstractNumId w:val="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50"/>
    <w:rsid w:val="0001364F"/>
    <w:rsid w:val="00017209"/>
    <w:rsid w:val="0002305F"/>
    <w:rsid w:val="00023E4F"/>
    <w:rsid w:val="00034366"/>
    <w:rsid w:val="00043C90"/>
    <w:rsid w:val="00043F78"/>
    <w:rsid w:val="000447FA"/>
    <w:rsid w:val="00047CAF"/>
    <w:rsid w:val="00061570"/>
    <w:rsid w:val="00064233"/>
    <w:rsid w:val="000674FA"/>
    <w:rsid w:val="00081DD1"/>
    <w:rsid w:val="00090816"/>
    <w:rsid w:val="0009541D"/>
    <w:rsid w:val="000A1A0D"/>
    <w:rsid w:val="000A46C0"/>
    <w:rsid w:val="000B1876"/>
    <w:rsid w:val="000B79DD"/>
    <w:rsid w:val="000C121A"/>
    <w:rsid w:val="000C1E9A"/>
    <w:rsid w:val="000C30ED"/>
    <w:rsid w:val="000D79E2"/>
    <w:rsid w:val="000E7539"/>
    <w:rsid w:val="000F6E87"/>
    <w:rsid w:val="00100948"/>
    <w:rsid w:val="00100B23"/>
    <w:rsid w:val="00104F41"/>
    <w:rsid w:val="001073AD"/>
    <w:rsid w:val="00121344"/>
    <w:rsid w:val="001222D7"/>
    <w:rsid w:val="001236CA"/>
    <w:rsid w:val="00124AD1"/>
    <w:rsid w:val="00136E82"/>
    <w:rsid w:val="001371F7"/>
    <w:rsid w:val="00140CC1"/>
    <w:rsid w:val="00147D50"/>
    <w:rsid w:val="0015063F"/>
    <w:rsid w:val="00157196"/>
    <w:rsid w:val="00163CAC"/>
    <w:rsid w:val="00164E73"/>
    <w:rsid w:val="0016705B"/>
    <w:rsid w:val="00175D31"/>
    <w:rsid w:val="00177D7E"/>
    <w:rsid w:val="001B068F"/>
    <w:rsid w:val="001C3CBD"/>
    <w:rsid w:val="001C5681"/>
    <w:rsid w:val="001D1A38"/>
    <w:rsid w:val="001E02EA"/>
    <w:rsid w:val="001E0961"/>
    <w:rsid w:val="001E2EBD"/>
    <w:rsid w:val="001E6B31"/>
    <w:rsid w:val="001F362B"/>
    <w:rsid w:val="001F4EBF"/>
    <w:rsid w:val="001F5C0A"/>
    <w:rsid w:val="002020EE"/>
    <w:rsid w:val="00205598"/>
    <w:rsid w:val="00206CF9"/>
    <w:rsid w:val="0020724A"/>
    <w:rsid w:val="00217BC7"/>
    <w:rsid w:val="002276FC"/>
    <w:rsid w:val="00242431"/>
    <w:rsid w:val="00252CDB"/>
    <w:rsid w:val="00264903"/>
    <w:rsid w:val="00265315"/>
    <w:rsid w:val="00267373"/>
    <w:rsid w:val="00273FCF"/>
    <w:rsid w:val="0029527F"/>
    <w:rsid w:val="002A104C"/>
    <w:rsid w:val="002B0F2A"/>
    <w:rsid w:val="002B4016"/>
    <w:rsid w:val="002C1C7F"/>
    <w:rsid w:val="002C2DC4"/>
    <w:rsid w:val="002C508A"/>
    <w:rsid w:val="002D119E"/>
    <w:rsid w:val="002D56C3"/>
    <w:rsid w:val="002E05E3"/>
    <w:rsid w:val="002E0ED3"/>
    <w:rsid w:val="002E4008"/>
    <w:rsid w:val="002E6C46"/>
    <w:rsid w:val="002E72CB"/>
    <w:rsid w:val="002F36E4"/>
    <w:rsid w:val="002F6232"/>
    <w:rsid w:val="00306B97"/>
    <w:rsid w:val="003152E3"/>
    <w:rsid w:val="00315F5F"/>
    <w:rsid w:val="003179F5"/>
    <w:rsid w:val="00337101"/>
    <w:rsid w:val="00340C09"/>
    <w:rsid w:val="00343FD4"/>
    <w:rsid w:val="00346420"/>
    <w:rsid w:val="0035330D"/>
    <w:rsid w:val="00360796"/>
    <w:rsid w:val="00362C67"/>
    <w:rsid w:val="00366688"/>
    <w:rsid w:val="003829CC"/>
    <w:rsid w:val="0039005D"/>
    <w:rsid w:val="003B3A7D"/>
    <w:rsid w:val="003B5F93"/>
    <w:rsid w:val="003C38AD"/>
    <w:rsid w:val="003C38ED"/>
    <w:rsid w:val="003D3B1E"/>
    <w:rsid w:val="003E2F5E"/>
    <w:rsid w:val="003E606A"/>
    <w:rsid w:val="003F0E96"/>
    <w:rsid w:val="003F7B90"/>
    <w:rsid w:val="00413836"/>
    <w:rsid w:val="00425998"/>
    <w:rsid w:val="004340D5"/>
    <w:rsid w:val="00442868"/>
    <w:rsid w:val="00446130"/>
    <w:rsid w:val="00446C7D"/>
    <w:rsid w:val="00457B1C"/>
    <w:rsid w:val="00460292"/>
    <w:rsid w:val="00461AF2"/>
    <w:rsid w:val="004673D7"/>
    <w:rsid w:val="0047545A"/>
    <w:rsid w:val="00483E9F"/>
    <w:rsid w:val="00485388"/>
    <w:rsid w:val="00491622"/>
    <w:rsid w:val="00494EF0"/>
    <w:rsid w:val="0049544B"/>
    <w:rsid w:val="004959E9"/>
    <w:rsid w:val="004A4B61"/>
    <w:rsid w:val="004A4D9B"/>
    <w:rsid w:val="004A64DA"/>
    <w:rsid w:val="004B1873"/>
    <w:rsid w:val="004C514D"/>
    <w:rsid w:val="004D2C53"/>
    <w:rsid w:val="004F62FB"/>
    <w:rsid w:val="004F66B4"/>
    <w:rsid w:val="005147C0"/>
    <w:rsid w:val="00514C87"/>
    <w:rsid w:val="00524379"/>
    <w:rsid w:val="00530F6B"/>
    <w:rsid w:val="00536B42"/>
    <w:rsid w:val="005377CB"/>
    <w:rsid w:val="00540DAE"/>
    <w:rsid w:val="00556133"/>
    <w:rsid w:val="00557A50"/>
    <w:rsid w:val="00566DF2"/>
    <w:rsid w:val="00574729"/>
    <w:rsid w:val="00575FFF"/>
    <w:rsid w:val="00576F2A"/>
    <w:rsid w:val="00577F9F"/>
    <w:rsid w:val="00587F39"/>
    <w:rsid w:val="005C6E68"/>
    <w:rsid w:val="005D0E74"/>
    <w:rsid w:val="005E0D49"/>
    <w:rsid w:val="005E5659"/>
    <w:rsid w:val="005E580E"/>
    <w:rsid w:val="005E6AC8"/>
    <w:rsid w:val="005F23AB"/>
    <w:rsid w:val="005F2DD5"/>
    <w:rsid w:val="005F315C"/>
    <w:rsid w:val="005F555C"/>
    <w:rsid w:val="005F585E"/>
    <w:rsid w:val="0060543D"/>
    <w:rsid w:val="0062161E"/>
    <w:rsid w:val="00643F61"/>
    <w:rsid w:val="00646D18"/>
    <w:rsid w:val="00651CFB"/>
    <w:rsid w:val="00655575"/>
    <w:rsid w:val="00673546"/>
    <w:rsid w:val="006754B7"/>
    <w:rsid w:val="006843A9"/>
    <w:rsid w:val="0068543A"/>
    <w:rsid w:val="00687FC5"/>
    <w:rsid w:val="006B50A4"/>
    <w:rsid w:val="006C432F"/>
    <w:rsid w:val="006C5E77"/>
    <w:rsid w:val="006D697F"/>
    <w:rsid w:val="006F260C"/>
    <w:rsid w:val="006F4580"/>
    <w:rsid w:val="00717AE5"/>
    <w:rsid w:val="0072353F"/>
    <w:rsid w:val="00732464"/>
    <w:rsid w:val="0073267E"/>
    <w:rsid w:val="007355E5"/>
    <w:rsid w:val="00741744"/>
    <w:rsid w:val="00745E44"/>
    <w:rsid w:val="00747683"/>
    <w:rsid w:val="00753AFF"/>
    <w:rsid w:val="007601DE"/>
    <w:rsid w:val="007629E3"/>
    <w:rsid w:val="00766169"/>
    <w:rsid w:val="00772AD2"/>
    <w:rsid w:val="00774467"/>
    <w:rsid w:val="00775C11"/>
    <w:rsid w:val="00780F75"/>
    <w:rsid w:val="007852E7"/>
    <w:rsid w:val="00785B40"/>
    <w:rsid w:val="00797EA3"/>
    <w:rsid w:val="007A4F4E"/>
    <w:rsid w:val="007A6422"/>
    <w:rsid w:val="007A68E2"/>
    <w:rsid w:val="007A78B4"/>
    <w:rsid w:val="007B3A0F"/>
    <w:rsid w:val="007B638D"/>
    <w:rsid w:val="007D6265"/>
    <w:rsid w:val="007D6ED9"/>
    <w:rsid w:val="00802879"/>
    <w:rsid w:val="0080361A"/>
    <w:rsid w:val="008055F1"/>
    <w:rsid w:val="00805C60"/>
    <w:rsid w:val="00805D46"/>
    <w:rsid w:val="008154B4"/>
    <w:rsid w:val="00816CF9"/>
    <w:rsid w:val="00817CC5"/>
    <w:rsid w:val="00820376"/>
    <w:rsid w:val="00820791"/>
    <w:rsid w:val="00824280"/>
    <w:rsid w:val="008449A9"/>
    <w:rsid w:val="00847E0A"/>
    <w:rsid w:val="00851638"/>
    <w:rsid w:val="00855AA5"/>
    <w:rsid w:val="00857AB0"/>
    <w:rsid w:val="00860BCC"/>
    <w:rsid w:val="00867108"/>
    <w:rsid w:val="00870E3F"/>
    <w:rsid w:val="00870F16"/>
    <w:rsid w:val="00880F50"/>
    <w:rsid w:val="008843D4"/>
    <w:rsid w:val="0088770B"/>
    <w:rsid w:val="00890B09"/>
    <w:rsid w:val="00895080"/>
    <w:rsid w:val="008A19A2"/>
    <w:rsid w:val="008A401D"/>
    <w:rsid w:val="008A50A1"/>
    <w:rsid w:val="008B22B2"/>
    <w:rsid w:val="008B257D"/>
    <w:rsid w:val="008C0A04"/>
    <w:rsid w:val="008C36DC"/>
    <w:rsid w:val="008D2276"/>
    <w:rsid w:val="008E3EFD"/>
    <w:rsid w:val="008E6D47"/>
    <w:rsid w:val="00900ACE"/>
    <w:rsid w:val="00904D18"/>
    <w:rsid w:val="009121C3"/>
    <w:rsid w:val="00936481"/>
    <w:rsid w:val="00941339"/>
    <w:rsid w:val="0094307A"/>
    <w:rsid w:val="00947CBF"/>
    <w:rsid w:val="00966A53"/>
    <w:rsid w:val="009734CF"/>
    <w:rsid w:val="0098414D"/>
    <w:rsid w:val="00990BBC"/>
    <w:rsid w:val="00991862"/>
    <w:rsid w:val="009A787F"/>
    <w:rsid w:val="009B1DF6"/>
    <w:rsid w:val="009B4D9B"/>
    <w:rsid w:val="009C28A2"/>
    <w:rsid w:val="009C3F73"/>
    <w:rsid w:val="009C473A"/>
    <w:rsid w:val="009C51A2"/>
    <w:rsid w:val="009D2FE8"/>
    <w:rsid w:val="009D4391"/>
    <w:rsid w:val="009D4A51"/>
    <w:rsid w:val="009D6205"/>
    <w:rsid w:val="009E1758"/>
    <w:rsid w:val="009E3405"/>
    <w:rsid w:val="009E743D"/>
    <w:rsid w:val="009F0AA6"/>
    <w:rsid w:val="009F4364"/>
    <w:rsid w:val="00A073D7"/>
    <w:rsid w:val="00A33095"/>
    <w:rsid w:val="00A374E2"/>
    <w:rsid w:val="00A413F1"/>
    <w:rsid w:val="00A45130"/>
    <w:rsid w:val="00A55DC7"/>
    <w:rsid w:val="00A63002"/>
    <w:rsid w:val="00A73ED8"/>
    <w:rsid w:val="00A7456E"/>
    <w:rsid w:val="00A77293"/>
    <w:rsid w:val="00A776C1"/>
    <w:rsid w:val="00A82358"/>
    <w:rsid w:val="00A9615E"/>
    <w:rsid w:val="00AA49ED"/>
    <w:rsid w:val="00AB4A1A"/>
    <w:rsid w:val="00AC709B"/>
    <w:rsid w:val="00AE14AD"/>
    <w:rsid w:val="00AE1E53"/>
    <w:rsid w:val="00AF23F4"/>
    <w:rsid w:val="00AF3ACF"/>
    <w:rsid w:val="00AF61A6"/>
    <w:rsid w:val="00AF676F"/>
    <w:rsid w:val="00B0002F"/>
    <w:rsid w:val="00B02A7F"/>
    <w:rsid w:val="00B05650"/>
    <w:rsid w:val="00B15C7F"/>
    <w:rsid w:val="00B25D84"/>
    <w:rsid w:val="00B26E96"/>
    <w:rsid w:val="00B27577"/>
    <w:rsid w:val="00B3068B"/>
    <w:rsid w:val="00B3091D"/>
    <w:rsid w:val="00B33799"/>
    <w:rsid w:val="00B44CDC"/>
    <w:rsid w:val="00B5276A"/>
    <w:rsid w:val="00B53240"/>
    <w:rsid w:val="00B55C3F"/>
    <w:rsid w:val="00B5683F"/>
    <w:rsid w:val="00B646AC"/>
    <w:rsid w:val="00B67965"/>
    <w:rsid w:val="00B70F79"/>
    <w:rsid w:val="00B74ADD"/>
    <w:rsid w:val="00B835BC"/>
    <w:rsid w:val="00B90AFA"/>
    <w:rsid w:val="00B91D82"/>
    <w:rsid w:val="00B92986"/>
    <w:rsid w:val="00B972D0"/>
    <w:rsid w:val="00BB179B"/>
    <w:rsid w:val="00BB4B3C"/>
    <w:rsid w:val="00BB598B"/>
    <w:rsid w:val="00BC2740"/>
    <w:rsid w:val="00BC38AA"/>
    <w:rsid w:val="00BC4F5E"/>
    <w:rsid w:val="00BC560C"/>
    <w:rsid w:val="00BC5711"/>
    <w:rsid w:val="00BD273C"/>
    <w:rsid w:val="00BE765E"/>
    <w:rsid w:val="00BF651A"/>
    <w:rsid w:val="00C01EA2"/>
    <w:rsid w:val="00C12552"/>
    <w:rsid w:val="00C22C58"/>
    <w:rsid w:val="00C242ED"/>
    <w:rsid w:val="00C3712A"/>
    <w:rsid w:val="00C371F4"/>
    <w:rsid w:val="00C44333"/>
    <w:rsid w:val="00C5152F"/>
    <w:rsid w:val="00C5563A"/>
    <w:rsid w:val="00C56E62"/>
    <w:rsid w:val="00C57738"/>
    <w:rsid w:val="00C620C0"/>
    <w:rsid w:val="00C66E4D"/>
    <w:rsid w:val="00C75C22"/>
    <w:rsid w:val="00C7792D"/>
    <w:rsid w:val="00C93453"/>
    <w:rsid w:val="00C97FF6"/>
    <w:rsid w:val="00CB1283"/>
    <w:rsid w:val="00CB5650"/>
    <w:rsid w:val="00CC1ACA"/>
    <w:rsid w:val="00CC6E0E"/>
    <w:rsid w:val="00CD2A1F"/>
    <w:rsid w:val="00CD5DCD"/>
    <w:rsid w:val="00CF6B79"/>
    <w:rsid w:val="00D02C51"/>
    <w:rsid w:val="00D352C8"/>
    <w:rsid w:val="00D40A6E"/>
    <w:rsid w:val="00D54970"/>
    <w:rsid w:val="00D57A97"/>
    <w:rsid w:val="00D627E0"/>
    <w:rsid w:val="00D65D76"/>
    <w:rsid w:val="00D66DA1"/>
    <w:rsid w:val="00D721C8"/>
    <w:rsid w:val="00D724AC"/>
    <w:rsid w:val="00D7431D"/>
    <w:rsid w:val="00D85015"/>
    <w:rsid w:val="00D86989"/>
    <w:rsid w:val="00D91F02"/>
    <w:rsid w:val="00D920F0"/>
    <w:rsid w:val="00D93689"/>
    <w:rsid w:val="00DA10E5"/>
    <w:rsid w:val="00DA656D"/>
    <w:rsid w:val="00DA6BF2"/>
    <w:rsid w:val="00DB0097"/>
    <w:rsid w:val="00DB0415"/>
    <w:rsid w:val="00DD195D"/>
    <w:rsid w:val="00DD48EB"/>
    <w:rsid w:val="00DE0CE4"/>
    <w:rsid w:val="00DE4CF2"/>
    <w:rsid w:val="00DF51A4"/>
    <w:rsid w:val="00E02E07"/>
    <w:rsid w:val="00E0506D"/>
    <w:rsid w:val="00E0571D"/>
    <w:rsid w:val="00E133AA"/>
    <w:rsid w:val="00E3343A"/>
    <w:rsid w:val="00E42F97"/>
    <w:rsid w:val="00E43A9C"/>
    <w:rsid w:val="00E474E2"/>
    <w:rsid w:val="00E53781"/>
    <w:rsid w:val="00E6440F"/>
    <w:rsid w:val="00E645BD"/>
    <w:rsid w:val="00E700B5"/>
    <w:rsid w:val="00E819B8"/>
    <w:rsid w:val="00E84263"/>
    <w:rsid w:val="00E90320"/>
    <w:rsid w:val="00E94AB7"/>
    <w:rsid w:val="00E94AC8"/>
    <w:rsid w:val="00EC517B"/>
    <w:rsid w:val="00ED1623"/>
    <w:rsid w:val="00ED1B7F"/>
    <w:rsid w:val="00ED4CAD"/>
    <w:rsid w:val="00ED6EF6"/>
    <w:rsid w:val="00ED77DF"/>
    <w:rsid w:val="00EE0262"/>
    <w:rsid w:val="00EE1282"/>
    <w:rsid w:val="00EE2B28"/>
    <w:rsid w:val="00EE596E"/>
    <w:rsid w:val="00EF1235"/>
    <w:rsid w:val="00F14927"/>
    <w:rsid w:val="00F1500D"/>
    <w:rsid w:val="00F17BDB"/>
    <w:rsid w:val="00F20F3D"/>
    <w:rsid w:val="00F47FE4"/>
    <w:rsid w:val="00F53E53"/>
    <w:rsid w:val="00F625F0"/>
    <w:rsid w:val="00F72953"/>
    <w:rsid w:val="00F76A15"/>
    <w:rsid w:val="00F8381D"/>
    <w:rsid w:val="00F87015"/>
    <w:rsid w:val="00F9545E"/>
    <w:rsid w:val="00F976B4"/>
    <w:rsid w:val="00FA5514"/>
    <w:rsid w:val="00FA73FA"/>
    <w:rsid w:val="00FB0A91"/>
    <w:rsid w:val="00FC1A17"/>
    <w:rsid w:val="00FC255E"/>
    <w:rsid w:val="00FC3050"/>
    <w:rsid w:val="00FC4902"/>
    <w:rsid w:val="00FC6E08"/>
    <w:rsid w:val="00FD055D"/>
    <w:rsid w:val="00FF0EB2"/>
    <w:rsid w:val="00FF486E"/>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D409"/>
  <w15:chartTrackingRefBased/>
  <w15:docId w15:val="{306581B8-1A72-4B44-A1D4-14036A31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
    <w:name w:val="Body Text"/>
    <w:basedOn w:val="Normal"/>
    <w:link w:val="BodyTextChar"/>
    <w:rPr>
      <w:i/>
      <w:iCs/>
    </w:rPr>
  </w:style>
  <w:style w:type="character" w:styleId="Hyperlink">
    <w:name w:val="Hyperlink"/>
    <w:rPr>
      <w:color w:val="0000FF"/>
      <w:u w:val="single"/>
    </w:rPr>
  </w:style>
  <w:style w:type="character" w:customStyle="1" w:styleId="a">
    <w:name w:val="_"/>
  </w:style>
  <w:style w:type="paragraph" w:styleId="NormalWeb">
    <w:name w:val="Normal (Web)"/>
    <w:basedOn w:val="Normal"/>
    <w:uiPriority w:val="99"/>
    <w:unhideWhenUsed/>
    <w:rsid w:val="00FB0A91"/>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8E3EFD"/>
    <w:rPr>
      <w:rFonts w:ascii="Tahoma" w:hAnsi="Tahoma" w:cs="Tahoma"/>
      <w:sz w:val="16"/>
      <w:szCs w:val="16"/>
    </w:rPr>
  </w:style>
  <w:style w:type="character" w:customStyle="1" w:styleId="BalloonTextChar">
    <w:name w:val="Balloon Text Char"/>
    <w:link w:val="BalloonText"/>
    <w:uiPriority w:val="99"/>
    <w:semiHidden/>
    <w:rsid w:val="008E3EFD"/>
    <w:rPr>
      <w:rFonts w:ascii="Tahoma" w:hAnsi="Tahoma" w:cs="Tahoma"/>
      <w:sz w:val="16"/>
      <w:szCs w:val="16"/>
    </w:rPr>
  </w:style>
  <w:style w:type="character" w:styleId="CommentReference">
    <w:name w:val="annotation reference"/>
    <w:uiPriority w:val="99"/>
    <w:semiHidden/>
    <w:unhideWhenUsed/>
    <w:rsid w:val="008E3EFD"/>
    <w:rPr>
      <w:sz w:val="16"/>
      <w:szCs w:val="16"/>
    </w:rPr>
  </w:style>
  <w:style w:type="paragraph" w:styleId="CommentText">
    <w:name w:val="annotation text"/>
    <w:basedOn w:val="Normal"/>
    <w:link w:val="CommentTextChar"/>
    <w:uiPriority w:val="99"/>
    <w:semiHidden/>
    <w:unhideWhenUsed/>
    <w:rsid w:val="008E3EFD"/>
    <w:rPr>
      <w:sz w:val="20"/>
    </w:rPr>
  </w:style>
  <w:style w:type="character" w:customStyle="1" w:styleId="CommentTextChar">
    <w:name w:val="Comment Text Char"/>
    <w:basedOn w:val="DefaultParagraphFont"/>
    <w:link w:val="CommentText"/>
    <w:uiPriority w:val="99"/>
    <w:semiHidden/>
    <w:rsid w:val="008E3EFD"/>
  </w:style>
  <w:style w:type="paragraph" w:styleId="CommentSubject">
    <w:name w:val="annotation subject"/>
    <w:basedOn w:val="CommentText"/>
    <w:next w:val="CommentText"/>
    <w:link w:val="CommentSubjectChar"/>
    <w:uiPriority w:val="99"/>
    <w:semiHidden/>
    <w:unhideWhenUsed/>
    <w:rsid w:val="008E3EFD"/>
    <w:rPr>
      <w:b/>
      <w:bCs/>
    </w:rPr>
  </w:style>
  <w:style w:type="character" w:customStyle="1" w:styleId="CommentSubjectChar">
    <w:name w:val="Comment Subject Char"/>
    <w:link w:val="CommentSubject"/>
    <w:uiPriority w:val="99"/>
    <w:semiHidden/>
    <w:rsid w:val="008E3EFD"/>
    <w:rPr>
      <w:b/>
      <w:bCs/>
    </w:rPr>
  </w:style>
  <w:style w:type="paragraph" w:styleId="Header">
    <w:name w:val="header"/>
    <w:basedOn w:val="Normal"/>
    <w:link w:val="HeaderChar"/>
    <w:uiPriority w:val="99"/>
    <w:unhideWhenUsed/>
    <w:rsid w:val="00EC517B"/>
    <w:pPr>
      <w:tabs>
        <w:tab w:val="center" w:pos="4680"/>
        <w:tab w:val="right" w:pos="9360"/>
      </w:tabs>
    </w:pPr>
  </w:style>
  <w:style w:type="character" w:customStyle="1" w:styleId="HeaderChar">
    <w:name w:val="Header Char"/>
    <w:link w:val="Header"/>
    <w:uiPriority w:val="99"/>
    <w:rsid w:val="00EC517B"/>
    <w:rPr>
      <w:sz w:val="24"/>
    </w:rPr>
  </w:style>
  <w:style w:type="paragraph" w:styleId="ListParagraph">
    <w:name w:val="List Paragraph"/>
    <w:basedOn w:val="Normal"/>
    <w:uiPriority w:val="34"/>
    <w:qFormat/>
    <w:rsid w:val="00880F50"/>
    <w:pPr>
      <w:ind w:left="720"/>
    </w:pPr>
    <w:rPr>
      <w:rFonts w:ascii="Calibri" w:hAnsi="Calibri" w:cs="Calibri"/>
      <w:sz w:val="20"/>
    </w:rPr>
  </w:style>
  <w:style w:type="character" w:customStyle="1" w:styleId="FootnoteTextChar">
    <w:name w:val="Footnote Text Char"/>
    <w:link w:val="FootnoteText"/>
    <w:uiPriority w:val="99"/>
    <w:semiHidden/>
    <w:rsid w:val="00870E3F"/>
  </w:style>
  <w:style w:type="paragraph" w:customStyle="1" w:styleId="Default">
    <w:name w:val="Default"/>
    <w:rsid w:val="00870E3F"/>
    <w:pPr>
      <w:autoSpaceDE w:val="0"/>
      <w:autoSpaceDN w:val="0"/>
      <w:adjustRightInd w:val="0"/>
    </w:pPr>
    <w:rPr>
      <w:rFonts w:eastAsia="Calibri"/>
      <w:color w:val="000000"/>
      <w:sz w:val="24"/>
      <w:szCs w:val="24"/>
    </w:rPr>
  </w:style>
  <w:style w:type="character" w:customStyle="1" w:styleId="documentbody1">
    <w:name w:val="documentbody1"/>
    <w:rsid w:val="009E3405"/>
    <w:rPr>
      <w:rFonts w:ascii="Verdana" w:hAnsi="Verdana" w:hint="default"/>
      <w:sz w:val="19"/>
      <w:szCs w:val="19"/>
    </w:rPr>
  </w:style>
  <w:style w:type="character" w:customStyle="1" w:styleId="BodyTextChar">
    <w:name w:val="Body Text Char"/>
    <w:link w:val="BodyText"/>
    <w:rsid w:val="008154B4"/>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832">
      <w:bodyDiv w:val="1"/>
      <w:marLeft w:val="0"/>
      <w:marRight w:val="0"/>
      <w:marTop w:val="0"/>
      <w:marBottom w:val="0"/>
      <w:divBdr>
        <w:top w:val="none" w:sz="0" w:space="0" w:color="auto"/>
        <w:left w:val="none" w:sz="0" w:space="0" w:color="auto"/>
        <w:bottom w:val="none" w:sz="0" w:space="0" w:color="auto"/>
        <w:right w:val="none" w:sz="0" w:space="0" w:color="auto"/>
      </w:divBdr>
    </w:div>
    <w:div w:id="766581071">
      <w:bodyDiv w:val="1"/>
      <w:marLeft w:val="0"/>
      <w:marRight w:val="0"/>
      <w:marTop w:val="0"/>
      <w:marBottom w:val="0"/>
      <w:divBdr>
        <w:top w:val="none" w:sz="0" w:space="0" w:color="auto"/>
        <w:left w:val="none" w:sz="0" w:space="0" w:color="auto"/>
        <w:bottom w:val="none" w:sz="0" w:space="0" w:color="auto"/>
        <w:right w:val="none" w:sz="0" w:space="0" w:color="auto"/>
      </w:divBdr>
    </w:div>
    <w:div w:id="1385255654">
      <w:bodyDiv w:val="1"/>
      <w:marLeft w:val="0"/>
      <w:marRight w:val="0"/>
      <w:marTop w:val="0"/>
      <w:marBottom w:val="0"/>
      <w:divBdr>
        <w:top w:val="none" w:sz="0" w:space="0" w:color="auto"/>
        <w:left w:val="none" w:sz="0" w:space="0" w:color="auto"/>
        <w:bottom w:val="none" w:sz="0" w:space="0" w:color="auto"/>
        <w:right w:val="none" w:sz="0" w:space="0" w:color="auto"/>
      </w:divBdr>
    </w:div>
    <w:div w:id="1392001389">
      <w:bodyDiv w:val="1"/>
      <w:marLeft w:val="0"/>
      <w:marRight w:val="0"/>
      <w:marTop w:val="0"/>
      <w:marBottom w:val="0"/>
      <w:divBdr>
        <w:top w:val="none" w:sz="0" w:space="0" w:color="auto"/>
        <w:left w:val="none" w:sz="0" w:space="0" w:color="auto"/>
        <w:bottom w:val="none" w:sz="0" w:space="0" w:color="auto"/>
        <w:right w:val="none" w:sz="0" w:space="0" w:color="auto"/>
      </w:divBdr>
    </w:div>
    <w:div w:id="1749035131">
      <w:bodyDiv w:val="1"/>
      <w:marLeft w:val="0"/>
      <w:marRight w:val="0"/>
      <w:marTop w:val="0"/>
      <w:marBottom w:val="0"/>
      <w:divBdr>
        <w:top w:val="none" w:sz="0" w:space="0" w:color="auto"/>
        <w:left w:val="none" w:sz="0" w:space="0" w:color="auto"/>
        <w:bottom w:val="none" w:sz="0" w:space="0" w:color="auto"/>
        <w:right w:val="none" w:sz="0" w:space="0" w:color="auto"/>
      </w:divBdr>
      <w:divsChild>
        <w:div w:id="63142626">
          <w:marLeft w:val="0"/>
          <w:marRight w:val="0"/>
          <w:marTop w:val="0"/>
          <w:marBottom w:val="0"/>
          <w:divBdr>
            <w:top w:val="none" w:sz="0" w:space="0" w:color="auto"/>
            <w:left w:val="none" w:sz="0" w:space="0" w:color="auto"/>
            <w:bottom w:val="none" w:sz="0" w:space="0" w:color="auto"/>
            <w:right w:val="none" w:sz="0" w:space="0" w:color="auto"/>
          </w:divBdr>
          <w:divsChild>
            <w:div w:id="275601127">
              <w:marLeft w:val="0"/>
              <w:marRight w:val="0"/>
              <w:marTop w:val="0"/>
              <w:marBottom w:val="0"/>
              <w:divBdr>
                <w:top w:val="none" w:sz="0" w:space="0" w:color="auto"/>
                <w:left w:val="none" w:sz="0" w:space="0" w:color="auto"/>
                <w:bottom w:val="none" w:sz="0" w:space="0" w:color="auto"/>
                <w:right w:val="none" w:sz="0" w:space="0" w:color="auto"/>
              </w:divBdr>
              <w:divsChild>
                <w:div w:id="1864590273">
                  <w:marLeft w:val="0"/>
                  <w:marRight w:val="0"/>
                  <w:marTop w:val="0"/>
                  <w:marBottom w:val="0"/>
                  <w:divBdr>
                    <w:top w:val="none" w:sz="0" w:space="0" w:color="auto"/>
                    <w:left w:val="none" w:sz="0" w:space="0" w:color="auto"/>
                    <w:bottom w:val="none" w:sz="0" w:space="0" w:color="auto"/>
                    <w:right w:val="none" w:sz="0" w:space="0" w:color="auto"/>
                  </w:divBdr>
                  <w:divsChild>
                    <w:div w:id="760108334">
                      <w:marLeft w:val="0"/>
                      <w:marRight w:val="0"/>
                      <w:marTop w:val="0"/>
                      <w:marBottom w:val="0"/>
                      <w:divBdr>
                        <w:top w:val="none" w:sz="0" w:space="0" w:color="auto"/>
                        <w:left w:val="none" w:sz="0" w:space="0" w:color="auto"/>
                        <w:bottom w:val="none" w:sz="0" w:space="0" w:color="auto"/>
                        <w:right w:val="none" w:sz="0" w:space="0" w:color="auto"/>
                      </w:divBdr>
                      <w:divsChild>
                        <w:div w:id="685138004">
                          <w:marLeft w:val="0"/>
                          <w:marRight w:val="0"/>
                          <w:marTop w:val="0"/>
                          <w:marBottom w:val="0"/>
                          <w:divBdr>
                            <w:top w:val="none" w:sz="0" w:space="0" w:color="auto"/>
                            <w:left w:val="none" w:sz="0" w:space="0" w:color="auto"/>
                            <w:bottom w:val="none" w:sz="0" w:space="0" w:color="auto"/>
                            <w:right w:val="none" w:sz="0" w:space="0" w:color="auto"/>
                          </w:divBdr>
                          <w:divsChild>
                            <w:div w:id="13387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09715">
      <w:bodyDiv w:val="1"/>
      <w:marLeft w:val="0"/>
      <w:marRight w:val="0"/>
      <w:marTop w:val="0"/>
      <w:marBottom w:val="0"/>
      <w:divBdr>
        <w:top w:val="none" w:sz="0" w:space="0" w:color="auto"/>
        <w:left w:val="none" w:sz="0" w:space="0" w:color="auto"/>
        <w:bottom w:val="none" w:sz="0" w:space="0" w:color="auto"/>
        <w:right w:val="none" w:sz="0" w:space="0" w:color="auto"/>
      </w:divBdr>
    </w:div>
    <w:div w:id="2029984274">
      <w:bodyDiv w:val="1"/>
      <w:marLeft w:val="0"/>
      <w:marRight w:val="0"/>
      <w:marTop w:val="0"/>
      <w:marBottom w:val="0"/>
      <w:divBdr>
        <w:top w:val="none" w:sz="0" w:space="0" w:color="auto"/>
        <w:left w:val="none" w:sz="0" w:space="0" w:color="auto"/>
        <w:bottom w:val="none" w:sz="0" w:space="0" w:color="auto"/>
        <w:right w:val="none" w:sz="0" w:space="0" w:color="auto"/>
      </w:divBdr>
    </w:div>
    <w:div w:id="2046784059">
      <w:bodyDiv w:val="1"/>
      <w:marLeft w:val="0"/>
      <w:marRight w:val="0"/>
      <w:marTop w:val="0"/>
      <w:marBottom w:val="0"/>
      <w:divBdr>
        <w:top w:val="none" w:sz="0" w:space="0" w:color="auto"/>
        <w:left w:val="none" w:sz="0" w:space="0" w:color="auto"/>
        <w:bottom w:val="none" w:sz="0" w:space="0" w:color="auto"/>
        <w:right w:val="none" w:sz="0" w:space="0" w:color="auto"/>
      </w:divBdr>
    </w:div>
    <w:div w:id="20963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BE27-F46B-4A12-AD69-829CC17C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8137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cp:lastModifiedBy>Gottlieb, Mary</cp:lastModifiedBy>
  <cp:revision>4</cp:revision>
  <cp:lastPrinted>2019-06-20T14:05:00Z</cp:lastPrinted>
  <dcterms:created xsi:type="dcterms:W3CDTF">2022-06-29T13:43:00Z</dcterms:created>
  <dcterms:modified xsi:type="dcterms:W3CDTF">2022-06-29T17:29:00Z</dcterms:modified>
</cp:coreProperties>
</file>