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7E31" w:rsidRDefault="006F7897" w14:paraId="72A758CD" w14:textId="77777777">
      <w:pPr>
        <w:pStyle w:val="Default"/>
        <w:jc w:val="center"/>
      </w:pPr>
      <w:r>
        <w:t>Community Development Financial Institutions Fund, Department of the Treasury</w:t>
      </w:r>
    </w:p>
    <w:p w:rsidR="009E7E31" w:rsidRDefault="009E7E31" w14:paraId="72A758CE" w14:textId="77777777">
      <w:pPr>
        <w:pStyle w:val="Default"/>
        <w:jc w:val="center"/>
        <w:rPr>
          <w:color w:val="auto"/>
        </w:rPr>
      </w:pPr>
    </w:p>
    <w:p w:rsidR="009E7E31" w:rsidRDefault="006F7897" w14:paraId="72A758CF" w14:textId="77777777">
      <w:pPr>
        <w:pStyle w:val="Default"/>
        <w:jc w:val="center"/>
        <w:rPr>
          <w:color w:val="auto"/>
        </w:rPr>
      </w:pPr>
      <w:r>
        <w:rPr>
          <w:color w:val="auto"/>
        </w:rPr>
        <w:t>Supporting Statement – Part A</w:t>
      </w:r>
    </w:p>
    <w:p w:rsidR="009E7E31" w:rsidRDefault="006F7897" w14:paraId="72A758D0" w14:textId="77777777">
      <w:pPr>
        <w:pStyle w:val="Default"/>
        <w:jc w:val="center"/>
        <w:rPr>
          <w:color w:val="auto"/>
        </w:rPr>
      </w:pPr>
      <w:r>
        <w:t>Generic Clearance for the Collection of Qualitative Feedback on Agency Service Delivery</w:t>
      </w:r>
    </w:p>
    <w:p w:rsidR="009E7E31" w:rsidRDefault="006F7897" w14:paraId="72A758D1" w14:textId="77777777">
      <w:pPr>
        <w:pStyle w:val="Default"/>
        <w:jc w:val="center"/>
        <w:rPr>
          <w:color w:val="auto"/>
        </w:rPr>
      </w:pPr>
      <w:r>
        <w:rPr>
          <w:color w:val="auto"/>
        </w:rPr>
        <w:t>OMB Control Number 1559-0041</w:t>
      </w:r>
    </w:p>
    <w:p w:rsidR="009E7E31" w:rsidRDefault="009E7E31" w14:paraId="72A758D2" w14:textId="77777777">
      <w:pPr>
        <w:pStyle w:val="Default"/>
        <w:rPr>
          <w:b/>
          <w:bCs/>
          <w:color w:val="auto"/>
        </w:rPr>
      </w:pPr>
    </w:p>
    <w:p w:rsidR="009E7E31" w:rsidRDefault="006F7897" w14:paraId="72A758D3" w14:textId="77777777">
      <w:pPr>
        <w:pStyle w:val="Default"/>
        <w:rPr>
          <w:b/>
          <w:bCs/>
          <w:color w:val="auto"/>
        </w:rPr>
      </w:pPr>
      <w:r>
        <w:rPr>
          <w:b/>
          <w:bCs/>
          <w:color w:val="auto"/>
        </w:rPr>
        <w:t xml:space="preserve">A. Justification </w:t>
      </w:r>
    </w:p>
    <w:p w:rsidR="009E7E31" w:rsidRDefault="009E7E31" w14:paraId="72A758D4" w14:textId="77777777">
      <w:pPr>
        <w:pStyle w:val="Default"/>
        <w:rPr>
          <w:color w:val="auto"/>
        </w:rPr>
      </w:pPr>
    </w:p>
    <w:p w:rsidR="009E7E31" w:rsidRDefault="006F7897" w14:paraId="72A758D5" w14:textId="77777777">
      <w:pPr>
        <w:pStyle w:val="Default"/>
        <w:rPr>
          <w:color w:val="auto"/>
          <w:u w:val="single"/>
        </w:rPr>
      </w:pPr>
      <w:r>
        <w:rPr>
          <w:color w:val="auto"/>
          <w:u w:val="single"/>
        </w:rPr>
        <w:t xml:space="preserve">1. Circumstances necessitating collection of information </w:t>
      </w:r>
    </w:p>
    <w:p w:rsidR="009E7E31" w:rsidRDefault="006F7897" w14:paraId="72A758D6" w14:textId="5C04B6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Executive Order 12862 directs Federal agencies to provide service to the public that matches or exceeds the best service available in the private sector. In order to work continuously to ensure that our programs are effective and meet our customers’ needs, the Community Development Financial Institutions Fund (CDFI Fund) seeks to obtain OMB approval of a generic clearance to collect qualitative feedback on our service delivery.  </w:t>
      </w:r>
    </w:p>
    <w:p w:rsidR="009E7E31" w:rsidRDefault="009E7E31" w14:paraId="72A758D7" w14:textId="77777777">
      <w:pPr>
        <w:spacing w:after="0" w:line="240" w:lineRule="auto"/>
        <w:rPr>
          <w:rFonts w:ascii="Times New Roman" w:hAnsi="Times New Roman" w:cs="Times New Roman"/>
          <w:b/>
          <w:sz w:val="24"/>
          <w:szCs w:val="24"/>
        </w:rPr>
      </w:pPr>
    </w:p>
    <w:p w:rsidR="009E7E31" w:rsidRDefault="006F7897" w14:paraId="72A758D8" w14:textId="24D95F7D">
      <w:pPr>
        <w:pStyle w:val="Default"/>
      </w:pPr>
      <w:r>
        <w:t>This collection of information is necessary to enable the CDFI Fund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CDFI Fund’s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CDFI Fund and its customers and stakeholders. It will also allow feedback to contribute directly to the improvement of program management. It will not yield quantitative results that can be generalized to population of study.</w:t>
      </w:r>
    </w:p>
    <w:p w:rsidR="009E7E31" w:rsidRDefault="009E7E31" w14:paraId="72A758D9" w14:textId="77777777">
      <w:pPr>
        <w:pStyle w:val="Default"/>
        <w:rPr>
          <w:color w:val="auto"/>
        </w:rPr>
      </w:pPr>
    </w:p>
    <w:p w:rsidR="009E7E31" w:rsidRDefault="006F7897" w14:paraId="72A758DA" w14:textId="77777777">
      <w:pPr>
        <w:pStyle w:val="Default"/>
        <w:rPr>
          <w:color w:val="auto"/>
          <w:u w:val="single"/>
        </w:rPr>
      </w:pPr>
      <w:r>
        <w:rPr>
          <w:color w:val="auto"/>
          <w:u w:val="single"/>
        </w:rPr>
        <w:t xml:space="preserve">2. Method of collection and use of data </w:t>
      </w:r>
    </w:p>
    <w:p w:rsidR="009E7E31" w:rsidRDefault="006F7897" w14:paraId="72A758DB" w14:textId="78DB267E">
      <w:pPr>
        <w:spacing w:after="0" w:line="240" w:lineRule="auto"/>
        <w:rPr>
          <w:rFonts w:ascii="Times New Roman" w:hAnsi="Times New Roman" w:cs="Times New Roman"/>
          <w:sz w:val="24"/>
          <w:szCs w:val="24"/>
        </w:rPr>
      </w:pPr>
      <w:r>
        <w:rPr>
          <w:rFonts w:ascii="Times New Roman" w:hAnsi="Times New Roman" w:cs="Times New Roman"/>
          <w:sz w:val="24"/>
          <w:szCs w:val="24"/>
        </w:rPr>
        <w:t>Improving CDFI Fund programs requires ongoing assessment of service delivery, by which we mean systematic review of the operation of a program compared to a set of explicit or implicit standards, as a means of contributing to the continuous improvement of the program. The CDFI Fund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CDFI Fund’s services will be unavailable.</w:t>
      </w:r>
    </w:p>
    <w:p w:rsidR="009E7E31" w:rsidRDefault="009E7E31" w14:paraId="72A758DC" w14:textId="77777777">
      <w:pPr>
        <w:spacing w:after="0" w:line="240" w:lineRule="auto"/>
        <w:rPr>
          <w:rFonts w:ascii="Times New Roman" w:hAnsi="Times New Roman" w:cs="Times New Roman"/>
          <w:sz w:val="24"/>
          <w:szCs w:val="24"/>
        </w:rPr>
      </w:pPr>
    </w:p>
    <w:p w:rsidR="009E7E31" w:rsidRDefault="006F7897" w14:paraId="72A758D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CDFI Fund will only submit a collection for approval under this generic clearance if it meets the following conditions:   </w:t>
      </w:r>
    </w:p>
    <w:p w:rsidR="009E7E31" w:rsidRDefault="006F7897" w14:paraId="72A758DE" w14:textId="0A60AD95">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Information gathered will be used only internally for general service improvement and program management purposes and is not intended for release outside of the agency (if released, procedures outlined in Question 16 will be followed);</w:t>
      </w:r>
    </w:p>
    <w:p w:rsidR="009E7E31" w:rsidRDefault="006F7897" w14:paraId="72A758DF" w14:textId="7777777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Information gathered will not be used for the purpose of substantially informing influential policy decisions;</w:t>
      </w:r>
      <w:r>
        <w:rPr>
          <w:rStyle w:val="FootnoteReference"/>
          <w:rFonts w:ascii="Times New Roman" w:hAnsi="Times New Roman" w:cs="Times New Roman"/>
          <w:sz w:val="24"/>
          <w:szCs w:val="24"/>
        </w:rPr>
        <w:footnoteReference w:id="2"/>
      </w:r>
    </w:p>
    <w:p w:rsidR="009E7E31" w:rsidRDefault="006F7897" w14:paraId="72A758E0" w14:textId="4265ED88">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Information gathered  will yield qualitative information; the collections will not be designed or expected to yield statistically reliable results or used as though the results are generalizable to the population of study; </w:t>
      </w:r>
    </w:p>
    <w:p w:rsidR="009E7E31" w:rsidRDefault="006F7897" w14:paraId="72A758E1" w14:textId="7777777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The collections are voluntary;</w:t>
      </w:r>
    </w:p>
    <w:p w:rsidR="009E7E31" w:rsidRDefault="006F7897" w14:paraId="72A758E2" w14:textId="7777777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9E7E31" w:rsidRDefault="006F7897" w14:paraId="72A758E3" w14:textId="5B565EE2">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collections are non-controversial and do not raise issues of concern to other Federal agencies; </w:t>
      </w:r>
    </w:p>
    <w:p w:rsidR="009E7E31" w:rsidRDefault="006F7897" w14:paraId="72A758E4" w14:textId="7777777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Any collection is targeted to the solicitation of opinions from respondents who have experience with the program or may have experience with the program in the near future; and</w:t>
      </w:r>
    </w:p>
    <w:p w:rsidR="009E7E31" w:rsidRDefault="006F7897" w14:paraId="72A758E5" w14:textId="7777777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With the exception of information needed to provide remuneration for participants of focus groups and cognitive laboratory studies, personally identifiable information (PII) is collected only to the extent necessary and is not retained. </w:t>
      </w:r>
    </w:p>
    <w:p w:rsidR="009E7E31" w:rsidRDefault="009E7E31" w14:paraId="72A758E6" w14:textId="77777777">
      <w:pPr>
        <w:pStyle w:val="ListParagraph"/>
        <w:spacing w:after="0" w:line="240" w:lineRule="auto"/>
        <w:ind w:left="360"/>
        <w:rPr>
          <w:rFonts w:ascii="Times New Roman" w:hAnsi="Times New Roman" w:cs="Times New Roman"/>
          <w:sz w:val="24"/>
          <w:szCs w:val="24"/>
        </w:rPr>
      </w:pPr>
    </w:p>
    <w:p w:rsidR="009E7E31" w:rsidRDefault="006F7897" w14:paraId="72A758E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these conditions are not met, the CDFI Fund will submit an information collection request to OMB for approval through the normal PRA process.  </w:t>
      </w:r>
    </w:p>
    <w:p w:rsidR="009E7E31" w:rsidRDefault="009E7E31" w14:paraId="72A758E8" w14:textId="77777777">
      <w:pPr>
        <w:spacing w:after="0" w:line="240" w:lineRule="auto"/>
        <w:rPr>
          <w:rFonts w:ascii="Times New Roman" w:hAnsi="Times New Roman" w:cs="Times New Roman"/>
          <w:sz w:val="24"/>
          <w:szCs w:val="24"/>
        </w:rPr>
      </w:pPr>
    </w:p>
    <w:p w:rsidR="009E7E31" w:rsidRDefault="006F7897" w14:paraId="72A758E9" w14:textId="1B82F432">
      <w:pPr>
        <w:spacing w:after="0" w:line="240" w:lineRule="auto"/>
        <w:rPr>
          <w:rFonts w:ascii="Times New Roman" w:hAnsi="Times New Roman" w:cs="Times New Roman"/>
          <w:sz w:val="24"/>
          <w:szCs w:val="24"/>
        </w:rPr>
      </w:pPr>
      <w:r>
        <w:rPr>
          <w:rFonts w:ascii="Times New Roman" w:hAnsi="Times New Roman" w:cs="Times New Roman"/>
          <w:sz w:val="24"/>
          <w:szCs w:val="24"/>
        </w:rPr>
        <w:t>To obtain approval for a collection that meets the conditions of this generic clearance, a standardized form will be submitted to OMB along with supporting documentation. The submission will have automatic approval, unless OMB identifies issues within 5 business days.</w:t>
      </w:r>
    </w:p>
    <w:p w:rsidR="009E7E31" w:rsidRDefault="009E7E31" w14:paraId="72A758EA" w14:textId="77777777">
      <w:pPr>
        <w:spacing w:after="0" w:line="240" w:lineRule="auto"/>
        <w:rPr>
          <w:rFonts w:ascii="Times New Roman" w:hAnsi="Times New Roman" w:cs="Times New Roman"/>
          <w:sz w:val="24"/>
          <w:szCs w:val="24"/>
        </w:rPr>
      </w:pPr>
    </w:p>
    <w:p w:rsidR="009E7E31" w:rsidRDefault="006F7897" w14:paraId="72A758E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The types of collections that this generic clearance covers include, but are not limited to:</w:t>
      </w:r>
    </w:p>
    <w:p w:rsidR="009E7E31" w:rsidRDefault="006F7897" w14:paraId="72A758EC" w14:textId="77777777">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Customer comment cards/complaint forms</w:t>
      </w:r>
    </w:p>
    <w:p w:rsidR="009E7E31" w:rsidRDefault="006F7897" w14:paraId="72A758ED" w14:textId="77777777">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Small discussion groups</w:t>
      </w:r>
    </w:p>
    <w:p w:rsidR="009E7E31" w:rsidRDefault="006F7897" w14:paraId="72A758EE" w14:textId="77777777">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Focus Groups of customers, potential customers, delivery partners, or other stakeholders</w:t>
      </w:r>
    </w:p>
    <w:p w:rsidR="009E7E31" w:rsidRDefault="006F7897" w14:paraId="72A758EF" w14:textId="77777777">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Cognitive laboratory studies, such as those used to refine questions or assess usability of a website;</w:t>
      </w:r>
    </w:p>
    <w:p w:rsidR="009E7E31" w:rsidRDefault="006F7897" w14:paraId="72A758F0" w14:textId="77777777">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Qualitative customer satisfaction surveys (e.g., post-transaction surveys; opt-out web surveys)</w:t>
      </w:r>
    </w:p>
    <w:p w:rsidR="009E7E31" w:rsidRDefault="006F7897" w14:paraId="72A758F1" w14:textId="77777777">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In-person observation testing (e.g., website or software usability tests)</w:t>
      </w:r>
    </w:p>
    <w:p w:rsidR="009E7E31" w:rsidRDefault="009E7E31" w14:paraId="72A758F2" w14:textId="77777777">
      <w:pPr>
        <w:pStyle w:val="Default"/>
      </w:pPr>
    </w:p>
    <w:p w:rsidR="009E7E31" w:rsidRDefault="006F7897" w14:paraId="72A758F3" w14:textId="77777777">
      <w:pPr>
        <w:pStyle w:val="Default"/>
      </w:pPr>
      <w:r>
        <w:t>The CDFI Fund has established a manager to serve for this generic clearance and will conduct an independent review of each information collection to ensure compliance with the terms of this clearance prior to submitting each collection to OMB.</w:t>
      </w:r>
    </w:p>
    <w:p w:rsidR="009E7E31" w:rsidRDefault="009E7E31" w14:paraId="72A758F4" w14:textId="77777777">
      <w:pPr>
        <w:pStyle w:val="Default"/>
      </w:pPr>
    </w:p>
    <w:p w:rsidR="009E7E31" w:rsidRDefault="006F7897" w14:paraId="72A758F5" w14:textId="77777777">
      <w:pPr>
        <w:pStyle w:val="Default"/>
        <w:rPr>
          <w:u w:val="single"/>
        </w:rPr>
      </w:pPr>
      <w:r>
        <w:rPr>
          <w:u w:val="single"/>
        </w:rPr>
        <w:t xml:space="preserve">3. Use of Information Technology </w:t>
      </w:r>
    </w:p>
    <w:p w:rsidR="009E7E31" w:rsidRDefault="006F7897" w14:paraId="72A758F6" w14:textId="77777777">
      <w:pPr>
        <w:pStyle w:val="Default"/>
      </w:pPr>
      <w:r>
        <w:t>The CDFI Fund will collect information electronically and/or use online collaboration tools to reduce burden.</w:t>
      </w:r>
    </w:p>
    <w:p w:rsidR="009E7E31" w:rsidRDefault="009E7E31" w14:paraId="72A758F7" w14:textId="77777777">
      <w:pPr>
        <w:pStyle w:val="Default"/>
      </w:pPr>
    </w:p>
    <w:p w:rsidR="009E7E31" w:rsidRDefault="006F7897" w14:paraId="72A758F8" w14:textId="77777777">
      <w:pPr>
        <w:pStyle w:val="Default"/>
        <w:rPr>
          <w:u w:val="single"/>
        </w:rPr>
      </w:pPr>
      <w:r>
        <w:rPr>
          <w:u w:val="single"/>
        </w:rPr>
        <w:t xml:space="preserve">4. Efforts to identify duplication </w:t>
      </w:r>
    </w:p>
    <w:p w:rsidR="009E7E31" w:rsidRDefault="006F7897" w14:paraId="72A758F9" w14:textId="77777777">
      <w:pPr>
        <w:pStyle w:val="Default"/>
        <w:rPr>
          <w:b/>
        </w:rPr>
      </w:pPr>
      <w:r>
        <w:t xml:space="preserve">The CDFI Fund will ensure no similar data is gathered or maintained by the CDFI Fund or are available from other sources known to the CDFI Fund.  </w:t>
      </w:r>
    </w:p>
    <w:p w:rsidR="009E7E31" w:rsidRDefault="009E7E31" w14:paraId="72A758FA" w14:textId="77777777">
      <w:pPr>
        <w:pStyle w:val="Default"/>
      </w:pPr>
    </w:p>
    <w:p w:rsidR="009E7E31" w:rsidRDefault="006F7897" w14:paraId="72A758FB" w14:textId="77777777">
      <w:pPr>
        <w:pStyle w:val="Default"/>
        <w:rPr>
          <w:color w:val="auto"/>
          <w:u w:val="single"/>
        </w:rPr>
      </w:pPr>
      <w:r>
        <w:rPr>
          <w:color w:val="auto"/>
          <w:u w:val="single"/>
        </w:rPr>
        <w:t xml:space="preserve">5. Impact on small entities </w:t>
      </w:r>
    </w:p>
    <w:p w:rsidR="009E7E31" w:rsidRDefault="006F7897" w14:paraId="72A758FC" w14:textId="77777777">
      <w:pPr>
        <w:pStyle w:val="Default"/>
        <w:rPr>
          <w:color w:val="auto"/>
        </w:rPr>
      </w:pPr>
      <w:r>
        <w:t xml:space="preserve">Small business or other small entities may be involved in these efforts; however, the CDFI Fund will minimize the burden on them of information collections approved under this clearance by sampling, asking for readily available information, and using short, easy-to-complete information collection instruments. </w:t>
      </w:r>
    </w:p>
    <w:p w:rsidR="009E7E31" w:rsidRDefault="009E7E31" w14:paraId="72A758FD" w14:textId="77777777">
      <w:pPr>
        <w:pStyle w:val="Default"/>
        <w:rPr>
          <w:color w:val="auto"/>
        </w:rPr>
      </w:pPr>
    </w:p>
    <w:p w:rsidR="009E7E31" w:rsidRDefault="006F7897" w14:paraId="72A758FE" w14:textId="77777777">
      <w:pPr>
        <w:pStyle w:val="Default"/>
        <w:rPr>
          <w:color w:val="auto"/>
          <w:u w:val="single"/>
        </w:rPr>
      </w:pPr>
      <w:r>
        <w:rPr>
          <w:color w:val="auto"/>
          <w:u w:val="single"/>
        </w:rPr>
        <w:t xml:space="preserve">6. Consequences of less frequent collection and obstacles to burden reduction </w:t>
      </w:r>
    </w:p>
    <w:p w:rsidR="009E7E31" w:rsidRDefault="006F7897" w14:paraId="72A758FF" w14:textId="77777777">
      <w:pPr>
        <w:pStyle w:val="Default"/>
        <w:rPr>
          <w:rFonts w:eastAsia="Times New Roman"/>
          <w:color w:val="auto"/>
          <w:szCs w:val="20"/>
        </w:rPr>
      </w:pPr>
      <w:r>
        <w:t>Without this type of feedback, the CDFI Fund will not have timely information to adjust services to meet customer needs.</w:t>
      </w:r>
    </w:p>
    <w:p w:rsidR="009E7E31" w:rsidRDefault="009E7E31" w14:paraId="72A75900" w14:textId="77777777">
      <w:pPr>
        <w:pStyle w:val="Default"/>
        <w:rPr>
          <w:color w:val="auto"/>
          <w:u w:val="single"/>
        </w:rPr>
      </w:pPr>
    </w:p>
    <w:p w:rsidR="009E7E31" w:rsidRDefault="006F7897" w14:paraId="72A75901" w14:textId="77777777">
      <w:pPr>
        <w:pStyle w:val="Default"/>
        <w:rPr>
          <w:color w:val="auto"/>
          <w:u w:val="single"/>
        </w:rPr>
      </w:pPr>
      <w:r>
        <w:rPr>
          <w:color w:val="auto"/>
          <w:u w:val="single"/>
        </w:rPr>
        <w:t xml:space="preserve">7. Circumstances requiring special information collection </w:t>
      </w:r>
    </w:p>
    <w:p w:rsidR="009E7E31" w:rsidRDefault="006F7897" w14:paraId="72A75902" w14:textId="77777777">
      <w:pPr>
        <w:pStyle w:val="Default"/>
        <w:rPr>
          <w:color w:val="auto"/>
          <w:u w:val="single"/>
        </w:rPr>
      </w:pPr>
      <w:r>
        <w:rPr>
          <w:color w:val="auto"/>
        </w:rPr>
        <w:t>Not applicable.</w:t>
      </w:r>
    </w:p>
    <w:p w:rsidR="009E7E31" w:rsidRDefault="009E7E31" w14:paraId="72A75903" w14:textId="77777777">
      <w:pPr>
        <w:pStyle w:val="Default"/>
        <w:rPr>
          <w:color w:val="auto"/>
        </w:rPr>
      </w:pPr>
    </w:p>
    <w:p w:rsidR="009E7E31" w:rsidRDefault="006F7897" w14:paraId="72A75904" w14:textId="77777777">
      <w:pPr>
        <w:pStyle w:val="Default"/>
        <w:rPr>
          <w:color w:val="auto"/>
          <w:u w:val="single"/>
        </w:rPr>
      </w:pPr>
      <w:r>
        <w:rPr>
          <w:color w:val="auto"/>
          <w:u w:val="single"/>
        </w:rPr>
        <w:t xml:space="preserve">8. Consultation with Persons outside the Agency </w:t>
      </w:r>
    </w:p>
    <w:p w:rsidR="009E7E31" w:rsidRDefault="006F7897" w14:paraId="72A75905" w14:textId="2354B84C">
      <w:pPr>
        <w:pStyle w:val="Default"/>
      </w:pPr>
      <w:r>
        <w:t xml:space="preserve">In accordance with 5 CFR 1320.8(d), a 60-day notice for public comment was published </w:t>
      </w:r>
      <w:r w:rsidR="00A664A1">
        <w:t>April 14, 2022</w:t>
      </w:r>
      <w:r>
        <w:t xml:space="preserve">, 82 FR </w:t>
      </w:r>
      <w:r w:rsidR="00A664A1">
        <w:t>22283</w:t>
      </w:r>
      <w:r>
        <w:t>, in the Federal Register. No comments were received.</w:t>
      </w:r>
    </w:p>
    <w:p w:rsidR="009E7E31" w:rsidRDefault="009E7E31" w14:paraId="72A75906" w14:textId="77777777">
      <w:pPr>
        <w:pStyle w:val="Default"/>
      </w:pPr>
    </w:p>
    <w:p w:rsidR="009E7E31" w:rsidRDefault="006F7897" w14:paraId="72A75907" w14:textId="77777777">
      <w:pPr>
        <w:pStyle w:val="Default"/>
        <w:rPr>
          <w:u w:val="single"/>
        </w:rPr>
      </w:pPr>
      <w:r>
        <w:rPr>
          <w:u w:val="single"/>
        </w:rPr>
        <w:t xml:space="preserve">9. Provision of payment to respondents </w:t>
      </w:r>
    </w:p>
    <w:p w:rsidR="009E7E31" w:rsidRDefault="006F7897" w14:paraId="72A75908" w14:textId="77777777">
      <w:pPr>
        <w:pStyle w:val="Default"/>
      </w:pPr>
      <w:r>
        <w:t xml:space="preserve">No payments or gifts will be made to respondents. </w:t>
      </w:r>
    </w:p>
    <w:p w:rsidR="009E7E31" w:rsidRDefault="009E7E31" w14:paraId="72A75909" w14:textId="77777777">
      <w:pPr>
        <w:pStyle w:val="Default"/>
      </w:pPr>
    </w:p>
    <w:p w:rsidR="009E7E31" w:rsidRDefault="006F7897" w14:paraId="72A7590A" w14:textId="77777777">
      <w:pPr>
        <w:pStyle w:val="Default"/>
        <w:rPr>
          <w:u w:val="single"/>
        </w:rPr>
      </w:pPr>
      <w:r>
        <w:rPr>
          <w:u w:val="single"/>
        </w:rPr>
        <w:t xml:space="preserve">10. Assurance of confidentiality </w:t>
      </w:r>
    </w:p>
    <w:p w:rsidR="009E7E31" w:rsidRDefault="006F7897" w14:paraId="72A7590B" w14:textId="77777777">
      <w:pPr>
        <w:pStyle w:val="Default"/>
      </w:pPr>
      <w:r>
        <w:t xml:space="preserve">The CDFI Fund is subject to all Federal regulations with respect to confidentiality of information. Access to data submitted in response to information collections will be limited to CDFI Fund staff and, if applicable, designated contractors who are subject to all Federal regulations and have completed annual privacy and cybersecurity training.  </w:t>
      </w:r>
    </w:p>
    <w:p w:rsidR="009E7E31" w:rsidRDefault="009E7E31" w14:paraId="72A7590C" w14:textId="77777777">
      <w:pPr>
        <w:pStyle w:val="Default"/>
      </w:pPr>
    </w:p>
    <w:p w:rsidR="009E7E31" w:rsidRDefault="006F7897" w14:paraId="72A7590D" w14:textId="77777777">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11. Justification of sensitive questions.</w:t>
      </w:r>
    </w:p>
    <w:p w:rsidR="009E7E31" w:rsidRDefault="006F7897" w14:paraId="72A7590E" w14:textId="77777777">
      <w:pPr>
        <w:pStyle w:val="Default"/>
      </w:pPr>
      <w:r>
        <w:t xml:space="preserve">No questions of a sensitive nature will be asked through this information collection. No personally identifiable information will be collected.  </w:t>
      </w:r>
    </w:p>
    <w:p w:rsidR="009E7E31" w:rsidRDefault="009E7E31" w14:paraId="72A7590F" w14:textId="77777777">
      <w:pPr>
        <w:spacing w:after="0" w:line="240" w:lineRule="auto"/>
        <w:rPr>
          <w:rFonts w:ascii="Times New Roman" w:hAnsi="Times New Roman" w:cs="Times New Roman"/>
          <w:sz w:val="24"/>
          <w:szCs w:val="24"/>
          <w:u w:val="single"/>
        </w:rPr>
      </w:pPr>
    </w:p>
    <w:p w:rsidR="009E7E31" w:rsidRDefault="006F7897" w14:paraId="72A75910" w14:textId="77777777">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12. Estimate of the hour burden of information collection.</w:t>
      </w:r>
    </w:p>
    <w:p w:rsidR="009E7E31" w:rsidRDefault="006F7897" w14:paraId="72A75911" w14:textId="77777777">
      <w:pPr>
        <w:spacing w:after="0" w:line="240" w:lineRule="auto"/>
        <w:rPr>
          <w:rFonts w:ascii="Times New Roman" w:hAnsi="Times New Roman" w:cs="Times New Roman"/>
          <w:b/>
          <w:sz w:val="24"/>
          <w:szCs w:val="24"/>
        </w:rPr>
      </w:pPr>
      <w:r>
        <w:rPr>
          <w:rFonts w:ascii="Times New Roman" w:hAnsi="Times New Roman" w:cs="Times New Roman"/>
          <w:sz w:val="24"/>
          <w:szCs w:val="24"/>
        </w:rPr>
        <w:t>A variety of instruments and platforms will be used to collect information from respondents.  The annual burden hours requested (10,000) are based on the number of collections we expect to conduct over the requested period for this clearance.</w:t>
      </w:r>
    </w:p>
    <w:p w:rsidR="009E7E31" w:rsidRDefault="009E7E31" w14:paraId="72A75912" w14:textId="77777777">
      <w:pPr>
        <w:spacing w:after="0" w:line="240" w:lineRule="auto"/>
        <w:rPr>
          <w:rFonts w:ascii="Times New Roman" w:hAnsi="Times New Roman" w:cs="Times New Roman"/>
          <w:b/>
          <w:sz w:val="24"/>
          <w:szCs w:val="24"/>
        </w:rPr>
      </w:pPr>
    </w:p>
    <w:tbl>
      <w:tblPr>
        <w:tblW w:w="9360" w:type="dxa"/>
        <w:tblLayout w:type="fixed"/>
        <w:tblCellMar>
          <w:left w:w="102" w:type="dxa"/>
          <w:right w:w="102" w:type="dxa"/>
        </w:tblCellMar>
        <w:tblLook w:val="0000" w:firstRow="0" w:lastRow="0" w:firstColumn="0" w:lastColumn="0" w:noHBand="0" w:noVBand="0"/>
      </w:tblPr>
      <w:tblGrid>
        <w:gridCol w:w="3051"/>
        <w:gridCol w:w="1710"/>
        <w:gridCol w:w="1800"/>
        <w:gridCol w:w="1539"/>
        <w:gridCol w:w="1260"/>
      </w:tblGrid>
      <w:tr w:rsidR="009E7E31" w14:paraId="72A75914" w14:textId="77777777">
        <w:trPr>
          <w:tblHeader/>
        </w:trPr>
        <w:tc>
          <w:tcPr>
            <w:tcW w:w="9360" w:type="dxa"/>
            <w:gridSpan w:val="5"/>
            <w:tcBorders>
              <w:top w:val="single" w:color="000000" w:sz="7" w:space="0"/>
              <w:left w:val="single" w:color="000000" w:sz="7" w:space="0"/>
              <w:bottom w:val="single" w:color="FFFFFF" w:sz="6" w:space="0"/>
              <w:right w:val="single" w:color="000000" w:sz="7" w:space="0"/>
            </w:tcBorders>
            <w:vAlign w:val="center"/>
          </w:tcPr>
          <w:p w:rsidR="009E7E31" w:rsidRDefault="006F7897" w14:paraId="72A75913"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Estimated Annual Reporting Burden</w:t>
            </w:r>
          </w:p>
        </w:tc>
      </w:tr>
      <w:tr w:rsidR="009E7E31" w14:paraId="72A7591A" w14:textId="77777777">
        <w:tc>
          <w:tcPr>
            <w:tcW w:w="3051" w:type="dxa"/>
            <w:tcBorders>
              <w:top w:val="single" w:color="000000" w:sz="7" w:space="0"/>
              <w:left w:val="single" w:color="000000" w:sz="7" w:space="0"/>
              <w:bottom w:val="single" w:color="FFFFFF" w:sz="6" w:space="0"/>
              <w:right w:val="single" w:color="FFFFFF" w:sz="6" w:space="0"/>
            </w:tcBorders>
            <w:vAlign w:val="center"/>
          </w:tcPr>
          <w:p w:rsidR="009E7E31" w:rsidRDefault="006F7897" w14:paraId="72A75915"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Type of Collection</w:t>
            </w:r>
          </w:p>
        </w:tc>
        <w:tc>
          <w:tcPr>
            <w:tcW w:w="1710" w:type="dxa"/>
            <w:tcBorders>
              <w:top w:val="single" w:color="000000" w:sz="7" w:space="0"/>
              <w:left w:val="single" w:color="000000" w:sz="7" w:space="0"/>
              <w:bottom w:val="single" w:color="FFFFFF" w:sz="6" w:space="0"/>
              <w:right w:val="single" w:color="FFFFFF" w:sz="6" w:space="0"/>
            </w:tcBorders>
            <w:vAlign w:val="center"/>
          </w:tcPr>
          <w:p w:rsidR="009E7E31" w:rsidRDefault="006F7897" w14:paraId="72A75916"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Number of Respondents</w:t>
            </w:r>
          </w:p>
        </w:tc>
        <w:tc>
          <w:tcPr>
            <w:tcW w:w="1800" w:type="dxa"/>
            <w:tcBorders>
              <w:top w:val="single" w:color="000000" w:sz="7" w:space="0"/>
              <w:left w:val="single" w:color="000000" w:sz="7" w:space="0"/>
              <w:bottom w:val="single" w:color="FFFFFF" w:sz="6" w:space="0"/>
              <w:right w:val="single" w:color="FFFFFF" w:sz="6" w:space="0"/>
            </w:tcBorders>
            <w:vAlign w:val="center"/>
          </w:tcPr>
          <w:p w:rsidR="009E7E31" w:rsidRDefault="006F7897" w14:paraId="72A75917"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Annual Frequency per Response</w:t>
            </w:r>
          </w:p>
        </w:tc>
        <w:tc>
          <w:tcPr>
            <w:tcW w:w="1539" w:type="dxa"/>
            <w:tcBorders>
              <w:top w:val="single" w:color="000000" w:sz="7" w:space="0"/>
              <w:left w:val="single" w:color="000000" w:sz="7" w:space="0"/>
              <w:bottom w:val="single" w:color="FFFFFF" w:sz="6" w:space="0"/>
              <w:right w:val="single" w:color="FFFFFF" w:sz="6" w:space="0"/>
            </w:tcBorders>
            <w:vAlign w:val="center"/>
          </w:tcPr>
          <w:p w:rsidR="009E7E31" w:rsidRDefault="006F7897" w14:paraId="72A75918"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Hours per Response</w:t>
            </w:r>
          </w:p>
        </w:tc>
        <w:tc>
          <w:tcPr>
            <w:tcW w:w="1260" w:type="dxa"/>
            <w:tcBorders>
              <w:top w:val="single" w:color="000000" w:sz="7" w:space="0"/>
              <w:left w:val="single" w:color="000000" w:sz="7" w:space="0"/>
              <w:bottom w:val="single" w:color="FFFFFF" w:sz="6" w:space="0"/>
              <w:right w:val="single" w:color="000000" w:sz="7" w:space="0"/>
            </w:tcBorders>
            <w:vAlign w:val="center"/>
          </w:tcPr>
          <w:p w:rsidR="009E7E31" w:rsidRDefault="006F7897" w14:paraId="72A75919"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 Hours</w:t>
            </w:r>
          </w:p>
        </w:tc>
      </w:tr>
      <w:tr w:rsidR="009E7E31" w14:paraId="72A75920" w14:textId="77777777">
        <w:trPr>
          <w:trHeight w:val="541"/>
        </w:trPr>
        <w:tc>
          <w:tcPr>
            <w:tcW w:w="3051" w:type="dxa"/>
            <w:tcBorders>
              <w:top w:val="single" w:color="000000" w:sz="7" w:space="0"/>
              <w:left w:val="single" w:color="000000" w:sz="7" w:space="0"/>
              <w:bottom w:val="single" w:color="000000" w:sz="7" w:space="0"/>
              <w:right w:val="single" w:color="FFFFFF" w:sz="6" w:space="0"/>
            </w:tcBorders>
            <w:vAlign w:val="center"/>
          </w:tcPr>
          <w:p w:rsidR="009E7E31" w:rsidRDefault="006F7897" w14:paraId="72A7591B"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Customer Feedback Surveys</w:t>
            </w:r>
          </w:p>
        </w:tc>
        <w:tc>
          <w:tcPr>
            <w:tcW w:w="1710" w:type="dxa"/>
            <w:tcBorders>
              <w:top w:val="single" w:color="000000" w:sz="7" w:space="0"/>
              <w:left w:val="single" w:color="000000" w:sz="7" w:space="0"/>
              <w:bottom w:val="single" w:color="000000" w:sz="7" w:space="0"/>
              <w:right w:val="single" w:color="FFFFFF" w:sz="6" w:space="0"/>
            </w:tcBorders>
            <w:vAlign w:val="center"/>
          </w:tcPr>
          <w:p w:rsidR="009E7E31" w:rsidRDefault="006F7897" w14:paraId="72A7591C"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10,000</w:t>
            </w:r>
          </w:p>
        </w:tc>
        <w:tc>
          <w:tcPr>
            <w:tcW w:w="1800" w:type="dxa"/>
            <w:tcBorders>
              <w:top w:val="single" w:color="000000" w:sz="7" w:space="0"/>
              <w:left w:val="single" w:color="000000" w:sz="7" w:space="0"/>
              <w:bottom w:val="single" w:color="000000" w:sz="7" w:space="0"/>
              <w:right w:val="single" w:color="FFFFFF" w:sz="6" w:space="0"/>
            </w:tcBorders>
            <w:vAlign w:val="center"/>
          </w:tcPr>
          <w:p w:rsidR="009E7E31" w:rsidRDefault="006F7897" w14:paraId="72A7591D"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39" w:type="dxa"/>
            <w:tcBorders>
              <w:top w:val="single" w:color="000000" w:sz="7" w:space="0"/>
              <w:left w:val="single" w:color="000000" w:sz="7" w:space="0"/>
              <w:bottom w:val="single" w:color="000000" w:sz="7" w:space="0"/>
              <w:right w:val="single" w:color="FFFFFF" w:sz="6" w:space="0"/>
            </w:tcBorders>
            <w:vAlign w:val="center"/>
          </w:tcPr>
          <w:p w:rsidR="009E7E31" w:rsidRDefault="006F7897" w14:paraId="72A7591E"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single" w:color="000000" w:sz="7" w:space="0"/>
              <w:left w:val="single" w:color="000000" w:sz="7" w:space="0"/>
              <w:bottom w:val="single" w:color="000000" w:sz="7" w:space="0"/>
              <w:right w:val="single" w:color="000000" w:sz="7" w:space="0"/>
            </w:tcBorders>
            <w:vAlign w:val="center"/>
          </w:tcPr>
          <w:p w:rsidR="009E7E31" w:rsidRDefault="006F7897" w14:paraId="72A7591F"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10,000</w:t>
            </w:r>
          </w:p>
        </w:tc>
      </w:tr>
    </w:tbl>
    <w:p w:rsidR="009E7E31" w:rsidRDefault="006F7897" w14:paraId="72A75921" w14:textId="77777777">
      <w:pPr>
        <w:pStyle w:val="Default"/>
        <w:rPr>
          <w:u w:val="single"/>
        </w:rPr>
      </w:pPr>
      <w:r>
        <w:rPr>
          <w:u w:val="single"/>
        </w:rPr>
        <w:lastRenderedPageBreak/>
        <w:t>13. Estimate of total annual cost burden to respondents</w:t>
      </w:r>
    </w:p>
    <w:p w:rsidR="009E7E31" w:rsidRDefault="006F7897" w14:paraId="72A75922" w14:textId="77777777">
      <w:pPr>
        <w:pStyle w:val="Default"/>
      </w:pPr>
      <w:r>
        <w:t xml:space="preserve">There are no additional capital, start-up or ongoing operational, or maintenance costs associated with information collection. </w:t>
      </w:r>
    </w:p>
    <w:p w:rsidR="009E7E31" w:rsidRDefault="009E7E31" w14:paraId="72A75923" w14:textId="77777777">
      <w:pPr>
        <w:pStyle w:val="Default"/>
        <w:rPr>
          <w:u w:val="single"/>
        </w:rPr>
      </w:pPr>
    </w:p>
    <w:p w:rsidR="009E7E31" w:rsidRDefault="006F7897" w14:paraId="72A75924" w14:textId="77777777">
      <w:pPr>
        <w:pStyle w:val="Default"/>
        <w:rPr>
          <w:u w:val="single"/>
        </w:rPr>
      </w:pPr>
      <w:r>
        <w:rPr>
          <w:u w:val="single"/>
        </w:rPr>
        <w:t xml:space="preserve">14. Estimate of annualized cost to the Government </w:t>
      </w:r>
    </w:p>
    <w:p w:rsidR="009E7E31" w:rsidRDefault="006F7897" w14:paraId="72A75925" w14:textId="77777777">
      <w:pPr>
        <w:pStyle w:val="Default"/>
        <w:rPr>
          <w:sz w:val="23"/>
          <w:szCs w:val="23"/>
        </w:rPr>
      </w:pPr>
      <w:r>
        <w:t>Annual costs to the Government consist of the staff time associated with implementing information collections, reviewing information, and reporting results. It is not possible to accurately estimate the annualized cost to the Government of staff time due to variations in staff size, grades, and level of effort over the course of a given year.</w:t>
      </w:r>
      <w:r>
        <w:rPr>
          <w:sz w:val="23"/>
          <w:szCs w:val="23"/>
        </w:rPr>
        <w:t xml:space="preserve"> </w:t>
      </w:r>
    </w:p>
    <w:p w:rsidR="009E7E31" w:rsidRDefault="009E7E31" w14:paraId="72A75926" w14:textId="77777777">
      <w:pPr>
        <w:pStyle w:val="Default"/>
      </w:pPr>
    </w:p>
    <w:p w:rsidR="009E7E31" w:rsidRDefault="006F7897" w14:paraId="72A75927" w14:textId="77777777">
      <w:pPr>
        <w:pStyle w:val="Default"/>
        <w:rPr>
          <w:u w:val="single"/>
        </w:rPr>
      </w:pPr>
      <w:r>
        <w:rPr>
          <w:u w:val="single"/>
        </w:rPr>
        <w:t xml:space="preserve">15. Any program changes or adjustments </w:t>
      </w:r>
    </w:p>
    <w:p w:rsidR="009E7E31" w:rsidRDefault="006F7897" w14:paraId="72A75928" w14:textId="77777777">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There are no adjustments or program changes from the previous approval. </w:t>
      </w:r>
    </w:p>
    <w:p w:rsidR="009E7E31" w:rsidRDefault="009E7E31" w14:paraId="72A75929" w14:textId="77777777">
      <w:pPr>
        <w:spacing w:after="0" w:line="240" w:lineRule="auto"/>
        <w:rPr>
          <w:rFonts w:ascii="Times New Roman" w:hAnsi="Times New Roman" w:cs="Times New Roman"/>
          <w:sz w:val="24"/>
          <w:szCs w:val="24"/>
        </w:rPr>
      </w:pPr>
    </w:p>
    <w:p w:rsidR="009E7E31" w:rsidRDefault="006F7897" w14:paraId="72A7592A" w14:textId="77777777">
      <w:pPr>
        <w:pStyle w:val="Default"/>
        <w:rPr>
          <w:u w:val="single"/>
        </w:rPr>
      </w:pPr>
      <w:r>
        <w:rPr>
          <w:u w:val="single"/>
        </w:rPr>
        <w:t xml:space="preserve">16. Plans for information tabulation and publication </w:t>
      </w:r>
    </w:p>
    <w:p w:rsidR="009E7E31" w:rsidRDefault="006F7897" w14:paraId="72A7592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9E7E31" w:rsidRDefault="009E7E31" w14:paraId="72A7592C" w14:textId="77777777">
      <w:pPr>
        <w:spacing w:after="0" w:line="240" w:lineRule="auto"/>
        <w:rPr>
          <w:rFonts w:ascii="Times New Roman" w:hAnsi="Times New Roman" w:cs="Times New Roman"/>
          <w:sz w:val="24"/>
          <w:szCs w:val="24"/>
        </w:rPr>
      </w:pPr>
    </w:p>
    <w:p w:rsidR="009E7E31" w:rsidRDefault="006F7897" w14:paraId="72A7592D" w14:textId="2A4BE588">
      <w:pPr>
        <w:spacing w:after="0" w:line="240" w:lineRule="auto"/>
      </w:pPr>
      <w:r>
        <w:rPr>
          <w:rFonts w:ascii="Times New Roman" w:hAnsi="Times New Roman" w:cs="Times New Roman"/>
          <w:sz w:val="24"/>
          <w:szCs w:val="24"/>
        </w:rPr>
        <w:t xml:space="preserve">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limitations of the qualitative results discussed above. </w:t>
      </w:r>
    </w:p>
    <w:p w:rsidR="009E7E31" w:rsidRDefault="009E7E31" w14:paraId="72A7592E" w14:textId="77777777">
      <w:pPr>
        <w:pStyle w:val="Default"/>
      </w:pPr>
    </w:p>
    <w:p w:rsidR="009E7E31" w:rsidRDefault="006F7897" w14:paraId="72A7592F" w14:textId="77777777">
      <w:pPr>
        <w:pStyle w:val="Default"/>
        <w:rPr>
          <w:u w:val="single"/>
        </w:rPr>
      </w:pPr>
      <w:r>
        <w:rPr>
          <w:u w:val="single"/>
        </w:rPr>
        <w:t xml:space="preserve">17. Reasons for not displaying expiration date of OMB approval </w:t>
      </w:r>
    </w:p>
    <w:p w:rsidR="009E7E31" w:rsidRDefault="006F7897" w14:paraId="72A7593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p>
    <w:p w:rsidR="009E7E31" w:rsidRDefault="009E7E31" w14:paraId="72A75931" w14:textId="77777777">
      <w:pPr>
        <w:spacing w:after="0" w:line="240" w:lineRule="auto"/>
        <w:rPr>
          <w:rFonts w:ascii="Times New Roman" w:hAnsi="Times New Roman" w:cs="Times New Roman"/>
          <w:sz w:val="24"/>
          <w:szCs w:val="24"/>
        </w:rPr>
      </w:pPr>
    </w:p>
    <w:p w:rsidR="009E7E31" w:rsidRDefault="006F7897" w14:paraId="72A75932" w14:textId="77777777">
      <w:pPr>
        <w:pStyle w:val="Default"/>
        <w:rPr>
          <w:u w:val="single"/>
        </w:rPr>
      </w:pPr>
      <w:r>
        <w:rPr>
          <w:u w:val="single"/>
        </w:rPr>
        <w:t xml:space="preserve">18. Explanation of exceptions to certification statement </w:t>
      </w:r>
    </w:p>
    <w:p w:rsidR="009E7E31" w:rsidRDefault="006F7897" w14:paraId="72A75933"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p>
    <w:p w:rsidR="009E7E31" w:rsidRDefault="009E7E31" w14:paraId="72A75934" w14:textId="77777777">
      <w:pPr>
        <w:pStyle w:val="Default"/>
        <w:rPr>
          <w:b/>
          <w:bCs/>
        </w:rPr>
      </w:pPr>
    </w:p>
    <w:p w:rsidR="009E7E31" w:rsidRDefault="009E7E31" w14:paraId="72A75935" w14:textId="4F3030D9">
      <w:pPr>
        <w:pStyle w:val="Default"/>
      </w:pPr>
    </w:p>
    <w:sectPr w:rsidR="009E7E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7593A" w14:textId="77777777" w:rsidR="009E7E31" w:rsidRDefault="006F7897">
      <w:pPr>
        <w:spacing w:after="0" w:line="240" w:lineRule="auto"/>
      </w:pPr>
      <w:r>
        <w:separator/>
      </w:r>
    </w:p>
  </w:endnote>
  <w:endnote w:type="continuationSeparator" w:id="0">
    <w:p w14:paraId="72A7593B" w14:textId="77777777" w:rsidR="009E7E31" w:rsidRDefault="006F7897">
      <w:pPr>
        <w:spacing w:after="0" w:line="240" w:lineRule="auto"/>
      </w:pPr>
      <w:r>
        <w:continuationSeparator/>
      </w:r>
    </w:p>
  </w:endnote>
  <w:endnote w:type="continuationNotice" w:id="1">
    <w:p w14:paraId="72A7593C" w14:textId="77777777" w:rsidR="009E7E31" w:rsidRDefault="009E7E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75937" w14:textId="77777777" w:rsidR="009E7E31" w:rsidRDefault="006F7897">
      <w:pPr>
        <w:spacing w:after="0" w:line="240" w:lineRule="auto"/>
      </w:pPr>
      <w:r>
        <w:separator/>
      </w:r>
    </w:p>
  </w:footnote>
  <w:footnote w:type="continuationSeparator" w:id="0">
    <w:p w14:paraId="72A75938" w14:textId="77777777" w:rsidR="009E7E31" w:rsidRDefault="006F7897">
      <w:pPr>
        <w:spacing w:after="0" w:line="240" w:lineRule="auto"/>
      </w:pPr>
      <w:r>
        <w:continuationSeparator/>
      </w:r>
    </w:p>
  </w:footnote>
  <w:footnote w:type="continuationNotice" w:id="1">
    <w:p w14:paraId="72A75939" w14:textId="77777777" w:rsidR="009E7E31" w:rsidRDefault="009E7E31">
      <w:pPr>
        <w:spacing w:after="0" w:line="240" w:lineRule="auto"/>
      </w:pPr>
    </w:p>
  </w:footnote>
  <w:footnote w:id="2">
    <w:p w14:paraId="72A7593D" w14:textId="77777777" w:rsidR="009E7E31" w:rsidRDefault="006F789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73801"/>
    <w:multiLevelType w:val="hybridMultilevel"/>
    <w:tmpl w:val="6D445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BF30DE"/>
    <w:multiLevelType w:val="hybridMultilevel"/>
    <w:tmpl w:val="96803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E31"/>
    <w:rsid w:val="00151F1D"/>
    <w:rsid w:val="006F7897"/>
    <w:rsid w:val="007C70B8"/>
    <w:rsid w:val="00886EBF"/>
    <w:rsid w:val="00920344"/>
    <w:rsid w:val="009E7E31"/>
    <w:rsid w:val="00A664A1"/>
    <w:rsid w:val="00E17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758CD"/>
  <w15:docId w15:val="{94EC937C-7C12-4A05-8C5C-F36BF11E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cs="Times New Roman"/>
      <w:color w:val="000000"/>
      <w:szCs w:val="24"/>
    </w:r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rPr>
      <w:rFonts w:asciiTheme="minorHAnsi" w:hAnsiTheme="minorHAnsi"/>
      <w:sz w:val="22"/>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heme="minorHAnsi" w:hAnsiTheme="minorHAnsi"/>
      <w:sz w:val="22"/>
    </w:rPr>
  </w:style>
  <w:style w:type="paragraph" w:styleId="BodyText">
    <w:name w:val="Body Text"/>
    <w:basedOn w:val="Normal"/>
    <w:link w:val="BodyTextChar"/>
    <w:pPr>
      <w:spacing w:after="0" w:line="240" w:lineRule="auto"/>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Pr>
      <w:rFonts w:eastAsia="Times New Roman" w:cs="Times New Roman"/>
      <w:szCs w:val="20"/>
    </w:rPr>
  </w:style>
  <w:style w:type="paragraph" w:styleId="FootnoteText">
    <w:name w:val="footnote text"/>
    <w:basedOn w:val="Normal"/>
    <w:link w:val="FootnoteTextChar"/>
    <w:uiPriority w:val="99"/>
    <w:unhideWhenUsed/>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Pr>
      <w:rFonts w:ascii="Calibri" w:eastAsia="Calibri" w:hAnsi="Calibri" w:cs="Times New Roman"/>
      <w:sz w:val="20"/>
      <w:szCs w:val="20"/>
    </w:rPr>
  </w:style>
  <w:style w:type="character" w:styleId="FootnoteReference">
    <w:name w:val="footnote reference"/>
    <w:uiPriority w:val="99"/>
    <w:unhideWhenUsed/>
    <w:rPr>
      <w:vertAlign w:val="superscript"/>
    </w:rPr>
  </w:style>
  <w:style w:type="character" w:customStyle="1" w:styleId="volume">
    <w:name w:val="volume"/>
  </w:style>
  <w:style w:type="character" w:customStyle="1" w:styleId="page">
    <w:name w:val="page"/>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heme="minorHAnsi" w:hAnsiTheme="minorHAnsi"/>
      <w:b/>
      <w:bCs/>
      <w:sz w:val="20"/>
      <w:szCs w:val="20"/>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32067">
      <w:bodyDiv w:val="1"/>
      <w:marLeft w:val="0"/>
      <w:marRight w:val="0"/>
      <w:marTop w:val="0"/>
      <w:marBottom w:val="0"/>
      <w:divBdr>
        <w:top w:val="none" w:sz="0" w:space="0" w:color="auto"/>
        <w:left w:val="none" w:sz="0" w:space="0" w:color="auto"/>
        <w:bottom w:val="none" w:sz="0" w:space="0" w:color="auto"/>
        <w:right w:val="none" w:sz="0" w:space="0" w:color="auto"/>
      </w:divBdr>
    </w:div>
    <w:div w:id="604118596">
      <w:bodyDiv w:val="1"/>
      <w:marLeft w:val="0"/>
      <w:marRight w:val="0"/>
      <w:marTop w:val="0"/>
      <w:marBottom w:val="0"/>
      <w:divBdr>
        <w:top w:val="none" w:sz="0" w:space="0" w:color="auto"/>
        <w:left w:val="none" w:sz="0" w:space="0" w:color="auto"/>
        <w:bottom w:val="none" w:sz="0" w:space="0" w:color="auto"/>
        <w:right w:val="none" w:sz="0" w:space="0" w:color="auto"/>
      </w:divBdr>
    </w:div>
    <w:div w:id="915896965">
      <w:bodyDiv w:val="1"/>
      <w:marLeft w:val="0"/>
      <w:marRight w:val="0"/>
      <w:marTop w:val="0"/>
      <w:marBottom w:val="0"/>
      <w:divBdr>
        <w:top w:val="none" w:sz="0" w:space="0" w:color="auto"/>
        <w:left w:val="none" w:sz="0" w:space="0" w:color="auto"/>
        <w:bottom w:val="none" w:sz="0" w:space="0" w:color="auto"/>
        <w:right w:val="none" w:sz="0" w:space="0" w:color="auto"/>
      </w:divBdr>
    </w:div>
    <w:div w:id="1162543364">
      <w:bodyDiv w:val="1"/>
      <w:marLeft w:val="0"/>
      <w:marRight w:val="0"/>
      <w:marTop w:val="0"/>
      <w:marBottom w:val="0"/>
      <w:divBdr>
        <w:top w:val="none" w:sz="0" w:space="0" w:color="auto"/>
        <w:left w:val="none" w:sz="0" w:space="0" w:color="auto"/>
        <w:bottom w:val="none" w:sz="0" w:space="0" w:color="auto"/>
        <w:right w:val="none" w:sz="0" w:space="0" w:color="auto"/>
      </w:divBdr>
    </w:div>
    <w:div w:id="1212159538">
      <w:bodyDiv w:val="1"/>
      <w:marLeft w:val="0"/>
      <w:marRight w:val="0"/>
      <w:marTop w:val="0"/>
      <w:marBottom w:val="0"/>
      <w:divBdr>
        <w:top w:val="none" w:sz="0" w:space="0" w:color="auto"/>
        <w:left w:val="none" w:sz="0" w:space="0" w:color="auto"/>
        <w:bottom w:val="none" w:sz="0" w:space="0" w:color="auto"/>
        <w:right w:val="none" w:sz="0" w:space="0" w:color="auto"/>
      </w:divBdr>
    </w:div>
    <w:div w:id="1266882299">
      <w:bodyDiv w:val="1"/>
      <w:marLeft w:val="0"/>
      <w:marRight w:val="0"/>
      <w:marTop w:val="0"/>
      <w:marBottom w:val="0"/>
      <w:divBdr>
        <w:top w:val="none" w:sz="0" w:space="0" w:color="auto"/>
        <w:left w:val="none" w:sz="0" w:space="0" w:color="auto"/>
        <w:bottom w:val="none" w:sz="0" w:space="0" w:color="auto"/>
        <w:right w:val="none" w:sz="0" w:space="0" w:color="auto"/>
      </w:divBdr>
    </w:div>
    <w:div w:id="131409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_x0020_Unit xmlns="9919965a-8b78-4802-aa58-bdb535b7c0eb">BGP</Business_x0020_Unit>
    <Expiration_x0020_Date0 xmlns="9919965a-8b78-4802-aa58-bdb535b7c0eb">2017-11-30T05:00:00+00:00</Expiration_x0020_Date0>
    <OMB_x0020_Control_x0020_Number xmlns="9919965a-8b78-4802-aa58-bdb535b7c0eb">1559-0044 - BGP Materials</OMB_x0020_Control_x0020_Number>
    <Status xmlns="9919965a-8b78-4802-aa58-bdb535b7c0eb" xsi:nil="true"/>
    <Form_x0020_Name xmlns="9919965a-8b78-4802-aa58-bdb535b7c0eb">Supporting Statement</Form_x0020_Name>
    <Document_x0020_Owner xmlns="9919965a-8b78-4802-aa58-bdb535b7c0eb">Lisa Jones</Document_x0020_Owner>
    <_dlc_DocId xmlns="52222ef0-b167-44f5-92f7-438fda0857cd">DOCDFI-523-521</_dlc_DocId>
    <_dlc_DocIdUrl xmlns="52222ef0-b167-44f5-92f7-438fda0857cd">
      <Url>https://thegreen.treas.gov/do/cdfi/OMBandPRA/_layouts/DocIdRedir.aspx?ID=DOCDFI-523-521</Url>
      <Description>DOCDFI-523-521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3038DC2250BE40AD81129ADB79D029" ma:contentTypeVersion="7" ma:contentTypeDescription="Create a new document." ma:contentTypeScope="" ma:versionID="f501f92f9d155e7b93ee37d60f508cec">
  <xsd:schema xmlns:xsd="http://www.w3.org/2001/XMLSchema" xmlns:xs="http://www.w3.org/2001/XMLSchema" xmlns:p="http://schemas.microsoft.com/office/2006/metadata/properties" xmlns:ns2="52222ef0-b167-44f5-92f7-438fda0857cd" xmlns:ns3="9919965a-8b78-4802-aa58-bdb535b7c0eb" targetNamespace="http://schemas.microsoft.com/office/2006/metadata/properties" ma:root="true" ma:fieldsID="c4e61f9af4ae1a817da6da8315da0b20" ns2:_="" ns3:_="">
    <xsd:import namespace="52222ef0-b167-44f5-92f7-438fda0857cd"/>
    <xsd:import namespace="9919965a-8b78-4802-aa58-bdb535b7c0eb"/>
    <xsd:element name="properties">
      <xsd:complexType>
        <xsd:sequence>
          <xsd:element name="documentManagement">
            <xsd:complexType>
              <xsd:all>
                <xsd:element ref="ns2:_dlc_DocId" minOccurs="0"/>
                <xsd:element ref="ns2:_dlc_DocIdUrl" minOccurs="0"/>
                <xsd:element ref="ns2:_dlc_DocIdPersistId" minOccurs="0"/>
                <xsd:element ref="ns3:OMB_x0020_Control_x0020_Number" minOccurs="0"/>
                <xsd:element ref="ns3:Form_x0020_Name" minOccurs="0"/>
                <xsd:element ref="ns3:Expiration_x0020_Date0"/>
                <xsd:element ref="ns3:Business_x0020_Unit"/>
                <xsd:element ref="ns3:Document_x0020_Owner"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19965a-8b78-4802-aa58-bdb535b7c0eb" elementFormDefault="qualified">
    <xsd:import namespace="http://schemas.microsoft.com/office/2006/documentManagement/types"/>
    <xsd:import namespace="http://schemas.microsoft.com/office/infopath/2007/PartnerControls"/>
    <xsd:element name="OMB_x0020_Control_x0020_Number" ma:index="11" nillable="true" ma:displayName="OMB Control Number" ma:internalName="OMB_x0020_Control_x0020_Number">
      <xsd:simpleType>
        <xsd:restriction base="dms:Text">
          <xsd:maxLength value="255"/>
        </xsd:restriction>
      </xsd:simpleType>
    </xsd:element>
    <xsd:element name="Form_x0020_Name" ma:index="12" nillable="true" ma:displayName="Form Name" ma:internalName="Form_x0020_Name">
      <xsd:simpleType>
        <xsd:restriction base="dms:Text">
          <xsd:maxLength value="255"/>
        </xsd:restriction>
      </xsd:simpleType>
    </xsd:element>
    <xsd:element name="Expiration_x0020_Date0" ma:index="13" ma:displayName="Expiration Date" ma:format="DateOnly" ma:internalName="Expiration_x0020_Date0">
      <xsd:simpleType>
        <xsd:restriction base="dms:DateTime"/>
      </xsd:simpleType>
    </xsd:element>
    <xsd:element name="Business_x0020_Unit" ma:index="14" ma:displayName="Business Unit" ma:internalName="Business_x0020_Unit">
      <xsd:simpleType>
        <xsd:restriction base="dms:Text">
          <xsd:maxLength value="255"/>
        </xsd:restriction>
      </xsd:simpleType>
    </xsd:element>
    <xsd:element name="Document_x0020_Owner" ma:index="15" nillable="true" ma:displayName="Document Owner" ma:internalName="Document_x0020_Owner">
      <xsd:simpleType>
        <xsd:restriction base="dms:Text">
          <xsd:maxLength value="255"/>
        </xsd:restriction>
      </xsd:simpleType>
    </xsd:element>
    <xsd:element name="Status" ma:index="16" nillable="true" ma:displayName="Status" ma:internalName="Statu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9FB9D-3CB9-473E-B208-2529E0E39E55}">
  <ds:schemaRefs>
    <ds:schemaRef ds:uri="http://purl.org/dc/terms/"/>
    <ds:schemaRef ds:uri="http://schemas.microsoft.com/office/infopath/2007/PartnerControls"/>
    <ds:schemaRef ds:uri="http://purl.org/dc/elements/1.1/"/>
    <ds:schemaRef ds:uri="52222ef0-b167-44f5-92f7-438fda0857cd"/>
    <ds:schemaRef ds:uri="http://schemas.microsoft.com/office/2006/metadata/properties"/>
    <ds:schemaRef ds:uri="http://schemas.microsoft.com/office/2006/documentManagement/types"/>
    <ds:schemaRef ds:uri="9919965a-8b78-4802-aa58-bdb535b7c0eb"/>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CD2AD2A-BB04-4928-B332-D2C3FACEC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9919965a-8b78-4802-aa58-bdb535b7c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A01DC-C9DF-4C6A-AD08-061880CCBF2E}">
  <ds:schemaRefs>
    <ds:schemaRef ds:uri="http://schemas.microsoft.com/sharepoint/events"/>
  </ds:schemaRefs>
</ds:datastoreItem>
</file>

<file path=customXml/itemProps4.xml><?xml version="1.0" encoding="utf-8"?>
<ds:datastoreItem xmlns:ds="http://schemas.openxmlformats.org/officeDocument/2006/customXml" ds:itemID="{8541359C-A895-429B-9C42-6CCFA493B70B}">
  <ds:schemaRefs>
    <ds:schemaRef ds:uri="http://schemas.openxmlformats.org/officeDocument/2006/bibliography"/>
  </ds:schemaRefs>
</ds:datastoreItem>
</file>

<file path=customXml/itemProps5.xml><?xml version="1.0" encoding="utf-8"?>
<ds:datastoreItem xmlns:ds="http://schemas.openxmlformats.org/officeDocument/2006/customXml" ds:itemID="{E4960669-45BA-4D47-AC8B-1AF542A9A2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1392</Words>
  <Characters>7941</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The U.S. Department of the Treasury</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Wolfgang, Dawn</dc:creator>
  <cp:lastModifiedBy>Braswell, Melody</cp:lastModifiedBy>
  <cp:revision>2</cp:revision>
  <cp:lastPrinted>2017-10-20T17:33:00Z</cp:lastPrinted>
  <dcterms:created xsi:type="dcterms:W3CDTF">2022-07-21T18:30:00Z</dcterms:created>
  <dcterms:modified xsi:type="dcterms:W3CDTF">2022-07-21T18:30:00Z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0x010100A93038DC2250BE40AD81129ADB79D029</vt:lpwstr>
  </property>
  <property fmtid="{D5CDD505-2E9C-101B-9397-08002B2CF9AE}" pid="3" name="_dlc_DocIdItemGuid">
    <vt:lpwstr>8b065f22-accf-45ab-bdc4-4f13453bab95</vt:lpwstr>
  </property>
</Properties>
</file>