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30E7" w:rsidRPr="00AD381B" w:rsidP="002D30E7" w14:paraId="1D9418D2" w14:textId="32ED621D">
      <w:pPr>
        <w:pStyle w:val="Header"/>
        <w:rPr>
          <w:rFonts w:ascii="Times New Roman" w:hAnsi="Times New Roman"/>
          <w:color w:val="FFFFFF" w:themeColor="background1"/>
          <w:szCs w:val="24"/>
        </w:rPr>
      </w:pPr>
      <w:r w:rsidRPr="00C875E8">
        <w:rPr>
          <w:rFonts w:ascii="Times New Roman" w:hAnsi="Times New Roman"/>
          <w:szCs w:val="24"/>
        </w:rPr>
        <w:t>Tracking and OMB Number:</w:t>
      </w:r>
      <w:r>
        <w:rPr>
          <w:rFonts w:ascii="Times New Roman" w:hAnsi="Times New Roman"/>
          <w:szCs w:val="24"/>
        </w:rPr>
        <w:t xml:space="preserve"> </w:t>
      </w:r>
      <w:r w:rsidRPr="00B67890">
        <w:rPr>
          <w:rFonts w:ascii="Times New Roman" w:hAnsi="Times New Roman"/>
          <w:szCs w:val="24"/>
        </w:rPr>
        <w:t>18</w:t>
      </w:r>
      <w:r w:rsidR="0091698F">
        <w:rPr>
          <w:rFonts w:ascii="Times New Roman" w:hAnsi="Times New Roman"/>
          <w:szCs w:val="24"/>
        </w:rPr>
        <w:t>1</w:t>
      </w:r>
      <w:r w:rsidR="001D6A8B">
        <w:rPr>
          <w:rFonts w:ascii="Times New Roman" w:hAnsi="Times New Roman"/>
          <w:szCs w:val="24"/>
        </w:rPr>
        <w:t>0</w:t>
      </w:r>
      <w:r w:rsidRPr="00B67890">
        <w:rPr>
          <w:rFonts w:ascii="Times New Roman" w:hAnsi="Times New Roman"/>
          <w:szCs w:val="24"/>
        </w:rPr>
        <w:t>-</w:t>
      </w:r>
      <w:r w:rsidR="0091698F">
        <w:rPr>
          <w:rFonts w:ascii="Times New Roman" w:hAnsi="Times New Roman"/>
          <w:szCs w:val="24"/>
        </w:rPr>
        <w:t>New</w:t>
      </w:r>
    </w:p>
    <w:p w:rsidR="00EA1767" w:rsidRPr="00AD381B" w:rsidP="006B4172" w14:paraId="5588E3B0" w14:textId="77777777">
      <w:pPr>
        <w:pStyle w:val="Header"/>
        <w:rPr>
          <w:rFonts w:ascii="Times New Roman" w:hAnsi="Times New Roman"/>
          <w:color w:val="FFFFFF" w:themeColor="background1"/>
          <w:szCs w:val="24"/>
        </w:rPr>
      </w:pPr>
      <w:r w:rsidRPr="00C875E8">
        <w:rPr>
          <w:rFonts w:ascii="Times New Roman" w:hAnsi="Times New Roman"/>
          <w:szCs w:val="24"/>
        </w:rPr>
        <w:t>Revised: XX/XX/XXXX</w:t>
      </w:r>
    </w:p>
    <w:p w:rsidR="00043C32" w:rsidRPr="00AD381B" w:rsidP="00AD381B" w14:paraId="7F93C800" w14:textId="77777777">
      <w:pPr>
        <w:pStyle w:val="Heading1"/>
        <w:rPr>
          <w:sz w:val="24"/>
          <w:szCs w:val="24"/>
        </w:rPr>
      </w:pPr>
      <w:r w:rsidRPr="00AD381B">
        <w:rPr>
          <w:sz w:val="24"/>
          <w:szCs w:val="24"/>
        </w:rPr>
        <w:t>SUPPORTING STATEMENT</w:t>
      </w:r>
    </w:p>
    <w:p w:rsidR="00043C32" w:rsidRPr="00AD381B" w:rsidP="00AD381B" w14:paraId="636CABDF" w14:textId="77777777">
      <w:pPr>
        <w:pStyle w:val="Heading1"/>
        <w:rPr>
          <w:sz w:val="24"/>
          <w:szCs w:val="24"/>
        </w:rPr>
      </w:pPr>
      <w:r w:rsidRPr="00AD381B">
        <w:rPr>
          <w:sz w:val="24"/>
          <w:szCs w:val="24"/>
        </w:rPr>
        <w:t>FOR PAPERWORK REDUCTION ACT SUBMISSION</w:t>
      </w:r>
    </w:p>
    <w:p w:rsidR="00043C32" w:rsidRPr="00AD381B" w:rsidP="00AD381B" w14:paraId="5B0A7E39" w14:textId="77777777">
      <w:pPr>
        <w:tabs>
          <w:tab w:val="left" w:pos="0"/>
        </w:tabs>
        <w:suppressAutoHyphens/>
        <w:rPr>
          <w:rFonts w:ascii="Times New Roman" w:hAnsi="Times New Roman"/>
          <w:szCs w:val="24"/>
        </w:rPr>
      </w:pPr>
    </w:p>
    <w:p w:rsidR="00EA1767" w:rsidRPr="00AD381B" w:rsidP="00AD381B" w14:paraId="3C994658"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972445" w:rsidP="00972445" w14:paraId="5F2C7E8D" w14:textId="77777777">
      <w:pPr>
        <w:pStyle w:val="BodyTextIndent2"/>
        <w:ind w:left="720"/>
        <w:jc w:val="left"/>
        <w:rPr>
          <w:rFonts w:ascii="Calibri" w:hAnsi="Calibri" w:cs="Calibri"/>
        </w:rPr>
      </w:pPr>
    </w:p>
    <w:p w:rsidR="000E5115" w:rsidP="000E5115" w14:paraId="48BDA331" w14:textId="5C75A53B">
      <w:pPr>
        <w:pStyle w:val="BodyText0"/>
        <w:ind w:left="720"/>
        <w:jc w:val="left"/>
        <w:rPr>
          <w:rFonts w:ascii="Calibri" w:hAnsi="Calibri" w:cs="Calibri"/>
        </w:rPr>
      </w:pPr>
      <w:r>
        <w:rPr>
          <w:rFonts w:ascii="Calibri" w:hAnsi="Calibri" w:cs="Calibri"/>
        </w:rPr>
        <w:t>T</w:t>
      </w:r>
      <w:r w:rsidRPr="000E5115">
        <w:rPr>
          <w:rFonts w:ascii="Calibri" w:hAnsi="Calibri" w:cs="Calibri"/>
        </w:rPr>
        <w:t>he American Rescue Plan Act of 2021 (ARP) included an unprecedented $800 million to support the specific needs of homeless children and youth via the American Rescue Plan Elementary and Secondary School Emergency Relief – Homeless Children and Youth (ARP-HCY) Fund. State educational agencies</w:t>
      </w:r>
      <w:r w:rsidR="00B22BEA">
        <w:rPr>
          <w:rFonts w:ascii="Calibri" w:hAnsi="Calibri" w:cs="Calibri"/>
        </w:rPr>
        <w:t xml:space="preserve"> (SEAs)</w:t>
      </w:r>
      <w:r w:rsidRPr="000E5115">
        <w:rPr>
          <w:rFonts w:ascii="Calibri" w:hAnsi="Calibri" w:cs="Calibri"/>
        </w:rPr>
        <w:t> and local educational agencies (LEAs) must use ARP-HCY funds to identify homeless children and youth, to provide homeless children and youth with wrap-around services to address the challenges of COVID-19, and to enable homeless children and youth to attend school and fully participate in school activities.  </w:t>
      </w:r>
      <w:r>
        <w:rPr>
          <w:rFonts w:ascii="Calibri" w:hAnsi="Calibri" w:cs="Calibri"/>
        </w:rPr>
        <w:t>This is a one-time grant program administered as part of the American Rescue Plan. The</w:t>
      </w:r>
      <w:r w:rsidRPr="00A36579" w:rsidR="00FB1996">
        <w:rPr>
          <w:rFonts w:ascii="Calibri" w:hAnsi="Calibri" w:cs="Calibri"/>
        </w:rPr>
        <w:t xml:space="preserve"> U.S. Department of Education (the Department) </w:t>
      </w:r>
      <w:r>
        <w:rPr>
          <w:rFonts w:ascii="Calibri" w:hAnsi="Calibri" w:cs="Calibri"/>
        </w:rPr>
        <w:t>is seeking to understand how funds under this one-time grant program are being used.</w:t>
      </w:r>
    </w:p>
    <w:p w:rsidR="000E5115" w:rsidRPr="00972445" w:rsidP="000E5115" w14:paraId="24FE2497" w14:textId="77777777">
      <w:pPr>
        <w:pStyle w:val="BodyText0"/>
        <w:ind w:left="720"/>
        <w:jc w:val="left"/>
      </w:pPr>
    </w:p>
    <w:p w:rsidR="00A36579" w:rsidRPr="00A36579" w:rsidP="00A36579" w14:paraId="1793522C" w14:textId="388C374A">
      <w:pPr>
        <w:pStyle w:val="BodyTextIndent2"/>
        <w:ind w:left="720"/>
        <w:jc w:val="left"/>
        <w:rPr>
          <w:rFonts w:ascii="Calibri" w:hAnsi="Calibri" w:cs="Calibri"/>
        </w:rPr>
      </w:pPr>
      <w:r>
        <w:rPr>
          <w:rFonts w:ascii="Calibri" w:hAnsi="Calibri" w:cs="Calibri"/>
        </w:rPr>
        <w:t xml:space="preserve">Specifically, </w:t>
      </w:r>
      <w:r w:rsidRPr="00A36579">
        <w:rPr>
          <w:rFonts w:ascii="Calibri" w:hAnsi="Calibri" w:cs="Calibri"/>
        </w:rPr>
        <w:t xml:space="preserve">the Department is seeking to learn about the distribution of ARP-HCY funds by </w:t>
      </w:r>
      <w:r w:rsidR="00E90B60">
        <w:rPr>
          <w:rFonts w:ascii="Calibri" w:hAnsi="Calibri" w:cs="Calibri"/>
        </w:rPr>
        <w:t>SEAs</w:t>
      </w:r>
      <w:r w:rsidRPr="5C5ABA4C" w:rsidR="39152027">
        <w:rPr>
          <w:rFonts w:ascii="Calibri" w:hAnsi="Calibri" w:cs="Calibri"/>
        </w:rPr>
        <w:t>,</w:t>
      </w:r>
      <w:r w:rsidRPr="00A36579">
        <w:rPr>
          <w:rFonts w:ascii="Calibri" w:hAnsi="Calibri" w:cs="Calibri"/>
        </w:rPr>
        <w:t xml:space="preserve"> the characteristics of LEAs receiving funds, and the characteristics of LEAs who chose not to participate in the distribution of funds in each state.  Additionally, the Department would like to gather information on how SEAs are using the funds that were set</w:t>
      </w:r>
      <w:r w:rsidR="00592DD1">
        <w:rPr>
          <w:rFonts w:ascii="Calibri" w:hAnsi="Calibri" w:cs="Calibri"/>
        </w:rPr>
        <w:t xml:space="preserve"> </w:t>
      </w:r>
      <w:r w:rsidRPr="00A36579">
        <w:rPr>
          <w:rFonts w:ascii="Calibri" w:hAnsi="Calibri" w:cs="Calibri"/>
        </w:rPr>
        <w:t>aside at the State level under this program.  Information obtained in this survey will be used to inform technical assistance and support provided by the Department and the National Center for Homeless Education (NCHE), resources developed by NCHE, and further studies.</w:t>
      </w:r>
      <w:r w:rsidR="00CF3749">
        <w:rPr>
          <w:rFonts w:ascii="Calibri" w:hAnsi="Calibri" w:cs="Calibri"/>
        </w:rPr>
        <w:t xml:space="preserve"> Therefore, to conduct this survey, the Department makes this new collection request. </w:t>
      </w:r>
    </w:p>
    <w:p w:rsidR="00AD381B" w:rsidRPr="00AD381B" w:rsidP="00AD381B" w14:paraId="55C21EE7" w14:textId="334E29CD">
      <w:pPr>
        <w:pStyle w:val="ListParagraph"/>
        <w:suppressAutoHyphens/>
        <w:spacing w:line="240" w:lineRule="exact"/>
        <w:contextualSpacing w:val="0"/>
        <w:rPr>
          <w:szCs w:val="24"/>
        </w:rPr>
      </w:pPr>
    </w:p>
    <w:p w:rsidR="00AD381B" w:rsidP="00AD381B" w14:paraId="13286939"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972445" w:rsidP="00972445" w14:paraId="1059795D" w14:textId="77777777">
      <w:pPr>
        <w:pStyle w:val="BodyText0"/>
        <w:ind w:left="720"/>
        <w:jc w:val="left"/>
        <w:rPr>
          <w:rFonts w:ascii="Calibri" w:hAnsi="Calibri" w:cs="Calibri"/>
        </w:rPr>
      </w:pPr>
    </w:p>
    <w:p w:rsidR="00AD381B" w:rsidRPr="00972445" w:rsidP="00972445" w14:paraId="5391AD77" w14:textId="42E06135">
      <w:pPr>
        <w:pStyle w:val="BodyText0"/>
        <w:ind w:left="720"/>
        <w:jc w:val="left"/>
        <w:rPr>
          <w:rFonts w:ascii="Calibri" w:hAnsi="Calibri" w:cs="Calibri"/>
        </w:rPr>
      </w:pPr>
      <w:r w:rsidRPr="00261DDC">
        <w:rPr>
          <w:rFonts w:ascii="Calibri" w:hAnsi="Calibri" w:cs="Calibri"/>
        </w:rPr>
        <w:t xml:space="preserve">The information collected from SEAs through </w:t>
      </w:r>
      <w:r w:rsidR="00D42C6D">
        <w:rPr>
          <w:rFonts w:ascii="Calibri" w:hAnsi="Calibri" w:cs="Calibri"/>
        </w:rPr>
        <w:t xml:space="preserve">the survey </w:t>
      </w:r>
      <w:r w:rsidR="00CF2B15">
        <w:rPr>
          <w:rFonts w:ascii="Calibri" w:hAnsi="Calibri" w:cs="Calibri"/>
        </w:rPr>
        <w:t>will be used to help the program office understand th</w:t>
      </w:r>
      <w:r w:rsidR="00BF2027">
        <w:rPr>
          <w:rFonts w:ascii="Calibri" w:hAnsi="Calibri" w:cs="Calibri"/>
        </w:rPr>
        <w:t>e way the program is being administered</w:t>
      </w:r>
      <w:r w:rsidR="00C63FD8">
        <w:rPr>
          <w:rFonts w:ascii="Calibri" w:hAnsi="Calibri" w:cs="Calibri"/>
        </w:rPr>
        <w:t xml:space="preserve"> and to support the development of technical assistance and resources</w:t>
      </w:r>
      <w:r w:rsidRPr="00261DDC">
        <w:rPr>
          <w:rFonts w:ascii="Calibri" w:hAnsi="Calibri" w:cs="Calibri"/>
        </w:rPr>
        <w:t>.</w:t>
      </w:r>
      <w:r w:rsidR="00BF2027">
        <w:rPr>
          <w:rFonts w:ascii="Calibri" w:hAnsi="Calibri" w:cs="Calibri"/>
        </w:rPr>
        <w:t xml:space="preserve"> The information will also be used to inform further studies. </w:t>
      </w:r>
    </w:p>
    <w:p w:rsidR="00043C32" w:rsidRPr="00AD381B" w:rsidP="00AD381B" w14:paraId="16B88F6A" w14:textId="77777777">
      <w:pPr>
        <w:suppressAutoHyphens/>
        <w:spacing w:line="240" w:lineRule="exact"/>
        <w:rPr>
          <w:rFonts w:ascii="Times New Roman" w:hAnsi="Times New Roman"/>
          <w:szCs w:val="24"/>
        </w:rPr>
      </w:pPr>
    </w:p>
    <w:p w:rsidR="00043C32" w:rsidP="00AD381B" w14:paraId="41629F8A"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w:t>
      </w:r>
      <w:r w:rsidRPr="00AD381B">
        <w:rPr>
          <w:rFonts w:ascii="Times New Roman" w:hAnsi="Times New Roman"/>
          <w:b/>
          <w:szCs w:val="24"/>
        </w:rPr>
        <w:t xml:space="preserve">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EC45FE" w:rsidRPr="00AD381B" w:rsidP="00EC45FE" w14:paraId="7F8F364A" w14:textId="77777777">
      <w:pPr>
        <w:pStyle w:val="ListParagraph"/>
        <w:tabs>
          <w:tab w:val="left" w:pos="-720"/>
        </w:tabs>
        <w:suppressAutoHyphens/>
        <w:contextualSpacing w:val="0"/>
        <w:rPr>
          <w:rFonts w:ascii="Times New Roman" w:hAnsi="Times New Roman"/>
          <w:b/>
          <w:szCs w:val="24"/>
        </w:rPr>
      </w:pPr>
    </w:p>
    <w:p w:rsidR="00AD381B" w:rsidRPr="00414C01" w:rsidP="004003FE" w14:paraId="3422A7D3" w14:textId="6D9942A3">
      <w:pPr>
        <w:pStyle w:val="BodyText0"/>
        <w:ind w:left="720"/>
        <w:jc w:val="left"/>
        <w:rPr>
          <w:rFonts w:ascii="Calibri" w:hAnsi="Calibri" w:cs="Calibri"/>
        </w:rPr>
      </w:pPr>
      <w:r w:rsidRPr="00414C01">
        <w:rPr>
          <w:rFonts w:ascii="Calibri" w:hAnsi="Calibri" w:cs="Calibri"/>
        </w:rPr>
        <w:t xml:space="preserve">SEAs </w:t>
      </w:r>
      <w:r w:rsidR="00797A09">
        <w:rPr>
          <w:rFonts w:ascii="Calibri" w:hAnsi="Calibri" w:cs="Calibri"/>
        </w:rPr>
        <w:t>will submit responses online via a survey tool</w:t>
      </w:r>
      <w:r w:rsidRPr="642D3A2C">
        <w:rPr>
          <w:rFonts w:ascii="Calibri" w:hAnsi="Calibri" w:cs="Calibri"/>
        </w:rPr>
        <w:t>.</w:t>
      </w:r>
      <w:r w:rsidRPr="642D3A2C" w:rsidR="00695726">
        <w:rPr>
          <w:rFonts w:ascii="Calibri" w:hAnsi="Calibri" w:cs="Calibri"/>
        </w:rPr>
        <w:t xml:space="preserve"> The use of an online survey tool will reduce burden by providing grantees with an electronic online tool rather than having to complete a paper survey. The grantees will be able to easily submit the survey without the added burden of printing or sending anything through the mail. </w:t>
      </w:r>
    </w:p>
    <w:p w:rsidR="00AD381B" w:rsidP="00AD381B" w14:paraId="308D15B5" w14:textId="77777777">
      <w:pPr>
        <w:pStyle w:val="ListParagraph"/>
        <w:tabs>
          <w:tab w:val="left" w:pos="-720"/>
        </w:tabs>
        <w:suppressAutoHyphens/>
        <w:contextualSpacing w:val="0"/>
        <w:rPr>
          <w:rFonts w:ascii="Times New Roman" w:hAnsi="Times New Roman"/>
          <w:szCs w:val="24"/>
        </w:rPr>
      </w:pPr>
    </w:p>
    <w:p w:rsidR="00AD381B" w:rsidP="00AD381B" w14:paraId="2F86823E"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563F54EC" w14:textId="77777777">
      <w:pPr>
        <w:pStyle w:val="ListParagraph"/>
        <w:tabs>
          <w:tab w:val="left" w:pos="-720"/>
        </w:tabs>
        <w:suppressAutoHyphens/>
        <w:contextualSpacing w:val="0"/>
        <w:rPr>
          <w:rFonts w:ascii="Times New Roman" w:hAnsi="Times New Roman"/>
          <w:b/>
          <w:szCs w:val="24"/>
        </w:rPr>
      </w:pPr>
    </w:p>
    <w:p w:rsidR="00EC45FE" w:rsidRPr="00246FE9" w:rsidP="088D84A1" w14:paraId="56A9B7C0" w14:textId="6165B05F">
      <w:pPr>
        <w:pStyle w:val="ListParagraph"/>
        <w:suppressAutoHyphens/>
        <w:contextualSpacing w:val="0"/>
        <w:rPr>
          <w:rFonts w:ascii="Calibri" w:hAnsi="Calibri" w:cs="Calibri"/>
        </w:rPr>
      </w:pPr>
      <w:r w:rsidRPr="00213782">
        <w:rPr>
          <w:rFonts w:ascii="Calibri" w:hAnsi="Calibri" w:cs="Calibri"/>
        </w:rPr>
        <w:t xml:space="preserve">The </w:t>
      </w:r>
      <w:r w:rsidR="0041519E">
        <w:rPr>
          <w:rFonts w:ascii="Calibri" w:hAnsi="Calibri" w:cs="Calibri"/>
        </w:rPr>
        <w:t>data that will be collected on this program include</w:t>
      </w:r>
      <w:r w:rsidR="00153F84">
        <w:rPr>
          <w:rFonts w:ascii="Calibri" w:hAnsi="Calibri" w:cs="Calibri"/>
        </w:rPr>
        <w:t>s</w:t>
      </w:r>
      <w:r w:rsidR="0041519E">
        <w:rPr>
          <w:rFonts w:ascii="Calibri" w:hAnsi="Calibri" w:cs="Calibri"/>
        </w:rPr>
        <w:t xml:space="preserve"> information about the </w:t>
      </w:r>
      <w:r w:rsidR="0001361C">
        <w:rPr>
          <w:rFonts w:ascii="Calibri" w:hAnsi="Calibri" w:cs="Calibri"/>
        </w:rPr>
        <w:t xml:space="preserve">use of </w:t>
      </w:r>
      <w:r w:rsidR="0041519E">
        <w:rPr>
          <w:rFonts w:ascii="Calibri" w:hAnsi="Calibri" w:cs="Calibri"/>
        </w:rPr>
        <w:t>State set-aside funds</w:t>
      </w:r>
      <w:r w:rsidR="00B74257">
        <w:rPr>
          <w:rFonts w:ascii="Calibri" w:hAnsi="Calibri" w:cs="Calibri"/>
        </w:rPr>
        <w:t>, the characteristics of LEAs receiving funds,</w:t>
      </w:r>
      <w:r w:rsidR="0041519E">
        <w:rPr>
          <w:rFonts w:ascii="Calibri" w:hAnsi="Calibri" w:cs="Calibri"/>
        </w:rPr>
        <w:t xml:space="preserve"> </w:t>
      </w:r>
      <w:r w:rsidR="00156B8D">
        <w:rPr>
          <w:rFonts w:ascii="Calibri" w:hAnsi="Calibri" w:cs="Calibri"/>
        </w:rPr>
        <w:t>and</w:t>
      </w:r>
      <w:r w:rsidR="0041519E">
        <w:rPr>
          <w:rFonts w:ascii="Calibri" w:hAnsi="Calibri" w:cs="Calibri"/>
        </w:rPr>
        <w:t xml:space="preserve"> the LEAs who chose not to participate in the grant program</w:t>
      </w:r>
      <w:r w:rsidRPr="00213782">
        <w:rPr>
          <w:rFonts w:ascii="Calibri" w:hAnsi="Calibri" w:cs="Calibri"/>
        </w:rPr>
        <w:t>.</w:t>
      </w:r>
      <w:r w:rsidR="0041519E">
        <w:rPr>
          <w:rFonts w:ascii="Calibri" w:hAnsi="Calibri" w:cs="Calibri"/>
        </w:rPr>
        <w:t xml:space="preserve"> This will help the program office to understand how SEAs are using funds and how the formula grant process to LEAs </w:t>
      </w:r>
      <w:r w:rsidR="006E2E2F">
        <w:rPr>
          <w:rFonts w:ascii="Calibri" w:hAnsi="Calibri" w:cs="Calibri"/>
        </w:rPr>
        <w:t>worked.</w:t>
      </w:r>
      <w:r w:rsidR="0001361C">
        <w:rPr>
          <w:rFonts w:ascii="Calibri" w:hAnsi="Calibri" w:cs="Calibri"/>
        </w:rPr>
        <w:t xml:space="preserve"> Currently, we know the maximum amount an SEA can reserve</w:t>
      </w:r>
      <w:r w:rsidR="00AC0203">
        <w:rPr>
          <w:rFonts w:ascii="Calibri" w:hAnsi="Calibri" w:cs="Calibri"/>
        </w:rPr>
        <w:t xml:space="preserve"> (up to 25 percent) but we do not have information on the amounts that SEAs have actually reserved and how those funds are being used</w:t>
      </w:r>
      <w:r w:rsidR="0001361C">
        <w:rPr>
          <w:rFonts w:ascii="Calibri" w:hAnsi="Calibri" w:cs="Calibri"/>
        </w:rPr>
        <w:t xml:space="preserve">. </w:t>
      </w:r>
      <w:r w:rsidR="00D35F44">
        <w:rPr>
          <w:rFonts w:ascii="Calibri" w:hAnsi="Calibri" w:cs="Calibri"/>
        </w:rPr>
        <w:t xml:space="preserve">Additionally, we only collect </w:t>
      </w:r>
      <w:r w:rsidR="00B80865">
        <w:rPr>
          <w:rFonts w:ascii="Calibri" w:hAnsi="Calibri" w:cs="Calibri"/>
        </w:rPr>
        <w:t>limited information on LEAs receiving ARP</w:t>
      </w:r>
      <w:r w:rsidR="00AC0203">
        <w:rPr>
          <w:rFonts w:ascii="Calibri" w:hAnsi="Calibri" w:cs="Calibri"/>
        </w:rPr>
        <w:t>-HCY</w:t>
      </w:r>
      <w:r w:rsidR="00B80865">
        <w:rPr>
          <w:rFonts w:ascii="Calibri" w:hAnsi="Calibri" w:cs="Calibri"/>
        </w:rPr>
        <w:t xml:space="preserve"> subgrants</w:t>
      </w:r>
      <w:r w:rsidR="001247B0">
        <w:rPr>
          <w:rFonts w:ascii="Calibri" w:hAnsi="Calibri" w:cs="Calibri"/>
        </w:rPr>
        <w:t xml:space="preserve"> through the Consolidated State Performance Report</w:t>
      </w:r>
      <w:r w:rsidR="000D5AD0">
        <w:rPr>
          <w:rFonts w:ascii="Calibri" w:hAnsi="Calibri" w:cs="Calibri"/>
        </w:rPr>
        <w:t xml:space="preserve"> (CSPR)</w:t>
      </w:r>
      <w:r w:rsidR="000A613D">
        <w:rPr>
          <w:rFonts w:ascii="Calibri" w:hAnsi="Calibri" w:cs="Calibri"/>
        </w:rPr>
        <w:t xml:space="preserve">. </w:t>
      </w:r>
      <w:r w:rsidR="000D5AD0">
        <w:rPr>
          <w:rFonts w:ascii="Calibri" w:hAnsi="Calibri" w:cs="Calibri"/>
        </w:rPr>
        <w:t xml:space="preserve">For the collection in the </w:t>
      </w:r>
      <w:r w:rsidRPr="5C5ABA4C" w:rsidR="4BFA7F4F">
        <w:rPr>
          <w:rFonts w:ascii="Calibri" w:hAnsi="Calibri" w:cs="Calibri"/>
        </w:rPr>
        <w:t>school year (</w:t>
      </w:r>
      <w:r w:rsidR="000D5AD0">
        <w:rPr>
          <w:rFonts w:ascii="Calibri" w:hAnsi="Calibri" w:cs="Calibri"/>
        </w:rPr>
        <w:t>SY</w:t>
      </w:r>
      <w:r w:rsidRPr="5C5ABA4C" w:rsidR="4BFA7F4F">
        <w:rPr>
          <w:rFonts w:ascii="Calibri" w:hAnsi="Calibri" w:cs="Calibri"/>
        </w:rPr>
        <w:t>)</w:t>
      </w:r>
      <w:r w:rsidR="000D5AD0">
        <w:rPr>
          <w:rFonts w:ascii="Calibri" w:hAnsi="Calibri" w:cs="Calibri"/>
        </w:rPr>
        <w:t xml:space="preserve"> 20-21 CSPR, </w:t>
      </w:r>
      <w:r w:rsidR="001247B0">
        <w:rPr>
          <w:rFonts w:ascii="Calibri" w:hAnsi="Calibri" w:cs="Calibri"/>
        </w:rPr>
        <w:t xml:space="preserve">reporting on this was </w:t>
      </w:r>
      <w:r w:rsidRPr="5C5ABA4C" w:rsidR="3E4CC5AF">
        <w:rPr>
          <w:rFonts w:ascii="Calibri" w:hAnsi="Calibri" w:cs="Calibri"/>
        </w:rPr>
        <w:t>incomplete</w:t>
      </w:r>
      <w:r w:rsidR="001247B0">
        <w:rPr>
          <w:rFonts w:ascii="Calibri" w:hAnsi="Calibri" w:cs="Calibri"/>
        </w:rPr>
        <w:t xml:space="preserve"> </w:t>
      </w:r>
      <w:r w:rsidR="009A5983">
        <w:rPr>
          <w:rFonts w:ascii="Calibri" w:hAnsi="Calibri" w:cs="Calibri"/>
        </w:rPr>
        <w:t xml:space="preserve">because only a few States had awarded ARP Homeless I funds </w:t>
      </w:r>
      <w:r w:rsidR="00CB1EDB">
        <w:rPr>
          <w:rFonts w:ascii="Calibri" w:hAnsi="Calibri" w:cs="Calibri"/>
        </w:rPr>
        <w:t xml:space="preserve">during </w:t>
      </w:r>
      <w:r w:rsidRPr="5C5ABA4C" w:rsidR="65A90C88">
        <w:rPr>
          <w:rFonts w:ascii="Calibri" w:hAnsi="Calibri" w:cs="Calibri"/>
        </w:rPr>
        <w:t>SY 20-21</w:t>
      </w:r>
      <w:r w:rsidRPr="5C5ABA4C" w:rsidR="7261A097">
        <w:rPr>
          <w:rFonts w:ascii="Calibri" w:hAnsi="Calibri" w:cs="Calibri"/>
        </w:rPr>
        <w:t>.</w:t>
      </w:r>
      <w:r w:rsidRPr="5C5ABA4C" w:rsidR="630B15FF">
        <w:rPr>
          <w:rFonts w:ascii="Calibri" w:hAnsi="Calibri" w:cs="Calibri"/>
        </w:rPr>
        <w:t xml:space="preserve"> </w:t>
      </w:r>
    </w:p>
    <w:p w:rsidR="00043C32" w:rsidP="00AD381B" w14:paraId="47FB2EAB"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0A3A41DF" w14:textId="77777777">
      <w:pPr>
        <w:pStyle w:val="ListParagraph"/>
        <w:contextualSpacing w:val="0"/>
        <w:rPr>
          <w:rFonts w:ascii="Times New Roman" w:hAnsi="Times New Roman"/>
          <w:szCs w:val="24"/>
        </w:rPr>
      </w:pPr>
    </w:p>
    <w:p w:rsidR="00EC45FE" w:rsidP="00AD381B" w14:paraId="77FDC321" w14:textId="6491C941">
      <w:pPr>
        <w:pStyle w:val="ListParagraph"/>
        <w:contextualSpacing w:val="0"/>
        <w:rPr>
          <w:rFonts w:ascii="Times New Roman" w:hAnsi="Times New Roman"/>
          <w:szCs w:val="24"/>
        </w:rPr>
      </w:pPr>
      <w:r w:rsidRPr="00261DDC">
        <w:rPr>
          <w:rFonts w:ascii="Calibri" w:hAnsi="Calibri" w:cs="Calibri"/>
        </w:rPr>
        <w:t xml:space="preserve">Neither small businesses nor small entities are affected by this collection. </w:t>
      </w:r>
    </w:p>
    <w:p w:rsidR="00AD381B" w:rsidP="00AD381B" w14:paraId="5D33AEE4" w14:textId="77777777">
      <w:pPr>
        <w:pStyle w:val="ListParagraph"/>
        <w:contextualSpacing w:val="0"/>
        <w:rPr>
          <w:rFonts w:ascii="Times New Roman" w:hAnsi="Times New Roman"/>
          <w:szCs w:val="24"/>
        </w:rPr>
      </w:pPr>
    </w:p>
    <w:p w:rsidR="00043C32" w:rsidP="00AD381B" w14:paraId="22C93BDE" w14:textId="2073EBE2">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EC45FE" w:rsidP="00EC45FE" w14:paraId="1D0A81BA" w14:textId="77777777">
      <w:pPr>
        <w:pStyle w:val="ListParagraph"/>
        <w:tabs>
          <w:tab w:val="left" w:pos="-720"/>
        </w:tabs>
        <w:suppressAutoHyphens/>
        <w:contextualSpacing w:val="0"/>
        <w:rPr>
          <w:rFonts w:ascii="Times New Roman" w:hAnsi="Times New Roman"/>
          <w:b/>
          <w:szCs w:val="24"/>
        </w:rPr>
      </w:pPr>
    </w:p>
    <w:p w:rsidR="00EC45FE" w:rsidRPr="00414C01" w:rsidP="00414C01" w14:paraId="371F7A63" w14:textId="7F4DD0B7">
      <w:pPr>
        <w:pStyle w:val="BodyText0"/>
        <w:ind w:left="720"/>
        <w:jc w:val="left"/>
        <w:rPr>
          <w:rFonts w:ascii="Calibri" w:hAnsi="Calibri" w:cs="Calibri"/>
        </w:rPr>
      </w:pPr>
      <w:r w:rsidRPr="642D3A2C">
        <w:rPr>
          <w:rFonts w:ascii="Calibri" w:hAnsi="Calibri" w:cs="Calibri"/>
        </w:rPr>
        <w:t xml:space="preserve">This survey will allow the program office to have its first uniform collection of data regarding the status of these grants. This is the best way for the program office to </w:t>
      </w:r>
      <w:r w:rsidRPr="642D3A2C">
        <w:rPr>
          <w:rFonts w:ascii="Calibri" w:hAnsi="Calibri" w:cs="Calibri"/>
        </w:rPr>
        <w:t xml:space="preserve">understand how SEAs are spending the funds, beyond informal updates. </w:t>
      </w:r>
      <w:r>
        <w:rPr>
          <w:rFonts w:ascii="Calibri" w:hAnsi="Calibri" w:cs="Calibri"/>
        </w:rPr>
        <w:t>The results of this survey will also inform the ARP-HCY related technical assistance provided by the Department’s contractor</w:t>
      </w:r>
      <w:r w:rsidRPr="5C5ABA4C" w:rsidR="13A4E4DE">
        <w:rPr>
          <w:rFonts w:ascii="Calibri" w:hAnsi="Calibri" w:cs="Calibri"/>
        </w:rPr>
        <w:t>, NCHE,</w:t>
      </w:r>
      <w:r w:rsidR="00300640">
        <w:rPr>
          <w:rFonts w:ascii="Calibri" w:hAnsi="Calibri" w:cs="Calibri"/>
        </w:rPr>
        <w:t xml:space="preserve"> in the remaining two years of funding availability. </w:t>
      </w:r>
      <w:r w:rsidR="00412989">
        <w:rPr>
          <w:rFonts w:ascii="Calibri" w:hAnsi="Calibri" w:cs="Calibri"/>
        </w:rPr>
        <w:t>Finally, the results of this survey will</w:t>
      </w:r>
      <w:r w:rsidR="00FB76E4">
        <w:rPr>
          <w:rFonts w:ascii="Calibri" w:hAnsi="Calibri" w:cs="Calibri"/>
        </w:rPr>
        <w:t xml:space="preserve"> pro</w:t>
      </w:r>
      <w:r w:rsidR="00886010">
        <w:rPr>
          <w:rFonts w:ascii="Calibri" w:hAnsi="Calibri" w:cs="Calibri"/>
        </w:rPr>
        <w:t xml:space="preserve">vide data </w:t>
      </w:r>
      <w:r w:rsidR="004D5DFC">
        <w:rPr>
          <w:rFonts w:ascii="Calibri" w:hAnsi="Calibri" w:cs="Calibri"/>
        </w:rPr>
        <w:t>that includes</w:t>
      </w:r>
      <w:r w:rsidR="00886010">
        <w:rPr>
          <w:rFonts w:ascii="Calibri" w:hAnsi="Calibri" w:cs="Calibri"/>
        </w:rPr>
        <w:t xml:space="preserve"> the average timelines for subawards</w:t>
      </w:r>
      <w:r w:rsidR="0089568B">
        <w:rPr>
          <w:rFonts w:ascii="Calibri" w:hAnsi="Calibri" w:cs="Calibri"/>
        </w:rPr>
        <w:t>, recipients of subawards,</w:t>
      </w:r>
      <w:r w:rsidR="00886010">
        <w:rPr>
          <w:rFonts w:ascii="Calibri" w:hAnsi="Calibri" w:cs="Calibri"/>
        </w:rPr>
        <w:t xml:space="preserve"> and state-level uses of funds, which will</w:t>
      </w:r>
      <w:r w:rsidR="00412989">
        <w:rPr>
          <w:rFonts w:ascii="Calibri" w:hAnsi="Calibri" w:cs="Calibri"/>
        </w:rPr>
        <w:t xml:space="preserve"> inform </w:t>
      </w:r>
      <w:r w:rsidR="009930D6">
        <w:rPr>
          <w:rFonts w:ascii="Calibri" w:hAnsi="Calibri" w:cs="Calibri"/>
        </w:rPr>
        <w:t>how the Department monitors ARP-HCY program implementation in States</w:t>
      </w:r>
      <w:r w:rsidR="00851389">
        <w:rPr>
          <w:rFonts w:ascii="Calibri" w:hAnsi="Calibri" w:cs="Calibri"/>
        </w:rPr>
        <w:t xml:space="preserve"> and </w:t>
      </w:r>
      <w:r w:rsidR="00116B8C">
        <w:rPr>
          <w:rFonts w:ascii="Calibri" w:hAnsi="Calibri" w:cs="Calibri"/>
        </w:rPr>
        <w:t>reports on</w:t>
      </w:r>
      <w:r w:rsidR="00851389">
        <w:rPr>
          <w:rFonts w:ascii="Calibri" w:hAnsi="Calibri" w:cs="Calibri"/>
        </w:rPr>
        <w:t xml:space="preserve"> program implementation to stakeholders</w:t>
      </w:r>
      <w:r w:rsidRPr="5C5ABA4C" w:rsidR="118CFF2F">
        <w:rPr>
          <w:rFonts w:ascii="Calibri" w:hAnsi="Calibri" w:cs="Calibri"/>
        </w:rPr>
        <w:t>.</w:t>
      </w:r>
    </w:p>
    <w:p w:rsidR="00EC45FE" w:rsidRPr="00414C01" w:rsidP="00414C01" w14:paraId="4DA6FC2F" w14:textId="77777777">
      <w:pPr>
        <w:pStyle w:val="BodyText0"/>
        <w:ind w:left="720"/>
        <w:jc w:val="left"/>
        <w:rPr>
          <w:rFonts w:ascii="Calibri" w:hAnsi="Calibri" w:cs="Calibri"/>
        </w:rPr>
      </w:pPr>
    </w:p>
    <w:p w:rsidR="00043C32" w:rsidRPr="00AD381B" w:rsidP="00AD381B" w14:paraId="1A2577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2A5B07D1" w14:textId="77777777">
      <w:pPr>
        <w:tabs>
          <w:tab w:val="left" w:pos="-720"/>
        </w:tabs>
        <w:suppressAutoHyphens/>
        <w:rPr>
          <w:rFonts w:ascii="Times New Roman" w:hAnsi="Times New Roman"/>
          <w:b/>
          <w:szCs w:val="24"/>
        </w:rPr>
      </w:pPr>
    </w:p>
    <w:p w:rsidR="00043C32" w:rsidRPr="00AD381B" w:rsidP="00AD381B" w14:paraId="0147B5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37079134" w14:textId="77777777">
      <w:pPr>
        <w:numPr>
          <w:ilvl w:val="12"/>
          <w:numId w:val="0"/>
        </w:numPr>
        <w:tabs>
          <w:tab w:val="left" w:pos="-720"/>
        </w:tabs>
        <w:suppressAutoHyphens/>
        <w:ind w:left="340"/>
        <w:rPr>
          <w:rFonts w:ascii="Times New Roman" w:hAnsi="Times New Roman"/>
          <w:b/>
          <w:szCs w:val="24"/>
        </w:rPr>
      </w:pPr>
    </w:p>
    <w:p w:rsidR="00043C32" w:rsidRPr="00AD381B" w:rsidP="00AD381B" w14:paraId="385A4EB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7B8B553D" w14:textId="77777777">
      <w:pPr>
        <w:numPr>
          <w:ilvl w:val="12"/>
          <w:numId w:val="0"/>
        </w:numPr>
        <w:tabs>
          <w:tab w:val="left" w:pos="-720"/>
        </w:tabs>
        <w:suppressAutoHyphens/>
        <w:rPr>
          <w:rFonts w:ascii="Times New Roman" w:hAnsi="Times New Roman"/>
          <w:b/>
          <w:szCs w:val="24"/>
        </w:rPr>
      </w:pPr>
    </w:p>
    <w:p w:rsidR="00043C32" w:rsidRPr="00AD381B" w:rsidP="00AD381B" w14:paraId="2B52084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0514AD91" w14:textId="77777777">
      <w:pPr>
        <w:numPr>
          <w:ilvl w:val="12"/>
          <w:numId w:val="0"/>
        </w:numPr>
        <w:tabs>
          <w:tab w:val="left" w:pos="-720"/>
        </w:tabs>
        <w:suppressAutoHyphens/>
        <w:rPr>
          <w:rFonts w:ascii="Times New Roman" w:hAnsi="Times New Roman"/>
          <w:b/>
          <w:szCs w:val="24"/>
        </w:rPr>
      </w:pPr>
    </w:p>
    <w:p w:rsidR="00043C32" w:rsidRPr="00AD381B" w:rsidP="00AD381B" w14:paraId="05534D6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7CC0A1B" w14:textId="77777777">
      <w:pPr>
        <w:numPr>
          <w:ilvl w:val="12"/>
          <w:numId w:val="0"/>
        </w:numPr>
        <w:tabs>
          <w:tab w:val="left" w:pos="-720"/>
        </w:tabs>
        <w:suppressAutoHyphens/>
        <w:rPr>
          <w:rFonts w:ascii="Times New Roman" w:hAnsi="Times New Roman"/>
          <w:b/>
          <w:szCs w:val="24"/>
        </w:rPr>
      </w:pPr>
    </w:p>
    <w:p w:rsidR="00043C32" w:rsidRPr="00AD381B" w:rsidP="00AD381B" w14:paraId="19AC8A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0B471832" w14:textId="77777777">
      <w:pPr>
        <w:numPr>
          <w:ilvl w:val="12"/>
          <w:numId w:val="0"/>
        </w:numPr>
        <w:tabs>
          <w:tab w:val="left" w:pos="-720"/>
        </w:tabs>
        <w:suppressAutoHyphens/>
        <w:rPr>
          <w:rFonts w:ascii="Times New Roman" w:hAnsi="Times New Roman"/>
          <w:b/>
          <w:szCs w:val="24"/>
        </w:rPr>
      </w:pPr>
    </w:p>
    <w:p w:rsidR="00043C32" w:rsidRPr="00AD381B" w:rsidP="00AD381B" w14:paraId="4177EA2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305F2959" w14:textId="77777777">
      <w:pPr>
        <w:numPr>
          <w:ilvl w:val="12"/>
          <w:numId w:val="0"/>
        </w:numPr>
        <w:tabs>
          <w:tab w:val="left" w:pos="-720"/>
        </w:tabs>
        <w:suppressAutoHyphens/>
        <w:rPr>
          <w:rFonts w:ascii="Times New Roman" w:hAnsi="Times New Roman"/>
          <w:b/>
          <w:szCs w:val="24"/>
        </w:rPr>
      </w:pPr>
    </w:p>
    <w:p w:rsidR="00043C32" w:rsidRPr="00AD381B" w:rsidP="00AD381B" w14:paraId="4DC1F7E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254F1D39" w14:textId="77777777">
      <w:pPr>
        <w:numPr>
          <w:ilvl w:val="12"/>
          <w:numId w:val="0"/>
        </w:numPr>
        <w:tabs>
          <w:tab w:val="left" w:pos="-720"/>
        </w:tabs>
        <w:suppressAutoHyphens/>
        <w:rPr>
          <w:rFonts w:ascii="Times New Roman" w:hAnsi="Times New Roman"/>
          <w:b/>
          <w:szCs w:val="24"/>
        </w:rPr>
      </w:pPr>
    </w:p>
    <w:p w:rsidR="00043C32" w:rsidP="00AD381B" w14:paraId="6720ED2B" w14:textId="5B5E423C">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86371" w:rsidP="00A86371" w14:paraId="4A1FDCBA" w14:textId="77777777">
      <w:pPr>
        <w:tabs>
          <w:tab w:val="left" w:pos="-720"/>
        </w:tabs>
        <w:suppressAutoHyphens/>
        <w:ind w:left="1440"/>
        <w:rPr>
          <w:rFonts w:ascii="Times New Roman" w:hAnsi="Times New Roman"/>
          <w:b/>
          <w:szCs w:val="24"/>
        </w:rPr>
      </w:pPr>
    </w:p>
    <w:p w:rsidR="00AD381B" w:rsidRPr="00EC45FE" w:rsidP="00414C01" w14:paraId="7537862D" w14:textId="77777777">
      <w:pPr>
        <w:pStyle w:val="BodyText0"/>
        <w:ind w:left="720"/>
        <w:jc w:val="left"/>
        <w:rPr>
          <w:rFonts w:ascii="Calibri" w:hAnsi="Calibri" w:cs="Calibri"/>
        </w:rPr>
      </w:pPr>
      <w:r w:rsidRPr="00EC45FE">
        <w:rPr>
          <w:rFonts w:ascii="Calibri" w:hAnsi="Calibri" w:cs="Calibri"/>
        </w:rPr>
        <w:t>None of the special circumstances apply to this collection.</w:t>
      </w:r>
    </w:p>
    <w:p w:rsidR="00AD381B" w:rsidRPr="00AD381B" w:rsidP="00AD381B" w14:paraId="6E235A57" w14:textId="77777777">
      <w:pPr>
        <w:tabs>
          <w:tab w:val="left" w:pos="-720"/>
        </w:tabs>
        <w:suppressAutoHyphens/>
        <w:rPr>
          <w:rFonts w:ascii="Times New Roman" w:hAnsi="Times New Roman"/>
          <w:szCs w:val="24"/>
        </w:rPr>
      </w:pPr>
    </w:p>
    <w:p w:rsidR="00D75313" w:rsidP="00AD381B" w14:paraId="5D4DAE52"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08255D3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1C7640F4"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7FA6A408"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36EFCD7A"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28AAA3DA"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355CB691" w14:textId="77777777">
      <w:pPr>
        <w:tabs>
          <w:tab w:val="left" w:pos="-720"/>
        </w:tabs>
        <w:suppressAutoHyphens/>
        <w:rPr>
          <w:rStyle w:val="a"/>
          <w:rFonts w:ascii="Times New Roman" w:hAnsi="Times New Roman"/>
          <w:b/>
          <w:szCs w:val="24"/>
        </w:rPr>
      </w:pPr>
    </w:p>
    <w:p w:rsidR="00043C32" w:rsidP="00AD381B" w14:paraId="40D4A062"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3819A2EC" w14:textId="77777777">
      <w:pPr>
        <w:tabs>
          <w:tab w:val="left" w:pos="-720"/>
        </w:tabs>
        <w:suppressAutoHyphens/>
        <w:ind w:left="720"/>
        <w:rPr>
          <w:rFonts w:ascii="Times New Roman" w:hAnsi="Times New Roman"/>
          <w:b/>
          <w:szCs w:val="24"/>
        </w:rPr>
      </w:pPr>
    </w:p>
    <w:p w:rsidR="00F13F8F" w:rsidRPr="009B18BD" w:rsidP="007D02BA" w14:paraId="5CE15276" w14:textId="03FEBC5A">
      <w:pPr>
        <w:spacing w:before="120" w:after="120"/>
        <w:ind w:left="720"/>
        <w:rPr>
          <w:rFonts w:asciiTheme="minorHAnsi" w:hAnsiTheme="minorHAnsi" w:cstheme="minorHAnsi"/>
          <w:szCs w:val="24"/>
        </w:rPr>
      </w:pPr>
      <w:r w:rsidRPr="009B18BD">
        <w:rPr>
          <w:rFonts w:asciiTheme="minorHAnsi" w:hAnsiTheme="minorHAnsi" w:cstheme="minorHAnsi"/>
          <w:szCs w:val="24"/>
        </w:rPr>
        <w:t xml:space="preserve">On July 15, 2022, a Federal Register Notice requesting public comment was published (Vol 87, No 135, page 42449). The Department </w:t>
      </w:r>
      <w:r w:rsidRPr="009B18BD">
        <w:rPr>
          <w:rFonts w:asciiTheme="minorHAnsi" w:hAnsiTheme="minorHAnsi" w:cstheme="minorHAnsi"/>
          <w:color w:val="242424"/>
          <w:szCs w:val="24"/>
          <w:shd w:val="clear" w:color="auto" w:fill="FFFFFF"/>
        </w:rPr>
        <w:t xml:space="preserve">received one comment and responded to it in a separate document.  Now </w:t>
      </w:r>
      <w:r w:rsidRPr="009B18BD">
        <w:rPr>
          <w:rFonts w:asciiTheme="minorHAnsi" w:hAnsiTheme="minorHAnsi" w:cstheme="minorHAnsi"/>
          <w:szCs w:val="24"/>
        </w:rPr>
        <w:t>the Department is publishing the applicable 30-day Federal Register notice to request public comment</w:t>
      </w:r>
      <w:r w:rsidRPr="009B18BD" w:rsidR="001E73EB">
        <w:rPr>
          <w:rFonts w:asciiTheme="minorHAnsi" w:hAnsiTheme="minorHAnsi" w:cstheme="minorHAnsi"/>
          <w:szCs w:val="24"/>
        </w:rPr>
        <w:t xml:space="preserve"> as required by the Paperwork Reduction Act.</w:t>
      </w:r>
      <w:r w:rsidRPr="009B18BD">
        <w:rPr>
          <w:rFonts w:asciiTheme="minorHAnsi" w:hAnsiTheme="minorHAnsi" w:cstheme="minorHAnsi"/>
          <w:szCs w:val="24"/>
        </w:rPr>
        <w:t xml:space="preserve"> </w:t>
      </w:r>
    </w:p>
    <w:p w:rsidR="00E66550" w:rsidP="00AD381B" w14:paraId="7A74071B" w14:textId="77777777">
      <w:pPr>
        <w:tabs>
          <w:tab w:val="left" w:pos="-720"/>
        </w:tabs>
        <w:suppressAutoHyphens/>
        <w:ind w:left="720"/>
        <w:rPr>
          <w:rFonts w:ascii="Times New Roman" w:hAnsi="Times New Roman"/>
          <w:szCs w:val="24"/>
        </w:rPr>
      </w:pPr>
    </w:p>
    <w:p w:rsidR="00043C32" w:rsidP="00AD381B" w14:paraId="5041912A"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EC45FE" w:rsidP="00EC45FE" w14:paraId="7E6AE9EC" w14:textId="77777777">
      <w:pPr>
        <w:pStyle w:val="ListParagraph"/>
        <w:spacing w:before="120" w:after="120"/>
        <w:rPr>
          <w:rFonts w:ascii="Calibri" w:hAnsi="Calibri" w:cs="Calibri"/>
        </w:rPr>
      </w:pPr>
    </w:p>
    <w:p w:rsidR="00920F63" w:rsidRPr="00EC45FE" w:rsidP="00EC45FE" w14:paraId="669CF1A0" w14:textId="786BF08B">
      <w:pPr>
        <w:pStyle w:val="ListParagraph"/>
        <w:spacing w:before="120" w:after="120"/>
        <w:rPr>
          <w:rFonts w:ascii="Calibri" w:hAnsi="Calibri" w:cs="Calibri"/>
        </w:rPr>
      </w:pPr>
      <w:r w:rsidRPr="00EC45FE">
        <w:rPr>
          <w:rFonts w:ascii="Calibri" w:hAnsi="Calibri" w:cs="Calibri"/>
        </w:rPr>
        <w:t xml:space="preserve">These data are collected from grantee SEAs. </w:t>
      </w:r>
      <w:r w:rsidRPr="088D84A1">
        <w:rPr>
          <w:rFonts w:ascii="Calibri" w:hAnsi="Calibri" w:cs="Calibri"/>
        </w:rPr>
        <w:t>No remuneration is made.</w:t>
      </w:r>
    </w:p>
    <w:p w:rsidR="00920F63" w:rsidRPr="00920F63" w:rsidP="00920F63" w14:paraId="2DEE80BC" w14:textId="77777777">
      <w:pPr>
        <w:pStyle w:val="ListParagraph"/>
        <w:tabs>
          <w:tab w:val="left" w:pos="-720"/>
        </w:tabs>
        <w:suppressAutoHyphens/>
        <w:contextualSpacing w:val="0"/>
        <w:rPr>
          <w:rFonts w:ascii="Times New Roman" w:hAnsi="Times New Roman"/>
          <w:b/>
          <w:szCs w:val="24"/>
        </w:rPr>
      </w:pPr>
    </w:p>
    <w:p w:rsidR="00043C32" w:rsidP="00AD381B" w14:paraId="31CD7E92"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w:t>
      </w:r>
      <w:r w:rsidRPr="00920F63">
        <w:rPr>
          <w:rFonts w:ascii="Times New Roman" w:hAnsi="Times New Roman"/>
          <w:b/>
          <w:szCs w:val="24"/>
        </w:rPr>
        <w:t>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590D4D" w:rsidP="002D30E7" w14:paraId="7D978289" w14:textId="77777777">
      <w:pPr>
        <w:pStyle w:val="ListParagraph"/>
        <w:tabs>
          <w:tab w:val="left" w:pos="-720"/>
        </w:tabs>
        <w:suppressAutoHyphens/>
        <w:contextualSpacing w:val="0"/>
        <w:rPr>
          <w:rFonts w:ascii="Calibri" w:hAnsi="Calibri" w:cs="Calibri"/>
        </w:rPr>
      </w:pPr>
    </w:p>
    <w:p w:rsidR="00EC45FE" w:rsidRPr="00D75313" w:rsidP="00EC45FE" w14:paraId="337D6B73" w14:textId="179A293A">
      <w:pPr>
        <w:pStyle w:val="ListParagraph"/>
        <w:tabs>
          <w:tab w:val="left" w:pos="-720"/>
        </w:tabs>
        <w:suppressAutoHyphens/>
        <w:contextualSpacing w:val="0"/>
        <w:rPr>
          <w:rFonts w:ascii="Times New Roman" w:hAnsi="Times New Roman"/>
          <w:b/>
          <w:szCs w:val="24"/>
        </w:rPr>
      </w:pPr>
      <w:r w:rsidRPr="00261DDC">
        <w:rPr>
          <w:rFonts w:ascii="Calibri" w:hAnsi="Calibri" w:cs="Calibri"/>
        </w:rPr>
        <w:t xml:space="preserve">There </w:t>
      </w:r>
      <w:r w:rsidR="000A6184">
        <w:rPr>
          <w:rFonts w:ascii="Calibri" w:hAnsi="Calibri" w:cs="Calibri"/>
        </w:rPr>
        <w:t>is</w:t>
      </w:r>
      <w:r w:rsidRPr="00261DDC">
        <w:rPr>
          <w:rFonts w:ascii="Calibri" w:hAnsi="Calibri" w:cs="Calibri"/>
        </w:rPr>
        <w:t xml:space="preserve"> no assurance of confidentiality provided to the respondents.</w:t>
      </w:r>
    </w:p>
    <w:p w:rsidR="00920F63" w:rsidRPr="00D75313" w:rsidP="00920F63" w14:paraId="6D8FEE65" w14:textId="77777777">
      <w:pPr>
        <w:tabs>
          <w:tab w:val="left" w:pos="-720"/>
        </w:tabs>
        <w:suppressAutoHyphens/>
        <w:rPr>
          <w:rFonts w:ascii="Times New Roman" w:hAnsi="Times New Roman"/>
          <w:b/>
          <w:szCs w:val="24"/>
        </w:rPr>
      </w:pPr>
    </w:p>
    <w:p w:rsidR="00920F63" w:rsidRPr="00920F63" w:rsidP="00E25EBC" w14:paraId="45B98DCE" w14:textId="77777777">
      <w:pPr>
        <w:tabs>
          <w:tab w:val="left" w:pos="-720"/>
        </w:tabs>
        <w:suppressAutoHyphens/>
        <w:rPr>
          <w:rFonts w:ascii="Times New Roman" w:hAnsi="Times New Roman"/>
          <w:szCs w:val="24"/>
        </w:rPr>
      </w:pPr>
    </w:p>
    <w:p w:rsidR="00043C32" w:rsidP="00AD381B" w14:paraId="7A81EE13"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C45FE" w:rsidP="00EC45FE" w14:paraId="659751BA" w14:textId="77777777">
      <w:pPr>
        <w:pStyle w:val="ListParagraph"/>
        <w:tabs>
          <w:tab w:val="left" w:pos="-720"/>
        </w:tabs>
        <w:suppressAutoHyphens/>
        <w:contextualSpacing w:val="0"/>
        <w:rPr>
          <w:rFonts w:ascii="Times New Roman" w:hAnsi="Times New Roman"/>
          <w:b/>
          <w:szCs w:val="24"/>
        </w:rPr>
      </w:pPr>
    </w:p>
    <w:p w:rsidR="00920F63" w:rsidP="00EC45FE" w14:paraId="79272C1A" w14:textId="77777777">
      <w:pPr>
        <w:spacing w:before="120" w:after="120"/>
        <w:ind w:left="720"/>
        <w:rPr>
          <w:rFonts w:ascii="Calibri" w:hAnsi="Calibri" w:cs="Calibri"/>
        </w:rPr>
      </w:pPr>
      <w:r w:rsidRPr="00261DDC">
        <w:rPr>
          <w:rFonts w:ascii="Calibri" w:hAnsi="Calibri" w:cs="Calibri"/>
        </w:rPr>
        <w:t xml:space="preserve">Not applicable. </w:t>
      </w:r>
      <w:bookmarkStart w:id="0" w:name="_Toc419208359"/>
      <w:bookmarkStart w:id="1" w:name="_Toc441651998"/>
      <w:bookmarkStart w:id="2" w:name="_Toc441652048"/>
      <w:r w:rsidRPr="00261DDC">
        <w:rPr>
          <w:rFonts w:ascii="Calibri" w:hAnsi="Calibri" w:cs="Calibri"/>
        </w:rPr>
        <w:t>This collection contains no questions of a sensitive nature.</w:t>
      </w:r>
      <w:bookmarkEnd w:id="0"/>
      <w:bookmarkEnd w:id="1"/>
      <w:bookmarkEnd w:id="2"/>
    </w:p>
    <w:p w:rsidR="00EC45FE" w:rsidRPr="00EC45FE" w:rsidP="00EC45FE" w14:paraId="6ED3D1FC" w14:textId="77777777">
      <w:pPr>
        <w:spacing w:before="120" w:after="120"/>
        <w:ind w:left="720"/>
        <w:rPr>
          <w:rFonts w:ascii="Calibri" w:hAnsi="Calibri" w:cs="Calibri"/>
        </w:rPr>
      </w:pPr>
    </w:p>
    <w:p w:rsidR="00043C32" w:rsidRPr="00920F63" w:rsidP="00AD381B" w14:paraId="4F2BAA28"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92B92E0" w14:textId="77777777">
      <w:pPr>
        <w:tabs>
          <w:tab w:val="left" w:pos="-720"/>
        </w:tabs>
        <w:suppressAutoHyphens/>
        <w:rPr>
          <w:rStyle w:val="a"/>
          <w:rFonts w:ascii="Times New Roman" w:hAnsi="Times New Roman"/>
          <w:b/>
          <w:szCs w:val="24"/>
        </w:rPr>
      </w:pPr>
    </w:p>
    <w:p w:rsidR="00C224FD" w:rsidP="00C224FD" w14:paraId="77AE8D1D"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7E688765"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0B1F2342"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44984E4D"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2200CA13"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w:t>
      </w:r>
      <w:r w:rsidR="00D75313">
        <w:rPr>
          <w:rStyle w:val="a"/>
          <w:rFonts w:ascii="Times New Roman" w:hAnsi="Times New Roman"/>
          <w:b/>
          <w:szCs w:val="24"/>
        </w:rPr>
        <w:t>there is no cost to respondents, indicate by entering 0 in the chart below and/or provide a statement.</w:t>
      </w:r>
    </w:p>
    <w:p w:rsidR="00756FD3" w:rsidP="00756FD3" w14:paraId="1354F62C" w14:textId="77777777">
      <w:pPr>
        <w:tabs>
          <w:tab w:val="left" w:pos="-720"/>
          <w:tab w:val="left" w:pos="1247"/>
        </w:tabs>
        <w:suppressAutoHyphens/>
        <w:rPr>
          <w:rStyle w:val="a"/>
          <w:rFonts w:ascii="Times New Roman" w:hAnsi="Times New Roman"/>
          <w:b/>
          <w:szCs w:val="24"/>
        </w:rPr>
      </w:pPr>
    </w:p>
    <w:p w:rsidR="00946126" w:rsidP="00946126" w14:paraId="3D74C376"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EC45FE" w:rsidP="00946126" w14:paraId="437B58AA" w14:textId="77777777">
      <w:pPr>
        <w:pStyle w:val="ListParagraph"/>
        <w:tabs>
          <w:tab w:val="left" w:pos="-720"/>
        </w:tabs>
        <w:suppressAutoHyphens/>
        <w:contextualSpacing w:val="0"/>
        <w:rPr>
          <w:rFonts w:ascii="Times New Roman" w:hAnsi="Times New Roman"/>
          <w:b/>
          <w:sz w:val="26"/>
          <w:szCs w:val="26"/>
        </w:rPr>
      </w:pPr>
    </w:p>
    <w:p w:rsidR="00EC45FE" w:rsidRPr="004003FE" w:rsidP="004003FE" w14:paraId="6E054094" w14:textId="750B373E">
      <w:pPr>
        <w:spacing w:before="120" w:after="120"/>
        <w:ind w:left="720"/>
        <w:rPr>
          <w:rFonts w:ascii="Calibri" w:hAnsi="Calibri" w:cs="Calibri"/>
        </w:rPr>
      </w:pPr>
      <w:r>
        <w:rPr>
          <w:rFonts w:ascii="Calibri" w:hAnsi="Calibri" w:cs="Calibri"/>
        </w:rPr>
        <w:t>52</w:t>
      </w:r>
      <w:r w:rsidRPr="0039094D">
        <w:rPr>
          <w:rFonts w:ascii="Calibri" w:hAnsi="Calibri" w:cs="Calibri"/>
        </w:rPr>
        <w:t xml:space="preserve"> SEA grantees </w:t>
      </w:r>
      <w:r w:rsidRPr="004003FE">
        <w:rPr>
          <w:rFonts w:ascii="Calibri" w:hAnsi="Calibri" w:cs="Calibri"/>
        </w:rPr>
        <w:t xml:space="preserve">interact with the Department during this information collection. </w:t>
      </w:r>
      <w:r w:rsidR="0084692D">
        <w:rPr>
          <w:rFonts w:ascii="Calibri" w:hAnsi="Calibri" w:cs="Calibri"/>
        </w:rPr>
        <w:t xml:space="preserve">The Department anticipates that it will take one </w:t>
      </w:r>
      <w:r w:rsidR="00653D69">
        <w:rPr>
          <w:rFonts w:ascii="Calibri" w:hAnsi="Calibri" w:cs="Calibri"/>
        </w:rPr>
        <w:t xml:space="preserve">staff member per SEA up to one hour to complete the survey. </w:t>
      </w:r>
      <w:r w:rsidR="0084692D">
        <w:rPr>
          <w:rFonts w:ascii="Calibri" w:hAnsi="Calibri" w:cs="Calibri"/>
        </w:rPr>
        <w:t xml:space="preserve"> </w:t>
      </w:r>
      <w:r w:rsidR="00A86B11">
        <w:rPr>
          <w:rFonts w:ascii="Calibri" w:hAnsi="Calibri" w:cs="Calibri"/>
        </w:rPr>
        <w:t>At an average labor rate of $50 per hour, the cost would be $2,600.</w:t>
      </w:r>
    </w:p>
    <w:p w:rsidR="00920F63" w:rsidP="00920F63" w14:paraId="5A8B7143" w14:textId="77777777">
      <w:pPr>
        <w:pStyle w:val="ListParagraph"/>
        <w:tabs>
          <w:tab w:val="left" w:pos="-720"/>
        </w:tabs>
        <w:suppressAutoHyphens/>
        <w:rPr>
          <w:rStyle w:val="a"/>
          <w:rFonts w:ascii="Times New Roman" w:hAnsi="Times New Roman"/>
          <w:szCs w:val="24"/>
        </w:rPr>
      </w:pPr>
    </w:p>
    <w:p w:rsidR="00ED7195" w:rsidRPr="00920F63" w:rsidP="00756FD3" w14:paraId="32850F27"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335"/>
        <w:gridCol w:w="1080"/>
        <w:gridCol w:w="1050"/>
        <w:gridCol w:w="1380"/>
        <w:gridCol w:w="1350"/>
      </w:tblGrid>
      <w:tr w14:paraId="77CC27CA" w14:textId="77777777" w:rsidTr="384A63D2">
        <w:tblPrEx>
          <w:tblW w:w="8815" w:type="dxa"/>
          <w:tblLayout w:type="fixed"/>
          <w:tblLook w:val="0020"/>
        </w:tblPrEx>
        <w:trPr>
          <w:tblHeader/>
        </w:trPr>
        <w:tc>
          <w:tcPr>
            <w:tcW w:w="1345" w:type="dxa"/>
            <w:vAlign w:val="center"/>
          </w:tcPr>
          <w:p w:rsidR="002D30E7" w:rsidP="384A63D2" w14:paraId="35A30FA7" w14:textId="77777777">
            <w:pPr>
              <w:rPr>
                <w:rFonts w:ascii="Times New Roman" w:hAnsi="Times New Roman"/>
                <w:sz w:val="20"/>
              </w:rPr>
            </w:pPr>
          </w:p>
          <w:p w:rsidR="002D30E7" w:rsidRPr="007F6104" w:rsidP="384A63D2" w14:paraId="4759329B" w14:textId="7C17F046">
            <w:pP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vAlign w:val="center"/>
          </w:tcPr>
          <w:p w:rsidR="002D30E7" w:rsidRPr="007F6104" w:rsidP="384A63D2" w14:paraId="1EF0435E" w14:textId="77FE2BAB">
            <w:pP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335" w:type="dxa"/>
            <w:vAlign w:val="center"/>
          </w:tcPr>
          <w:p w:rsidR="002D30E7" w:rsidRPr="007F6104" w:rsidP="384A63D2" w14:paraId="3A2DD878" w14:textId="539C28AD">
            <w:pPr>
              <w:rPr>
                <w:rFonts w:ascii="Times New Roman" w:hAnsi="Times New Roman"/>
                <w:sz w:val="20"/>
              </w:rPr>
            </w:pPr>
            <w:r w:rsidRPr="007F6104">
              <w:rPr>
                <w:rFonts w:ascii="Times New Roman" w:hAnsi="Times New Roman"/>
                <w:sz w:val="20"/>
              </w:rPr>
              <w:t>Number of Responses</w:t>
            </w:r>
          </w:p>
        </w:tc>
        <w:tc>
          <w:tcPr>
            <w:tcW w:w="1080" w:type="dxa"/>
            <w:vAlign w:val="center"/>
          </w:tcPr>
          <w:p w:rsidR="002D30E7" w:rsidRPr="007F6104" w:rsidP="384A63D2" w14:paraId="3817A4FB" w14:textId="7C253680">
            <w:pPr>
              <w:rPr>
                <w:rFonts w:ascii="Times New Roman" w:hAnsi="Times New Roman"/>
                <w:sz w:val="20"/>
              </w:rPr>
            </w:pPr>
            <w:r w:rsidRPr="007F6104">
              <w:rPr>
                <w:rFonts w:ascii="Times New Roman" w:hAnsi="Times New Roman"/>
                <w:sz w:val="20"/>
              </w:rPr>
              <w:t>Average Burden Hours per Response</w:t>
            </w:r>
          </w:p>
        </w:tc>
        <w:tc>
          <w:tcPr>
            <w:tcW w:w="1050" w:type="dxa"/>
            <w:vAlign w:val="center"/>
          </w:tcPr>
          <w:p w:rsidR="002D30E7" w:rsidRPr="007F6104" w:rsidP="00DB1D06" w14:paraId="50D3E357" w14:textId="46B84123">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380" w:type="dxa"/>
            <w:vAlign w:val="center"/>
          </w:tcPr>
          <w:p w:rsidR="002D30E7" w:rsidRPr="007F6104" w:rsidP="384A63D2" w14:paraId="4CE92598" w14:textId="44CA9528">
            <w:pP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002D30E7" w:rsidP="384A63D2" w14:paraId="275409E4" w14:textId="77777777">
            <w:pPr>
              <w:rPr>
                <w:rFonts w:ascii="Times New Roman" w:hAnsi="Times New Roman"/>
                <w:sz w:val="20"/>
              </w:rPr>
            </w:pPr>
          </w:p>
          <w:p w:rsidR="002D30E7" w:rsidRPr="007F6104" w:rsidP="384A63D2" w14:paraId="1861B792" w14:textId="5AF71C40">
            <w:pP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D36127C" w14:textId="77777777" w:rsidTr="384A63D2">
        <w:tblPrEx>
          <w:tblW w:w="8815" w:type="dxa"/>
          <w:tblLayout w:type="fixed"/>
          <w:tblLook w:val="0020"/>
        </w:tblPrEx>
        <w:tc>
          <w:tcPr>
            <w:tcW w:w="1345" w:type="dxa"/>
            <w:vAlign w:val="center"/>
          </w:tcPr>
          <w:p w:rsidR="002D30E7" w:rsidRPr="00442E07" w:rsidP="384A63D2" w14:paraId="6E1F62B9" w14:textId="4F9237F8">
            <w:pPr>
              <w:jc w:val="center"/>
              <w:rPr>
                <w:rFonts w:ascii="Times New Roman" w:hAnsi="Times New Roman"/>
              </w:rPr>
            </w:pPr>
            <w:r>
              <w:rPr>
                <w:rFonts w:ascii="Calibri" w:hAnsi="Calibri" w:cs="Calibri"/>
                <w:sz w:val="20"/>
              </w:rPr>
              <w:t>ARP-HCY SEA State Coordinator Survey</w:t>
            </w:r>
          </w:p>
        </w:tc>
        <w:tc>
          <w:tcPr>
            <w:tcW w:w="1275" w:type="dxa"/>
            <w:vAlign w:val="center"/>
          </w:tcPr>
          <w:p w:rsidR="002D30E7" w:rsidRPr="00442E07" w:rsidP="384A63D2" w14:paraId="5ACB5CAB" w14:textId="4A53347E">
            <w:pPr>
              <w:jc w:val="center"/>
              <w:rPr>
                <w:rFonts w:ascii="Times New Roman" w:hAnsi="Times New Roman"/>
              </w:rPr>
            </w:pPr>
            <w:r>
              <w:rPr>
                <w:rFonts w:ascii="Calibri" w:hAnsi="Calibri" w:cs="Calibri"/>
                <w:sz w:val="20"/>
              </w:rPr>
              <w:t>52</w:t>
            </w:r>
          </w:p>
        </w:tc>
        <w:tc>
          <w:tcPr>
            <w:tcW w:w="1335" w:type="dxa"/>
            <w:vAlign w:val="center"/>
          </w:tcPr>
          <w:p w:rsidR="002D30E7" w:rsidRPr="00442E07" w:rsidP="00DB1D06" w14:paraId="46AEFA31" w14:textId="77777777">
            <w:pPr>
              <w:jc w:val="center"/>
              <w:rPr>
                <w:rFonts w:ascii="Times New Roman" w:hAnsi="Times New Roman"/>
              </w:rPr>
            </w:pPr>
            <w:r w:rsidRPr="00261DDC">
              <w:rPr>
                <w:rFonts w:ascii="Calibri" w:hAnsi="Calibri" w:cs="Calibri"/>
                <w:sz w:val="20"/>
              </w:rPr>
              <w:t>1 per respondent</w:t>
            </w:r>
          </w:p>
        </w:tc>
        <w:tc>
          <w:tcPr>
            <w:tcW w:w="1080" w:type="dxa"/>
            <w:vAlign w:val="center"/>
          </w:tcPr>
          <w:p w:rsidR="002D30E7" w:rsidRPr="00442E07" w:rsidP="00DB1D06" w14:paraId="41C0FD1F" w14:textId="40365AEE">
            <w:pPr>
              <w:jc w:val="center"/>
              <w:rPr>
                <w:rFonts w:ascii="Times New Roman" w:hAnsi="Times New Roman"/>
              </w:rPr>
            </w:pPr>
            <w:r>
              <w:rPr>
                <w:rFonts w:ascii="Calibri" w:hAnsi="Calibri" w:cs="Calibri"/>
                <w:sz w:val="20"/>
              </w:rPr>
              <w:t>1</w:t>
            </w:r>
          </w:p>
        </w:tc>
        <w:tc>
          <w:tcPr>
            <w:tcW w:w="1050" w:type="dxa"/>
            <w:vAlign w:val="center"/>
          </w:tcPr>
          <w:p w:rsidR="002D30E7" w:rsidRPr="00B87FF3" w:rsidP="384A63D2" w14:paraId="23BB6781" w14:textId="6268E2E2">
            <w:pPr>
              <w:jc w:val="center"/>
              <w:rPr>
                <w:rFonts w:ascii="Calibri" w:hAnsi="Calibri" w:cs="Calibri"/>
                <w:sz w:val="20"/>
              </w:rPr>
            </w:pPr>
            <w:r>
              <w:rPr>
                <w:rFonts w:ascii="Calibri" w:hAnsi="Calibri" w:cs="Calibri"/>
                <w:sz w:val="20"/>
              </w:rPr>
              <w:t>52</w:t>
            </w:r>
          </w:p>
        </w:tc>
        <w:tc>
          <w:tcPr>
            <w:tcW w:w="1380" w:type="dxa"/>
            <w:vAlign w:val="center"/>
          </w:tcPr>
          <w:p w:rsidR="002D30E7" w:rsidRPr="00B87FF3" w:rsidP="384A63D2" w14:paraId="677E8026" w14:textId="77777777">
            <w:pPr>
              <w:jc w:val="center"/>
              <w:rPr>
                <w:rFonts w:ascii="Calibri" w:hAnsi="Calibri" w:cs="Calibri"/>
                <w:sz w:val="20"/>
              </w:rPr>
            </w:pPr>
            <w:r w:rsidRPr="00B87FF3">
              <w:rPr>
                <w:rFonts w:ascii="Calibri" w:hAnsi="Calibri" w:cs="Calibri"/>
                <w:sz w:val="20"/>
              </w:rPr>
              <w:t>$50</w:t>
            </w:r>
          </w:p>
        </w:tc>
        <w:tc>
          <w:tcPr>
            <w:tcW w:w="1350" w:type="dxa"/>
            <w:vAlign w:val="center"/>
          </w:tcPr>
          <w:p w:rsidR="002D30E7" w:rsidRPr="00442E07" w:rsidP="384A63D2" w14:paraId="7B072C29" w14:textId="3BFFA52E">
            <w:pPr>
              <w:jc w:val="center"/>
              <w:rPr>
                <w:rFonts w:asciiTheme="minorHAnsi" w:eastAsiaTheme="minorEastAsia" w:hAnsiTheme="minorHAnsi" w:cstheme="minorBidi"/>
                <w:sz w:val="20"/>
              </w:rPr>
            </w:pPr>
            <w:r w:rsidRPr="384A63D2">
              <w:rPr>
                <w:rFonts w:asciiTheme="minorHAnsi" w:eastAsiaTheme="minorEastAsia" w:hAnsiTheme="minorHAnsi" w:cstheme="minorBidi"/>
                <w:sz w:val="20"/>
              </w:rPr>
              <w:t>$2,600</w:t>
            </w:r>
          </w:p>
        </w:tc>
      </w:tr>
      <w:tr w14:paraId="2E5ECD09" w14:textId="77777777" w:rsidTr="384A63D2">
        <w:tblPrEx>
          <w:tblW w:w="8815" w:type="dxa"/>
          <w:tblLayout w:type="fixed"/>
          <w:tblLook w:val="0020"/>
        </w:tblPrEx>
        <w:tc>
          <w:tcPr>
            <w:tcW w:w="1345" w:type="dxa"/>
            <w:vAlign w:val="center"/>
          </w:tcPr>
          <w:p w:rsidR="003C7BC5" w:rsidP="384A63D2" w14:paraId="55F78905" w14:textId="513B33B7">
            <w:pPr>
              <w:jc w:val="center"/>
              <w:rPr>
                <w:rFonts w:ascii="Calibri" w:hAnsi="Calibri" w:cs="Calibri"/>
                <w:sz w:val="20"/>
              </w:rPr>
            </w:pPr>
            <w:r>
              <w:rPr>
                <w:rFonts w:ascii="Calibri" w:hAnsi="Calibri" w:cs="Calibri"/>
                <w:sz w:val="20"/>
              </w:rPr>
              <w:t>Annualized Totals</w:t>
            </w:r>
          </w:p>
        </w:tc>
        <w:tc>
          <w:tcPr>
            <w:tcW w:w="1275" w:type="dxa"/>
            <w:vAlign w:val="center"/>
          </w:tcPr>
          <w:p w:rsidR="003C7BC5" w:rsidP="384A63D2" w14:paraId="145061E1" w14:textId="44E8511D">
            <w:pPr>
              <w:jc w:val="center"/>
              <w:rPr>
                <w:rFonts w:ascii="Calibri" w:hAnsi="Calibri" w:cs="Calibri"/>
                <w:sz w:val="20"/>
              </w:rPr>
            </w:pPr>
            <w:r>
              <w:rPr>
                <w:rFonts w:ascii="Calibri" w:hAnsi="Calibri" w:cs="Calibri"/>
                <w:sz w:val="20"/>
              </w:rPr>
              <w:t>52</w:t>
            </w:r>
          </w:p>
        </w:tc>
        <w:tc>
          <w:tcPr>
            <w:tcW w:w="1335" w:type="dxa"/>
            <w:vAlign w:val="center"/>
          </w:tcPr>
          <w:p w:rsidR="003C7BC5" w:rsidRPr="00261DDC" w:rsidP="00DB1D06" w14:paraId="6AC7BF24" w14:textId="562E2FBC">
            <w:pPr>
              <w:jc w:val="center"/>
              <w:rPr>
                <w:rFonts w:ascii="Calibri" w:hAnsi="Calibri" w:cs="Calibri"/>
                <w:sz w:val="20"/>
              </w:rPr>
            </w:pPr>
            <w:r>
              <w:rPr>
                <w:rFonts w:ascii="Calibri" w:hAnsi="Calibri" w:cs="Calibri"/>
                <w:sz w:val="20"/>
              </w:rPr>
              <w:t>52</w:t>
            </w:r>
          </w:p>
        </w:tc>
        <w:tc>
          <w:tcPr>
            <w:tcW w:w="1080" w:type="dxa"/>
            <w:vAlign w:val="center"/>
          </w:tcPr>
          <w:p w:rsidR="003C7BC5" w:rsidP="00DB1D06" w14:paraId="0BFCB015" w14:textId="77777777">
            <w:pPr>
              <w:jc w:val="center"/>
              <w:rPr>
                <w:rFonts w:ascii="Calibri" w:hAnsi="Calibri" w:cs="Calibri"/>
                <w:sz w:val="20"/>
              </w:rPr>
            </w:pPr>
          </w:p>
        </w:tc>
        <w:tc>
          <w:tcPr>
            <w:tcW w:w="1050" w:type="dxa"/>
            <w:vAlign w:val="center"/>
          </w:tcPr>
          <w:p w:rsidR="003C7BC5" w:rsidP="384A63D2" w14:paraId="77FBCD99" w14:textId="6F1E6F73">
            <w:pPr>
              <w:jc w:val="center"/>
              <w:rPr>
                <w:rFonts w:ascii="Calibri" w:hAnsi="Calibri" w:cs="Calibri"/>
                <w:sz w:val="20"/>
              </w:rPr>
            </w:pPr>
            <w:r>
              <w:rPr>
                <w:rFonts w:ascii="Calibri" w:hAnsi="Calibri" w:cs="Calibri"/>
                <w:sz w:val="20"/>
              </w:rPr>
              <w:t>52</w:t>
            </w:r>
          </w:p>
        </w:tc>
        <w:tc>
          <w:tcPr>
            <w:tcW w:w="1380" w:type="dxa"/>
            <w:vAlign w:val="center"/>
          </w:tcPr>
          <w:p w:rsidR="003C7BC5" w:rsidRPr="00B87FF3" w:rsidP="384A63D2" w14:paraId="120B5AB9" w14:textId="77777777">
            <w:pPr>
              <w:jc w:val="center"/>
              <w:rPr>
                <w:rFonts w:ascii="Calibri" w:hAnsi="Calibri" w:cs="Calibri"/>
                <w:sz w:val="20"/>
              </w:rPr>
            </w:pPr>
          </w:p>
        </w:tc>
        <w:tc>
          <w:tcPr>
            <w:tcW w:w="1350" w:type="dxa"/>
            <w:vAlign w:val="center"/>
          </w:tcPr>
          <w:p w:rsidR="003C7BC5" w:rsidRPr="384A63D2" w:rsidP="384A63D2" w14:paraId="58A433A9" w14:textId="064E3EF0">
            <w:pPr>
              <w:jc w:val="center"/>
              <w:rPr>
                <w:rFonts w:asciiTheme="minorHAnsi" w:eastAsiaTheme="minorEastAsia" w:hAnsiTheme="minorHAnsi" w:cstheme="minorBidi"/>
                <w:sz w:val="20"/>
              </w:rPr>
            </w:pPr>
            <w:r>
              <w:rPr>
                <w:rFonts w:asciiTheme="minorHAnsi" w:eastAsiaTheme="minorEastAsia" w:hAnsiTheme="minorHAnsi" w:cstheme="minorBidi"/>
                <w:sz w:val="20"/>
              </w:rPr>
              <w:t xml:space="preserve">$2600 </w:t>
            </w:r>
          </w:p>
        </w:tc>
      </w:tr>
    </w:tbl>
    <w:p w:rsidR="001A6AE0" w:rsidP="000446F5" w14:paraId="63951A5D"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6A21579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1C296A90" w14:textId="77777777">
      <w:pPr>
        <w:pStyle w:val="ListParagraph"/>
        <w:tabs>
          <w:tab w:val="left" w:pos="-720"/>
        </w:tabs>
        <w:suppressAutoHyphens/>
        <w:rPr>
          <w:rStyle w:val="a"/>
          <w:rFonts w:ascii="Times New Roman" w:hAnsi="Times New Roman"/>
          <w:szCs w:val="24"/>
        </w:rPr>
      </w:pPr>
    </w:p>
    <w:p w:rsidR="00043C32" w:rsidRPr="00ED7195" w:rsidP="00AD381B" w14:paraId="7BE9C6B6"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5279415B" w14:textId="77777777">
      <w:pPr>
        <w:tabs>
          <w:tab w:val="left" w:pos="-720"/>
        </w:tabs>
        <w:suppressAutoHyphens/>
        <w:rPr>
          <w:rFonts w:ascii="Times New Roman" w:hAnsi="Times New Roman"/>
          <w:b/>
          <w:szCs w:val="24"/>
        </w:rPr>
      </w:pPr>
    </w:p>
    <w:p w:rsidR="00043C32" w:rsidRPr="00ED7195" w:rsidP="00AD381B" w14:paraId="10CD2909"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29AC041B" w14:textId="77777777">
      <w:pPr>
        <w:numPr>
          <w:ilvl w:val="12"/>
          <w:numId w:val="0"/>
        </w:numPr>
        <w:tabs>
          <w:tab w:val="left" w:pos="-720"/>
        </w:tabs>
        <w:suppressAutoHyphens/>
        <w:ind w:left="340"/>
        <w:rPr>
          <w:rFonts w:ascii="Times New Roman" w:hAnsi="Times New Roman"/>
          <w:szCs w:val="24"/>
        </w:rPr>
      </w:pPr>
    </w:p>
    <w:p w:rsidR="00043C32" w:rsidRPr="00ED7195" w:rsidP="00AD381B" w14:paraId="47263E60"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2133B60E" w14:textId="77777777">
      <w:pPr>
        <w:tabs>
          <w:tab w:val="left" w:pos="-720"/>
          <w:tab w:val="left" w:pos="1247"/>
        </w:tabs>
        <w:suppressAutoHyphens/>
        <w:ind w:left="340"/>
        <w:rPr>
          <w:rFonts w:ascii="Times New Roman" w:hAnsi="Times New Roman"/>
          <w:b/>
          <w:szCs w:val="24"/>
        </w:rPr>
      </w:pPr>
    </w:p>
    <w:p w:rsidR="00043C32" w:rsidRPr="00ED7195" w:rsidP="00AD381B" w14:paraId="57DBEE02"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2B46A209" w14:textId="77777777">
      <w:pPr>
        <w:tabs>
          <w:tab w:val="left" w:pos="-720"/>
        </w:tabs>
        <w:suppressAutoHyphens/>
        <w:rPr>
          <w:rFonts w:ascii="Times New Roman" w:hAnsi="Times New Roman"/>
          <w:b/>
          <w:szCs w:val="24"/>
        </w:rPr>
      </w:pPr>
    </w:p>
    <w:p w:rsidR="00043C32" w:rsidRPr="00ED7195" w:rsidP="00AD381B" w14:paraId="4FC30EE8"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B87FF3">
        <w:rPr>
          <w:rFonts w:ascii="Times New Roman" w:hAnsi="Times New Roman"/>
          <w:b/>
          <w:szCs w:val="24"/>
        </w:rPr>
        <w:t xml:space="preserve"> </w:t>
      </w:r>
      <w:r w:rsidRPr="00B87FF3" w:rsidR="00B87FF3">
        <w:rPr>
          <w:rFonts w:ascii="Times New Roman" w:hAnsi="Times New Roman"/>
          <w:bCs/>
          <w:szCs w:val="24"/>
        </w:rPr>
        <w:t>None</w:t>
      </w:r>
    </w:p>
    <w:p w:rsidR="00043C32" w:rsidRPr="00ED7195" w:rsidP="00AD381B" w14:paraId="091FB9B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B87FF3">
        <w:rPr>
          <w:rFonts w:ascii="Times New Roman" w:hAnsi="Times New Roman"/>
          <w:b/>
          <w:szCs w:val="24"/>
        </w:rPr>
        <w:t xml:space="preserve"> </w:t>
      </w:r>
      <w:r w:rsidRPr="00B87FF3" w:rsidR="00B87FF3">
        <w:rPr>
          <w:rFonts w:ascii="Times New Roman" w:hAnsi="Times New Roman"/>
          <w:bCs/>
          <w:szCs w:val="24"/>
        </w:rPr>
        <w:t>None</w:t>
      </w:r>
    </w:p>
    <w:p w:rsidR="00043C32" w:rsidP="00AD381B" w14:paraId="2125713C" w14:textId="77777777">
      <w:pPr>
        <w:tabs>
          <w:tab w:val="left" w:pos="-720"/>
        </w:tabs>
        <w:suppressAutoHyphens/>
        <w:rPr>
          <w:rFonts w:ascii="Times New Roman" w:hAnsi="Times New Roman"/>
          <w:bCs/>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B87FF3">
        <w:rPr>
          <w:rFonts w:ascii="Times New Roman" w:hAnsi="Times New Roman"/>
          <w:b/>
          <w:szCs w:val="24"/>
        </w:rPr>
        <w:t xml:space="preserve"> </w:t>
      </w:r>
      <w:r w:rsidRPr="00B87FF3" w:rsidR="00B87FF3">
        <w:rPr>
          <w:rFonts w:ascii="Times New Roman" w:hAnsi="Times New Roman"/>
          <w:bCs/>
          <w:szCs w:val="24"/>
        </w:rPr>
        <w:t>None</w:t>
      </w:r>
    </w:p>
    <w:p w:rsidR="00B87FF3" w:rsidRPr="00B87FF3" w:rsidP="00B87FF3" w14:paraId="3475E204" w14:textId="62CEFC69">
      <w:pPr>
        <w:spacing w:before="120" w:after="120"/>
        <w:ind w:left="720"/>
        <w:rPr>
          <w:rFonts w:ascii="Calibri" w:hAnsi="Calibri" w:cs="Calibri"/>
        </w:rPr>
      </w:pPr>
      <w:r>
        <w:rPr>
          <w:rFonts w:ascii="Calibri" w:hAnsi="Calibri" w:cs="Calibri"/>
        </w:rPr>
        <w:t>The ARP-HCY survey</w:t>
      </w:r>
      <w:r w:rsidRPr="00261DDC">
        <w:rPr>
          <w:rFonts w:ascii="Calibri" w:hAnsi="Calibri" w:cs="Calibri"/>
        </w:rPr>
        <w:t xml:space="preserve"> will require no additional systems development efforts by SEAs and there are no associated capital or startup costs.</w:t>
      </w:r>
    </w:p>
    <w:p w:rsidR="00043C32" w:rsidP="00AD381B" w14:paraId="296C776A" w14:textId="77777777">
      <w:pPr>
        <w:tabs>
          <w:tab w:val="left" w:pos="-720"/>
        </w:tabs>
        <w:suppressAutoHyphens/>
        <w:rPr>
          <w:rFonts w:ascii="Times New Roman" w:hAnsi="Times New Roman"/>
          <w:szCs w:val="24"/>
        </w:rPr>
      </w:pPr>
    </w:p>
    <w:p w:rsidR="00043C32" w:rsidRPr="00534B4A" w:rsidP="00AD381B" w14:paraId="412DEDAE"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14:paraId="1A0413B1" w14:textId="77777777">
      <w:pPr>
        <w:tabs>
          <w:tab w:val="left" w:pos="-720"/>
        </w:tabs>
        <w:suppressAutoHyphens/>
        <w:rPr>
          <w:rFonts w:ascii="Times New Roman" w:hAnsi="Times New Roman"/>
          <w:szCs w:val="24"/>
        </w:rPr>
      </w:pPr>
    </w:p>
    <w:p w:rsidR="00534B4A" w:rsidP="384A63D2" w14:paraId="66372E2E" w14:textId="754E132E">
      <w:pPr>
        <w:pStyle w:val="ListParagraph"/>
        <w:suppressAutoHyphens/>
        <w:ind w:left="907"/>
        <w:contextualSpacing w:val="0"/>
        <w:rPr>
          <w:rFonts w:ascii="Calibri" w:eastAsia="Batang" w:hAnsi="Calibri" w:cs="Calibri"/>
        </w:rPr>
      </w:pPr>
      <w:r>
        <w:rPr>
          <w:rFonts w:ascii="Calibri" w:eastAsia="Batang" w:hAnsi="Calibri" w:cs="Calibri"/>
        </w:rPr>
        <w:t>The Department’s contractor</w:t>
      </w:r>
      <w:r w:rsidR="00DD165F">
        <w:rPr>
          <w:rFonts w:ascii="Calibri" w:eastAsia="Batang" w:hAnsi="Calibri" w:cs="Calibri"/>
        </w:rPr>
        <w:t xml:space="preserve">, </w:t>
      </w:r>
      <w:r w:rsidRPr="384A63D2" w:rsidR="00DD165F">
        <w:rPr>
          <w:rFonts w:ascii="Calibri" w:eastAsia="Batang" w:hAnsi="Calibri" w:cs="Calibri"/>
        </w:rPr>
        <w:t>NCHE</w:t>
      </w:r>
      <w:r w:rsidR="00DD165F">
        <w:rPr>
          <w:rFonts w:ascii="Calibri" w:eastAsia="Batang" w:hAnsi="Calibri" w:cs="Calibri"/>
        </w:rPr>
        <w:t>, is being paid approximately $1</w:t>
      </w:r>
      <w:r w:rsidR="00A72CF4">
        <w:rPr>
          <w:rFonts w:ascii="Calibri" w:eastAsia="Batang" w:hAnsi="Calibri" w:cs="Calibri"/>
        </w:rPr>
        <w:t>0</w:t>
      </w:r>
      <w:r w:rsidR="00DD165F">
        <w:rPr>
          <w:rFonts w:ascii="Calibri" w:eastAsia="Batang" w:hAnsi="Calibri" w:cs="Calibri"/>
        </w:rPr>
        <w:t>,</w:t>
      </w:r>
      <w:r w:rsidR="00A72CF4">
        <w:rPr>
          <w:rFonts w:ascii="Calibri" w:eastAsia="Batang" w:hAnsi="Calibri" w:cs="Calibri"/>
        </w:rPr>
        <w:t>5</w:t>
      </w:r>
      <w:r w:rsidR="00DD165F">
        <w:rPr>
          <w:rFonts w:ascii="Calibri" w:eastAsia="Batang" w:hAnsi="Calibri" w:cs="Calibri"/>
        </w:rPr>
        <w:t xml:space="preserve">00 to </w:t>
      </w:r>
      <w:r w:rsidR="00BE6C23">
        <w:rPr>
          <w:rFonts w:ascii="Calibri" w:eastAsia="Batang" w:hAnsi="Calibri" w:cs="Calibri"/>
        </w:rPr>
        <w:t>develop, clear and administer the survey</w:t>
      </w:r>
      <w:r w:rsidR="00CD58DB">
        <w:rPr>
          <w:rFonts w:ascii="Calibri" w:eastAsia="Batang" w:hAnsi="Calibri" w:cs="Calibri"/>
        </w:rPr>
        <w:t xml:space="preserve"> in FY 2022</w:t>
      </w:r>
      <w:r w:rsidR="00581682">
        <w:rPr>
          <w:rFonts w:ascii="Calibri" w:eastAsia="Batang" w:hAnsi="Calibri" w:cs="Calibri"/>
        </w:rPr>
        <w:t xml:space="preserve"> and $10,500 to </w:t>
      </w:r>
      <w:r w:rsidR="00CD58DB">
        <w:rPr>
          <w:rFonts w:ascii="Calibri" w:eastAsia="Batang" w:hAnsi="Calibri" w:cs="Calibri"/>
        </w:rPr>
        <w:t xml:space="preserve">analyze the data, write a summary report and prepare a presentation for Department staff in the first quarter of FY 2023. </w:t>
      </w:r>
      <w:r w:rsidR="00CD58DB">
        <w:rPr>
          <w:rFonts w:ascii="Calibri" w:eastAsia="Batang" w:hAnsi="Calibri" w:cs="Calibri"/>
        </w:rPr>
        <w:t>The</w:t>
      </w:r>
      <w:r w:rsidR="00767A73">
        <w:rPr>
          <w:rFonts w:ascii="Calibri" w:eastAsia="Batang" w:hAnsi="Calibri" w:cs="Calibri"/>
        </w:rPr>
        <w:t>refore</w:t>
      </w:r>
      <w:r w:rsidR="00767A73">
        <w:rPr>
          <w:rFonts w:ascii="Calibri" w:eastAsia="Batang" w:hAnsi="Calibri" w:cs="Calibri"/>
        </w:rPr>
        <w:t xml:space="preserve"> the</w:t>
      </w:r>
      <w:r w:rsidR="00CD58DB">
        <w:rPr>
          <w:rFonts w:ascii="Calibri" w:eastAsia="Batang" w:hAnsi="Calibri" w:cs="Calibri"/>
        </w:rPr>
        <w:t xml:space="preserve"> total </w:t>
      </w:r>
      <w:r w:rsidR="00767A73">
        <w:rPr>
          <w:rFonts w:ascii="Calibri" w:eastAsia="Batang" w:hAnsi="Calibri" w:cs="Calibri"/>
        </w:rPr>
        <w:t xml:space="preserve">estimated annualized </w:t>
      </w:r>
      <w:r w:rsidR="00CD58DB">
        <w:rPr>
          <w:rFonts w:ascii="Calibri" w:eastAsia="Batang" w:hAnsi="Calibri" w:cs="Calibri"/>
        </w:rPr>
        <w:t xml:space="preserve">cost </w:t>
      </w:r>
      <w:r w:rsidR="00767A73">
        <w:rPr>
          <w:rFonts w:ascii="Calibri" w:eastAsia="Batang" w:hAnsi="Calibri" w:cs="Calibri"/>
        </w:rPr>
        <w:t xml:space="preserve">to the Federal government </w:t>
      </w:r>
      <w:r w:rsidR="00CD58DB">
        <w:rPr>
          <w:rFonts w:ascii="Calibri" w:eastAsia="Batang" w:hAnsi="Calibri" w:cs="Calibri"/>
        </w:rPr>
        <w:t>is $21,000.</w:t>
      </w:r>
    </w:p>
    <w:p w:rsidR="004C31F6" w:rsidP="00534B4A" w14:paraId="5A77E079" w14:textId="77777777">
      <w:pPr>
        <w:pStyle w:val="ListParagraph"/>
        <w:tabs>
          <w:tab w:val="left" w:pos="-720"/>
        </w:tabs>
        <w:suppressAutoHyphens/>
        <w:ind w:left="907"/>
        <w:contextualSpacing w:val="0"/>
        <w:rPr>
          <w:rFonts w:ascii="Times New Roman" w:hAnsi="Times New Roman"/>
          <w:szCs w:val="24"/>
        </w:rPr>
      </w:pPr>
    </w:p>
    <w:p w:rsidR="00234A37" w:rsidRPr="00234A37" w:rsidP="00234A37" w14:paraId="06C84D11" w14:textId="0FA230CD">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w:t>
      </w:r>
      <w:r w:rsidRPr="00800D30">
        <w:rPr>
          <w:rFonts w:ascii="Times New Roman" w:hAnsi="Times New Roman"/>
          <w:b/>
          <w:szCs w:val="24"/>
        </w:rPr>
        <w:t>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14:paraId="210E095F"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234A37" w:rsidP="00800D30" w14:paraId="420ACF25" w14:textId="77777777">
      <w:pPr>
        <w:pStyle w:val="ListParagraph"/>
        <w:tabs>
          <w:tab w:val="left" w:pos="-720"/>
        </w:tabs>
        <w:suppressAutoHyphens/>
        <w:contextualSpacing w:val="0"/>
        <w:rPr>
          <w:rFonts w:ascii="Times New Roman" w:hAnsi="Times New Roman"/>
          <w:b/>
          <w:sz w:val="26"/>
          <w:szCs w:val="26"/>
        </w:rPr>
      </w:pPr>
    </w:p>
    <w:p w:rsidR="005929DA" w:rsidP="00800D30" w14:paraId="3D9C98EF" w14:textId="54915C12">
      <w:pPr>
        <w:pStyle w:val="ListParagraph"/>
        <w:tabs>
          <w:tab w:val="left" w:pos="-720"/>
        </w:tabs>
        <w:suppressAutoHyphens/>
        <w:contextualSpacing w:val="0"/>
        <w:rPr>
          <w:rFonts w:asciiTheme="minorHAnsi" w:hAnsiTheme="minorHAnsi" w:cstheme="minorHAnsi"/>
          <w:bCs/>
          <w:szCs w:val="24"/>
        </w:rPr>
      </w:pPr>
      <w:r>
        <w:rPr>
          <w:rFonts w:asciiTheme="minorHAnsi" w:hAnsiTheme="minorHAnsi" w:cstheme="minorHAnsi"/>
          <w:bCs/>
          <w:szCs w:val="24"/>
        </w:rPr>
        <w:t xml:space="preserve">As discussed above, the Department seeks to conduct a new survey. As a result of this program change, there will be an increase in burden hours of 52 hours (one per respondent).  </w:t>
      </w:r>
      <w:r w:rsidR="00AE6FBE">
        <w:rPr>
          <w:rFonts w:asciiTheme="minorHAnsi" w:hAnsiTheme="minorHAnsi" w:cstheme="minorHAnsi"/>
          <w:bCs/>
          <w:szCs w:val="24"/>
        </w:rPr>
        <w:t xml:space="preserve">This survey </w:t>
      </w:r>
      <w:r w:rsidR="000068E9">
        <w:rPr>
          <w:rFonts w:asciiTheme="minorHAnsi" w:hAnsiTheme="minorHAnsi" w:cstheme="minorHAnsi"/>
          <w:bCs/>
          <w:szCs w:val="24"/>
        </w:rPr>
        <w:t>will only be administered once.</w:t>
      </w:r>
    </w:p>
    <w:p w:rsidR="0026047B" w:rsidP="0026047B" w14:paraId="62B5E273"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36D4E2FB" w14:textId="77777777" w:rsidTr="00F566FB">
        <w:tblPrEx>
          <w:tblW w:w="9445" w:type="dxa"/>
          <w:tblLook w:val="04A0"/>
        </w:tblPrEx>
        <w:tc>
          <w:tcPr>
            <w:tcW w:w="2048" w:type="dxa"/>
            <w:shd w:val="clear" w:color="auto" w:fill="D9D9D9" w:themeFill="background1" w:themeFillShade="D9"/>
          </w:tcPr>
          <w:p w:rsidR="0026047B" w:rsidP="00F566FB" w14:paraId="76BD487D" w14:textId="77777777">
            <w:pPr>
              <w:tabs>
                <w:tab w:val="left" w:pos="-720"/>
              </w:tabs>
              <w:suppressAutoHyphens/>
              <w:rPr>
                <w:rFonts w:ascii="Times New Roman" w:hAnsi="Times New Roman"/>
                <w:b/>
                <w:szCs w:val="24"/>
              </w:rPr>
            </w:pPr>
          </w:p>
        </w:tc>
        <w:tc>
          <w:tcPr>
            <w:tcW w:w="2048" w:type="dxa"/>
          </w:tcPr>
          <w:p w:rsidR="0026047B" w:rsidP="00F566FB" w14:paraId="5692E722"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26047B" w:rsidP="00F566FB" w14:paraId="5CB9E9C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26047B" w:rsidP="00F566FB" w14:paraId="634A5CBE"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043AEC96" w14:textId="77777777" w:rsidTr="00F566FB">
        <w:tblPrEx>
          <w:tblW w:w="9445" w:type="dxa"/>
          <w:tblLook w:val="04A0"/>
        </w:tblPrEx>
        <w:tc>
          <w:tcPr>
            <w:tcW w:w="2048" w:type="dxa"/>
          </w:tcPr>
          <w:p w:rsidR="0026047B" w:rsidP="00F566FB" w14:paraId="201477A0"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26047B" w:rsidP="00F566FB" w14:paraId="4C3DF0B1" w14:textId="77777777">
            <w:pPr>
              <w:tabs>
                <w:tab w:val="left" w:pos="-720"/>
              </w:tabs>
              <w:suppressAutoHyphens/>
              <w:rPr>
                <w:rFonts w:ascii="Times New Roman" w:hAnsi="Times New Roman"/>
                <w:b/>
                <w:szCs w:val="24"/>
              </w:rPr>
            </w:pPr>
          </w:p>
        </w:tc>
        <w:tc>
          <w:tcPr>
            <w:tcW w:w="2829" w:type="dxa"/>
          </w:tcPr>
          <w:p w:rsidR="0026047B" w:rsidP="00F566FB" w14:paraId="7F479FA5" w14:textId="29ABB9E4">
            <w:pPr>
              <w:tabs>
                <w:tab w:val="left" w:pos="-720"/>
              </w:tabs>
              <w:suppressAutoHyphens/>
              <w:rPr>
                <w:rFonts w:ascii="Times New Roman" w:hAnsi="Times New Roman"/>
                <w:b/>
                <w:szCs w:val="24"/>
              </w:rPr>
            </w:pPr>
            <w:r>
              <w:rPr>
                <w:rFonts w:ascii="Times New Roman" w:hAnsi="Times New Roman"/>
                <w:b/>
                <w:szCs w:val="24"/>
              </w:rPr>
              <w:t>52</w:t>
            </w:r>
          </w:p>
        </w:tc>
        <w:tc>
          <w:tcPr>
            <w:tcW w:w="2520" w:type="dxa"/>
          </w:tcPr>
          <w:p w:rsidR="0026047B" w:rsidP="00F566FB" w14:paraId="79C48BFA" w14:textId="77777777">
            <w:pPr>
              <w:tabs>
                <w:tab w:val="left" w:pos="-720"/>
              </w:tabs>
              <w:suppressAutoHyphens/>
              <w:rPr>
                <w:rFonts w:ascii="Times New Roman" w:hAnsi="Times New Roman"/>
                <w:b/>
                <w:szCs w:val="24"/>
              </w:rPr>
            </w:pPr>
          </w:p>
        </w:tc>
      </w:tr>
      <w:tr w14:paraId="36FE09B8" w14:textId="77777777" w:rsidTr="00F566FB">
        <w:tblPrEx>
          <w:tblW w:w="9445" w:type="dxa"/>
          <w:tblLook w:val="04A0"/>
        </w:tblPrEx>
        <w:tc>
          <w:tcPr>
            <w:tcW w:w="2048" w:type="dxa"/>
          </w:tcPr>
          <w:p w:rsidR="0026047B" w:rsidP="00F566FB" w14:paraId="6392E638"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26047B" w:rsidP="00F566FB" w14:paraId="1596E73C" w14:textId="77777777">
            <w:pPr>
              <w:tabs>
                <w:tab w:val="left" w:pos="-720"/>
              </w:tabs>
              <w:suppressAutoHyphens/>
              <w:rPr>
                <w:rFonts w:ascii="Times New Roman" w:hAnsi="Times New Roman"/>
                <w:b/>
                <w:szCs w:val="24"/>
              </w:rPr>
            </w:pPr>
          </w:p>
        </w:tc>
        <w:tc>
          <w:tcPr>
            <w:tcW w:w="2829" w:type="dxa"/>
          </w:tcPr>
          <w:p w:rsidR="0026047B" w:rsidP="00F566FB" w14:paraId="5931AA0F" w14:textId="7F2A86F1">
            <w:pPr>
              <w:tabs>
                <w:tab w:val="left" w:pos="-720"/>
              </w:tabs>
              <w:suppressAutoHyphens/>
              <w:rPr>
                <w:rFonts w:ascii="Times New Roman" w:hAnsi="Times New Roman"/>
                <w:b/>
                <w:szCs w:val="24"/>
              </w:rPr>
            </w:pPr>
            <w:r>
              <w:rPr>
                <w:rFonts w:ascii="Times New Roman" w:hAnsi="Times New Roman"/>
                <w:b/>
                <w:szCs w:val="24"/>
              </w:rPr>
              <w:t>52</w:t>
            </w:r>
          </w:p>
        </w:tc>
        <w:tc>
          <w:tcPr>
            <w:tcW w:w="2520" w:type="dxa"/>
          </w:tcPr>
          <w:p w:rsidR="0026047B" w:rsidP="00F566FB" w14:paraId="6155E34E" w14:textId="77777777">
            <w:pPr>
              <w:tabs>
                <w:tab w:val="left" w:pos="-720"/>
              </w:tabs>
              <w:suppressAutoHyphens/>
              <w:rPr>
                <w:rFonts w:ascii="Times New Roman" w:hAnsi="Times New Roman"/>
                <w:b/>
                <w:szCs w:val="24"/>
              </w:rPr>
            </w:pPr>
          </w:p>
        </w:tc>
      </w:tr>
      <w:tr w14:paraId="467FE300" w14:textId="77777777" w:rsidTr="00F566FB">
        <w:tblPrEx>
          <w:tblW w:w="9445" w:type="dxa"/>
          <w:tblLook w:val="04A0"/>
        </w:tblPrEx>
        <w:tc>
          <w:tcPr>
            <w:tcW w:w="2048" w:type="dxa"/>
          </w:tcPr>
          <w:p w:rsidR="0026047B" w:rsidP="00F566FB" w14:paraId="4AC79E47"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26047B" w:rsidP="00F566FB" w14:paraId="670FD9BD" w14:textId="77777777">
            <w:pPr>
              <w:tabs>
                <w:tab w:val="left" w:pos="-720"/>
              </w:tabs>
              <w:suppressAutoHyphens/>
              <w:rPr>
                <w:rFonts w:ascii="Times New Roman" w:hAnsi="Times New Roman"/>
                <w:b/>
                <w:szCs w:val="24"/>
              </w:rPr>
            </w:pPr>
          </w:p>
        </w:tc>
        <w:tc>
          <w:tcPr>
            <w:tcW w:w="2829" w:type="dxa"/>
          </w:tcPr>
          <w:p w:rsidR="0026047B" w:rsidP="00F566FB" w14:paraId="66212098" w14:textId="6438124D">
            <w:pPr>
              <w:tabs>
                <w:tab w:val="left" w:pos="-720"/>
              </w:tabs>
              <w:suppressAutoHyphens/>
              <w:rPr>
                <w:rFonts w:ascii="Times New Roman" w:hAnsi="Times New Roman"/>
                <w:b/>
                <w:szCs w:val="24"/>
              </w:rPr>
            </w:pPr>
          </w:p>
        </w:tc>
        <w:tc>
          <w:tcPr>
            <w:tcW w:w="2520" w:type="dxa"/>
          </w:tcPr>
          <w:p w:rsidR="0026047B" w:rsidP="00F566FB" w14:paraId="1FEC4781" w14:textId="77777777">
            <w:pPr>
              <w:tabs>
                <w:tab w:val="left" w:pos="-720"/>
              </w:tabs>
              <w:suppressAutoHyphens/>
              <w:rPr>
                <w:rFonts w:ascii="Times New Roman" w:hAnsi="Times New Roman"/>
                <w:b/>
                <w:szCs w:val="24"/>
              </w:rPr>
            </w:pPr>
          </w:p>
        </w:tc>
      </w:tr>
    </w:tbl>
    <w:p w:rsidR="0026047B" w:rsidP="0026047B" w14:paraId="33344740" w14:textId="77777777">
      <w:pPr>
        <w:tabs>
          <w:tab w:val="left" w:pos="-720"/>
        </w:tabs>
        <w:suppressAutoHyphens/>
        <w:rPr>
          <w:rFonts w:ascii="Times New Roman" w:hAnsi="Times New Roman"/>
          <w:b/>
          <w:szCs w:val="24"/>
        </w:rPr>
      </w:pPr>
    </w:p>
    <w:p w:rsidR="0026047B" w:rsidRPr="00AE6FBE" w:rsidP="00800D30" w14:paraId="1E4F06A7" w14:textId="77777777">
      <w:pPr>
        <w:pStyle w:val="ListParagraph"/>
        <w:tabs>
          <w:tab w:val="left" w:pos="-720"/>
        </w:tabs>
        <w:suppressAutoHyphens/>
        <w:contextualSpacing w:val="0"/>
        <w:rPr>
          <w:rFonts w:asciiTheme="minorHAnsi" w:hAnsiTheme="minorHAnsi" w:cstheme="minorHAnsi"/>
          <w:bCs/>
          <w:szCs w:val="24"/>
        </w:rPr>
      </w:pPr>
    </w:p>
    <w:p w:rsidR="002D30E7" w:rsidP="002D30E7" w14:paraId="3BB6DF7B" w14:textId="77777777">
      <w:pPr>
        <w:tabs>
          <w:tab w:val="left" w:pos="-720"/>
        </w:tabs>
        <w:suppressAutoHyphens/>
        <w:rPr>
          <w:rFonts w:ascii="Times New Roman" w:hAnsi="Times New Roman"/>
          <w:b/>
          <w:szCs w:val="24"/>
        </w:rPr>
      </w:pPr>
    </w:p>
    <w:p w:rsidR="00DD2C09" w:rsidRPr="00534B4A" w:rsidP="00534B4A" w14:paraId="601B68B6" w14:textId="77777777">
      <w:pPr>
        <w:tabs>
          <w:tab w:val="left" w:pos="-720"/>
        </w:tabs>
        <w:suppressAutoHyphens/>
        <w:rPr>
          <w:rFonts w:ascii="Times New Roman" w:hAnsi="Times New Roman"/>
          <w:szCs w:val="24"/>
        </w:rPr>
      </w:pPr>
    </w:p>
    <w:p w:rsidR="00043C32" w:rsidP="00AD381B" w14:paraId="168D05EE"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F11C2" w:rsidP="001F11C2" w14:paraId="3B293FF2" w14:textId="77777777">
      <w:pPr>
        <w:pStyle w:val="ListParagraph"/>
        <w:spacing w:before="120" w:after="120"/>
        <w:rPr>
          <w:rFonts w:ascii="Calibri" w:hAnsi="Calibri" w:cs="Calibri"/>
        </w:rPr>
      </w:pPr>
    </w:p>
    <w:p w:rsidR="00534B4A" w:rsidRPr="004C31F6" w:rsidP="001F11C2" w14:paraId="38870181" w14:textId="7589AA08">
      <w:pPr>
        <w:pStyle w:val="ListParagraph"/>
        <w:spacing w:before="120" w:after="120"/>
        <w:rPr>
          <w:rFonts w:asciiTheme="minorHAnsi" w:hAnsiTheme="minorHAnsi" w:cstheme="minorBidi"/>
        </w:rPr>
      </w:pPr>
      <w:r w:rsidRPr="001F11C2">
        <w:rPr>
          <w:rFonts w:ascii="Calibri" w:hAnsi="Calibri" w:cs="Calibri"/>
        </w:rPr>
        <w:t>The results of these collections will not be published. Therefore</w:t>
      </w:r>
      <w:r w:rsidRPr="384A63D2">
        <w:rPr>
          <w:rFonts w:ascii="Calibri" w:hAnsi="Calibri" w:cs="Calibri"/>
        </w:rPr>
        <w:t>,</w:t>
      </w:r>
      <w:r w:rsidRPr="001F11C2">
        <w:rPr>
          <w:rFonts w:ascii="Calibri" w:hAnsi="Calibri" w:cs="Calibri"/>
        </w:rPr>
        <w:t xml:space="preserve"> this question is not applicable.</w:t>
      </w:r>
      <w:r w:rsidRPr="384A63D2" w:rsidR="00E45995">
        <w:rPr>
          <w:rFonts w:ascii="Times New Roman" w:hAnsi="Times New Roman"/>
        </w:rPr>
        <w:t xml:space="preserve"> </w:t>
      </w:r>
      <w:r w:rsidRPr="384A63D2" w:rsidR="00E45995">
        <w:rPr>
          <w:rFonts w:asciiTheme="minorHAnsi" w:hAnsiTheme="minorHAnsi" w:cstheme="minorBidi"/>
        </w:rPr>
        <w:t>The cost for the analysis and internal report and presentation were described above.</w:t>
      </w:r>
    </w:p>
    <w:p w:rsidR="00534B4A" w:rsidRPr="004C31F6" w:rsidP="00534B4A" w14:paraId="2E517C7E" w14:textId="77777777">
      <w:pPr>
        <w:tabs>
          <w:tab w:val="left" w:pos="-720"/>
        </w:tabs>
        <w:suppressAutoHyphens/>
        <w:rPr>
          <w:rFonts w:asciiTheme="minorHAnsi" w:hAnsiTheme="minorHAnsi" w:cstheme="minorHAnsi"/>
          <w:szCs w:val="24"/>
        </w:rPr>
      </w:pPr>
    </w:p>
    <w:p w:rsidR="00043C32" w:rsidRPr="00534B4A" w:rsidP="00414C01" w14:paraId="0721C452" w14:textId="77777777">
      <w:pPr>
        <w:pStyle w:val="ListParagraph"/>
        <w:numPr>
          <w:ilvl w:val="0"/>
          <w:numId w:val="5"/>
        </w:numPr>
        <w:tabs>
          <w:tab w:val="left" w:pos="-720"/>
        </w:tabs>
        <w:suppressAutoHyphens/>
        <w:ind w:left="810"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35752966" w14:textId="77777777">
      <w:pPr>
        <w:tabs>
          <w:tab w:val="left" w:pos="-720"/>
        </w:tabs>
        <w:suppressAutoHyphens/>
        <w:ind w:left="360"/>
        <w:rPr>
          <w:rFonts w:ascii="Times New Roman" w:hAnsi="Times New Roman"/>
          <w:b/>
          <w:szCs w:val="24"/>
        </w:rPr>
      </w:pPr>
    </w:p>
    <w:p w:rsidR="001F11C2" w:rsidRPr="001F11C2" w:rsidP="001F11C2" w14:paraId="6AC1FCF4" w14:textId="371D246A">
      <w:pPr>
        <w:spacing w:before="120" w:after="120"/>
        <w:ind w:left="720"/>
        <w:rPr>
          <w:rFonts w:ascii="Calibri" w:hAnsi="Calibri" w:cs="Calibri"/>
        </w:rPr>
      </w:pPr>
      <w:r>
        <w:rPr>
          <w:rFonts w:ascii="Calibri" w:hAnsi="Calibri" w:cs="Calibri"/>
        </w:rPr>
        <w:t>We are not seeki</w:t>
      </w:r>
      <w:r w:rsidR="00B370A5">
        <w:rPr>
          <w:rFonts w:ascii="Calibri" w:hAnsi="Calibri" w:cs="Calibri"/>
        </w:rPr>
        <w:t>ng this</w:t>
      </w:r>
      <w:r w:rsidR="0043063D">
        <w:rPr>
          <w:rFonts w:ascii="Calibri" w:hAnsi="Calibri" w:cs="Calibri"/>
        </w:rPr>
        <w:t xml:space="preserve"> approval</w:t>
      </w:r>
      <w:r w:rsidRPr="00261DDC">
        <w:rPr>
          <w:rFonts w:ascii="Calibri" w:hAnsi="Calibri" w:cs="Calibri"/>
        </w:rPr>
        <w:t>.</w:t>
      </w:r>
    </w:p>
    <w:p w:rsidR="00534B4A" w:rsidRPr="00534B4A" w:rsidP="00534B4A" w14:paraId="2F1200BF" w14:textId="77777777">
      <w:pPr>
        <w:tabs>
          <w:tab w:val="left" w:pos="-720"/>
        </w:tabs>
        <w:suppressAutoHyphens/>
        <w:ind w:left="360"/>
        <w:rPr>
          <w:rFonts w:ascii="Times New Roman" w:hAnsi="Times New Roman"/>
          <w:szCs w:val="24"/>
        </w:rPr>
      </w:pPr>
    </w:p>
    <w:p w:rsidR="001C73C0" w:rsidP="00414C01" w14:paraId="60B36CA3" w14:textId="77777777">
      <w:pPr>
        <w:pStyle w:val="ListParagraph"/>
        <w:numPr>
          <w:ilvl w:val="0"/>
          <w:numId w:val="5"/>
        </w:numPr>
        <w:tabs>
          <w:tab w:val="left" w:pos="-720"/>
        </w:tabs>
        <w:suppressAutoHyphens/>
        <w:ind w:left="81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332D64" w:rsidP="00332D64" w14:paraId="5E5B8D78" w14:textId="77777777">
      <w:pPr>
        <w:tabs>
          <w:tab w:val="left" w:pos="-720"/>
        </w:tabs>
        <w:suppressAutoHyphens/>
        <w:rPr>
          <w:rFonts w:ascii="Times New Roman" w:hAnsi="Times New Roman"/>
          <w:b/>
          <w:szCs w:val="24"/>
        </w:rPr>
      </w:pPr>
    </w:p>
    <w:p w:rsidR="001F11C2" w:rsidRPr="00261DDC" w:rsidP="001F11C2" w14:paraId="794F0FC7" w14:textId="77777777">
      <w:pPr>
        <w:tabs>
          <w:tab w:val="left" w:pos="1080"/>
        </w:tabs>
        <w:ind w:left="720"/>
        <w:rPr>
          <w:rFonts w:ascii="Calibri" w:hAnsi="Calibri" w:cs="Calibri"/>
        </w:rPr>
      </w:pPr>
      <w:r w:rsidRPr="00F549BB">
        <w:rPr>
          <w:rFonts w:ascii="Calibri" w:hAnsi="Calibri" w:cs="Calibri"/>
        </w:rPr>
        <w:t>This collection does not seek any exceptions to the certification statement identified in the Certification of Paperwork Reduction Act.</w:t>
      </w:r>
    </w:p>
    <w:p w:rsidR="00332D64" w:rsidRPr="002D30E7" w:rsidP="002D30E7" w14:paraId="673EFE31" w14:textId="37E86A09"/>
    <w:sectPr w:rsidSect="00043C32">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1D06" w14:paraId="64E1FD48" w14:textId="77777777">
    <w:pPr>
      <w:spacing w:before="140" w:line="100" w:lineRule="exact"/>
      <w:rPr>
        <w:sz w:val="10"/>
      </w:rPr>
    </w:pPr>
  </w:p>
  <w:p w:rsidR="00DB1D06" w14:paraId="64E1FD49" w14:textId="77777777">
    <w:pPr>
      <w:tabs>
        <w:tab w:val="left" w:pos="0"/>
      </w:tabs>
      <w:suppressAutoHyphens/>
    </w:pPr>
  </w:p>
  <w:p w:rsidR="00DB1D06" w14:paraId="64E1FD4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DB1D06"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DB1D06" w:rsidRPr="00534B4A" w14:paraId="64E1FD4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4ACE" w:rsidP="00043C32" w14:paraId="7E7AFA28" w14:textId="77777777">
      <w:r>
        <w:separator/>
      </w:r>
    </w:p>
  </w:footnote>
  <w:footnote w:type="continuationSeparator" w:id="1">
    <w:p w:rsidR="000C4ACE" w:rsidP="00043C32" w14:paraId="60A19C87" w14:textId="77777777">
      <w:r>
        <w:continuationSeparator/>
      </w:r>
    </w:p>
  </w:footnote>
  <w:footnote w:type="continuationNotice" w:id="2">
    <w:p w:rsidR="000C4ACE" w14:paraId="73628273" w14:textId="77777777"/>
  </w:footnote>
  <w:footnote w:id="3">
    <w:p w:rsidR="00043C32" w:rsidP="00043C32" w14:paraId="787AC620"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68E9"/>
    <w:rsid w:val="00010D85"/>
    <w:rsid w:val="0001361C"/>
    <w:rsid w:val="000146A2"/>
    <w:rsid w:val="00025EDE"/>
    <w:rsid w:val="00035ED5"/>
    <w:rsid w:val="00037C0B"/>
    <w:rsid w:val="00043C32"/>
    <w:rsid w:val="000446F5"/>
    <w:rsid w:val="00044FFF"/>
    <w:rsid w:val="00054C25"/>
    <w:rsid w:val="000621EA"/>
    <w:rsid w:val="00064A4F"/>
    <w:rsid w:val="000658C0"/>
    <w:rsid w:val="00072A83"/>
    <w:rsid w:val="00083936"/>
    <w:rsid w:val="00086122"/>
    <w:rsid w:val="00090DF2"/>
    <w:rsid w:val="00093017"/>
    <w:rsid w:val="000A30D6"/>
    <w:rsid w:val="000A613D"/>
    <w:rsid w:val="000A6184"/>
    <w:rsid w:val="000C4ACE"/>
    <w:rsid w:val="000D5AD0"/>
    <w:rsid w:val="000D6A56"/>
    <w:rsid w:val="000E5115"/>
    <w:rsid w:val="00101D37"/>
    <w:rsid w:val="00116B8C"/>
    <w:rsid w:val="001247B0"/>
    <w:rsid w:val="001275E5"/>
    <w:rsid w:val="00145601"/>
    <w:rsid w:val="00153F84"/>
    <w:rsid w:val="00156B8D"/>
    <w:rsid w:val="00160719"/>
    <w:rsid w:val="00165576"/>
    <w:rsid w:val="001721BF"/>
    <w:rsid w:val="00174AB4"/>
    <w:rsid w:val="001824F3"/>
    <w:rsid w:val="0018481A"/>
    <w:rsid w:val="00196114"/>
    <w:rsid w:val="001A0C33"/>
    <w:rsid w:val="001A6AE0"/>
    <w:rsid w:val="001C6613"/>
    <w:rsid w:val="001C73C0"/>
    <w:rsid w:val="001D415C"/>
    <w:rsid w:val="001D6A8B"/>
    <w:rsid w:val="001E15E7"/>
    <w:rsid w:val="001E73EB"/>
    <w:rsid w:val="001E79BD"/>
    <w:rsid w:val="001F11C2"/>
    <w:rsid w:val="001F5B9C"/>
    <w:rsid w:val="00213782"/>
    <w:rsid w:val="002225CC"/>
    <w:rsid w:val="00224A3B"/>
    <w:rsid w:val="00234A37"/>
    <w:rsid w:val="00235062"/>
    <w:rsid w:val="00240A39"/>
    <w:rsid w:val="00246B16"/>
    <w:rsid w:val="00246FE9"/>
    <w:rsid w:val="00250100"/>
    <w:rsid w:val="0025506C"/>
    <w:rsid w:val="00257C2F"/>
    <w:rsid w:val="0026047B"/>
    <w:rsid w:val="00261DDC"/>
    <w:rsid w:val="00262A69"/>
    <w:rsid w:val="00270AF7"/>
    <w:rsid w:val="0027613E"/>
    <w:rsid w:val="00277BFF"/>
    <w:rsid w:val="002A3221"/>
    <w:rsid w:val="002B2E2A"/>
    <w:rsid w:val="002B5CDC"/>
    <w:rsid w:val="002C3520"/>
    <w:rsid w:val="002D30E7"/>
    <w:rsid w:val="002E14E0"/>
    <w:rsid w:val="002F37E9"/>
    <w:rsid w:val="002F55E5"/>
    <w:rsid w:val="00300640"/>
    <w:rsid w:val="0032078A"/>
    <w:rsid w:val="0032539E"/>
    <w:rsid w:val="00332D64"/>
    <w:rsid w:val="003470E1"/>
    <w:rsid w:val="0035498B"/>
    <w:rsid w:val="00376240"/>
    <w:rsid w:val="00383983"/>
    <w:rsid w:val="003860E4"/>
    <w:rsid w:val="0039094D"/>
    <w:rsid w:val="003A66D2"/>
    <w:rsid w:val="003B0DFF"/>
    <w:rsid w:val="003B1545"/>
    <w:rsid w:val="003C7BC5"/>
    <w:rsid w:val="003E039F"/>
    <w:rsid w:val="003E25FA"/>
    <w:rsid w:val="003E7638"/>
    <w:rsid w:val="003F284F"/>
    <w:rsid w:val="004003FE"/>
    <w:rsid w:val="00400DAB"/>
    <w:rsid w:val="00412915"/>
    <w:rsid w:val="00412989"/>
    <w:rsid w:val="00414C01"/>
    <w:rsid w:val="0041519E"/>
    <w:rsid w:val="0043063D"/>
    <w:rsid w:val="00432809"/>
    <w:rsid w:val="00436C47"/>
    <w:rsid w:val="00442E07"/>
    <w:rsid w:val="004542EA"/>
    <w:rsid w:val="0046667A"/>
    <w:rsid w:val="00471021"/>
    <w:rsid w:val="00485920"/>
    <w:rsid w:val="00486DC9"/>
    <w:rsid w:val="004A73C8"/>
    <w:rsid w:val="004B112F"/>
    <w:rsid w:val="004C31F6"/>
    <w:rsid w:val="004D1E8D"/>
    <w:rsid w:val="004D5DFC"/>
    <w:rsid w:val="004E05CF"/>
    <w:rsid w:val="004E6941"/>
    <w:rsid w:val="004F2DF5"/>
    <w:rsid w:val="00503382"/>
    <w:rsid w:val="005104A9"/>
    <w:rsid w:val="0052073E"/>
    <w:rsid w:val="00531FF8"/>
    <w:rsid w:val="00534B4A"/>
    <w:rsid w:val="005557C7"/>
    <w:rsid w:val="0057241D"/>
    <w:rsid w:val="00575DDA"/>
    <w:rsid w:val="00581682"/>
    <w:rsid w:val="00581C11"/>
    <w:rsid w:val="00584B9C"/>
    <w:rsid w:val="00590D4D"/>
    <w:rsid w:val="005929DA"/>
    <w:rsid w:val="00592DD1"/>
    <w:rsid w:val="005A450A"/>
    <w:rsid w:val="005B0F80"/>
    <w:rsid w:val="005B595A"/>
    <w:rsid w:val="005E5D09"/>
    <w:rsid w:val="00605C28"/>
    <w:rsid w:val="006123DF"/>
    <w:rsid w:val="0062274F"/>
    <w:rsid w:val="00652A15"/>
    <w:rsid w:val="00653D69"/>
    <w:rsid w:val="00670BDD"/>
    <w:rsid w:val="00675D97"/>
    <w:rsid w:val="00683A0A"/>
    <w:rsid w:val="0068567A"/>
    <w:rsid w:val="00695726"/>
    <w:rsid w:val="006A0C9E"/>
    <w:rsid w:val="006A292A"/>
    <w:rsid w:val="006A38F7"/>
    <w:rsid w:val="006A4EBB"/>
    <w:rsid w:val="006B4172"/>
    <w:rsid w:val="006C34AE"/>
    <w:rsid w:val="006C3CEC"/>
    <w:rsid w:val="006C7730"/>
    <w:rsid w:val="006E2E2F"/>
    <w:rsid w:val="00703ACE"/>
    <w:rsid w:val="00707955"/>
    <w:rsid w:val="00713B69"/>
    <w:rsid w:val="00714A09"/>
    <w:rsid w:val="00716C9F"/>
    <w:rsid w:val="00724A63"/>
    <w:rsid w:val="00743213"/>
    <w:rsid w:val="007470D7"/>
    <w:rsid w:val="00755D99"/>
    <w:rsid w:val="007560A6"/>
    <w:rsid w:val="00756FD3"/>
    <w:rsid w:val="00762B4B"/>
    <w:rsid w:val="00765392"/>
    <w:rsid w:val="00767A73"/>
    <w:rsid w:val="00790E3E"/>
    <w:rsid w:val="00791B1F"/>
    <w:rsid w:val="00794FA1"/>
    <w:rsid w:val="00797A09"/>
    <w:rsid w:val="007A010E"/>
    <w:rsid w:val="007C0A4C"/>
    <w:rsid w:val="007D02BA"/>
    <w:rsid w:val="007D0651"/>
    <w:rsid w:val="007D121A"/>
    <w:rsid w:val="007D5920"/>
    <w:rsid w:val="007E6F49"/>
    <w:rsid w:val="007E7CF1"/>
    <w:rsid w:val="007F2184"/>
    <w:rsid w:val="007F6104"/>
    <w:rsid w:val="00800D30"/>
    <w:rsid w:val="00807D1A"/>
    <w:rsid w:val="00807E74"/>
    <w:rsid w:val="0083629C"/>
    <w:rsid w:val="00844576"/>
    <w:rsid w:val="0084692D"/>
    <w:rsid w:val="00851389"/>
    <w:rsid w:val="008549E4"/>
    <w:rsid w:val="00871449"/>
    <w:rsid w:val="00874EFE"/>
    <w:rsid w:val="00877BD6"/>
    <w:rsid w:val="00882126"/>
    <w:rsid w:val="00886010"/>
    <w:rsid w:val="008933F1"/>
    <w:rsid w:val="0089568B"/>
    <w:rsid w:val="008B5DDE"/>
    <w:rsid w:val="008C42FB"/>
    <w:rsid w:val="008D0601"/>
    <w:rsid w:val="008D1F11"/>
    <w:rsid w:val="008E1425"/>
    <w:rsid w:val="008E2129"/>
    <w:rsid w:val="008E5919"/>
    <w:rsid w:val="00905951"/>
    <w:rsid w:val="00907C44"/>
    <w:rsid w:val="00912D2C"/>
    <w:rsid w:val="0091698F"/>
    <w:rsid w:val="00916EE4"/>
    <w:rsid w:val="00920F63"/>
    <w:rsid w:val="00922172"/>
    <w:rsid w:val="009243F3"/>
    <w:rsid w:val="00930685"/>
    <w:rsid w:val="0093366B"/>
    <w:rsid w:val="00934185"/>
    <w:rsid w:val="00936916"/>
    <w:rsid w:val="00941E04"/>
    <w:rsid w:val="00946126"/>
    <w:rsid w:val="00952DF9"/>
    <w:rsid w:val="0095421D"/>
    <w:rsid w:val="00954A61"/>
    <w:rsid w:val="00960C86"/>
    <w:rsid w:val="00972445"/>
    <w:rsid w:val="00973B6F"/>
    <w:rsid w:val="009767AF"/>
    <w:rsid w:val="00981F58"/>
    <w:rsid w:val="00986D0A"/>
    <w:rsid w:val="009930D6"/>
    <w:rsid w:val="009A5983"/>
    <w:rsid w:val="009B18BD"/>
    <w:rsid w:val="009B6962"/>
    <w:rsid w:val="009B7479"/>
    <w:rsid w:val="009D1C2A"/>
    <w:rsid w:val="009D2E09"/>
    <w:rsid w:val="009E3E86"/>
    <w:rsid w:val="009E70D3"/>
    <w:rsid w:val="009F7C6F"/>
    <w:rsid w:val="00A02607"/>
    <w:rsid w:val="00A02A76"/>
    <w:rsid w:val="00A118A2"/>
    <w:rsid w:val="00A11B3D"/>
    <w:rsid w:val="00A23F26"/>
    <w:rsid w:val="00A36579"/>
    <w:rsid w:val="00A4001C"/>
    <w:rsid w:val="00A40AAB"/>
    <w:rsid w:val="00A46D01"/>
    <w:rsid w:val="00A4749A"/>
    <w:rsid w:val="00A70816"/>
    <w:rsid w:val="00A72CF4"/>
    <w:rsid w:val="00A73590"/>
    <w:rsid w:val="00A7636D"/>
    <w:rsid w:val="00A819E0"/>
    <w:rsid w:val="00A86371"/>
    <w:rsid w:val="00A86B11"/>
    <w:rsid w:val="00A9138E"/>
    <w:rsid w:val="00AA3E9C"/>
    <w:rsid w:val="00AA6D87"/>
    <w:rsid w:val="00AB15D2"/>
    <w:rsid w:val="00AB79BF"/>
    <w:rsid w:val="00AC0203"/>
    <w:rsid w:val="00AC1C89"/>
    <w:rsid w:val="00AD217B"/>
    <w:rsid w:val="00AD381B"/>
    <w:rsid w:val="00AD68AE"/>
    <w:rsid w:val="00AE68AA"/>
    <w:rsid w:val="00AE6FBE"/>
    <w:rsid w:val="00AF5B5B"/>
    <w:rsid w:val="00AF5D1A"/>
    <w:rsid w:val="00B017F9"/>
    <w:rsid w:val="00B07213"/>
    <w:rsid w:val="00B10A05"/>
    <w:rsid w:val="00B14132"/>
    <w:rsid w:val="00B22374"/>
    <w:rsid w:val="00B22BEA"/>
    <w:rsid w:val="00B22FE9"/>
    <w:rsid w:val="00B2764B"/>
    <w:rsid w:val="00B277C3"/>
    <w:rsid w:val="00B370A5"/>
    <w:rsid w:val="00B54167"/>
    <w:rsid w:val="00B571AD"/>
    <w:rsid w:val="00B62E06"/>
    <w:rsid w:val="00B64B1D"/>
    <w:rsid w:val="00B65EB2"/>
    <w:rsid w:val="00B67890"/>
    <w:rsid w:val="00B74257"/>
    <w:rsid w:val="00B76B97"/>
    <w:rsid w:val="00B80865"/>
    <w:rsid w:val="00B852AC"/>
    <w:rsid w:val="00B864F3"/>
    <w:rsid w:val="00B87FF3"/>
    <w:rsid w:val="00B9671B"/>
    <w:rsid w:val="00B96A81"/>
    <w:rsid w:val="00B9749C"/>
    <w:rsid w:val="00BA1D31"/>
    <w:rsid w:val="00BA6E76"/>
    <w:rsid w:val="00BC3800"/>
    <w:rsid w:val="00BC7711"/>
    <w:rsid w:val="00BE6C23"/>
    <w:rsid w:val="00BF14A4"/>
    <w:rsid w:val="00BF2027"/>
    <w:rsid w:val="00C029E5"/>
    <w:rsid w:val="00C02E96"/>
    <w:rsid w:val="00C0677A"/>
    <w:rsid w:val="00C13B63"/>
    <w:rsid w:val="00C164D3"/>
    <w:rsid w:val="00C20670"/>
    <w:rsid w:val="00C224FD"/>
    <w:rsid w:val="00C256DF"/>
    <w:rsid w:val="00C41BBE"/>
    <w:rsid w:val="00C51C81"/>
    <w:rsid w:val="00C63FD8"/>
    <w:rsid w:val="00C76BC4"/>
    <w:rsid w:val="00C86713"/>
    <w:rsid w:val="00C875E8"/>
    <w:rsid w:val="00C92035"/>
    <w:rsid w:val="00C94334"/>
    <w:rsid w:val="00C9470A"/>
    <w:rsid w:val="00C952D9"/>
    <w:rsid w:val="00C96F62"/>
    <w:rsid w:val="00CB1EDB"/>
    <w:rsid w:val="00CC2A72"/>
    <w:rsid w:val="00CC3FB5"/>
    <w:rsid w:val="00CC4169"/>
    <w:rsid w:val="00CD2067"/>
    <w:rsid w:val="00CD47BC"/>
    <w:rsid w:val="00CD58DB"/>
    <w:rsid w:val="00CF1EF8"/>
    <w:rsid w:val="00CF2B15"/>
    <w:rsid w:val="00CF3749"/>
    <w:rsid w:val="00D017FA"/>
    <w:rsid w:val="00D20150"/>
    <w:rsid w:val="00D34984"/>
    <w:rsid w:val="00D35F44"/>
    <w:rsid w:val="00D36C35"/>
    <w:rsid w:val="00D42C6D"/>
    <w:rsid w:val="00D46939"/>
    <w:rsid w:val="00D52648"/>
    <w:rsid w:val="00D75313"/>
    <w:rsid w:val="00D95726"/>
    <w:rsid w:val="00D969C6"/>
    <w:rsid w:val="00DA0F91"/>
    <w:rsid w:val="00DB1D06"/>
    <w:rsid w:val="00DC4B66"/>
    <w:rsid w:val="00DC6513"/>
    <w:rsid w:val="00DC7B16"/>
    <w:rsid w:val="00DD165F"/>
    <w:rsid w:val="00DD2C09"/>
    <w:rsid w:val="00E01AE5"/>
    <w:rsid w:val="00E122FF"/>
    <w:rsid w:val="00E16ACD"/>
    <w:rsid w:val="00E17134"/>
    <w:rsid w:val="00E25EBC"/>
    <w:rsid w:val="00E2722B"/>
    <w:rsid w:val="00E30F9E"/>
    <w:rsid w:val="00E3539A"/>
    <w:rsid w:val="00E37121"/>
    <w:rsid w:val="00E45995"/>
    <w:rsid w:val="00E51DC2"/>
    <w:rsid w:val="00E55D52"/>
    <w:rsid w:val="00E66550"/>
    <w:rsid w:val="00E77773"/>
    <w:rsid w:val="00E877BF"/>
    <w:rsid w:val="00E90B60"/>
    <w:rsid w:val="00E91545"/>
    <w:rsid w:val="00E92D0F"/>
    <w:rsid w:val="00E93C9C"/>
    <w:rsid w:val="00E96262"/>
    <w:rsid w:val="00EA1767"/>
    <w:rsid w:val="00EB0929"/>
    <w:rsid w:val="00EB0FA5"/>
    <w:rsid w:val="00EB4852"/>
    <w:rsid w:val="00EB5CB1"/>
    <w:rsid w:val="00EC01DD"/>
    <w:rsid w:val="00EC35E3"/>
    <w:rsid w:val="00EC45FE"/>
    <w:rsid w:val="00ED20FD"/>
    <w:rsid w:val="00ED2B2B"/>
    <w:rsid w:val="00ED7195"/>
    <w:rsid w:val="00EF6D85"/>
    <w:rsid w:val="00F0414F"/>
    <w:rsid w:val="00F06FCB"/>
    <w:rsid w:val="00F070F3"/>
    <w:rsid w:val="00F13F8F"/>
    <w:rsid w:val="00F27AAF"/>
    <w:rsid w:val="00F31BEC"/>
    <w:rsid w:val="00F549BB"/>
    <w:rsid w:val="00F55A0A"/>
    <w:rsid w:val="00F566FB"/>
    <w:rsid w:val="00F5782B"/>
    <w:rsid w:val="00F60415"/>
    <w:rsid w:val="00F73131"/>
    <w:rsid w:val="00FB1996"/>
    <w:rsid w:val="00FB76E4"/>
    <w:rsid w:val="00FC669D"/>
    <w:rsid w:val="00FD4F0B"/>
    <w:rsid w:val="00FE02FC"/>
    <w:rsid w:val="00FE1BAE"/>
    <w:rsid w:val="00FF1E2C"/>
    <w:rsid w:val="031A1337"/>
    <w:rsid w:val="0346301B"/>
    <w:rsid w:val="03A3C8F5"/>
    <w:rsid w:val="0498C62B"/>
    <w:rsid w:val="0755C7D9"/>
    <w:rsid w:val="0859320C"/>
    <w:rsid w:val="0860871F"/>
    <w:rsid w:val="088D84A1"/>
    <w:rsid w:val="091D49F3"/>
    <w:rsid w:val="0B950173"/>
    <w:rsid w:val="0E259026"/>
    <w:rsid w:val="0FDFA6D0"/>
    <w:rsid w:val="104EA864"/>
    <w:rsid w:val="1117A281"/>
    <w:rsid w:val="118CFF2F"/>
    <w:rsid w:val="11C111B0"/>
    <w:rsid w:val="11EE0F32"/>
    <w:rsid w:val="13A4E4DE"/>
    <w:rsid w:val="14CB5049"/>
    <w:rsid w:val="14FFD5AF"/>
    <w:rsid w:val="15F74DD9"/>
    <w:rsid w:val="1B6DE843"/>
    <w:rsid w:val="1C98DA86"/>
    <w:rsid w:val="1CCDA34C"/>
    <w:rsid w:val="207E95A0"/>
    <w:rsid w:val="21FBAEF9"/>
    <w:rsid w:val="22FEE65B"/>
    <w:rsid w:val="25D87F7A"/>
    <w:rsid w:val="26C79838"/>
    <w:rsid w:val="282F1509"/>
    <w:rsid w:val="28FB047E"/>
    <w:rsid w:val="2908F6B7"/>
    <w:rsid w:val="29E99D6D"/>
    <w:rsid w:val="2AA7DDE0"/>
    <w:rsid w:val="2BF79415"/>
    <w:rsid w:val="2E8593D2"/>
    <w:rsid w:val="2E8CA55D"/>
    <w:rsid w:val="2ECA8AC1"/>
    <w:rsid w:val="2F0F4EDF"/>
    <w:rsid w:val="30F07AD6"/>
    <w:rsid w:val="31ADBE3F"/>
    <w:rsid w:val="32CA51BA"/>
    <w:rsid w:val="3396412F"/>
    <w:rsid w:val="34AC9B16"/>
    <w:rsid w:val="350493C5"/>
    <w:rsid w:val="36486B77"/>
    <w:rsid w:val="3746F99F"/>
    <w:rsid w:val="384A63D2"/>
    <w:rsid w:val="3899A52C"/>
    <w:rsid w:val="39152027"/>
    <w:rsid w:val="3B58E6FE"/>
    <w:rsid w:val="3E317DE0"/>
    <w:rsid w:val="3E4CC5AF"/>
    <w:rsid w:val="3EA687F4"/>
    <w:rsid w:val="40DECC1D"/>
    <w:rsid w:val="420151FF"/>
    <w:rsid w:val="422B77D8"/>
    <w:rsid w:val="43BDC116"/>
    <w:rsid w:val="45439143"/>
    <w:rsid w:val="4592BBEF"/>
    <w:rsid w:val="4779891D"/>
    <w:rsid w:val="496DE1A4"/>
    <w:rsid w:val="499FFF19"/>
    <w:rsid w:val="4BFA7F4F"/>
    <w:rsid w:val="4C5797C1"/>
    <w:rsid w:val="4D3BB374"/>
    <w:rsid w:val="4D93871D"/>
    <w:rsid w:val="51193695"/>
    <w:rsid w:val="52F2DAA8"/>
    <w:rsid w:val="52FA2FBB"/>
    <w:rsid w:val="5B565974"/>
    <w:rsid w:val="5C5ABA4C"/>
    <w:rsid w:val="5C87B7CE"/>
    <w:rsid w:val="5DE1EB3F"/>
    <w:rsid w:val="630B15FF"/>
    <w:rsid w:val="63157E84"/>
    <w:rsid w:val="63C2CD9F"/>
    <w:rsid w:val="642D3A2C"/>
    <w:rsid w:val="649B7910"/>
    <w:rsid w:val="6501ADA4"/>
    <w:rsid w:val="65A90C88"/>
    <w:rsid w:val="66869B5A"/>
    <w:rsid w:val="6722C1AE"/>
    <w:rsid w:val="68FCCB63"/>
    <w:rsid w:val="6B498515"/>
    <w:rsid w:val="6CFC925C"/>
    <w:rsid w:val="6DBCCA49"/>
    <w:rsid w:val="6FA9ADC8"/>
    <w:rsid w:val="722ED574"/>
    <w:rsid w:val="7261A097"/>
    <w:rsid w:val="73E15EBE"/>
    <w:rsid w:val="7488460A"/>
    <w:rsid w:val="74CD19A2"/>
    <w:rsid w:val="75340A4B"/>
    <w:rsid w:val="757E62D0"/>
    <w:rsid w:val="796E7DC8"/>
    <w:rsid w:val="7B0DE496"/>
    <w:rsid w:val="7C294836"/>
    <w:rsid w:val="7EDB76B8"/>
    <w:rsid w:val="7F9F5422"/>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64E1FC82"/>
  <w15:docId w15:val="{197F465C-E6B5-4F70-9D97-157475D1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0">
    <w:name w:val="Body Text"/>
    <w:basedOn w:val="Normal"/>
    <w:link w:val="BodyTextChar0"/>
    <w:semiHidden/>
    <w:rsid w:val="00972445"/>
    <w:pPr>
      <w:widowControl w:val="0"/>
      <w:jc w:val="both"/>
    </w:pPr>
    <w:rPr>
      <w:rFonts w:ascii="Arial" w:hAnsi="Arial"/>
      <w:snapToGrid w:val="0"/>
    </w:rPr>
  </w:style>
  <w:style w:type="character" w:customStyle="1" w:styleId="BodyTextChar0">
    <w:name w:val="Body Text Char"/>
    <w:basedOn w:val="DefaultParagraphFont"/>
    <w:link w:val="BodyText0"/>
    <w:semiHidden/>
    <w:rsid w:val="00972445"/>
    <w:rPr>
      <w:rFonts w:ascii="Arial" w:hAnsi="Arial"/>
      <w:snapToGrid w:val="0"/>
      <w:sz w:val="24"/>
    </w:rPr>
  </w:style>
  <w:style w:type="paragraph" w:styleId="BodyTextIndent2">
    <w:name w:val="Body Text Indent 2"/>
    <w:basedOn w:val="Normal"/>
    <w:link w:val="BodyTextIndent2Char"/>
    <w:semiHidden/>
    <w:rsid w:val="00972445"/>
    <w:pPr>
      <w:widowControl w:val="0"/>
      <w:ind w:left="360"/>
      <w:jc w:val="both"/>
    </w:pPr>
    <w:rPr>
      <w:rFonts w:ascii="Arial" w:hAnsi="Arial"/>
      <w:snapToGrid w:val="0"/>
    </w:rPr>
  </w:style>
  <w:style w:type="character" w:customStyle="1" w:styleId="BodyTextIndent2Char">
    <w:name w:val="Body Text Indent 2 Char"/>
    <w:basedOn w:val="DefaultParagraphFont"/>
    <w:link w:val="BodyTextIndent2"/>
    <w:semiHidden/>
    <w:rsid w:val="00972445"/>
    <w:rPr>
      <w:rFonts w:ascii="Arial" w:hAnsi="Arial"/>
      <w:snapToGrid w:val="0"/>
      <w:sz w:val="24"/>
    </w:rPr>
  </w:style>
  <w:style w:type="paragraph" w:styleId="BodyTextIndent3">
    <w:name w:val="Body Text Indent 3"/>
    <w:basedOn w:val="Normal"/>
    <w:link w:val="BodyTextIndent3Char"/>
    <w:uiPriority w:val="99"/>
    <w:semiHidden/>
    <w:unhideWhenUsed/>
    <w:rsid w:val="0097244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2445"/>
    <w:rPr>
      <w:rFonts w:ascii="Courier" w:hAnsi="Courier"/>
      <w:sz w:val="16"/>
      <w:szCs w:val="16"/>
    </w:rPr>
  </w:style>
  <w:style w:type="character" w:styleId="Mention">
    <w:name w:val="Mention"/>
    <w:basedOn w:val="DefaultParagraphFont"/>
    <w:uiPriority w:val="99"/>
    <w:unhideWhenUsed/>
    <w:rsid w:val="00F06FCB"/>
    <w:rPr>
      <w:color w:val="2B579A"/>
      <w:shd w:val="clear" w:color="auto" w:fill="E1DFDD"/>
    </w:rPr>
  </w:style>
  <w:style w:type="paragraph" w:styleId="Revision">
    <w:name w:val="Revision"/>
    <w:hidden/>
    <w:uiPriority w:val="99"/>
    <w:semiHidden/>
    <w:rsid w:val="00153F84"/>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EB4735064E301B46B0FED2EECB03DE9A" ma:contentTypeVersion="103" ma:contentTypeDescription="" ma:contentTypeScope="" ma:versionID="4197604b8f433c915a1edb49b82b5e2d">
  <xsd:schema xmlns:xsd="http://www.w3.org/2001/XMLSchema" xmlns:xs="http://www.w3.org/2001/XMLSchema" xmlns:p="http://schemas.microsoft.com/office/2006/metadata/properties" xmlns:ns2="2a2db8c4-56ab-4882-a5d0-0fe8165c6658" targetNamespace="http://schemas.microsoft.com/office/2006/metadata/properties" ma:root="true" ma:fieldsID="3f9571d33468e72f52de0b30f5c4d780" ns2:_="">
    <xsd:import namespace="2a2db8c4-56ab-4882-a5d0-0fe8165c6658"/>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2:n1bd8754419c43e28f0ce7981e345f0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readOnly="false"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a6274bb8-f01a-4f5f-b2e1-e4f7b7015be2}" ma:internalName="TaxCatchAll" ma:showField="CatchAllData"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a6274bb8-f01a-4f5f-b2e1-e4f7b7015be2}" ma:internalName="TaxCatchAllLabel" ma:readOnly="true" ma:showField="CatchAllDataLabel"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enumeration value="Pending 1st Level Approver"/>
          <xsd:enumeration value="1st Level Approved"/>
          <xsd:enumeration value="1st Level Disapproved"/>
          <xsd:enumeration value="Pending 2nd Level Approver"/>
          <xsd:enumeration value="2nd Level Approved"/>
          <xsd:enumeration value="2nd Level Disapproved"/>
          <xsd:enumeration value="Pending 3rd Level Approver"/>
          <xsd:enumeration value="3rd Level Approved"/>
          <xsd:enumeration value="3rd Level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Archive_x0020_YN" ma:index="28" nillable="true" ma:displayName="Archive YN" ma:default="0" ma:internalName="Archive_x0020_YN" ma:readOnly="false">
      <xsd:simpleType>
        <xsd:restriction base="dms:Boolean"/>
      </xsd:simpleType>
    </xsd:element>
    <xsd:element name="Get_Feedback" ma:index="29" nillable="true" ma:displayName="Get_Feedback" ma:internalName="Get_Feedback">
      <xsd:simpleType>
        <xsd:restriction base="dms:Text">
          <xsd:maxLength value="255"/>
        </xsd:restriction>
      </xsd:simpleType>
    </xsd:element>
    <xsd:element name="Restart_x0020_Approval" ma:index="30" nillable="true" ma:displayName="Restart Approval" ma:internalName="Restart_x0020_Approval">
      <xsd:simpleType>
        <xsd:restriction base="dms:Text">
          <xsd:maxLength value="255"/>
        </xsd:restriction>
      </xsd:simpleType>
    </xsd:element>
    <xsd:element name="Privacy" ma:index="31" nillable="true" ma:displayName="Privacy" ma:internalName="Privacy">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element name="Approval_x0020_Status_x0020_Details" ma:index="33" nillable="true" ma:displayName="Approval Status Details" ma:default="" ma:internalName="Approval_x0020_Status_x0020_Details">
      <xsd:simpleType>
        <xsd:restriction base="dms:Note">
          <xsd:maxLength value="255"/>
        </xsd:restriction>
      </xsd:simpleType>
    </xsd:element>
    <xsd:element name="n1bd8754419c43e28f0ce7981e345f05" ma:index="34"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557479ed-16e3-4c54-a34b-e226e0af443e" ContentTypeId="0x01010028670A239A4C7A4E9A68527307346D38" PreviousValue="false"/>
</file>

<file path=customXml/item5.xml><?xml version="1.0" encoding="utf-8"?>
<p:properties xmlns:p="http://schemas.microsoft.com/office/2006/metadata/properties" xmlns:xsi="http://www.w3.org/2001/XMLSchema-instance" xmlns:pc="http://schemas.microsoft.com/office/infopath/2007/PartnerControls">
  <documentManagement>
    <Approval_Status xmlns="2a2db8c4-56ab-4882-a5d0-0fe8165c6658">Not Started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TermInfo xmlns="http://schemas.microsoft.com/office/infopath/2007/PartnerControls">
          <TermName xmlns="http://schemas.microsoft.com/office/infopath/2007/PartnerControls">Rural Insular and Native Achievement Programs</TermName>
          <TermId xmlns="http://schemas.microsoft.com/office/infopath/2007/PartnerControls">ad62d760-7bf7-4030-81c5-3fef00c95b7b</TermId>
        </TermInfo>
      </Term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true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a9b09679-9681-4840-9409-cc087bb840af</TermId>
        </TermInfo>
      </Terms>
    </m9ba678bb8414d77b73f31a6ff27f951>
    <TaxCatchAll xmlns="2a2db8c4-56ab-4882-a5d0-0fe8165c6658">
      <Value>35</Value>
      <Value>15</Value>
    </TaxCatchAll>
    <Approval_x0020_Status_x0020_Details xmlns="2a2db8c4-56ab-4882-a5d0-0fe8165c6658" xsi:nil="true"/>
  </documentManagement>
</p:properties>
</file>

<file path=customXml/itemProps1.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53265819-DC7F-4EF4-B090-C85923D68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55B12-AECF-42C5-86B5-952B14DEF573}">
  <ds:schemaRefs>
    <ds:schemaRef ds:uri="Microsoft.SharePoint.Taxonomy.ContentTypeSync"/>
  </ds:schemaRefs>
</ds:datastoreItem>
</file>

<file path=customXml/itemProps5.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2975</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2022-09-27T18:41:00Z</dcterms:created>
  <dcterms:modified xsi:type="dcterms:W3CDTF">2022-09-27T18:41:00Z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onnectED Offices">
    <vt:lpwstr>1175;#OM|99d713a6-9ff3-422b-9e6f-5027a8647a15</vt:lpwstr>
  </property>
  <property fmtid="{D5CDD505-2E9C-101B-9397-08002B2CF9AE}" pid="6" name="ContentOffice">
    <vt:lpwstr/>
  </property>
  <property fmtid="{D5CDD505-2E9C-101B-9397-08002B2CF9AE}" pid="7" name="ContentTypeId">
    <vt:lpwstr>0x01010028670A239A4C7A4E9A68527307346D3802007DC171981D0E97469114E26E7049FC41</vt:lpwstr>
  </property>
  <property fmtid="{D5CDD505-2E9C-101B-9397-08002B2CF9AE}" pid="8" name="ContentWebmasterEmail">
    <vt:lpwstr>connected@ed.gov</vt:lpwstr>
  </property>
  <property fmtid="{D5CDD505-2E9C-101B-9397-08002B2CF9AE}" pid="9" name="Document Type">
    <vt:lpwstr/>
  </property>
  <property fmtid="{D5CDD505-2E9C-101B-9397-08002B2CF9AE}" pid="10" name="Document_x0020_Type">
    <vt:lpwstr/>
  </property>
  <property fmtid="{D5CDD505-2E9C-101B-9397-08002B2CF9AE}" pid="11" name="Enterprise Navigation Section">
    <vt:lpwstr>1324;#Information Collection Clearance Division|7c44fac8-3be8-47c1-8865-7a007fc70514</vt:lpwstr>
  </property>
  <property fmtid="{D5CDD505-2E9C-101B-9397-08002B2CF9AE}" pid="12" name="Enterprise Site Category/Topic">
    <vt:lpwstr/>
  </property>
  <property fmtid="{D5CDD505-2E9C-101B-9397-08002B2CF9AE}" pid="13" name="Fiscal Year">
    <vt:lpwstr>15;#2021|a9b09679-9681-4840-9409-cc087bb840af</vt:lpwstr>
  </property>
  <property fmtid="{D5CDD505-2E9C-101B-9397-08002B2CF9AE}" pid="14" name="Function">
    <vt:lpwstr/>
  </property>
  <property fmtid="{D5CDD505-2E9C-101B-9397-08002B2CF9AE}" pid="15" name="hebfa55e97a440a4b0b631fde26adccc">
    <vt:lpwstr/>
  </property>
  <property fmtid="{D5CDD505-2E9C-101B-9397-08002B2CF9AE}" pid="16"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7" name="Navigation Category">
    <vt:lpwstr>2895;#Information Collection|be93d448-b265-4cb3-93a5-4708954c2750</vt:lpwstr>
  </property>
  <property fmtid="{D5CDD505-2E9C-101B-9397-08002B2CF9AE}" pid="18" name="OESE Office">
    <vt:lpwstr>35;#Rural Insular and Native Achievement Programs|ad62d760-7bf7-4030-81c5-3fef00c95b7b</vt:lpwstr>
  </property>
  <property fmtid="{D5CDD505-2E9C-101B-9397-08002B2CF9AE}" pid="19" name="Secondary Navigation Category">
    <vt:lpwstr/>
  </property>
  <property fmtid="{D5CDD505-2E9C-101B-9397-08002B2CF9AE}" pid="20" name="Secondary Subject">
    <vt:lpwstr/>
  </property>
  <property fmtid="{D5CDD505-2E9C-101B-9397-08002B2CF9AE}" pid="21" name="Secondary_x0020_Subject">
    <vt:lpwstr/>
  </property>
  <property fmtid="{D5CDD505-2E9C-101B-9397-08002B2CF9AE}" pid="22" name="WorkflowChangePath">
    <vt:lpwstr>8f38e374-a608-41a9-a760-7cfdddace18b,32;8f38e374-a608-41a9-a760-7cfdddace18b,32;</vt:lpwstr>
  </property>
  <property fmtid="{D5CDD505-2E9C-101B-9397-08002B2CF9AE}" pid="23" name="_dlc_DocIdItemGuid">
    <vt:lpwstr>7263bcb4-c9a1-4bf8-a9b4-ad908258715e</vt:lpwstr>
  </property>
  <property fmtid="{D5CDD505-2E9C-101B-9397-08002B2CF9AE}" pid="24" name="_dlc_LastRun">
    <vt:lpwstr>10/27/2018 01:05:07</vt:lpwstr>
  </property>
  <property fmtid="{D5CDD505-2E9C-101B-9397-08002B2CF9AE}" pid="25" name="_dlc_policyId">
    <vt:lpwstr>0x0101001C22A2B9DBEDBB4DB130C1FAF5F2F008|-175781640</vt:lpwstr>
  </property>
</Properties>
</file>