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3B91" w:rsidR="00F03B91" w:rsidP="00F03B91" w:rsidRDefault="00F03B91" w14:paraId="653A0D08" w14:textId="77777777">
      <w:pPr>
        <w:tabs>
          <w:tab w:val="left" w:pos="720"/>
        </w:tabs>
        <w:suppressAutoHyphens/>
        <w:spacing w:after="0"/>
        <w:ind w:left="720"/>
        <w:rPr>
          <w:rFonts w:cs="Calibri"/>
          <w:sz w:val="24"/>
          <w:szCs w:val="24"/>
        </w:rPr>
      </w:pPr>
      <w:r w:rsidRPr="00F03B91">
        <w:rPr>
          <w:rFonts w:cs="Calibri"/>
          <w:sz w:val="24"/>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in §668.74 – Employability of graduates.  These proposed regulations are a result of negotiated rulemaking and would add requirements to the current regulations.  </w:t>
      </w:r>
    </w:p>
    <w:p w:rsidRPr="00F03B91" w:rsidR="00F03B91" w:rsidP="00F03B91" w:rsidRDefault="00F03B91" w14:paraId="7F12D507" w14:textId="77777777">
      <w:pPr>
        <w:tabs>
          <w:tab w:val="left" w:pos="720"/>
        </w:tabs>
        <w:suppressAutoHyphens/>
        <w:spacing w:after="0"/>
        <w:ind w:left="720"/>
        <w:rPr>
          <w:rFonts w:cs="Calibri"/>
          <w:sz w:val="24"/>
          <w:szCs w:val="24"/>
        </w:rPr>
      </w:pPr>
    </w:p>
    <w:p w:rsidRPr="00F03B91" w:rsidR="00F03B91" w:rsidP="00F03B91" w:rsidRDefault="00F03B91" w14:paraId="108367AE" w14:textId="77777777">
      <w:pPr>
        <w:tabs>
          <w:tab w:val="left" w:pos="720"/>
        </w:tabs>
        <w:suppressAutoHyphens/>
        <w:spacing w:after="0"/>
        <w:ind w:left="720"/>
        <w:rPr>
          <w:rFonts w:cs="Calibri"/>
          <w:color w:val="000000"/>
          <w:sz w:val="24"/>
          <w:szCs w:val="24"/>
        </w:rPr>
      </w:pPr>
      <w:r w:rsidRPr="00F03B91">
        <w:rPr>
          <w:rFonts w:cs="Calibri"/>
          <w:sz w:val="24"/>
          <w:szCs w:val="24"/>
        </w:rPr>
        <w:t xml:space="preserve">The proposed regulation in §668.74(g)(2) </w:t>
      </w:r>
      <w:r w:rsidRPr="00F03B91">
        <w:rPr>
          <w:rFonts w:cs="Calibri"/>
          <w:color w:val="000000"/>
          <w:sz w:val="24"/>
          <w:szCs w:val="24"/>
        </w:rPr>
        <w:t>contains a provision that allows the Department to verify that an institution correctly calculated its job placement rate by requiring an institution to furnish to the Secretary, upon request, documentation and other data that was used to calculate the institution’s employment rate calculations.</w:t>
      </w:r>
    </w:p>
    <w:p w:rsidRPr="00F03B91" w:rsidR="00F03B91" w:rsidP="00F03B91" w:rsidRDefault="00F03B91" w14:paraId="1C2D34B0" w14:textId="77777777">
      <w:pPr>
        <w:tabs>
          <w:tab w:val="left" w:pos="720"/>
        </w:tabs>
        <w:suppressAutoHyphens/>
        <w:spacing w:after="0"/>
        <w:ind w:left="720"/>
        <w:rPr>
          <w:rFonts w:cs="Calibri"/>
          <w:color w:val="000000"/>
          <w:sz w:val="24"/>
          <w:szCs w:val="24"/>
        </w:rPr>
      </w:pPr>
    </w:p>
    <w:p w:rsidRPr="00F03B91" w:rsidR="00F03B91" w:rsidP="00F03B91" w:rsidRDefault="00F03B91" w14:paraId="0D4AF971" w14:textId="77777777">
      <w:pPr>
        <w:spacing w:after="0"/>
        <w:ind w:left="720"/>
        <w:rPr>
          <w:rFonts w:eastAsia="Cambria" w:cs="Calibri"/>
          <w:sz w:val="24"/>
          <w:szCs w:val="24"/>
          <w:u w:val="single"/>
        </w:rPr>
      </w:pPr>
      <w:r w:rsidRPr="00F03B91">
        <w:rPr>
          <w:rFonts w:eastAsia="Cambria" w:cs="Calibri"/>
          <w:sz w:val="24"/>
          <w:szCs w:val="24"/>
          <w:u w:val="single"/>
        </w:rPr>
        <w:t xml:space="preserve">§668.74 – Employability of graduates. </w:t>
      </w:r>
    </w:p>
    <w:p w:rsidRPr="00F03B91" w:rsidR="00F03B91" w:rsidP="00F03B91" w:rsidRDefault="00F03B91" w14:paraId="10500BB1" w14:textId="77777777">
      <w:pPr>
        <w:spacing w:after="0"/>
        <w:rPr>
          <w:rFonts w:eastAsia="Cambria" w:cs="Calibri"/>
          <w:sz w:val="24"/>
          <w:szCs w:val="24"/>
          <w:highlight w:val="yellow"/>
          <w:u w:val="single"/>
        </w:rPr>
      </w:pPr>
    </w:p>
    <w:p w:rsidRPr="00F03B91" w:rsidR="00F03B91" w:rsidP="00F03B91" w:rsidRDefault="00F03B91" w14:paraId="69DD3C25" w14:textId="77777777">
      <w:pPr>
        <w:spacing w:after="0"/>
        <w:ind w:left="720"/>
        <w:rPr>
          <w:rFonts w:eastAsia="Cambria" w:cs="Calibri"/>
          <w:sz w:val="24"/>
          <w:szCs w:val="24"/>
          <w:u w:val="single"/>
        </w:rPr>
      </w:pPr>
      <w:r w:rsidRPr="00F03B91">
        <w:rPr>
          <w:rFonts w:cs="Calibri"/>
          <w:sz w:val="24"/>
          <w:szCs w:val="24"/>
        </w:rPr>
        <w:t xml:space="preserve">Under proposed section </w:t>
      </w:r>
      <w:r w:rsidRPr="00F03B91">
        <w:rPr>
          <w:rFonts w:eastAsia="Cambria" w:cs="Calibri"/>
          <w:sz w:val="24"/>
          <w:szCs w:val="24"/>
        </w:rPr>
        <w:t xml:space="preserve">§668.74(g)(2), the Department is regulating the misrepresentation of employability of an institution’s graduates such that an institution must, upon request, furnish the Secretary with documentation and other information used to calculate the institution’s employment rate calculations upon which a student may rely to </w:t>
      </w:r>
      <w:proofErr w:type="gramStart"/>
      <w:r w:rsidRPr="00F03B91">
        <w:rPr>
          <w:rFonts w:eastAsia="Cambria" w:cs="Calibri"/>
          <w:sz w:val="24"/>
          <w:szCs w:val="24"/>
        </w:rPr>
        <w:t>enter into</w:t>
      </w:r>
      <w:proofErr w:type="gramEnd"/>
      <w:r w:rsidRPr="00F03B91">
        <w:rPr>
          <w:rFonts w:eastAsia="Cambria" w:cs="Calibri"/>
          <w:sz w:val="24"/>
          <w:szCs w:val="24"/>
        </w:rPr>
        <w:t xml:space="preserve"> a program of study. </w:t>
      </w:r>
      <w:r w:rsidRPr="00F03B91">
        <w:rPr>
          <w:rFonts w:eastAsia="Cambria" w:cs="Calibri"/>
          <w:sz w:val="24"/>
          <w:szCs w:val="24"/>
          <w:u w:val="single"/>
        </w:rPr>
        <w:t xml:space="preserve"> </w:t>
      </w:r>
    </w:p>
    <w:p w:rsidRPr="00F03B91" w:rsidR="00F03B91" w:rsidP="00F03B91" w:rsidRDefault="00F03B91" w14:paraId="67595625" w14:textId="77777777">
      <w:pPr>
        <w:spacing w:after="0"/>
        <w:ind w:left="720"/>
        <w:rPr>
          <w:rFonts w:cs="Calibri"/>
          <w:sz w:val="24"/>
          <w:szCs w:val="24"/>
        </w:rPr>
      </w:pPr>
    </w:p>
    <w:p w:rsidRPr="00F03B91" w:rsidR="00F03B91" w:rsidP="00F03B91" w:rsidRDefault="00F03B91" w14:paraId="694AA933" w14:textId="77777777">
      <w:pPr>
        <w:spacing w:after="0"/>
        <w:ind w:left="720"/>
        <w:rPr>
          <w:rFonts w:cs="Calibri"/>
          <w:sz w:val="24"/>
          <w:szCs w:val="24"/>
        </w:rPr>
      </w:pPr>
      <w:r w:rsidRPr="00F03B91">
        <w:rPr>
          <w:rFonts w:cs="Calibri"/>
          <w:sz w:val="24"/>
          <w:szCs w:val="24"/>
        </w:rPr>
        <w:t>AFFECTED ENTITIES AND BURDEN:</w:t>
      </w:r>
    </w:p>
    <w:p w:rsidRPr="00F03B91" w:rsidR="00F03B91" w:rsidP="00F03B91" w:rsidRDefault="00F03B91" w14:paraId="7049E89C" w14:textId="77777777">
      <w:pPr>
        <w:tabs>
          <w:tab w:val="left" w:pos="418"/>
        </w:tabs>
        <w:spacing w:after="0"/>
        <w:ind w:left="720" w:right="855"/>
        <w:rPr>
          <w:rFonts w:eastAsia="Cambria" w:cs="Calibri"/>
          <w:sz w:val="24"/>
          <w:szCs w:val="24"/>
          <w:highlight w:val="yellow"/>
        </w:rPr>
      </w:pPr>
    </w:p>
    <w:p w:rsidRPr="00F03B91" w:rsidR="00F03B91" w:rsidP="00F03B91" w:rsidRDefault="00F03B91" w14:paraId="5E6D95C4" w14:textId="77777777">
      <w:pPr>
        <w:spacing w:after="0"/>
        <w:ind w:left="720"/>
        <w:rPr>
          <w:rFonts w:cs="Calibri"/>
          <w:sz w:val="24"/>
          <w:szCs w:val="24"/>
        </w:rPr>
      </w:pPr>
      <w:r w:rsidRPr="00F03B91">
        <w:rPr>
          <w:rFonts w:cs="Calibri"/>
          <w:sz w:val="24"/>
          <w:szCs w:val="24"/>
        </w:rPr>
        <w:t xml:space="preserve">We believe there would be modest burden to an institution to fulfill such a request as this would consist of providing the existing background data which were used in the employment rates that were presented to the student borrowers.  We believe that </w:t>
      </w:r>
      <w:r w:rsidRPr="00F03B91">
        <w:rPr>
          <w:rFonts w:cs="Calibri"/>
          <w:color w:val="000000"/>
          <w:sz w:val="24"/>
          <w:szCs w:val="24"/>
        </w:rPr>
        <w:t>such required reporting would be made by 2 Private Not-for-profit, 2 For-Profit and 2 Public institutions annually.  It is anticipated that 6 institutions will receive such a request and that it will take 8 hours to copy and prepare for submission to the Department such evidence of their calculated employment rates for a total of 48 burden hours (6 institutions X 1 response x 8 hours = 48 burden hours).</w:t>
      </w:r>
    </w:p>
    <w:p w:rsidRPr="00F03B91" w:rsidR="00F03B91" w:rsidP="00F03B91" w:rsidRDefault="00F03B91" w14:paraId="2D176C07" w14:textId="77777777">
      <w:pPr>
        <w:tabs>
          <w:tab w:val="left" w:pos="720"/>
        </w:tabs>
        <w:suppressAutoHyphens/>
        <w:spacing w:after="0"/>
        <w:ind w:left="720"/>
        <w:rPr>
          <w:rFonts w:cs="Calibri"/>
          <w:sz w:val="24"/>
          <w:szCs w:val="24"/>
        </w:rPr>
      </w:pPr>
    </w:p>
    <w:p w:rsidR="00B62A52" w:rsidP="00B62A52" w:rsidRDefault="00B62A52" w14:paraId="76980AA0" w14:textId="77777777">
      <w:pPr>
        <w:tabs>
          <w:tab w:val="left" w:pos="180"/>
        </w:tabs>
        <w:ind w:left="180"/>
        <w:rPr>
          <w:rFonts w:cs="Calibri"/>
          <w:szCs w:val="24"/>
        </w:rPr>
      </w:pPr>
      <w:r>
        <w:rPr>
          <w:rFonts w:cs="Calibri"/>
          <w:szCs w:val="24"/>
        </w:rPr>
        <w:t>These regulations change the respondents/responses/burden hours for Private Institutions in this collection by 2/2/16.</w:t>
      </w:r>
    </w:p>
    <w:p w:rsidR="00B62A52" w:rsidP="00B62A52" w:rsidRDefault="00B62A52" w14:paraId="41DCA445" w14:textId="77777777">
      <w:pPr>
        <w:pStyle w:val="NoSpacing"/>
        <w:spacing w:line="276" w:lineRule="auto"/>
        <w:rPr>
          <w:rFonts w:cs="Calibri"/>
          <w:sz w:val="24"/>
          <w:szCs w:val="24"/>
        </w:rPr>
      </w:pPr>
      <w:r>
        <w:rPr>
          <w:rFonts w:cs="Calibri"/>
          <w:sz w:val="24"/>
          <w:szCs w:val="24"/>
        </w:rPr>
        <w:t>TOTALS</w:t>
      </w:r>
    </w:p>
    <w:p w:rsidR="00B62A52" w:rsidP="00B62A52" w:rsidRDefault="00B62A52" w14:paraId="4896C68E" w14:textId="77777777">
      <w:pPr>
        <w:pStyle w:val="NoSpacing"/>
        <w:spacing w:line="276" w:lineRule="auto"/>
        <w:rPr>
          <w:rFonts w:cs="Calibri"/>
          <w:sz w:val="24"/>
          <w:szCs w:val="24"/>
        </w:rPr>
      </w:pPr>
    </w:p>
    <w:p w:rsidR="00B62A52" w:rsidP="00B62A52" w:rsidRDefault="00B62A52" w14:paraId="5B4C071B" w14:textId="77777777">
      <w:pPr>
        <w:pStyle w:val="NoSpacing"/>
        <w:spacing w:line="276" w:lineRule="auto"/>
        <w:rPr>
          <w:rFonts w:cs="Calibri"/>
          <w:sz w:val="24"/>
          <w:szCs w:val="24"/>
        </w:rPr>
      </w:pPr>
      <w:r>
        <w:rPr>
          <w:rFonts w:cs="Calibri"/>
          <w:sz w:val="24"/>
          <w:szCs w:val="24"/>
        </w:rPr>
        <w:t>Responses</w:t>
      </w:r>
      <w:r>
        <w:rPr>
          <w:rFonts w:cs="Calibri"/>
          <w:sz w:val="24"/>
          <w:szCs w:val="24"/>
        </w:rPr>
        <w:tab/>
        <w:t>266,677</w:t>
      </w:r>
    </w:p>
    <w:p w:rsidR="00B62A52" w:rsidP="00B62A52" w:rsidRDefault="00B62A52" w14:paraId="0EB988A1" w14:textId="77777777">
      <w:pPr>
        <w:pStyle w:val="NoSpacing"/>
        <w:spacing w:line="276" w:lineRule="auto"/>
        <w:rPr>
          <w:rFonts w:cs="Calibri"/>
          <w:sz w:val="24"/>
          <w:szCs w:val="24"/>
        </w:rPr>
      </w:pPr>
      <w:r>
        <w:rPr>
          <w:rFonts w:cs="Calibri"/>
          <w:sz w:val="24"/>
          <w:szCs w:val="24"/>
        </w:rPr>
        <w:t>Respondents</w:t>
      </w:r>
      <w:r>
        <w:rPr>
          <w:rFonts w:cs="Calibri"/>
          <w:sz w:val="24"/>
          <w:szCs w:val="24"/>
        </w:rPr>
        <w:tab/>
        <w:t>141,093</w:t>
      </w:r>
    </w:p>
    <w:p w:rsidRPr="006E400E" w:rsidR="00B36517" w:rsidP="00DF612A" w:rsidRDefault="00B62A52" w14:paraId="7EBB3897" w14:textId="77777777">
      <w:pPr>
        <w:pStyle w:val="NoSpacing"/>
        <w:spacing w:line="276" w:lineRule="auto"/>
        <w:rPr>
          <w:rFonts w:cs="Calibri"/>
          <w:sz w:val="24"/>
          <w:szCs w:val="24"/>
        </w:rPr>
      </w:pPr>
      <w:r>
        <w:rPr>
          <w:rFonts w:cs="Calibri"/>
          <w:sz w:val="24"/>
          <w:szCs w:val="24"/>
        </w:rPr>
        <w:t xml:space="preserve">Burden </w:t>
      </w:r>
      <w:proofErr w:type="gramStart"/>
      <w:r>
        <w:rPr>
          <w:rFonts w:cs="Calibri"/>
          <w:sz w:val="24"/>
          <w:szCs w:val="24"/>
        </w:rPr>
        <w:t>Hour</w:t>
      </w:r>
      <w:r w:rsidR="00DF612A">
        <w:rPr>
          <w:rFonts w:cs="Calibri"/>
          <w:sz w:val="24"/>
          <w:szCs w:val="24"/>
        </w:rPr>
        <w:t xml:space="preserve">s  </w:t>
      </w:r>
      <w:r>
        <w:rPr>
          <w:rFonts w:cs="Calibri"/>
          <w:sz w:val="24"/>
          <w:szCs w:val="24"/>
        </w:rPr>
        <w:t>564,642</w:t>
      </w:r>
      <w:proofErr w:type="gramEnd"/>
    </w:p>
    <w:sectPr w:rsidRPr="006E400E"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D3FA" w14:textId="77777777" w:rsidR="00C172DF" w:rsidRDefault="00C172DF" w:rsidP="00C50755">
      <w:pPr>
        <w:spacing w:after="0" w:line="240" w:lineRule="auto"/>
      </w:pPr>
      <w:r>
        <w:separator/>
      </w:r>
    </w:p>
  </w:endnote>
  <w:endnote w:type="continuationSeparator" w:id="0">
    <w:p w14:paraId="32057EB4" w14:textId="77777777" w:rsidR="00C172DF" w:rsidRDefault="00C172DF"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EA38" w14:textId="77777777" w:rsidR="00C172DF" w:rsidRDefault="00C172DF" w:rsidP="00C50755">
      <w:pPr>
        <w:spacing w:after="0" w:line="240" w:lineRule="auto"/>
      </w:pPr>
      <w:r>
        <w:separator/>
      </w:r>
    </w:p>
  </w:footnote>
  <w:footnote w:type="continuationSeparator" w:id="0">
    <w:p w14:paraId="02DC2640" w14:textId="77777777" w:rsidR="00C172DF" w:rsidRDefault="00C172DF"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E37" w14:textId="77777777" w:rsidR="00C50755" w:rsidRPr="006E400E" w:rsidRDefault="00E535FF" w:rsidP="00E535FF">
    <w:pPr>
      <w:spacing w:after="0" w:line="240" w:lineRule="auto"/>
      <w:rPr>
        <w:rFonts w:cs="Calibri"/>
        <w:sz w:val="20"/>
        <w:szCs w:val="20"/>
      </w:rPr>
    </w:pPr>
    <w:r w:rsidRPr="006E400E">
      <w:rPr>
        <w:rFonts w:cs="Calibri"/>
        <w:sz w:val="20"/>
        <w:szCs w:val="20"/>
      </w:rPr>
      <w:t>1</w:t>
    </w:r>
    <w:r w:rsidR="00C50755" w:rsidRPr="006E400E">
      <w:rPr>
        <w:rFonts w:cs="Calibri"/>
        <w:sz w:val="20"/>
        <w:szCs w:val="20"/>
      </w:rPr>
      <w:t>845-</w:t>
    </w:r>
    <w:r w:rsidR="00A04EC9" w:rsidRPr="006E400E">
      <w:rPr>
        <w:rFonts w:cs="Calibri"/>
        <w:sz w:val="20"/>
        <w:szCs w:val="20"/>
      </w:rPr>
      <w:t>0022</w:t>
    </w:r>
    <w:r w:rsidR="00C50755" w:rsidRPr="006E400E">
      <w:rPr>
        <w:rFonts w:cs="Calibri"/>
        <w:sz w:val="20"/>
        <w:szCs w:val="20"/>
      </w:rPr>
      <w:t xml:space="preserve"> – Affected Public </w:t>
    </w:r>
    <w:r w:rsidR="00CC2AA3" w:rsidRPr="006E400E">
      <w:rPr>
        <w:rFonts w:cs="Calibri"/>
        <w:sz w:val="20"/>
        <w:szCs w:val="20"/>
      </w:rPr>
      <w:t>–</w:t>
    </w:r>
    <w:r w:rsidR="00E837DE" w:rsidRPr="006E400E">
      <w:rPr>
        <w:rFonts w:cs="Calibri"/>
        <w:sz w:val="20"/>
        <w:szCs w:val="20"/>
      </w:rPr>
      <w:t xml:space="preserve"> Private</w:t>
    </w:r>
    <w:r w:rsidR="00CC2AA3" w:rsidRPr="006E400E">
      <w:rPr>
        <w:rFonts w:cs="Calibri"/>
        <w:sz w:val="20"/>
        <w:szCs w:val="20"/>
      </w:rPr>
      <w:t xml:space="preserve"> Institutions</w:t>
    </w:r>
    <w:r w:rsidR="00C50755" w:rsidRPr="006E400E">
      <w:rPr>
        <w:rFonts w:cs="Calibri"/>
        <w:sz w:val="20"/>
        <w:szCs w:val="20"/>
      </w:rPr>
      <w:t xml:space="preserve"> </w:t>
    </w:r>
    <w:r w:rsidR="00C50755" w:rsidRPr="006E400E">
      <w:rPr>
        <w:rFonts w:cs="Calibri"/>
        <w:sz w:val="20"/>
        <w:szCs w:val="20"/>
      </w:rPr>
      <w:tab/>
    </w:r>
    <w:r w:rsidRPr="006E400E">
      <w:rPr>
        <w:rFonts w:cs="Calibri"/>
        <w:sz w:val="20"/>
        <w:szCs w:val="20"/>
      </w:rPr>
      <w:tab/>
    </w:r>
    <w:r w:rsidRPr="006E400E">
      <w:rPr>
        <w:rFonts w:cs="Calibri"/>
        <w:sz w:val="20"/>
        <w:szCs w:val="20"/>
      </w:rPr>
      <w:tab/>
    </w:r>
    <w:r w:rsidRPr="006E400E">
      <w:rPr>
        <w:rFonts w:cs="Calibri"/>
        <w:sz w:val="20"/>
        <w:szCs w:val="20"/>
      </w:rPr>
      <w:tab/>
    </w:r>
    <w:r w:rsidR="00A04EC9" w:rsidRPr="006E400E">
      <w:rPr>
        <w:rFonts w:cs="Calibri"/>
        <w:sz w:val="20"/>
        <w:szCs w:val="20"/>
      </w:rPr>
      <w:tab/>
    </w:r>
    <w:r w:rsidR="00F03B91" w:rsidRPr="006E400E">
      <w:rPr>
        <w:rFonts w:cs="Calibri"/>
        <w:sz w:val="20"/>
        <w:szCs w:val="20"/>
      </w:rPr>
      <w:tab/>
      <w:t>7/</w:t>
    </w:r>
    <w:r w:rsidR="00B62A52">
      <w:rPr>
        <w:rFonts w:cs="Calibri"/>
        <w:sz w:val="20"/>
        <w:szCs w:val="20"/>
      </w:rPr>
      <w:t>12</w:t>
    </w:r>
    <w:r w:rsidR="00F03B91" w:rsidRPr="006E400E">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B1F82"/>
    <w:rsid w:val="000D488D"/>
    <w:rsid w:val="000E5548"/>
    <w:rsid w:val="0017520F"/>
    <w:rsid w:val="001764A0"/>
    <w:rsid w:val="001A219F"/>
    <w:rsid w:val="001D6C06"/>
    <w:rsid w:val="001D6E61"/>
    <w:rsid w:val="00204B47"/>
    <w:rsid w:val="002D31AB"/>
    <w:rsid w:val="004647AD"/>
    <w:rsid w:val="004712C9"/>
    <w:rsid w:val="00482525"/>
    <w:rsid w:val="004A52F6"/>
    <w:rsid w:val="004D4FB6"/>
    <w:rsid w:val="00557675"/>
    <w:rsid w:val="005C45FF"/>
    <w:rsid w:val="006775CF"/>
    <w:rsid w:val="006E400E"/>
    <w:rsid w:val="006F031D"/>
    <w:rsid w:val="0075352A"/>
    <w:rsid w:val="007864FD"/>
    <w:rsid w:val="007F312F"/>
    <w:rsid w:val="00911302"/>
    <w:rsid w:val="00926FD7"/>
    <w:rsid w:val="00980C7B"/>
    <w:rsid w:val="00985F43"/>
    <w:rsid w:val="009D3795"/>
    <w:rsid w:val="00A04EC9"/>
    <w:rsid w:val="00AB33D5"/>
    <w:rsid w:val="00AE1FF3"/>
    <w:rsid w:val="00B01EDE"/>
    <w:rsid w:val="00B16783"/>
    <w:rsid w:val="00B36517"/>
    <w:rsid w:val="00B62A52"/>
    <w:rsid w:val="00BD0FEE"/>
    <w:rsid w:val="00C172DF"/>
    <w:rsid w:val="00C50755"/>
    <w:rsid w:val="00CC2AA3"/>
    <w:rsid w:val="00CE318D"/>
    <w:rsid w:val="00CF139C"/>
    <w:rsid w:val="00D43BA6"/>
    <w:rsid w:val="00DF612A"/>
    <w:rsid w:val="00E535FF"/>
    <w:rsid w:val="00E837DE"/>
    <w:rsid w:val="00F0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C3EB6D"/>
  <w15:chartTrackingRefBased/>
  <w15:docId w15:val="{13C8E6E6-A5C7-43EB-AF50-690BC3C6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 w:id="20118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2022-07-12T20:44:00Z</dcterms:created>
  <dcterms:modified xsi:type="dcterms:W3CDTF">2022-07-12T20:44:00Z</dcterms:modified>
</cp:coreProperties>
</file>