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51D5" w:rsidP="007251D5" w:rsidRDefault="007251D5" w14:paraId="52F43148" w14:textId="77777777">
      <w:pPr>
        <w:pStyle w:val="C1-CtrBoldHd"/>
        <w:spacing w:after="0"/>
        <w:rPr>
          <w:sz w:val="36"/>
        </w:rPr>
      </w:pPr>
      <w:bookmarkStart w:name="_Toc119829979" w:id="0"/>
    </w:p>
    <w:p w:rsidR="007251D5" w:rsidP="007251D5" w:rsidRDefault="007251D5" w14:paraId="7D13884B" w14:textId="77777777">
      <w:pPr>
        <w:pStyle w:val="C1-CtrBoldHd"/>
        <w:spacing w:after="0"/>
        <w:rPr>
          <w:sz w:val="36"/>
        </w:rPr>
      </w:pPr>
    </w:p>
    <w:p w:rsidRPr="00F6344F" w:rsidR="007251D5" w:rsidP="007251D5" w:rsidRDefault="007251D5" w14:paraId="7160B016" w14:textId="77777777">
      <w:pPr>
        <w:pStyle w:val="C1-CtrBoldHd"/>
        <w:spacing w:after="0"/>
      </w:pPr>
    </w:p>
    <w:p w:rsidR="00D708F4" w:rsidP="00D708F4" w:rsidRDefault="00D708F4" w14:paraId="6C458481" w14:textId="77777777">
      <w:pPr>
        <w:pStyle w:val="NoSpacing"/>
        <w:widowControl w:val="0"/>
        <w:ind w:left="-540"/>
        <w:jc w:val="right"/>
        <w:rPr>
          <w:rFonts w:ascii="Arial Black" w:hAnsi="Arial Black"/>
          <w:sz w:val="42"/>
          <w:szCs w:val="42"/>
        </w:rPr>
      </w:pPr>
      <w:r>
        <w:rPr>
          <w:rFonts w:ascii="Arial Black" w:hAnsi="Arial Black"/>
          <w:sz w:val="42"/>
          <w:szCs w:val="42"/>
        </w:rPr>
        <w:t xml:space="preserve">International Computer and </w:t>
      </w:r>
    </w:p>
    <w:p w:rsidRPr="00FB1D19" w:rsidR="00D708F4" w:rsidP="00D708F4" w:rsidRDefault="00D708F4" w14:paraId="41F928FF" w14:textId="77777777">
      <w:pPr>
        <w:pStyle w:val="NoSpacing"/>
        <w:widowControl w:val="0"/>
        <w:ind w:left="-540"/>
        <w:jc w:val="right"/>
        <w:rPr>
          <w:rFonts w:ascii="Arial Black" w:hAnsi="Arial Black"/>
          <w:sz w:val="42"/>
          <w:szCs w:val="42"/>
        </w:rPr>
      </w:pPr>
      <w:r>
        <w:rPr>
          <w:rFonts w:ascii="Arial Black" w:hAnsi="Arial Black"/>
          <w:sz w:val="42"/>
          <w:szCs w:val="42"/>
        </w:rPr>
        <w:t>Information Literacy Study (ICILS 2023)</w:t>
      </w:r>
    </w:p>
    <w:p w:rsidRPr="00FB1D19" w:rsidR="00D708F4" w:rsidP="00D708F4" w:rsidRDefault="00D708F4" w14:paraId="0EA69A47" w14:textId="77777777">
      <w:pPr>
        <w:pStyle w:val="NoSpacing"/>
        <w:widowControl w:val="0"/>
        <w:jc w:val="right"/>
        <w:rPr>
          <w:rFonts w:ascii="Arial Black" w:hAnsi="Arial Black"/>
          <w:sz w:val="42"/>
          <w:szCs w:val="42"/>
        </w:rPr>
      </w:pPr>
      <w:r w:rsidRPr="00FB1D19">
        <w:rPr>
          <w:rFonts w:ascii="Arial Black" w:hAnsi="Arial Black"/>
          <w:sz w:val="42"/>
          <w:szCs w:val="42"/>
        </w:rPr>
        <w:t>Main Study Sampling, Recruitment, and Data Collection</w:t>
      </w:r>
    </w:p>
    <w:p w:rsidRPr="00A61696" w:rsidR="007251D5" w:rsidP="007251D5" w:rsidRDefault="007251D5" w14:paraId="3345BA1E" w14:textId="77777777">
      <w:pPr>
        <w:pStyle w:val="NoSpacing"/>
        <w:widowControl w:val="0"/>
        <w:jc w:val="right"/>
        <w:rPr>
          <w:rFonts w:ascii="Arial Black" w:hAnsi="Arial Black"/>
          <w:sz w:val="16"/>
          <w:szCs w:val="16"/>
        </w:rPr>
      </w:pPr>
    </w:p>
    <w:p w:rsidRPr="00A61696" w:rsidR="007251D5" w:rsidP="007251D5" w:rsidRDefault="007251D5" w14:paraId="0498C1C8" w14:textId="77777777">
      <w:pPr>
        <w:pStyle w:val="NoSpacing"/>
        <w:widowControl w:val="0"/>
        <w:jc w:val="right"/>
        <w:rPr>
          <w:rFonts w:ascii="Arial Black" w:hAnsi="Arial Black"/>
          <w:sz w:val="16"/>
          <w:szCs w:val="16"/>
        </w:rPr>
      </w:pPr>
    </w:p>
    <w:p w:rsidRPr="00F94D51" w:rsidR="007251D5" w:rsidP="007251D5" w:rsidRDefault="007251D5" w14:paraId="734EC8F1" w14:textId="77777777">
      <w:pPr>
        <w:pStyle w:val="NoSpacing"/>
        <w:widowControl w:val="0"/>
        <w:jc w:val="right"/>
        <w:rPr>
          <w:rFonts w:ascii="Arial Black" w:hAnsi="Arial Black"/>
          <w:sz w:val="40"/>
          <w:szCs w:val="40"/>
        </w:rPr>
      </w:pPr>
    </w:p>
    <w:p w:rsidRPr="00F94D51" w:rsidR="007251D5" w:rsidP="007251D5" w:rsidRDefault="007251D5" w14:paraId="307FBF59" w14:textId="00467FF6">
      <w:pPr>
        <w:pStyle w:val="NoSpacing"/>
        <w:widowControl w:val="0"/>
        <w:jc w:val="right"/>
        <w:rPr>
          <w:rFonts w:ascii="Arial Black" w:hAnsi="Arial Black"/>
          <w:sz w:val="40"/>
          <w:szCs w:val="40"/>
        </w:rPr>
      </w:pPr>
      <w:r w:rsidRPr="00F94D51">
        <w:rPr>
          <w:rFonts w:ascii="Arial Black" w:hAnsi="Arial Black"/>
          <w:sz w:val="40"/>
          <w:szCs w:val="40"/>
        </w:rPr>
        <w:t>OMB</w:t>
      </w:r>
      <w:r>
        <w:rPr>
          <w:rFonts w:ascii="Arial Black" w:hAnsi="Arial Black"/>
          <w:sz w:val="40"/>
          <w:szCs w:val="40"/>
        </w:rPr>
        <w:t xml:space="preserve"> </w:t>
      </w:r>
      <w:r w:rsidRPr="00F94D51">
        <w:rPr>
          <w:rFonts w:ascii="Arial Black" w:hAnsi="Arial Black"/>
          <w:sz w:val="40"/>
          <w:szCs w:val="40"/>
        </w:rPr>
        <w:t>#</w:t>
      </w:r>
      <w:r>
        <w:rPr>
          <w:rFonts w:ascii="Arial Black" w:hAnsi="Arial Black"/>
          <w:sz w:val="40"/>
          <w:szCs w:val="40"/>
        </w:rPr>
        <w:t>1850-0</w:t>
      </w:r>
      <w:r w:rsidR="006A4887">
        <w:rPr>
          <w:rFonts w:ascii="Arial Black" w:hAnsi="Arial Black"/>
          <w:sz w:val="40"/>
          <w:szCs w:val="40"/>
        </w:rPr>
        <w:t>929</w:t>
      </w:r>
      <w:r w:rsidRPr="00F94D51">
        <w:rPr>
          <w:rFonts w:ascii="Arial Black" w:hAnsi="Arial Black"/>
          <w:sz w:val="40"/>
          <w:szCs w:val="40"/>
        </w:rPr>
        <w:t xml:space="preserve"> v</w:t>
      </w:r>
      <w:r w:rsidRPr="0046223B">
        <w:rPr>
          <w:rFonts w:ascii="Arial Black" w:hAnsi="Arial Black"/>
          <w:sz w:val="40"/>
          <w:szCs w:val="40"/>
        </w:rPr>
        <w:t>.</w:t>
      </w:r>
      <w:r w:rsidR="00C64FFC">
        <w:rPr>
          <w:rFonts w:ascii="Arial Black" w:hAnsi="Arial Black"/>
          <w:sz w:val="40"/>
          <w:szCs w:val="40"/>
        </w:rPr>
        <w:t>9</w:t>
      </w:r>
    </w:p>
    <w:p w:rsidRPr="00BA441F" w:rsidR="007251D5" w:rsidP="007251D5" w:rsidRDefault="007251D5" w14:paraId="2FDC89E2" w14:textId="77777777">
      <w:pPr>
        <w:pStyle w:val="NoSpacing"/>
        <w:widowControl w:val="0"/>
        <w:jc w:val="right"/>
        <w:rPr>
          <w:rFonts w:ascii="Cambria" w:hAnsi="Cambria"/>
        </w:rPr>
      </w:pPr>
    </w:p>
    <w:p w:rsidRPr="00BA441F" w:rsidR="007251D5" w:rsidP="007251D5" w:rsidRDefault="007251D5" w14:paraId="3AA260B1" w14:textId="77777777">
      <w:pPr>
        <w:pStyle w:val="NoSpacing"/>
        <w:widowControl w:val="0"/>
        <w:jc w:val="right"/>
        <w:rPr>
          <w:rFonts w:ascii="Cambria" w:hAnsi="Cambria"/>
        </w:rPr>
      </w:pPr>
    </w:p>
    <w:p w:rsidRPr="00BA441F" w:rsidR="007251D5" w:rsidP="007251D5" w:rsidRDefault="007251D5" w14:paraId="02644BFC" w14:textId="77777777">
      <w:pPr>
        <w:pStyle w:val="NoSpacing"/>
        <w:widowControl w:val="0"/>
        <w:jc w:val="right"/>
        <w:rPr>
          <w:rFonts w:ascii="Cambria" w:hAnsi="Cambria"/>
          <w:b/>
          <w:sz w:val="28"/>
          <w:szCs w:val="28"/>
        </w:rPr>
      </w:pPr>
    </w:p>
    <w:p w:rsidRPr="00BA441F" w:rsidR="007251D5" w:rsidP="007251D5" w:rsidRDefault="007251D5" w14:paraId="5CC3A251" w14:textId="77777777">
      <w:pPr>
        <w:pStyle w:val="NoSpacing"/>
        <w:widowControl w:val="0"/>
        <w:jc w:val="right"/>
        <w:rPr>
          <w:rFonts w:ascii="Cambria" w:hAnsi="Cambria"/>
          <w:b/>
          <w:sz w:val="28"/>
          <w:szCs w:val="28"/>
        </w:rPr>
      </w:pPr>
    </w:p>
    <w:p w:rsidRPr="00F94D51" w:rsidR="007251D5" w:rsidP="007251D5" w:rsidRDefault="007251D5" w14:paraId="5836D7DE" w14:textId="6DFDEBF2">
      <w:pPr>
        <w:pStyle w:val="NoSpacing"/>
        <w:widowControl w:val="0"/>
        <w:jc w:val="right"/>
        <w:rPr>
          <w:rFonts w:ascii="Arial Black" w:hAnsi="Arial Black"/>
          <w:sz w:val="32"/>
          <w:szCs w:val="32"/>
        </w:rPr>
      </w:pPr>
      <w:r w:rsidRPr="00F94D51">
        <w:rPr>
          <w:rFonts w:ascii="Arial Black" w:hAnsi="Arial Black"/>
          <w:sz w:val="32"/>
          <w:szCs w:val="32"/>
        </w:rPr>
        <w:t xml:space="preserve">Supporting Statement Part </w:t>
      </w:r>
      <w:r>
        <w:rPr>
          <w:rFonts w:ascii="Arial Black" w:hAnsi="Arial Black"/>
          <w:sz w:val="32"/>
          <w:szCs w:val="32"/>
        </w:rPr>
        <w:t>B</w:t>
      </w:r>
    </w:p>
    <w:p w:rsidRPr="00BA441F" w:rsidR="007251D5" w:rsidP="007251D5" w:rsidRDefault="007251D5" w14:paraId="4B043358" w14:textId="77777777">
      <w:pPr>
        <w:pStyle w:val="NoSpacing"/>
        <w:widowControl w:val="0"/>
        <w:jc w:val="right"/>
        <w:rPr>
          <w:rFonts w:ascii="Cambria" w:hAnsi="Cambria"/>
        </w:rPr>
      </w:pPr>
    </w:p>
    <w:p w:rsidRPr="00BA441F" w:rsidR="007251D5" w:rsidP="007251D5" w:rsidRDefault="007251D5" w14:paraId="7B328CAF" w14:textId="77777777">
      <w:pPr>
        <w:pStyle w:val="NoSpacing"/>
        <w:widowControl w:val="0"/>
        <w:jc w:val="right"/>
        <w:rPr>
          <w:rFonts w:ascii="Cambria" w:hAnsi="Cambria"/>
        </w:rPr>
      </w:pPr>
    </w:p>
    <w:p w:rsidRPr="00BA441F" w:rsidR="007251D5" w:rsidP="007251D5" w:rsidRDefault="007251D5" w14:paraId="5D4C0DFC" w14:textId="77777777">
      <w:pPr>
        <w:pStyle w:val="NoSpacing"/>
        <w:widowControl w:val="0"/>
        <w:jc w:val="right"/>
        <w:rPr>
          <w:rFonts w:ascii="Cambria" w:hAnsi="Cambria"/>
        </w:rPr>
      </w:pPr>
    </w:p>
    <w:p w:rsidRPr="00BA441F" w:rsidR="007251D5" w:rsidP="007251D5" w:rsidRDefault="007251D5" w14:paraId="49C1527D" w14:textId="77777777">
      <w:pPr>
        <w:pStyle w:val="C1-CtrBoldHd"/>
        <w:widowControl w:val="0"/>
        <w:spacing w:after="0" w:line="240" w:lineRule="auto"/>
        <w:jc w:val="right"/>
        <w:rPr>
          <w:rFonts w:ascii="Cambria" w:hAnsi="Cambria"/>
          <w:b w:val="0"/>
          <w:caps w:val="0"/>
          <w:szCs w:val="22"/>
        </w:rPr>
      </w:pPr>
    </w:p>
    <w:p w:rsidRPr="00BA441F" w:rsidR="007251D5" w:rsidP="007251D5" w:rsidRDefault="007251D5" w14:paraId="18866C5D" w14:textId="77777777">
      <w:pPr>
        <w:pStyle w:val="C1-CtrBoldHd"/>
        <w:widowControl w:val="0"/>
        <w:spacing w:after="0" w:line="240" w:lineRule="auto"/>
        <w:jc w:val="right"/>
        <w:rPr>
          <w:rFonts w:ascii="Cambria" w:hAnsi="Cambria"/>
          <w:b w:val="0"/>
          <w:caps w:val="0"/>
          <w:szCs w:val="22"/>
        </w:rPr>
      </w:pPr>
    </w:p>
    <w:p w:rsidRPr="00BA441F" w:rsidR="007251D5" w:rsidP="007251D5" w:rsidRDefault="007251D5" w14:paraId="77F7F549" w14:textId="77777777">
      <w:pPr>
        <w:pStyle w:val="C1-CtrBoldHd"/>
        <w:widowControl w:val="0"/>
        <w:spacing w:after="0" w:line="240" w:lineRule="auto"/>
        <w:jc w:val="right"/>
        <w:rPr>
          <w:rFonts w:ascii="Cambria" w:hAnsi="Cambria"/>
          <w:b w:val="0"/>
          <w:caps w:val="0"/>
          <w:szCs w:val="22"/>
        </w:rPr>
      </w:pPr>
    </w:p>
    <w:p w:rsidRPr="00F94D51" w:rsidR="007251D5" w:rsidP="007251D5" w:rsidRDefault="007251D5" w14:paraId="7E89F8FD" w14:textId="77777777">
      <w:pPr>
        <w:pStyle w:val="C1-CtrBoldHd"/>
        <w:widowControl w:val="0"/>
        <w:spacing w:after="0" w:line="240" w:lineRule="auto"/>
        <w:jc w:val="right"/>
        <w:rPr>
          <w:rFonts w:ascii="Arial Black" w:hAnsi="Arial Black" w:cs="Arial"/>
          <w:b w:val="0"/>
          <w:caps w:val="0"/>
          <w:sz w:val="24"/>
          <w:szCs w:val="24"/>
        </w:rPr>
      </w:pPr>
      <w:r w:rsidRPr="00F94D51">
        <w:rPr>
          <w:rFonts w:ascii="Arial Black" w:hAnsi="Arial Black" w:cs="Arial"/>
          <w:b w:val="0"/>
          <w:caps w:val="0"/>
          <w:sz w:val="24"/>
          <w:szCs w:val="24"/>
        </w:rPr>
        <w:t>Submitted by</w:t>
      </w:r>
    </w:p>
    <w:p w:rsidR="007251D5" w:rsidP="007251D5" w:rsidRDefault="007251D5" w14:paraId="0E21EB56" w14:textId="6CD67FDA">
      <w:pPr>
        <w:pStyle w:val="C1-CtrBoldHd"/>
        <w:widowControl w:val="0"/>
        <w:spacing w:after="0" w:line="240" w:lineRule="auto"/>
        <w:jc w:val="right"/>
        <w:rPr>
          <w:rFonts w:ascii="Arial Black" w:hAnsi="Arial Black" w:cs="Arial"/>
          <w:b w:val="0"/>
          <w:caps w:val="0"/>
          <w:sz w:val="24"/>
          <w:szCs w:val="24"/>
        </w:rPr>
      </w:pPr>
      <w:r w:rsidRPr="00F94D51">
        <w:rPr>
          <w:rFonts w:ascii="Arial Black" w:hAnsi="Arial Black" w:cs="Arial"/>
          <w:b w:val="0"/>
          <w:caps w:val="0"/>
          <w:sz w:val="24"/>
          <w:szCs w:val="24"/>
        </w:rPr>
        <w:t>National Center for Education Statistics</w:t>
      </w:r>
    </w:p>
    <w:p w:rsidRPr="00F94D51" w:rsidR="00682213" w:rsidP="007251D5" w:rsidRDefault="00682213" w14:paraId="7BF3C82D" w14:textId="04AD110C">
      <w:pPr>
        <w:pStyle w:val="C1-CtrBoldHd"/>
        <w:widowControl w:val="0"/>
        <w:spacing w:after="0" w:line="240" w:lineRule="auto"/>
        <w:jc w:val="right"/>
        <w:rPr>
          <w:rFonts w:ascii="Arial Black" w:hAnsi="Arial Black" w:cs="Arial"/>
          <w:b w:val="0"/>
          <w:sz w:val="24"/>
          <w:szCs w:val="24"/>
        </w:rPr>
      </w:pPr>
      <w:r>
        <w:rPr>
          <w:rFonts w:ascii="Arial Black" w:hAnsi="Arial Black" w:cs="Arial"/>
          <w:b w:val="0"/>
          <w:caps w:val="0"/>
          <w:sz w:val="24"/>
          <w:szCs w:val="24"/>
        </w:rPr>
        <w:t>Institute of Education Sciences</w:t>
      </w:r>
    </w:p>
    <w:p w:rsidRPr="00F94D51" w:rsidR="007251D5" w:rsidP="007251D5" w:rsidRDefault="007251D5" w14:paraId="464E0B99" w14:textId="77777777">
      <w:pPr>
        <w:pStyle w:val="C1-CtrBoldHd"/>
        <w:widowControl w:val="0"/>
        <w:spacing w:after="0" w:line="240" w:lineRule="auto"/>
        <w:jc w:val="right"/>
        <w:rPr>
          <w:rFonts w:ascii="Arial Black" w:hAnsi="Arial Black" w:cs="Arial"/>
          <w:b w:val="0"/>
          <w:caps w:val="0"/>
          <w:sz w:val="24"/>
          <w:szCs w:val="24"/>
        </w:rPr>
      </w:pPr>
      <w:r w:rsidRPr="00F94D51">
        <w:rPr>
          <w:rFonts w:ascii="Arial Black" w:hAnsi="Arial Black" w:cs="Arial"/>
          <w:b w:val="0"/>
          <w:caps w:val="0"/>
          <w:sz w:val="24"/>
          <w:szCs w:val="24"/>
        </w:rPr>
        <w:t>U.S. Department of Education</w:t>
      </w:r>
    </w:p>
    <w:p w:rsidRPr="00BD30F1" w:rsidR="007251D5" w:rsidP="007251D5" w:rsidRDefault="007251D5" w14:paraId="3B1FBFC1" w14:textId="77777777">
      <w:pPr>
        <w:pStyle w:val="C1-CtrBoldHd"/>
        <w:widowControl w:val="0"/>
        <w:spacing w:after="0" w:line="240" w:lineRule="auto"/>
        <w:jc w:val="right"/>
        <w:rPr>
          <w:rFonts w:ascii="Cambria" w:hAnsi="Cambria"/>
          <w:b w:val="0"/>
          <w:sz w:val="28"/>
          <w:szCs w:val="28"/>
        </w:rPr>
      </w:pPr>
    </w:p>
    <w:p w:rsidRPr="00BD30F1" w:rsidR="007251D5" w:rsidP="007251D5" w:rsidRDefault="007251D5" w14:paraId="4C0C1A6A" w14:textId="77777777">
      <w:pPr>
        <w:pStyle w:val="C1-CtrBoldHd"/>
        <w:widowControl w:val="0"/>
        <w:spacing w:after="0" w:line="240" w:lineRule="auto"/>
        <w:jc w:val="right"/>
        <w:rPr>
          <w:rFonts w:ascii="Cambria" w:hAnsi="Cambria"/>
          <w:b w:val="0"/>
          <w:caps w:val="0"/>
          <w:sz w:val="28"/>
          <w:szCs w:val="28"/>
        </w:rPr>
      </w:pPr>
    </w:p>
    <w:p w:rsidRPr="00BD30F1" w:rsidR="007251D5" w:rsidP="007251D5" w:rsidRDefault="007251D5" w14:paraId="075E4368" w14:textId="77777777">
      <w:pPr>
        <w:pStyle w:val="C1-CtrBoldHd"/>
        <w:widowControl w:val="0"/>
        <w:spacing w:after="0" w:line="240" w:lineRule="auto"/>
        <w:jc w:val="right"/>
        <w:rPr>
          <w:rFonts w:ascii="Cambria" w:hAnsi="Cambria"/>
          <w:b w:val="0"/>
          <w:caps w:val="0"/>
          <w:sz w:val="28"/>
          <w:szCs w:val="28"/>
        </w:rPr>
      </w:pPr>
    </w:p>
    <w:p w:rsidRPr="00BD30F1" w:rsidR="007251D5" w:rsidP="007251D5" w:rsidRDefault="007251D5" w14:paraId="464C99AA" w14:textId="77777777">
      <w:pPr>
        <w:pStyle w:val="C1-CtrBoldHd"/>
        <w:widowControl w:val="0"/>
        <w:spacing w:after="0" w:line="240" w:lineRule="auto"/>
        <w:jc w:val="right"/>
        <w:rPr>
          <w:rFonts w:ascii="Cambria" w:hAnsi="Cambria"/>
          <w:b w:val="0"/>
          <w:caps w:val="0"/>
          <w:sz w:val="28"/>
          <w:szCs w:val="28"/>
        </w:rPr>
      </w:pPr>
    </w:p>
    <w:p w:rsidR="007251D5" w:rsidP="007251D5" w:rsidRDefault="00D708F4" w14:paraId="7BDB1E70" w14:textId="37397CE2">
      <w:pPr>
        <w:pStyle w:val="C1-CtrBoldHd"/>
        <w:spacing w:after="0"/>
        <w:jc w:val="right"/>
      </w:pPr>
      <w:r>
        <w:rPr>
          <w:rFonts w:ascii="Arial Black" w:hAnsi="Arial Black" w:cs="Arial"/>
          <w:b w:val="0"/>
          <w:caps w:val="0"/>
          <w:sz w:val="24"/>
          <w:szCs w:val="24"/>
        </w:rPr>
        <w:t>November</w:t>
      </w:r>
      <w:r w:rsidR="00146971">
        <w:rPr>
          <w:rFonts w:ascii="Arial Black" w:hAnsi="Arial Black" w:cs="Arial"/>
          <w:b w:val="0"/>
          <w:caps w:val="0"/>
          <w:sz w:val="24"/>
          <w:szCs w:val="24"/>
        </w:rPr>
        <w:t xml:space="preserve"> 2021</w:t>
      </w:r>
    </w:p>
    <w:p w:rsidR="00CA2BE0" w:rsidP="007251D5" w:rsidRDefault="00CA2BE0" w14:paraId="30328D1E" w14:textId="77777777">
      <w:pPr>
        <w:pStyle w:val="C1-CtrBoldHd"/>
        <w:spacing w:after="0"/>
        <w:rPr>
          <w:color w:val="FF0000"/>
          <w:sz w:val="24"/>
        </w:rPr>
        <w:sectPr w:rsidR="00CA2BE0">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144" w:footer="576" w:gutter="0"/>
          <w:pgBorders w:display="firstPage" w:offsetFrom="page">
            <w:top w:val="single" w:color="auto" w:sz="12" w:space="24"/>
            <w:left w:val="single" w:color="auto" w:sz="12" w:space="24"/>
            <w:bottom w:val="single" w:color="auto" w:sz="12" w:space="24"/>
            <w:right w:val="single" w:color="auto" w:sz="12" w:space="24"/>
          </w:pgBorders>
          <w:cols w:space="720"/>
          <w:titlePg/>
        </w:sectPr>
      </w:pPr>
    </w:p>
    <w:bookmarkStart w:name="_Hlk71029920" w:displacedByCustomXml="next" w:id="1"/>
    <w:sdt>
      <w:sdtPr>
        <w:rPr>
          <w:rFonts w:ascii="Times New Roman" w:hAnsi="Times New Roman" w:eastAsia="Times New Roman" w:cs="Times New Roman"/>
          <w:color w:val="auto"/>
          <w:sz w:val="24"/>
          <w:szCs w:val="24"/>
        </w:rPr>
        <w:id w:val="-1563632583"/>
        <w:docPartObj>
          <w:docPartGallery w:val="Table of Contents"/>
          <w:docPartUnique/>
        </w:docPartObj>
      </w:sdtPr>
      <w:sdtEndPr>
        <w:rPr>
          <w:b/>
          <w:bCs/>
          <w:noProof/>
        </w:rPr>
      </w:sdtEndPr>
      <w:sdtContent>
        <w:p w:rsidRPr="00AD6F4D" w:rsidR="00AD6F4D" w:rsidP="00AD6F4D" w:rsidRDefault="00AD6F4D" w14:paraId="2EA517FF" w14:textId="754ACB50">
          <w:pPr>
            <w:pStyle w:val="TOCHeading"/>
            <w:spacing w:before="120"/>
            <w:rPr>
              <w:rFonts w:ascii="Cambria" w:hAnsi="Cambria"/>
            </w:rPr>
          </w:pPr>
          <w:r w:rsidRPr="00AD6F4D">
            <w:rPr>
              <w:rFonts w:ascii="Cambria" w:hAnsi="Cambria"/>
            </w:rPr>
            <w:t>Contents</w:t>
          </w:r>
        </w:p>
        <w:p w:rsidR="00CE1C9C" w:rsidRDefault="00AD6F4D" w14:paraId="2DAFA67A" w14:textId="60014973">
          <w:pPr>
            <w:pStyle w:val="TOC2"/>
            <w:tabs>
              <w:tab w:val="right" w:leader="dot" w:pos="8630"/>
            </w:tabs>
            <w:rPr>
              <w:rFonts w:asciiTheme="minorHAnsi" w:hAnsiTheme="minorHAnsi" w:eastAsiaTheme="minorEastAsia" w:cstheme="minorBidi"/>
              <w:noProof/>
              <w:sz w:val="22"/>
              <w:szCs w:val="22"/>
            </w:rPr>
          </w:pPr>
          <w:r w:rsidRPr="00AD6F4D">
            <w:rPr>
              <w:rFonts w:ascii="Cambria" w:hAnsi="Cambria"/>
            </w:rPr>
            <w:fldChar w:fldCharType="begin"/>
          </w:r>
          <w:r w:rsidRPr="00AD6F4D">
            <w:rPr>
              <w:rFonts w:ascii="Cambria" w:hAnsi="Cambria"/>
            </w:rPr>
            <w:instrText xml:space="preserve"> TOC \o "1-3" \h \z \u </w:instrText>
          </w:r>
          <w:r w:rsidRPr="00AD6F4D">
            <w:rPr>
              <w:rFonts w:ascii="Cambria" w:hAnsi="Cambria"/>
            </w:rPr>
            <w:fldChar w:fldCharType="separate"/>
          </w:r>
          <w:hyperlink w:history="1" w:anchor="_Toc85105262">
            <w:r w:rsidRPr="00647311" w:rsidR="00CE1C9C">
              <w:rPr>
                <w:rStyle w:val="Hyperlink"/>
                <w:noProof/>
              </w:rPr>
              <w:t>B. Collection of Information Employing Statistical Information</w:t>
            </w:r>
            <w:r w:rsidR="00CE1C9C">
              <w:rPr>
                <w:noProof/>
                <w:webHidden/>
              </w:rPr>
              <w:tab/>
            </w:r>
            <w:r w:rsidR="00CE1C9C">
              <w:rPr>
                <w:noProof/>
                <w:webHidden/>
              </w:rPr>
              <w:fldChar w:fldCharType="begin"/>
            </w:r>
            <w:r w:rsidR="00CE1C9C">
              <w:rPr>
                <w:noProof/>
                <w:webHidden/>
              </w:rPr>
              <w:instrText xml:space="preserve"> PAGEREF _Toc85105262 \h </w:instrText>
            </w:r>
            <w:r w:rsidR="00CE1C9C">
              <w:rPr>
                <w:noProof/>
                <w:webHidden/>
              </w:rPr>
            </w:r>
            <w:r w:rsidR="00CE1C9C">
              <w:rPr>
                <w:noProof/>
                <w:webHidden/>
              </w:rPr>
              <w:fldChar w:fldCharType="separate"/>
            </w:r>
            <w:r w:rsidR="00CE1C9C">
              <w:rPr>
                <w:noProof/>
                <w:webHidden/>
              </w:rPr>
              <w:t>1</w:t>
            </w:r>
            <w:r w:rsidR="00CE1C9C">
              <w:rPr>
                <w:noProof/>
                <w:webHidden/>
              </w:rPr>
              <w:fldChar w:fldCharType="end"/>
            </w:r>
          </w:hyperlink>
        </w:p>
        <w:p w:rsidR="00CE1C9C" w:rsidRDefault="00CB1A7E" w14:paraId="469271CF" w14:textId="444CDC5C">
          <w:pPr>
            <w:pStyle w:val="TOC3"/>
            <w:tabs>
              <w:tab w:val="left" w:pos="1100"/>
              <w:tab w:val="right" w:leader="dot" w:pos="8630"/>
            </w:tabs>
            <w:rPr>
              <w:rFonts w:asciiTheme="minorHAnsi" w:hAnsiTheme="minorHAnsi" w:eastAsiaTheme="minorEastAsia" w:cstheme="minorBidi"/>
              <w:noProof/>
              <w:sz w:val="22"/>
              <w:szCs w:val="22"/>
            </w:rPr>
          </w:pPr>
          <w:hyperlink w:history="1" w:anchor="_Toc85105263">
            <w:r w:rsidRPr="00647311" w:rsidR="00CE1C9C">
              <w:rPr>
                <w:rStyle w:val="Hyperlink"/>
                <w:noProof/>
              </w:rPr>
              <w:t>B.1</w:t>
            </w:r>
            <w:r w:rsidR="00CE1C9C">
              <w:rPr>
                <w:rFonts w:asciiTheme="minorHAnsi" w:hAnsiTheme="minorHAnsi" w:eastAsiaTheme="minorEastAsia" w:cstheme="minorBidi"/>
                <w:noProof/>
                <w:sz w:val="22"/>
                <w:szCs w:val="22"/>
              </w:rPr>
              <w:tab/>
            </w:r>
            <w:r w:rsidRPr="00647311" w:rsidR="00CE1C9C">
              <w:rPr>
                <w:rStyle w:val="Hyperlink"/>
                <w:noProof/>
              </w:rPr>
              <w:t>Respondent Universe</w:t>
            </w:r>
            <w:r w:rsidR="00CE1C9C">
              <w:rPr>
                <w:noProof/>
                <w:webHidden/>
              </w:rPr>
              <w:tab/>
            </w:r>
            <w:r w:rsidR="00CE1C9C">
              <w:rPr>
                <w:noProof/>
                <w:webHidden/>
              </w:rPr>
              <w:fldChar w:fldCharType="begin"/>
            </w:r>
            <w:r w:rsidR="00CE1C9C">
              <w:rPr>
                <w:noProof/>
                <w:webHidden/>
              </w:rPr>
              <w:instrText xml:space="preserve"> PAGEREF _Toc85105263 \h </w:instrText>
            </w:r>
            <w:r w:rsidR="00CE1C9C">
              <w:rPr>
                <w:noProof/>
                <w:webHidden/>
              </w:rPr>
            </w:r>
            <w:r w:rsidR="00CE1C9C">
              <w:rPr>
                <w:noProof/>
                <w:webHidden/>
              </w:rPr>
              <w:fldChar w:fldCharType="separate"/>
            </w:r>
            <w:r w:rsidR="00CE1C9C">
              <w:rPr>
                <w:noProof/>
                <w:webHidden/>
              </w:rPr>
              <w:t>1</w:t>
            </w:r>
            <w:r w:rsidR="00CE1C9C">
              <w:rPr>
                <w:noProof/>
                <w:webHidden/>
              </w:rPr>
              <w:fldChar w:fldCharType="end"/>
            </w:r>
          </w:hyperlink>
        </w:p>
        <w:p w:rsidR="00CE1C9C" w:rsidRDefault="00CB1A7E" w14:paraId="7B24E3B8" w14:textId="46F21840">
          <w:pPr>
            <w:pStyle w:val="TOC3"/>
            <w:tabs>
              <w:tab w:val="left" w:pos="1100"/>
              <w:tab w:val="right" w:leader="dot" w:pos="8630"/>
            </w:tabs>
            <w:rPr>
              <w:rFonts w:asciiTheme="minorHAnsi" w:hAnsiTheme="minorHAnsi" w:eastAsiaTheme="minorEastAsia" w:cstheme="minorBidi"/>
              <w:noProof/>
              <w:sz w:val="22"/>
              <w:szCs w:val="22"/>
            </w:rPr>
          </w:pPr>
          <w:hyperlink w:history="1" w:anchor="_Toc85105264">
            <w:r w:rsidRPr="00647311" w:rsidR="00CE1C9C">
              <w:rPr>
                <w:rStyle w:val="Hyperlink"/>
                <w:noProof/>
              </w:rPr>
              <w:t>B.2</w:t>
            </w:r>
            <w:r w:rsidR="00CE1C9C">
              <w:rPr>
                <w:rFonts w:asciiTheme="minorHAnsi" w:hAnsiTheme="minorHAnsi" w:eastAsiaTheme="minorEastAsia" w:cstheme="minorBidi"/>
                <w:noProof/>
                <w:sz w:val="22"/>
                <w:szCs w:val="22"/>
              </w:rPr>
              <w:tab/>
            </w:r>
            <w:r w:rsidRPr="00647311" w:rsidR="00CE1C9C">
              <w:rPr>
                <w:rStyle w:val="Hyperlink"/>
                <w:noProof/>
              </w:rPr>
              <w:t>Statistical Methodology</w:t>
            </w:r>
            <w:r w:rsidR="00CE1C9C">
              <w:rPr>
                <w:noProof/>
                <w:webHidden/>
              </w:rPr>
              <w:tab/>
            </w:r>
            <w:r w:rsidR="00CE1C9C">
              <w:rPr>
                <w:noProof/>
                <w:webHidden/>
              </w:rPr>
              <w:fldChar w:fldCharType="begin"/>
            </w:r>
            <w:r w:rsidR="00CE1C9C">
              <w:rPr>
                <w:noProof/>
                <w:webHidden/>
              </w:rPr>
              <w:instrText xml:space="preserve"> PAGEREF _Toc85105264 \h </w:instrText>
            </w:r>
            <w:r w:rsidR="00CE1C9C">
              <w:rPr>
                <w:noProof/>
                <w:webHidden/>
              </w:rPr>
            </w:r>
            <w:r w:rsidR="00CE1C9C">
              <w:rPr>
                <w:noProof/>
                <w:webHidden/>
              </w:rPr>
              <w:fldChar w:fldCharType="separate"/>
            </w:r>
            <w:r w:rsidR="00CE1C9C">
              <w:rPr>
                <w:noProof/>
                <w:webHidden/>
              </w:rPr>
              <w:t>1</w:t>
            </w:r>
            <w:r w:rsidR="00CE1C9C">
              <w:rPr>
                <w:noProof/>
                <w:webHidden/>
              </w:rPr>
              <w:fldChar w:fldCharType="end"/>
            </w:r>
          </w:hyperlink>
        </w:p>
        <w:p w:rsidR="00CE1C9C" w:rsidRDefault="00CB1A7E" w14:paraId="5140FBA9" w14:textId="5F97DEE6">
          <w:pPr>
            <w:pStyle w:val="TOC3"/>
            <w:tabs>
              <w:tab w:val="left" w:pos="1100"/>
              <w:tab w:val="right" w:leader="dot" w:pos="8630"/>
            </w:tabs>
            <w:rPr>
              <w:rFonts w:asciiTheme="minorHAnsi" w:hAnsiTheme="minorHAnsi" w:eastAsiaTheme="minorEastAsia" w:cstheme="minorBidi"/>
              <w:noProof/>
              <w:sz w:val="22"/>
              <w:szCs w:val="22"/>
            </w:rPr>
          </w:pPr>
          <w:hyperlink w:history="1" w:anchor="_Toc85105265">
            <w:r w:rsidRPr="00647311" w:rsidR="00CE1C9C">
              <w:rPr>
                <w:rStyle w:val="Hyperlink"/>
                <w:noProof/>
              </w:rPr>
              <w:t>B.3</w:t>
            </w:r>
            <w:r w:rsidR="00CE1C9C">
              <w:rPr>
                <w:rFonts w:asciiTheme="minorHAnsi" w:hAnsiTheme="minorHAnsi" w:eastAsiaTheme="minorEastAsia" w:cstheme="minorBidi"/>
                <w:noProof/>
                <w:sz w:val="22"/>
                <w:szCs w:val="22"/>
              </w:rPr>
              <w:tab/>
            </w:r>
            <w:r w:rsidRPr="00647311" w:rsidR="00CE1C9C">
              <w:rPr>
                <w:rStyle w:val="Hyperlink"/>
                <w:noProof/>
              </w:rPr>
              <w:t>Maximizing Response Rates</w:t>
            </w:r>
            <w:r w:rsidR="00CE1C9C">
              <w:rPr>
                <w:noProof/>
                <w:webHidden/>
              </w:rPr>
              <w:tab/>
            </w:r>
            <w:r w:rsidR="00CE1C9C">
              <w:rPr>
                <w:noProof/>
                <w:webHidden/>
              </w:rPr>
              <w:fldChar w:fldCharType="begin"/>
            </w:r>
            <w:r w:rsidR="00CE1C9C">
              <w:rPr>
                <w:noProof/>
                <w:webHidden/>
              </w:rPr>
              <w:instrText xml:space="preserve"> PAGEREF _Toc85105265 \h </w:instrText>
            </w:r>
            <w:r w:rsidR="00CE1C9C">
              <w:rPr>
                <w:noProof/>
                <w:webHidden/>
              </w:rPr>
            </w:r>
            <w:r w:rsidR="00CE1C9C">
              <w:rPr>
                <w:noProof/>
                <w:webHidden/>
              </w:rPr>
              <w:fldChar w:fldCharType="separate"/>
            </w:r>
            <w:r w:rsidR="00CE1C9C">
              <w:rPr>
                <w:noProof/>
                <w:webHidden/>
              </w:rPr>
              <w:t>3</w:t>
            </w:r>
            <w:r w:rsidR="00CE1C9C">
              <w:rPr>
                <w:noProof/>
                <w:webHidden/>
              </w:rPr>
              <w:fldChar w:fldCharType="end"/>
            </w:r>
          </w:hyperlink>
        </w:p>
        <w:p w:rsidR="00CE1C9C" w:rsidRDefault="00CB1A7E" w14:paraId="450358F0" w14:textId="1FF6BA8C">
          <w:pPr>
            <w:pStyle w:val="TOC3"/>
            <w:tabs>
              <w:tab w:val="left" w:pos="1100"/>
              <w:tab w:val="right" w:leader="dot" w:pos="8630"/>
            </w:tabs>
            <w:rPr>
              <w:rFonts w:asciiTheme="minorHAnsi" w:hAnsiTheme="minorHAnsi" w:eastAsiaTheme="minorEastAsia" w:cstheme="minorBidi"/>
              <w:noProof/>
              <w:sz w:val="22"/>
              <w:szCs w:val="22"/>
            </w:rPr>
          </w:pPr>
          <w:hyperlink w:history="1" w:anchor="_Toc85105266">
            <w:r w:rsidRPr="00647311" w:rsidR="00CE1C9C">
              <w:rPr>
                <w:rStyle w:val="Hyperlink"/>
                <w:noProof/>
              </w:rPr>
              <w:t>B.4</w:t>
            </w:r>
            <w:r w:rsidR="00CE1C9C">
              <w:rPr>
                <w:rFonts w:asciiTheme="minorHAnsi" w:hAnsiTheme="minorHAnsi" w:eastAsiaTheme="minorEastAsia" w:cstheme="minorBidi"/>
                <w:noProof/>
                <w:sz w:val="22"/>
                <w:szCs w:val="22"/>
              </w:rPr>
              <w:tab/>
            </w:r>
            <w:r w:rsidRPr="00647311" w:rsidR="00CE1C9C">
              <w:rPr>
                <w:rStyle w:val="Hyperlink"/>
                <w:noProof/>
              </w:rPr>
              <w:t>Purpose of the Main Study and Data Uses</w:t>
            </w:r>
            <w:r w:rsidR="00CE1C9C">
              <w:rPr>
                <w:noProof/>
                <w:webHidden/>
              </w:rPr>
              <w:tab/>
            </w:r>
            <w:r w:rsidR="00CE1C9C">
              <w:rPr>
                <w:noProof/>
                <w:webHidden/>
              </w:rPr>
              <w:fldChar w:fldCharType="begin"/>
            </w:r>
            <w:r w:rsidR="00CE1C9C">
              <w:rPr>
                <w:noProof/>
                <w:webHidden/>
              </w:rPr>
              <w:instrText xml:space="preserve"> PAGEREF _Toc85105266 \h </w:instrText>
            </w:r>
            <w:r w:rsidR="00CE1C9C">
              <w:rPr>
                <w:noProof/>
                <w:webHidden/>
              </w:rPr>
            </w:r>
            <w:r w:rsidR="00CE1C9C">
              <w:rPr>
                <w:noProof/>
                <w:webHidden/>
              </w:rPr>
              <w:fldChar w:fldCharType="separate"/>
            </w:r>
            <w:r w:rsidR="00CE1C9C">
              <w:rPr>
                <w:noProof/>
                <w:webHidden/>
              </w:rPr>
              <w:t>5</w:t>
            </w:r>
            <w:r w:rsidR="00CE1C9C">
              <w:rPr>
                <w:noProof/>
                <w:webHidden/>
              </w:rPr>
              <w:fldChar w:fldCharType="end"/>
            </w:r>
          </w:hyperlink>
        </w:p>
        <w:p w:rsidR="00CE1C9C" w:rsidRDefault="00CB1A7E" w14:paraId="2C77C129" w14:textId="38244DEC">
          <w:pPr>
            <w:pStyle w:val="TOC3"/>
            <w:tabs>
              <w:tab w:val="left" w:pos="1100"/>
              <w:tab w:val="right" w:leader="dot" w:pos="8630"/>
            </w:tabs>
            <w:rPr>
              <w:rFonts w:asciiTheme="minorHAnsi" w:hAnsiTheme="minorHAnsi" w:eastAsiaTheme="minorEastAsia" w:cstheme="minorBidi"/>
              <w:noProof/>
              <w:sz w:val="22"/>
              <w:szCs w:val="22"/>
            </w:rPr>
          </w:pPr>
          <w:hyperlink w:history="1" w:anchor="_Toc85105267">
            <w:r w:rsidRPr="00647311" w:rsidR="00CE1C9C">
              <w:rPr>
                <w:rStyle w:val="Hyperlink"/>
                <w:noProof/>
              </w:rPr>
              <w:t>B.5</w:t>
            </w:r>
            <w:r w:rsidR="00CE1C9C">
              <w:rPr>
                <w:rFonts w:asciiTheme="minorHAnsi" w:hAnsiTheme="minorHAnsi" w:eastAsiaTheme="minorEastAsia" w:cstheme="minorBidi"/>
                <w:noProof/>
                <w:sz w:val="22"/>
                <w:szCs w:val="22"/>
              </w:rPr>
              <w:tab/>
            </w:r>
            <w:r w:rsidRPr="00647311" w:rsidR="00CE1C9C">
              <w:rPr>
                <w:rStyle w:val="Hyperlink"/>
                <w:noProof/>
              </w:rPr>
              <w:t>Individuals Consulted on Study Design</w:t>
            </w:r>
            <w:r w:rsidR="00CE1C9C">
              <w:rPr>
                <w:noProof/>
                <w:webHidden/>
              </w:rPr>
              <w:tab/>
            </w:r>
            <w:r w:rsidR="00CE1C9C">
              <w:rPr>
                <w:noProof/>
                <w:webHidden/>
              </w:rPr>
              <w:fldChar w:fldCharType="begin"/>
            </w:r>
            <w:r w:rsidR="00CE1C9C">
              <w:rPr>
                <w:noProof/>
                <w:webHidden/>
              </w:rPr>
              <w:instrText xml:space="preserve"> PAGEREF _Toc85105267 \h </w:instrText>
            </w:r>
            <w:r w:rsidR="00CE1C9C">
              <w:rPr>
                <w:noProof/>
                <w:webHidden/>
              </w:rPr>
            </w:r>
            <w:r w:rsidR="00CE1C9C">
              <w:rPr>
                <w:noProof/>
                <w:webHidden/>
              </w:rPr>
              <w:fldChar w:fldCharType="separate"/>
            </w:r>
            <w:r w:rsidR="00CE1C9C">
              <w:rPr>
                <w:noProof/>
                <w:webHidden/>
              </w:rPr>
              <w:t>5</w:t>
            </w:r>
            <w:r w:rsidR="00CE1C9C">
              <w:rPr>
                <w:noProof/>
                <w:webHidden/>
              </w:rPr>
              <w:fldChar w:fldCharType="end"/>
            </w:r>
          </w:hyperlink>
        </w:p>
        <w:p w:rsidR="00AD6F4D" w:rsidP="00AD6F4D" w:rsidRDefault="00AD6F4D" w14:paraId="0E966B8E" w14:textId="093A10CC">
          <w:pPr>
            <w:spacing w:before="120"/>
          </w:pPr>
          <w:r w:rsidRPr="00AD6F4D">
            <w:rPr>
              <w:rFonts w:ascii="Cambria" w:hAnsi="Cambria"/>
              <w:b/>
              <w:bCs/>
              <w:noProof/>
            </w:rPr>
            <w:fldChar w:fldCharType="end"/>
          </w:r>
        </w:p>
      </w:sdtContent>
    </w:sdt>
    <w:bookmarkEnd w:displacedByCustomXml="prev" w:id="1"/>
    <w:p w:rsidRPr="00EA3BFF" w:rsidR="007251D5" w:rsidP="00EA3BFF" w:rsidRDefault="007251D5" w14:paraId="202BB82F" w14:textId="5878DFE7">
      <w:pPr>
        <w:jc w:val="both"/>
        <w:sectPr w:rsidRPr="00EA3BFF" w:rsidR="007251D5" w:rsidSect="00AD6F4D">
          <w:footerReference w:type="first" r:id="rId14"/>
          <w:pgSz w:w="12240" w:h="15840" w:code="1"/>
          <w:pgMar w:top="1440" w:right="1800" w:bottom="1440" w:left="1800" w:header="144" w:footer="576" w:gutter="0"/>
          <w:pgNumType w:fmt="lowerRoman" w:start="1"/>
          <w:cols w:space="720"/>
          <w:titlePg/>
        </w:sectPr>
      </w:pPr>
    </w:p>
    <w:p w:rsidRPr="00736C3B" w:rsidR="007251D5" w:rsidP="005A0683" w:rsidRDefault="005A0683" w14:paraId="4845A28A" w14:textId="7C483014">
      <w:pPr>
        <w:pStyle w:val="TIMSSOMBHeading1"/>
      </w:pPr>
      <w:bookmarkStart w:name="_Toc240971097" w:id="2"/>
      <w:bookmarkStart w:name="_Toc85105262" w:id="3"/>
      <w:r>
        <w:lastRenderedPageBreak/>
        <w:t xml:space="preserve">B. </w:t>
      </w:r>
      <w:r w:rsidRPr="00736C3B" w:rsidR="00AD6F4D">
        <w:t xml:space="preserve">Collection </w:t>
      </w:r>
      <w:r w:rsidR="00AD6F4D">
        <w:t>o</w:t>
      </w:r>
      <w:r w:rsidRPr="00736C3B" w:rsidR="00AD6F4D">
        <w:t>f Information Employing Statistical Information</w:t>
      </w:r>
      <w:bookmarkEnd w:id="0"/>
      <w:bookmarkEnd w:id="2"/>
      <w:bookmarkEnd w:id="3"/>
    </w:p>
    <w:p w:rsidR="007251D5" w:rsidP="005A0683" w:rsidRDefault="007251D5" w14:paraId="32795C34" w14:textId="77777777">
      <w:pPr>
        <w:pStyle w:val="TIMSSOMBHeading2"/>
      </w:pPr>
      <w:bookmarkStart w:name="_Toc119829980" w:id="4"/>
      <w:bookmarkStart w:name="_Toc85105263" w:id="5"/>
      <w:r w:rsidRPr="00736C3B">
        <w:t>B.1</w:t>
      </w:r>
      <w:r w:rsidRPr="00736C3B">
        <w:tab/>
        <w:t xml:space="preserve">Respondent </w:t>
      </w:r>
      <w:r w:rsidRPr="00DF7143">
        <w:t>Universe</w:t>
      </w:r>
      <w:bookmarkEnd w:id="4"/>
      <w:bookmarkEnd w:id="5"/>
    </w:p>
    <w:p w:rsidR="00EA5466" w:rsidP="00EA5466" w:rsidRDefault="00900491" w14:paraId="03082EE6" w14:textId="33C3BEC3">
      <w:pPr>
        <w:spacing w:after="240"/>
      </w:pPr>
      <w:r>
        <w:t xml:space="preserve">The respondent universe for the ICILS main study is all students enrolled in grade 8, provided that the mean age at the time of testing is at least 13.5 years of age. </w:t>
      </w:r>
      <w:r w:rsidRPr="0012353E" w:rsidR="00EA5466">
        <w:t>The school target population include schools offering eighth-grade instruction in the winter/spring of 202</w:t>
      </w:r>
      <w:r w:rsidR="00D80A23">
        <w:t>3</w:t>
      </w:r>
      <w:r w:rsidRPr="0012353E" w:rsidR="00EA5466">
        <w:t xml:space="preserve"> in the 50 states</w:t>
      </w:r>
      <w:r w:rsidR="00EA5466">
        <w:t xml:space="preserve"> </w:t>
      </w:r>
      <w:r w:rsidRPr="0012353E" w:rsidR="00EA5466">
        <w:t>and the District of Columbia. These schools include</w:t>
      </w:r>
      <w:r w:rsidR="00EA5466">
        <w:t>:</w:t>
      </w:r>
    </w:p>
    <w:p w:rsidR="00EA5466" w:rsidP="00EA5466" w:rsidRDefault="00EA5466" w14:paraId="6BFBD317" w14:textId="77777777">
      <w:pPr>
        <w:pStyle w:val="ListParagraph"/>
        <w:widowControl w:val="0"/>
        <w:numPr>
          <w:ilvl w:val="0"/>
          <w:numId w:val="11"/>
        </w:numPr>
        <w:spacing w:after="120" w:line="276" w:lineRule="auto"/>
        <w:outlineLvl w:val="3"/>
      </w:pPr>
      <w:r w:rsidRPr="0012353E">
        <w:t xml:space="preserve">Public schools, including charter and magnet </w:t>
      </w:r>
      <w:proofErr w:type="gramStart"/>
      <w:r w:rsidRPr="0012353E">
        <w:t>schools;</w:t>
      </w:r>
      <w:proofErr w:type="gramEnd"/>
    </w:p>
    <w:p w:rsidRPr="0012353E" w:rsidR="00EA5466" w:rsidP="00EA5466" w:rsidRDefault="00EA5466" w14:paraId="36DE19A3" w14:textId="6C27B51A">
      <w:pPr>
        <w:pStyle w:val="ListParagraph"/>
        <w:widowControl w:val="0"/>
        <w:numPr>
          <w:ilvl w:val="0"/>
          <w:numId w:val="11"/>
        </w:numPr>
        <w:spacing w:after="120" w:line="276" w:lineRule="auto"/>
        <w:outlineLvl w:val="3"/>
      </w:pPr>
      <w:r w:rsidRPr="0012353E">
        <w:t>Private schools;</w:t>
      </w:r>
      <w:r w:rsidR="00827DE3">
        <w:t xml:space="preserve"> and</w:t>
      </w:r>
    </w:p>
    <w:p w:rsidR="00827DE3" w:rsidP="00E6514E" w:rsidRDefault="00EA5466" w14:paraId="0D53E19B" w14:textId="71BBB9FD">
      <w:pPr>
        <w:pStyle w:val="ListParagraph"/>
        <w:widowControl w:val="0"/>
        <w:numPr>
          <w:ilvl w:val="0"/>
          <w:numId w:val="11"/>
        </w:numPr>
        <w:spacing w:after="120" w:line="276" w:lineRule="auto"/>
        <w:outlineLvl w:val="3"/>
      </w:pPr>
      <w:r w:rsidRPr="0012353E">
        <w:t>Bureau of Indian Education schools</w:t>
      </w:r>
      <w:r w:rsidR="00827DE3">
        <w:t>.</w:t>
      </w:r>
    </w:p>
    <w:p w:rsidR="00EA5466" w:rsidP="00EA5466" w:rsidRDefault="00EA5466" w14:paraId="615C29EB" w14:textId="72F7D46C">
      <w:pPr>
        <w:spacing w:after="240"/>
      </w:pPr>
      <w:r w:rsidRPr="0012353E">
        <w:t xml:space="preserve">Although the following schools are eligible for </w:t>
      </w:r>
      <w:r>
        <w:t>ICILS</w:t>
      </w:r>
      <w:r w:rsidRPr="0012353E">
        <w:t xml:space="preserve"> 2023 and could be considered for the</w:t>
      </w:r>
      <w:r>
        <w:t xml:space="preserve"> main study</w:t>
      </w:r>
      <w:r w:rsidRPr="0012353E">
        <w:t xml:space="preserve">, we </w:t>
      </w:r>
      <w:r>
        <w:t>plan</w:t>
      </w:r>
      <w:r w:rsidRPr="0012353E">
        <w:t xml:space="preserve"> to exclude them from the </w:t>
      </w:r>
      <w:r>
        <w:t>main study</w:t>
      </w:r>
      <w:r w:rsidRPr="0012353E">
        <w:t>. However, we note that changes in the number of virtual schools, the number</w:t>
      </w:r>
      <w:r>
        <w:t xml:space="preserve"> </w:t>
      </w:r>
      <w:r w:rsidRPr="0012353E">
        <w:t xml:space="preserve">of students attending virtual schools, and/or school classifications </w:t>
      </w:r>
      <w:proofErr w:type="gramStart"/>
      <w:r w:rsidRPr="0012353E">
        <w:t>in light of</w:t>
      </w:r>
      <w:proofErr w:type="gramEnd"/>
      <w:r w:rsidRPr="0012353E">
        <w:t xml:space="preserve"> increased remote</w:t>
      </w:r>
      <w:r>
        <w:t xml:space="preserve"> </w:t>
      </w:r>
      <w:r w:rsidRPr="0012353E">
        <w:t xml:space="preserve">learning </w:t>
      </w:r>
      <w:r>
        <w:t xml:space="preserve">during the coronavirus (COVID-19) pandemic </w:t>
      </w:r>
      <w:r w:rsidRPr="0012353E">
        <w:t>may require adjustment of the virtual schools</w:t>
      </w:r>
      <w:r>
        <w:t>’</w:t>
      </w:r>
      <w:r w:rsidRPr="0012353E">
        <w:t xml:space="preserve"> exclusion. Currently, our plan </w:t>
      </w:r>
      <w:r w:rsidR="00764D22">
        <w:t xml:space="preserve">models that planned for TIMSS 2023 and </w:t>
      </w:r>
      <w:r w:rsidRPr="0012353E">
        <w:t>excludes:</w:t>
      </w:r>
    </w:p>
    <w:p w:rsidR="00EA5466" w:rsidP="00EA5466" w:rsidRDefault="00EA5466" w14:paraId="27C116C5" w14:textId="77777777">
      <w:pPr>
        <w:pStyle w:val="ListParagraph"/>
        <w:widowControl w:val="0"/>
        <w:numPr>
          <w:ilvl w:val="0"/>
          <w:numId w:val="12"/>
        </w:numPr>
        <w:spacing w:after="120" w:line="276" w:lineRule="auto"/>
        <w:outlineLvl w:val="3"/>
      </w:pPr>
      <w:r w:rsidRPr="0012353E">
        <w:t>Special education schools,</w:t>
      </w:r>
    </w:p>
    <w:p w:rsidRPr="0012353E" w:rsidR="00EA5466" w:rsidP="00EA5466" w:rsidRDefault="00EA5466" w14:paraId="35933F0F" w14:textId="77777777">
      <w:pPr>
        <w:pStyle w:val="ListParagraph"/>
        <w:widowControl w:val="0"/>
        <w:numPr>
          <w:ilvl w:val="0"/>
          <w:numId w:val="12"/>
        </w:numPr>
        <w:spacing w:after="120" w:line="276" w:lineRule="auto"/>
        <w:outlineLvl w:val="3"/>
      </w:pPr>
      <w:r w:rsidRPr="0012353E">
        <w:t>Virtual schools, and</w:t>
      </w:r>
    </w:p>
    <w:p w:rsidR="00EA5466" w:rsidP="00EA5466" w:rsidRDefault="00EA5466" w14:paraId="6CE704D4" w14:textId="77777777">
      <w:pPr>
        <w:pStyle w:val="ListParagraph"/>
        <w:widowControl w:val="0"/>
        <w:numPr>
          <w:ilvl w:val="0"/>
          <w:numId w:val="12"/>
        </w:numPr>
        <w:spacing w:after="120" w:line="276" w:lineRule="auto"/>
        <w:outlineLvl w:val="3"/>
      </w:pPr>
      <w:r w:rsidRPr="0012353E">
        <w:t xml:space="preserve">Schools that include temporary housing like </w:t>
      </w:r>
      <w:proofErr w:type="gramStart"/>
      <w:r w:rsidRPr="0012353E">
        <w:t>correctional facilities</w:t>
      </w:r>
      <w:proofErr w:type="gramEnd"/>
      <w:r w:rsidRPr="0012353E">
        <w:t xml:space="preserve"> and hospitals.</w:t>
      </w:r>
      <w:r>
        <w:t xml:space="preserve"> </w:t>
      </w:r>
    </w:p>
    <w:p w:rsidR="00900491" w:rsidP="00900491" w:rsidRDefault="00900491" w14:paraId="7DBBEA57" w14:textId="758D758E">
      <w:pPr>
        <w:spacing w:after="240"/>
      </w:pPr>
      <w:r>
        <w:t xml:space="preserve">The teacher target population in ICILS consists of all teachers that are teaching regular school subjects to 8th grade students (regardless of the subject or the number of hours taught) during the ICILS testing period and since the beginning of the school year. A sample of </w:t>
      </w:r>
      <w:r w:rsidR="00827DE3">
        <w:t xml:space="preserve">186 </w:t>
      </w:r>
      <w:r>
        <w:t xml:space="preserve">schools will be selected for the main study, with the goal of obtaining participation from a minimum of </w:t>
      </w:r>
      <w:r w:rsidR="00827DE3">
        <w:t xml:space="preserve">150 </w:t>
      </w:r>
      <w:r>
        <w:t>schools.</w:t>
      </w:r>
    </w:p>
    <w:p w:rsidR="00900491" w:rsidP="00900491" w:rsidRDefault="00900491" w14:paraId="5B12F838" w14:textId="7B6F17B1">
      <w:pPr>
        <w:spacing w:after="240"/>
      </w:pPr>
      <w:r>
        <w:t xml:space="preserve">In each sampled school, one or two classes of students will be selected. A minimum of </w:t>
      </w:r>
      <w:r w:rsidR="00C16EDC">
        <w:t>15</w:t>
      </w:r>
      <w:r>
        <w:t xml:space="preserve"> teachers will be selected. If fewer than </w:t>
      </w:r>
      <w:r w:rsidR="00C16EDC">
        <w:t>15</w:t>
      </w:r>
      <w:r>
        <w:t xml:space="preserve"> eligible teachers can be found in a school, they will all be included in the survey. Also, if the number of eligible teachers is greater than </w:t>
      </w:r>
      <w:r w:rsidR="00C16EDC">
        <w:t>15</w:t>
      </w:r>
      <w:r>
        <w:t>, but less or equal to 2</w:t>
      </w:r>
      <w:r w:rsidR="00C16EDC">
        <w:t>0</w:t>
      </w:r>
      <w:r>
        <w:t xml:space="preserve">, all teachers will be selected </w:t>
      </w:r>
      <w:proofErr w:type="gramStart"/>
      <w:r>
        <w:t>in order to</w:t>
      </w:r>
      <w:proofErr w:type="gramEnd"/>
      <w:r>
        <w:t xml:space="preserve"> prevent the situation that a small number of teachers are the only ones not being surveyed.</w:t>
      </w:r>
    </w:p>
    <w:p w:rsidR="007251D5" w:rsidP="00EA5466" w:rsidRDefault="00900491" w14:paraId="3DE582A7" w14:textId="33A60485">
      <w:pPr>
        <w:spacing w:after="240"/>
      </w:pPr>
      <w:r>
        <w:t xml:space="preserve">School principals and ICT coordinators of the sampled schools will also be asked to complete a school questionnaire. </w:t>
      </w:r>
    </w:p>
    <w:p w:rsidR="009E3F8C" w:rsidP="009E3F8C" w:rsidRDefault="009E3F8C" w14:paraId="54288C5A" w14:textId="4A4BD19F">
      <w:r w:rsidRPr="00302479">
        <w:t>The</w:t>
      </w:r>
      <w:r>
        <w:t xml:space="preserve"> student target population for </w:t>
      </w:r>
      <w:r w:rsidR="008D0A88">
        <w:t>the main study</w:t>
      </w:r>
      <w:r>
        <w:t xml:space="preserve"> of </w:t>
      </w:r>
      <w:r w:rsidR="00097AB7">
        <w:t>ICILS</w:t>
      </w:r>
      <w:r>
        <w:t xml:space="preserve"> 2023</w:t>
      </w:r>
      <w:r w:rsidR="006A4887">
        <w:t xml:space="preserve"> is </w:t>
      </w:r>
      <w:r>
        <w:t xml:space="preserve">eighth-grade students </w:t>
      </w:r>
      <w:r w:rsidRPr="00302479">
        <w:t>enrolled</w:t>
      </w:r>
      <w:r>
        <w:t xml:space="preserve"> in winter/spring of 202</w:t>
      </w:r>
      <w:r w:rsidR="008D0A88">
        <w:t>3</w:t>
      </w:r>
      <w:r w:rsidRPr="00302479">
        <w:t xml:space="preserve"> in the United States (50 states and </w:t>
      </w:r>
      <w:r>
        <w:t xml:space="preserve">the </w:t>
      </w:r>
      <w:r w:rsidRPr="00302479">
        <w:t>District of Columbia)</w:t>
      </w:r>
      <w:r>
        <w:t xml:space="preserve"> in a school in </w:t>
      </w:r>
      <w:r w:rsidR="00827DE3">
        <w:t>the</w:t>
      </w:r>
      <w:r>
        <w:t xml:space="preserve"> school target population. </w:t>
      </w:r>
    </w:p>
    <w:p w:rsidR="009E3F8C" w:rsidP="009E3F8C" w:rsidRDefault="009E3F8C" w14:paraId="1E2030C9" w14:textId="77777777">
      <w:pPr>
        <w:pStyle w:val="P1-StandPara"/>
        <w:widowControl w:val="0"/>
        <w:spacing w:after="120" w:line="22" w:lineRule="atLeast"/>
        <w:ind w:firstLine="0"/>
        <w:jc w:val="left"/>
      </w:pPr>
    </w:p>
    <w:p w:rsidRPr="00CB4BAF" w:rsidR="007251D5" w:rsidP="005A0683" w:rsidRDefault="007251D5" w14:paraId="1DAC11C8" w14:textId="77777777">
      <w:pPr>
        <w:pStyle w:val="TIMSSOMBHeading2"/>
      </w:pPr>
      <w:bookmarkStart w:name="_Toc119829981" w:id="6"/>
      <w:bookmarkStart w:name="_Toc85105264" w:id="7"/>
      <w:r w:rsidRPr="00CB4BAF">
        <w:lastRenderedPageBreak/>
        <w:t>B.2</w:t>
      </w:r>
      <w:r>
        <w:tab/>
      </w:r>
      <w:bookmarkEnd w:id="6"/>
      <w:r w:rsidRPr="00CB4BAF">
        <w:t xml:space="preserve">Statistical </w:t>
      </w:r>
      <w:r w:rsidRPr="00DF7143">
        <w:t>Methodology</w:t>
      </w:r>
      <w:bookmarkEnd w:id="7"/>
    </w:p>
    <w:p w:rsidRPr="00A61696" w:rsidR="00DD4725" w:rsidP="00A61696" w:rsidRDefault="00DD4725" w14:paraId="77E0EDC5" w14:textId="476E3A67">
      <w:pPr>
        <w:pStyle w:val="P1-StandPara"/>
        <w:spacing w:before="240" w:after="120" w:line="22" w:lineRule="atLeast"/>
        <w:ind w:firstLine="0"/>
        <w:jc w:val="left"/>
        <w:rPr>
          <w:sz w:val="24"/>
          <w:szCs w:val="24"/>
        </w:rPr>
      </w:pPr>
      <w:r w:rsidRPr="00A61696">
        <w:rPr>
          <w:sz w:val="24"/>
          <w:szCs w:val="24"/>
        </w:rPr>
        <w:t xml:space="preserve">The school sample design for the main study uses probability sampling to select a sample of schools for grade 8. The school sample will represent all schools, </w:t>
      </w:r>
      <w:r w:rsidR="00827DE3">
        <w:rPr>
          <w:sz w:val="24"/>
          <w:szCs w:val="24"/>
        </w:rPr>
        <w:t>with grade 8</w:t>
      </w:r>
      <w:r w:rsidRPr="00A61696">
        <w:rPr>
          <w:sz w:val="24"/>
          <w:szCs w:val="24"/>
        </w:rPr>
        <w:t>, in the entire United States</w:t>
      </w:r>
      <w:r w:rsidR="00502BDD">
        <w:rPr>
          <w:sz w:val="24"/>
          <w:szCs w:val="24"/>
        </w:rPr>
        <w:t xml:space="preserve"> and D.C.</w:t>
      </w:r>
      <w:r w:rsidRPr="00A61696">
        <w:rPr>
          <w:sz w:val="24"/>
          <w:szCs w:val="24"/>
        </w:rPr>
        <w:t xml:space="preserve">  The main study for </w:t>
      </w:r>
      <w:r w:rsidR="00097AB7">
        <w:rPr>
          <w:sz w:val="24"/>
          <w:szCs w:val="24"/>
        </w:rPr>
        <w:t>ICILS</w:t>
      </w:r>
      <w:r w:rsidRPr="00A61696">
        <w:rPr>
          <w:sz w:val="24"/>
          <w:szCs w:val="24"/>
        </w:rPr>
        <w:t xml:space="preserve"> will take place in the spring of 2023</w:t>
      </w:r>
      <w:r w:rsidRPr="00A61696" w:rsidR="00913210">
        <w:rPr>
          <w:sz w:val="24"/>
          <w:szCs w:val="24"/>
        </w:rPr>
        <w:t>.</w:t>
      </w:r>
    </w:p>
    <w:p w:rsidRPr="00764D22" w:rsidR="00D80A23" w:rsidP="00D80A23" w:rsidRDefault="00D80A23" w14:paraId="5FF5A2A8" w14:textId="29C52403">
      <w:pPr>
        <w:pStyle w:val="P1-StandPara"/>
        <w:spacing w:after="120" w:line="23" w:lineRule="atLeast"/>
        <w:ind w:firstLine="0"/>
        <w:jc w:val="left"/>
        <w:rPr>
          <w:sz w:val="24"/>
          <w:szCs w:val="24"/>
        </w:rPr>
      </w:pPr>
      <w:r w:rsidRPr="00764D22">
        <w:rPr>
          <w:sz w:val="24"/>
          <w:szCs w:val="24"/>
        </w:rPr>
        <w:t xml:space="preserve">The number of overlapping schools between ICILS and other studies will be kept to a minimum. The Trends in </w:t>
      </w:r>
      <w:r w:rsidRPr="00764D22" w:rsidR="00764D22">
        <w:rPr>
          <w:sz w:val="24"/>
          <w:szCs w:val="24"/>
        </w:rPr>
        <w:t>International</w:t>
      </w:r>
      <w:r w:rsidRPr="00764D22">
        <w:rPr>
          <w:sz w:val="24"/>
          <w:szCs w:val="24"/>
        </w:rPr>
        <w:t xml:space="preserve"> Mathematics and Science Study (TIMSS) 2023 main data collection, for students in </w:t>
      </w:r>
      <w:r w:rsidRPr="00764D22" w:rsidR="00764D22">
        <w:rPr>
          <w:sz w:val="24"/>
          <w:szCs w:val="24"/>
        </w:rPr>
        <w:t>grades</w:t>
      </w:r>
      <w:r w:rsidRPr="00764D22">
        <w:rPr>
          <w:sz w:val="24"/>
          <w:szCs w:val="24"/>
        </w:rPr>
        <w:t xml:space="preserve"> 4 and 8, will take place at the same time as ICILS. Overlap control procedures in studies such as this, where stratified probability proportional to size samples of schools are selected, can be implemented via a procedure that applies Bayes Theorem to modify the conditional probability of selection of a given school for one study, depending upon its selection probability for a second study, and </w:t>
      </w:r>
      <w:proofErr w:type="gramStart"/>
      <w:r w:rsidRPr="00764D22">
        <w:rPr>
          <w:sz w:val="24"/>
          <w:szCs w:val="24"/>
        </w:rPr>
        <w:t>whether or not</w:t>
      </w:r>
      <w:proofErr w:type="gramEnd"/>
      <w:r w:rsidRPr="00764D22">
        <w:rPr>
          <w:sz w:val="24"/>
          <w:szCs w:val="24"/>
        </w:rPr>
        <w:t xml:space="preserve"> it was selected for that study. This approach was first documented in a survey sampling application by </w:t>
      </w:r>
      <w:proofErr w:type="spellStart"/>
      <w:r w:rsidRPr="00764D22">
        <w:rPr>
          <w:sz w:val="24"/>
          <w:szCs w:val="24"/>
        </w:rPr>
        <w:t>Keyfitz</w:t>
      </w:r>
      <w:proofErr w:type="spellEnd"/>
      <w:r w:rsidRPr="00764D22">
        <w:rPr>
          <w:sz w:val="24"/>
          <w:szCs w:val="24"/>
        </w:rPr>
        <w:t xml:space="preserve"> (1951)</w:t>
      </w:r>
      <w:r w:rsidRPr="00764D22">
        <w:rPr>
          <w:rStyle w:val="FootnoteReference"/>
          <w:sz w:val="24"/>
          <w:szCs w:val="24"/>
        </w:rPr>
        <w:footnoteReference w:id="1"/>
      </w:r>
      <w:r w:rsidRPr="00764D22">
        <w:rPr>
          <w:sz w:val="24"/>
          <w:szCs w:val="24"/>
        </w:rPr>
        <w:t>. The principles involved can be extended to more than two studies simultaneously, and a procedure for doing this is described by Chowdhury et al. (2000)</w:t>
      </w:r>
      <w:r w:rsidRPr="00764D22">
        <w:rPr>
          <w:rStyle w:val="FootnoteReference"/>
          <w:sz w:val="24"/>
          <w:szCs w:val="24"/>
        </w:rPr>
        <w:footnoteReference w:id="2"/>
      </w:r>
      <w:r w:rsidRPr="00764D22">
        <w:rPr>
          <w:sz w:val="24"/>
          <w:szCs w:val="24"/>
        </w:rPr>
        <w:t>.</w:t>
      </w:r>
    </w:p>
    <w:p w:rsidRPr="00A61696" w:rsidR="00DD4725" w:rsidP="00A61696" w:rsidRDefault="00DD4725" w14:paraId="0B0EA07F" w14:textId="5A40F5F7">
      <w:pPr>
        <w:pStyle w:val="P1-StandPara"/>
        <w:spacing w:before="240" w:after="120" w:line="22" w:lineRule="atLeast"/>
        <w:ind w:firstLine="0"/>
        <w:jc w:val="left"/>
        <w:rPr>
          <w:sz w:val="24"/>
          <w:szCs w:val="24"/>
        </w:rPr>
      </w:pPr>
      <w:r w:rsidRPr="00A61696">
        <w:rPr>
          <w:sz w:val="24"/>
          <w:szCs w:val="24"/>
        </w:rPr>
        <w:t xml:space="preserve">The sample size for the </w:t>
      </w:r>
      <w:r w:rsidR="00097AB7">
        <w:rPr>
          <w:sz w:val="24"/>
          <w:szCs w:val="24"/>
        </w:rPr>
        <w:t>ICILS</w:t>
      </w:r>
      <w:r w:rsidRPr="00A61696">
        <w:rPr>
          <w:sz w:val="24"/>
          <w:szCs w:val="24"/>
        </w:rPr>
        <w:t xml:space="preserve"> main study will be </w:t>
      </w:r>
      <w:r w:rsidR="00502BDD">
        <w:rPr>
          <w:sz w:val="24"/>
          <w:szCs w:val="24"/>
        </w:rPr>
        <w:t>186</w:t>
      </w:r>
      <w:r w:rsidRPr="00A61696" w:rsidR="00502BDD">
        <w:rPr>
          <w:sz w:val="24"/>
          <w:szCs w:val="24"/>
        </w:rPr>
        <w:t xml:space="preserve"> </w:t>
      </w:r>
      <w:r w:rsidRPr="00A61696">
        <w:rPr>
          <w:sz w:val="24"/>
          <w:szCs w:val="24"/>
        </w:rPr>
        <w:t>schools</w:t>
      </w:r>
      <w:r w:rsidR="00502BDD">
        <w:rPr>
          <w:sz w:val="24"/>
          <w:szCs w:val="24"/>
        </w:rPr>
        <w:t>, with two replacement schools available for each of the 186 schools.</w:t>
      </w:r>
      <w:r w:rsidRPr="00A61696">
        <w:rPr>
          <w:sz w:val="24"/>
          <w:szCs w:val="24"/>
        </w:rPr>
        <w:t xml:space="preserve"> The sampling frame of </w:t>
      </w:r>
      <w:r w:rsidR="00A6596A">
        <w:rPr>
          <w:sz w:val="24"/>
          <w:szCs w:val="24"/>
        </w:rPr>
        <w:t xml:space="preserve">grade </w:t>
      </w:r>
      <w:r w:rsidRPr="00A61696">
        <w:rPr>
          <w:sz w:val="24"/>
          <w:szCs w:val="24"/>
        </w:rPr>
        <w:t xml:space="preserve">8 schools will be obtained from </w:t>
      </w:r>
      <w:r w:rsidRPr="00A61696" w:rsidR="00AD649D">
        <w:rPr>
          <w:sz w:val="24"/>
          <w:szCs w:val="24"/>
        </w:rPr>
        <w:t>NCES’ 2019-2020 Common Core of Data (CCD) and preliminary 2019-2020 Private School Universe Survey (PSS) files, restricted to schools having grade 8, respectively,</w:t>
      </w:r>
      <w:r w:rsidRPr="00A61696">
        <w:rPr>
          <w:sz w:val="24"/>
          <w:szCs w:val="24"/>
        </w:rPr>
        <w:t xml:space="preserve"> and </w:t>
      </w:r>
      <w:r w:rsidRPr="00A61696" w:rsidR="00AD649D">
        <w:rPr>
          <w:sz w:val="24"/>
          <w:szCs w:val="24"/>
        </w:rPr>
        <w:t>limited to schools in the 50 United States and the District of Columbia.</w:t>
      </w:r>
    </w:p>
    <w:p w:rsidRPr="00A61696" w:rsidR="00DD4725" w:rsidP="00A61696" w:rsidRDefault="00DD4725" w14:paraId="4B2FDA6A" w14:textId="7B645822">
      <w:pPr>
        <w:pStyle w:val="P1-StandPara"/>
        <w:spacing w:before="240" w:after="120" w:line="22" w:lineRule="atLeast"/>
        <w:ind w:firstLine="0"/>
        <w:jc w:val="left"/>
        <w:rPr>
          <w:sz w:val="24"/>
          <w:szCs w:val="24"/>
        </w:rPr>
      </w:pPr>
      <w:r w:rsidRPr="00A61696">
        <w:rPr>
          <w:sz w:val="24"/>
          <w:szCs w:val="24"/>
        </w:rPr>
        <w:t xml:space="preserve">The </w:t>
      </w:r>
      <w:r w:rsidRPr="00A61696" w:rsidR="00AD649D">
        <w:rPr>
          <w:sz w:val="24"/>
          <w:szCs w:val="24"/>
        </w:rPr>
        <w:t xml:space="preserve">school </w:t>
      </w:r>
      <w:r w:rsidRPr="00A61696">
        <w:rPr>
          <w:sz w:val="24"/>
          <w:szCs w:val="24"/>
        </w:rPr>
        <w:t xml:space="preserve">sample will be </w:t>
      </w:r>
      <w:r w:rsidRPr="00A61696" w:rsidR="00AD649D">
        <w:rPr>
          <w:sz w:val="24"/>
          <w:szCs w:val="24"/>
        </w:rPr>
        <w:t xml:space="preserve">explicitly and implicitly </w:t>
      </w:r>
      <w:r w:rsidRPr="00A61696">
        <w:rPr>
          <w:sz w:val="24"/>
          <w:szCs w:val="24"/>
        </w:rPr>
        <w:t>stratified according to school characteristics</w:t>
      </w:r>
      <w:r w:rsidRPr="00A61696" w:rsidR="00AD649D">
        <w:rPr>
          <w:sz w:val="24"/>
          <w:szCs w:val="24"/>
        </w:rPr>
        <w:t xml:space="preserve">. Explicit strata will be created by cross-classifying school type (public/private), Census region (Northeast, Midwest, South, and West), and poverty status </w:t>
      </w:r>
      <w:r w:rsidRPr="00A61696">
        <w:rPr>
          <w:sz w:val="24"/>
          <w:szCs w:val="24"/>
        </w:rPr>
        <w:t>(</w:t>
      </w:r>
      <w:r w:rsidRPr="00A61696" w:rsidR="00AD649D">
        <w:rPr>
          <w:sz w:val="24"/>
          <w:szCs w:val="24"/>
        </w:rPr>
        <w:t xml:space="preserve">High/Low, </w:t>
      </w:r>
      <w:r w:rsidRPr="00A61696">
        <w:rPr>
          <w:sz w:val="24"/>
          <w:szCs w:val="24"/>
        </w:rPr>
        <w:t>as measured by the percentage of students in the school receiving free or reduced-price lunch in the National School Lunch Program (NSLP)). This will ensure an appropriate representation of each type of school in the selected sample of schools.</w:t>
      </w:r>
      <w:r w:rsidRPr="00A61696" w:rsidR="00AD649D">
        <w:rPr>
          <w:sz w:val="24"/>
          <w:szCs w:val="24"/>
        </w:rPr>
        <w:t xml:space="preserve"> Within each explicit stratum, schools will be hierarchically sorted by locale (city, suburb, town, rural), percent non-white (</w:t>
      </w:r>
      <w:r w:rsidRPr="00A61696" w:rsidR="00C524C8">
        <w:rPr>
          <w:sz w:val="24"/>
          <w:szCs w:val="24"/>
        </w:rPr>
        <w:t>less than 15 percent, greater than or equal to 15 percent), State, and enrollment</w:t>
      </w:r>
      <w:r w:rsidRPr="00A61696" w:rsidR="00C524C8">
        <w:rPr>
          <w:rStyle w:val="FootnoteReference"/>
          <w:sz w:val="24"/>
          <w:szCs w:val="24"/>
        </w:rPr>
        <w:footnoteReference w:id="3"/>
      </w:r>
      <w:r w:rsidRPr="00A61696" w:rsidR="00C524C8">
        <w:rPr>
          <w:sz w:val="24"/>
          <w:szCs w:val="24"/>
        </w:rPr>
        <w:t xml:space="preserve"> in the respective grade.</w:t>
      </w:r>
      <w:r w:rsidRPr="00A61696" w:rsidR="008D0A88">
        <w:rPr>
          <w:sz w:val="24"/>
          <w:szCs w:val="24"/>
        </w:rPr>
        <w:t xml:space="preserve"> Hierarchical sorting will result in samples within explicit strata being distributed approximately proportionately across the groups defined by the implicit stratification variables.</w:t>
      </w:r>
    </w:p>
    <w:p w:rsidRPr="00A61696" w:rsidR="00DD4725" w:rsidP="00A61696" w:rsidRDefault="00DD4725" w14:paraId="05DAE9C8" w14:textId="47FEE1A8">
      <w:pPr>
        <w:pStyle w:val="P1-StandPara"/>
        <w:spacing w:before="240" w:after="120" w:line="22" w:lineRule="atLeast"/>
        <w:ind w:firstLine="0"/>
        <w:jc w:val="left"/>
        <w:rPr>
          <w:sz w:val="24"/>
          <w:szCs w:val="24"/>
        </w:rPr>
      </w:pPr>
      <w:r w:rsidRPr="00A61696">
        <w:rPr>
          <w:sz w:val="24"/>
          <w:szCs w:val="24"/>
        </w:rPr>
        <w:t xml:space="preserve">Schools will be selected with probability proportional to </w:t>
      </w:r>
      <w:r w:rsidRPr="00A61696" w:rsidR="00913210">
        <w:rPr>
          <w:sz w:val="24"/>
          <w:szCs w:val="24"/>
        </w:rPr>
        <w:t>enrollment in grade 8</w:t>
      </w:r>
      <w:r w:rsidRPr="00A61696" w:rsidR="008D0A88">
        <w:rPr>
          <w:sz w:val="24"/>
          <w:szCs w:val="24"/>
        </w:rPr>
        <w:t xml:space="preserve"> using systematic probability proportional to size sampling. </w:t>
      </w:r>
      <w:r w:rsidRPr="00A61696" w:rsidR="00913210">
        <w:rPr>
          <w:sz w:val="24"/>
          <w:szCs w:val="24"/>
        </w:rPr>
        <w:t xml:space="preserve">Because the number of classes </w:t>
      </w:r>
      <w:proofErr w:type="gramStart"/>
      <w:r w:rsidRPr="00A61696" w:rsidR="00913210">
        <w:rPr>
          <w:sz w:val="24"/>
          <w:szCs w:val="24"/>
        </w:rPr>
        <w:t>in a given</w:t>
      </w:r>
      <w:proofErr w:type="gramEnd"/>
      <w:r w:rsidRPr="00A61696" w:rsidR="00913210">
        <w:rPr>
          <w:sz w:val="24"/>
          <w:szCs w:val="24"/>
        </w:rPr>
        <w:t xml:space="preserve"> grade at a school is approximately proportional to the number of students enrolled in that grade, and because one or two classrooms will be sampled from participating schools, the use of </w:t>
      </w:r>
      <w:r w:rsidRPr="00A61696">
        <w:rPr>
          <w:sz w:val="24"/>
          <w:szCs w:val="24"/>
        </w:rPr>
        <w:t xml:space="preserve">a probability proportional to </w:t>
      </w:r>
      <w:r w:rsidRPr="00A61696" w:rsidR="00913210">
        <w:rPr>
          <w:sz w:val="24"/>
          <w:szCs w:val="24"/>
        </w:rPr>
        <w:t xml:space="preserve">enrollment </w:t>
      </w:r>
      <w:r w:rsidRPr="00A61696">
        <w:rPr>
          <w:sz w:val="24"/>
          <w:szCs w:val="24"/>
        </w:rPr>
        <w:t>sample design ensures that all students</w:t>
      </w:r>
      <w:r w:rsidRPr="00A61696" w:rsidR="00913210">
        <w:rPr>
          <w:sz w:val="24"/>
          <w:szCs w:val="24"/>
        </w:rPr>
        <w:t xml:space="preserve"> </w:t>
      </w:r>
      <w:r w:rsidRPr="00A61696">
        <w:rPr>
          <w:sz w:val="24"/>
          <w:szCs w:val="24"/>
        </w:rPr>
        <w:t xml:space="preserve">have an approximately equal chance of selection, since </w:t>
      </w:r>
      <w:r w:rsidR="00EA5466">
        <w:rPr>
          <w:sz w:val="24"/>
          <w:szCs w:val="24"/>
        </w:rPr>
        <w:t xml:space="preserve">up to </w:t>
      </w:r>
      <w:r w:rsidRPr="00A61696">
        <w:rPr>
          <w:sz w:val="24"/>
          <w:szCs w:val="24"/>
        </w:rPr>
        <w:t>two classes will be selected from each school regardless of the size of the school.</w:t>
      </w:r>
    </w:p>
    <w:p w:rsidRPr="00A61696" w:rsidR="00913210" w:rsidP="00A61696" w:rsidRDefault="00DD4725" w14:paraId="339077B1" w14:textId="5A60601D">
      <w:pPr>
        <w:spacing w:before="240" w:after="240"/>
      </w:pPr>
      <w:r w:rsidRPr="00A61696">
        <w:lastRenderedPageBreak/>
        <w:t xml:space="preserve">Student sampling will be accomplished by selecting </w:t>
      </w:r>
      <w:r w:rsidRPr="00A61696" w:rsidR="00913210">
        <w:t xml:space="preserve">one or </w:t>
      </w:r>
      <w:r w:rsidRPr="00A61696">
        <w:t xml:space="preserve">two classes per school. </w:t>
      </w:r>
      <w:r w:rsidRPr="00A61696" w:rsidR="00913210">
        <w:t xml:space="preserve">Participating schools will be asked to provide a list of classes. Students will be selected for participation by drawing a random sample of up to two classes in each school using software provided by the international </w:t>
      </w:r>
      <w:r w:rsidR="00097AB7">
        <w:t>ICILS</w:t>
      </w:r>
      <w:r w:rsidRPr="00A61696" w:rsidR="00913210">
        <w:t xml:space="preserve"> study coordinat</w:t>
      </w:r>
      <w:r w:rsidRPr="00A61696" w:rsidR="00121AB5">
        <w:t>or</w:t>
      </w:r>
      <w:r w:rsidRPr="00A61696" w:rsidR="00913210">
        <w:t>. Smaller classes may be combined to form ‘</w:t>
      </w:r>
      <w:proofErr w:type="spellStart"/>
      <w:r w:rsidRPr="00A61696" w:rsidR="00913210">
        <w:t>pseudoclasses</w:t>
      </w:r>
      <w:proofErr w:type="spellEnd"/>
      <w:r w:rsidRPr="00A61696" w:rsidR="00913210">
        <w:t xml:space="preserve">’ for sampling. </w:t>
      </w:r>
      <w:r w:rsidR="00EA5466">
        <w:t xml:space="preserve">After sampling, schools will provide the list of students in the sampled classes. </w:t>
      </w:r>
      <w:r w:rsidRPr="00A61696" w:rsidR="00913210">
        <w:t xml:space="preserve">All selected students will be asked to participate in </w:t>
      </w:r>
      <w:r w:rsidR="00097AB7">
        <w:t>ICILS</w:t>
      </w:r>
      <w:r w:rsidRPr="00A61696" w:rsidR="00913210">
        <w:t>. We estimate that on average 45 students will be selected from each school, and up to 10 percent of those students will be ineligible or excluded</w:t>
      </w:r>
      <w:r w:rsidRPr="00A61696" w:rsidR="00913210">
        <w:rPr>
          <w:rStyle w:val="FootnoteReference"/>
        </w:rPr>
        <w:footnoteReference w:id="4"/>
      </w:r>
      <w:r w:rsidRPr="00A61696" w:rsidR="00913210">
        <w:t xml:space="preserve"> for the </w:t>
      </w:r>
      <w:r w:rsidRPr="00A61696" w:rsidR="00411721">
        <w:t>main study</w:t>
      </w:r>
      <w:r w:rsidRPr="00A61696" w:rsidR="00913210">
        <w:t>, yielding approximately 1</w:t>
      </w:r>
      <w:r w:rsidRPr="00A61696" w:rsidR="00CD018F">
        <w:t>0,000</w:t>
      </w:r>
      <w:r w:rsidRPr="00A61696" w:rsidR="00913210">
        <w:t xml:space="preserve"> eighth grade students. </w:t>
      </w:r>
      <w:r w:rsidRPr="00A61696" w:rsidR="00CD018F">
        <w:tab/>
      </w:r>
    </w:p>
    <w:p w:rsidR="00317BA9" w:rsidP="00DD4725" w:rsidRDefault="00DD4725" w14:paraId="2D8BA0DC" w14:textId="495C9E8A">
      <w:pPr>
        <w:pStyle w:val="P1-StandPara"/>
        <w:spacing w:after="240" w:line="240" w:lineRule="auto"/>
        <w:ind w:firstLine="0"/>
        <w:jc w:val="left"/>
        <w:rPr>
          <w:sz w:val="24"/>
          <w:szCs w:val="24"/>
        </w:rPr>
      </w:pPr>
      <w:r w:rsidRPr="0046223B">
        <w:rPr>
          <w:sz w:val="24"/>
          <w:szCs w:val="24"/>
        </w:rPr>
        <w:t>Class and student lists will be gathered from participating schools electronically using a secure electronic filing process (as explained in Part A). Electronic filing provides advantageous features such as efficiency and data quality checks. Schools will access the electronic filing system through a web site.</w:t>
      </w:r>
    </w:p>
    <w:p w:rsidR="008B6E03" w:rsidRDefault="008B6E03" w14:paraId="254B04D5" w14:textId="77777777">
      <w:pPr>
        <w:spacing w:after="160" w:line="259" w:lineRule="auto"/>
        <w:rPr>
          <w:rFonts w:asciiTheme="majorHAnsi" w:hAnsiTheme="majorHAnsi" w:eastAsiaTheme="majorEastAsia" w:cstheme="majorBidi"/>
          <w:i/>
          <w:iCs/>
          <w:color w:val="2F5496" w:themeColor="accent1" w:themeShade="BF"/>
          <w:sz w:val="22"/>
          <w:szCs w:val="22"/>
        </w:rPr>
      </w:pPr>
      <w:r>
        <w:rPr>
          <w:rFonts w:asciiTheme="majorHAnsi" w:hAnsiTheme="majorHAnsi" w:eastAsiaTheme="majorEastAsia" w:cstheme="majorBidi"/>
          <w:i/>
          <w:iCs/>
          <w:color w:val="2F5496" w:themeColor="accent1" w:themeShade="BF"/>
          <w:sz w:val="22"/>
          <w:szCs w:val="22"/>
        </w:rPr>
        <w:br w:type="page"/>
      </w:r>
    </w:p>
    <w:p w:rsidRPr="00F94758" w:rsidR="008D0A88" w:rsidP="008D0A88" w:rsidRDefault="008D0A88" w14:paraId="4FF2D6A9" w14:textId="41D1B64A">
      <w:pPr>
        <w:spacing w:after="120" w:line="22" w:lineRule="atLeast"/>
        <w:rPr>
          <w:rFonts w:asciiTheme="majorHAnsi" w:hAnsiTheme="majorHAnsi" w:eastAsiaTheme="majorEastAsia" w:cstheme="majorBidi"/>
          <w:i/>
          <w:iCs/>
          <w:color w:val="2F5496" w:themeColor="accent1" w:themeShade="BF"/>
          <w:sz w:val="22"/>
          <w:szCs w:val="22"/>
        </w:rPr>
      </w:pPr>
      <w:r w:rsidRPr="00F94758">
        <w:rPr>
          <w:rFonts w:asciiTheme="majorHAnsi" w:hAnsiTheme="majorHAnsi" w:eastAsiaTheme="majorEastAsia" w:cstheme="majorBidi"/>
          <w:i/>
          <w:iCs/>
          <w:color w:val="2F5496" w:themeColor="accent1" w:themeShade="BF"/>
          <w:sz w:val="22"/>
          <w:szCs w:val="22"/>
        </w:rPr>
        <w:lastRenderedPageBreak/>
        <w:t>Nonresponse Bias Analysis, Weighting, and Sampling Errors</w:t>
      </w:r>
    </w:p>
    <w:p w:rsidRPr="00121AB5" w:rsidR="008D0A88" w:rsidP="008D0A88" w:rsidRDefault="008D0A88" w14:paraId="3221DF8C" w14:textId="126AE957">
      <w:pPr>
        <w:spacing w:after="120" w:line="22" w:lineRule="atLeast"/>
      </w:pPr>
      <w:r w:rsidRPr="00121AB5">
        <w:t xml:space="preserve">We will conduct a nonresponse bias analysis pursuant to NCES statistical standards </w:t>
      </w:r>
      <w:proofErr w:type="gramStart"/>
      <w:r w:rsidRPr="00121AB5">
        <w:t>in order to</w:t>
      </w:r>
      <w:proofErr w:type="gramEnd"/>
      <w:r w:rsidRPr="00121AB5">
        <w:t xml:space="preserve"> determine where and how respondents and nonrespondents differ on available characteristics. Sampling errors</w:t>
      </w:r>
      <w:r w:rsidRPr="00121AB5" w:rsidR="00D864EF">
        <w:t>, that account for unequal weighting, stratification, and probability sampling</w:t>
      </w:r>
      <w:r w:rsidRPr="00121AB5">
        <w:t xml:space="preserve"> will be calculated for a selection of key estimates.</w:t>
      </w:r>
      <w:r w:rsidR="00295668">
        <w:t xml:space="preserve"> For more details about </w:t>
      </w:r>
      <w:r w:rsidR="002421EF">
        <w:t xml:space="preserve">our planned response, please see our </w:t>
      </w:r>
      <w:r w:rsidR="00ED22DE">
        <w:t>Non-Response Bias Analysis Plan in Appendix C.</w:t>
      </w:r>
    </w:p>
    <w:p w:rsidRPr="0046223B" w:rsidR="008D0A88" w:rsidP="00DD4725" w:rsidRDefault="008D0A88" w14:paraId="013B031B" w14:textId="77777777">
      <w:pPr>
        <w:pStyle w:val="P1-StandPara"/>
        <w:spacing w:after="240" w:line="240" w:lineRule="auto"/>
        <w:ind w:firstLine="0"/>
        <w:jc w:val="left"/>
        <w:rPr>
          <w:sz w:val="24"/>
          <w:szCs w:val="24"/>
        </w:rPr>
      </w:pPr>
    </w:p>
    <w:p w:rsidRPr="0046223B" w:rsidR="00DD6485" w:rsidP="005A0683" w:rsidRDefault="002D2F87" w14:paraId="2A72E5B8" w14:textId="43B10421">
      <w:pPr>
        <w:pStyle w:val="TIMSSOMBHeading2"/>
        <w:rPr>
          <w:rFonts w:ascii="Times New Roman" w:hAnsi="Times New Roman" w:cs="Times New Roman"/>
          <w:sz w:val="24"/>
          <w:szCs w:val="24"/>
        </w:rPr>
      </w:pPr>
      <w:bookmarkStart w:name="_Toc85105265" w:id="8"/>
      <w:r w:rsidRPr="0046223B">
        <w:rPr>
          <w:rFonts w:ascii="Times New Roman" w:hAnsi="Times New Roman" w:cs="Times New Roman"/>
          <w:sz w:val="24"/>
          <w:szCs w:val="24"/>
        </w:rPr>
        <w:t>B.3</w:t>
      </w:r>
      <w:r w:rsidRPr="0046223B">
        <w:rPr>
          <w:rFonts w:ascii="Times New Roman" w:hAnsi="Times New Roman" w:cs="Times New Roman"/>
          <w:sz w:val="24"/>
          <w:szCs w:val="24"/>
        </w:rPr>
        <w:tab/>
        <w:t>Maximizing Response Rates</w:t>
      </w:r>
      <w:bookmarkEnd w:id="8"/>
    </w:p>
    <w:p w:rsidRPr="0046223B" w:rsidR="002D2F87" w:rsidP="00A6596A" w:rsidRDefault="00237B78" w14:paraId="5CF07DCA" w14:textId="7CB94AC7">
      <w:pPr>
        <w:spacing w:line="264" w:lineRule="auto"/>
      </w:pPr>
      <w:r w:rsidRPr="00F836F1">
        <w:t xml:space="preserve">Gaining cooperation from school districts and schools is paramount to the success of </w:t>
      </w:r>
      <w:r w:rsidRPr="00F836F1" w:rsidR="00097AB7">
        <w:t>ICILS</w:t>
      </w:r>
      <w:r w:rsidRPr="00F836F1" w:rsidR="001C4B49">
        <w:t xml:space="preserve"> 2023</w:t>
      </w:r>
      <w:r w:rsidRPr="00F836F1">
        <w:t xml:space="preserve">, </w:t>
      </w:r>
      <w:proofErr w:type="gramStart"/>
      <w:r w:rsidRPr="00F836F1">
        <w:t xml:space="preserve">and </w:t>
      </w:r>
      <w:r w:rsidRPr="00F836F1" w:rsidR="001C4B49">
        <w:t>also</w:t>
      </w:r>
      <w:proofErr w:type="gramEnd"/>
      <w:r w:rsidRPr="00F836F1" w:rsidR="001C4B49">
        <w:t xml:space="preserve"> the most significant challenge of the study.</w:t>
      </w:r>
      <w:r w:rsidRPr="00F836F1" w:rsidR="000F3D20">
        <w:t xml:space="preserve"> In 2018,</w:t>
      </w:r>
      <w:r w:rsidRPr="00F836F1" w:rsidR="001C4B49">
        <w:t xml:space="preserve"> </w:t>
      </w:r>
      <w:r w:rsidRPr="00F836F1" w:rsidR="000F3D20">
        <w:t xml:space="preserve">student participation was challenging for ICILS than other international assessments because ICILS required a random student sample within schools rather than a selection of classes. For 2023, ICILS has </w:t>
      </w:r>
      <w:r w:rsidR="007377A5">
        <w:t xml:space="preserve">followed </w:t>
      </w:r>
      <w:r w:rsidR="00C33ABA">
        <w:t xml:space="preserve">the Trends in </w:t>
      </w:r>
      <w:r w:rsidR="00076BD7">
        <w:t xml:space="preserve">International </w:t>
      </w:r>
      <w:r w:rsidR="00C33ABA">
        <w:t xml:space="preserve">Mathematics and Science Study </w:t>
      </w:r>
      <w:r w:rsidR="00076BD7">
        <w:t xml:space="preserve">(TIMSS) and </w:t>
      </w:r>
      <w:r w:rsidRPr="00F836F1" w:rsidR="000F3D20">
        <w:t xml:space="preserve">changed the student sampling method to </w:t>
      </w:r>
      <w:r w:rsidRPr="00F836F1" w:rsidR="00BC438E">
        <w:t>select</w:t>
      </w:r>
      <w:r w:rsidRPr="00F836F1" w:rsidR="000F3D20">
        <w:t xml:space="preserve"> intact classe</w:t>
      </w:r>
      <w:r w:rsidRPr="00F836F1" w:rsidR="00BC438E">
        <w:t>s. Historically, TIMSS had overall student participation rates above 90 percent (see Table 1). In addition</w:t>
      </w:r>
      <w:r w:rsidRPr="00F836F1" w:rsidR="002D2F87">
        <w:t xml:space="preserve">, it is important to U.S. </w:t>
      </w:r>
      <w:r w:rsidRPr="00F836F1" w:rsidR="00097AB7">
        <w:t>ICILS</w:t>
      </w:r>
      <w:r w:rsidRPr="00F836F1" w:rsidR="002D2F87">
        <w:t xml:space="preserve"> that students are engaged and try to do their best on the assessment</w:t>
      </w:r>
      <w:r w:rsidRPr="0046223B" w:rsidR="002D2F87">
        <w:t>.</w:t>
      </w:r>
    </w:p>
    <w:p w:rsidRPr="00545D17" w:rsidR="00BC438E" w:rsidP="00BC438E" w:rsidRDefault="00BC438E" w14:paraId="057679D5" w14:textId="77777777">
      <w:pPr>
        <w:pStyle w:val="P1-StandPara"/>
        <w:spacing w:after="60"/>
        <w:ind w:firstLine="0"/>
        <w:jc w:val="left"/>
        <w:rPr>
          <w:b/>
          <w:sz w:val="24"/>
        </w:rPr>
      </w:pPr>
      <w:r w:rsidRPr="00545D17">
        <w:rPr>
          <w:b/>
          <w:sz w:val="24"/>
        </w:rPr>
        <w:t xml:space="preserve">Table 1. Historical TIMSS school and student participation rates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70"/>
        <w:gridCol w:w="870"/>
        <w:gridCol w:w="2117"/>
        <w:gridCol w:w="1994"/>
        <w:gridCol w:w="3499"/>
      </w:tblGrid>
      <w:tr w:rsidRPr="00545D17" w:rsidR="00BC438E" w:rsidTr="00DD3653" w14:paraId="6C195F0E" w14:textId="77777777">
        <w:trPr>
          <w:trHeight w:val="288"/>
        </w:trPr>
        <w:tc>
          <w:tcPr>
            <w:tcW w:w="466" w:type="pct"/>
            <w:vMerge w:val="restart"/>
            <w:vAlign w:val="center"/>
          </w:tcPr>
          <w:p w:rsidRPr="005C6F62" w:rsidR="00BC438E" w:rsidP="00DD3653" w:rsidRDefault="00BC438E" w14:paraId="2D2C9F8C" w14:textId="77777777">
            <w:pPr>
              <w:jc w:val="center"/>
              <w:rPr>
                <w:b/>
                <w:bCs/>
                <w:color w:val="000000"/>
                <w:vertAlign w:val="superscript"/>
              </w:rPr>
            </w:pPr>
            <w:bookmarkStart w:name="_Hlk71028687" w:id="9"/>
            <w:r w:rsidRPr="00545D17">
              <w:rPr>
                <w:b/>
                <w:bCs/>
                <w:color w:val="000000"/>
              </w:rPr>
              <w:t>Year</w:t>
            </w:r>
          </w:p>
        </w:tc>
        <w:tc>
          <w:tcPr>
            <w:tcW w:w="465" w:type="pct"/>
            <w:vMerge w:val="restart"/>
            <w:shd w:val="clear" w:color="auto" w:fill="auto"/>
            <w:noWrap/>
            <w:vAlign w:val="center"/>
            <w:hideMark/>
          </w:tcPr>
          <w:p w:rsidRPr="00545D17" w:rsidR="00BC438E" w:rsidP="00DD3653" w:rsidRDefault="00BC438E" w14:paraId="23F1760F" w14:textId="77777777">
            <w:pPr>
              <w:jc w:val="center"/>
              <w:rPr>
                <w:b/>
                <w:bCs/>
                <w:color w:val="000000"/>
              </w:rPr>
            </w:pPr>
            <w:r w:rsidRPr="00545D17">
              <w:rPr>
                <w:b/>
                <w:bCs/>
                <w:color w:val="000000"/>
              </w:rPr>
              <w:t>Grade</w:t>
            </w:r>
          </w:p>
        </w:tc>
        <w:tc>
          <w:tcPr>
            <w:tcW w:w="2198" w:type="pct"/>
            <w:gridSpan w:val="2"/>
            <w:shd w:val="clear" w:color="auto" w:fill="auto"/>
            <w:noWrap/>
            <w:vAlign w:val="center"/>
            <w:hideMark/>
          </w:tcPr>
          <w:p w:rsidRPr="00545D17" w:rsidR="00BC438E" w:rsidP="00DD3653" w:rsidRDefault="00BC438E" w14:paraId="014AD9C5" w14:textId="77777777">
            <w:pPr>
              <w:jc w:val="center"/>
              <w:rPr>
                <w:b/>
                <w:color w:val="000000"/>
              </w:rPr>
            </w:pPr>
            <w:r w:rsidRPr="00545D17">
              <w:rPr>
                <w:b/>
                <w:color w:val="000000"/>
                <w:sz w:val="22"/>
                <w:szCs w:val="22"/>
              </w:rPr>
              <w:t>School Participation Rate</w:t>
            </w:r>
          </w:p>
        </w:tc>
        <w:tc>
          <w:tcPr>
            <w:tcW w:w="1871" w:type="pct"/>
            <w:vMerge w:val="restart"/>
            <w:shd w:val="clear" w:color="auto" w:fill="auto"/>
            <w:noWrap/>
            <w:vAlign w:val="center"/>
            <w:hideMark/>
          </w:tcPr>
          <w:p w:rsidRPr="00545D17" w:rsidR="00BC438E" w:rsidP="00DD3653" w:rsidRDefault="00BC438E" w14:paraId="2F911683" w14:textId="77777777">
            <w:pPr>
              <w:jc w:val="center"/>
              <w:rPr>
                <w:b/>
                <w:color w:val="000000"/>
              </w:rPr>
            </w:pPr>
            <w:r w:rsidRPr="00545D17">
              <w:rPr>
                <w:b/>
                <w:color w:val="000000"/>
                <w:sz w:val="22"/>
                <w:szCs w:val="22"/>
              </w:rPr>
              <w:t>Overall Student Participation Rate</w:t>
            </w:r>
          </w:p>
        </w:tc>
      </w:tr>
      <w:tr w:rsidRPr="00545D17" w:rsidR="00BC438E" w:rsidTr="00DD3653" w14:paraId="5B389771" w14:textId="77777777">
        <w:trPr>
          <w:trHeight w:val="288"/>
        </w:trPr>
        <w:tc>
          <w:tcPr>
            <w:tcW w:w="466" w:type="pct"/>
            <w:vMerge/>
            <w:vAlign w:val="center"/>
          </w:tcPr>
          <w:p w:rsidRPr="00545D17" w:rsidR="00BC438E" w:rsidP="00DD3653" w:rsidRDefault="00BC438E" w14:paraId="24607BA9" w14:textId="77777777">
            <w:pPr>
              <w:jc w:val="center"/>
              <w:rPr>
                <w:b/>
                <w:color w:val="000000"/>
                <w:sz w:val="22"/>
                <w:szCs w:val="22"/>
              </w:rPr>
            </w:pPr>
          </w:p>
        </w:tc>
        <w:tc>
          <w:tcPr>
            <w:tcW w:w="465" w:type="pct"/>
            <w:vMerge/>
            <w:shd w:val="clear" w:color="auto" w:fill="auto"/>
            <w:noWrap/>
            <w:vAlign w:val="center"/>
            <w:hideMark/>
          </w:tcPr>
          <w:p w:rsidRPr="00545D17" w:rsidR="00BC438E" w:rsidP="00DD3653" w:rsidRDefault="00BC438E" w14:paraId="2474BCEA" w14:textId="77777777">
            <w:pPr>
              <w:jc w:val="center"/>
              <w:rPr>
                <w:b/>
                <w:color w:val="000000"/>
              </w:rPr>
            </w:pPr>
          </w:p>
        </w:tc>
        <w:tc>
          <w:tcPr>
            <w:tcW w:w="1132" w:type="pct"/>
            <w:shd w:val="clear" w:color="auto" w:fill="auto"/>
            <w:noWrap/>
            <w:vAlign w:val="center"/>
            <w:hideMark/>
          </w:tcPr>
          <w:p w:rsidRPr="00545D17" w:rsidR="00BC438E" w:rsidP="00DD3653" w:rsidRDefault="00BC438E" w14:paraId="2D803187" w14:textId="77777777">
            <w:pPr>
              <w:jc w:val="center"/>
              <w:rPr>
                <w:b/>
                <w:color w:val="000000"/>
              </w:rPr>
            </w:pPr>
            <w:r w:rsidRPr="00545D17">
              <w:rPr>
                <w:b/>
                <w:color w:val="000000"/>
                <w:sz w:val="22"/>
              </w:rPr>
              <w:t>Before Replacement</w:t>
            </w:r>
          </w:p>
        </w:tc>
        <w:tc>
          <w:tcPr>
            <w:tcW w:w="1066" w:type="pct"/>
            <w:shd w:val="clear" w:color="auto" w:fill="auto"/>
            <w:noWrap/>
            <w:vAlign w:val="center"/>
            <w:hideMark/>
          </w:tcPr>
          <w:p w:rsidRPr="00545D17" w:rsidR="00BC438E" w:rsidP="00DD3653" w:rsidRDefault="00BC438E" w14:paraId="29F8DDB0" w14:textId="77777777">
            <w:pPr>
              <w:jc w:val="center"/>
              <w:rPr>
                <w:b/>
                <w:color w:val="000000"/>
              </w:rPr>
            </w:pPr>
            <w:r w:rsidRPr="00545D17">
              <w:rPr>
                <w:b/>
                <w:color w:val="000000"/>
                <w:sz w:val="22"/>
              </w:rPr>
              <w:t>After Replacement</w:t>
            </w:r>
          </w:p>
        </w:tc>
        <w:tc>
          <w:tcPr>
            <w:tcW w:w="1871" w:type="pct"/>
            <w:vMerge/>
            <w:shd w:val="clear" w:color="auto" w:fill="auto"/>
            <w:noWrap/>
            <w:vAlign w:val="center"/>
            <w:hideMark/>
          </w:tcPr>
          <w:p w:rsidRPr="00545D17" w:rsidR="00BC438E" w:rsidP="00DD3653" w:rsidRDefault="00BC438E" w14:paraId="4B5D7404" w14:textId="77777777">
            <w:pPr>
              <w:jc w:val="center"/>
              <w:rPr>
                <w:color w:val="000000"/>
              </w:rPr>
            </w:pPr>
          </w:p>
        </w:tc>
      </w:tr>
      <w:tr w:rsidRPr="00545D17" w:rsidR="00BC438E" w:rsidTr="00DD3653" w14:paraId="3FF412AA" w14:textId="77777777">
        <w:trPr>
          <w:trHeight w:val="288"/>
        </w:trPr>
        <w:tc>
          <w:tcPr>
            <w:tcW w:w="466" w:type="pct"/>
            <w:vMerge w:val="restart"/>
            <w:vAlign w:val="center"/>
          </w:tcPr>
          <w:p w:rsidRPr="00545D17" w:rsidR="00BC438E" w:rsidP="00DD3653" w:rsidRDefault="00BC438E" w14:paraId="2516A9A9" w14:textId="77777777">
            <w:pPr>
              <w:jc w:val="center"/>
              <w:rPr>
                <w:b/>
                <w:color w:val="000000"/>
                <w:sz w:val="22"/>
                <w:szCs w:val="22"/>
              </w:rPr>
            </w:pPr>
            <w:r>
              <w:rPr>
                <w:b/>
                <w:color w:val="000000"/>
                <w:sz w:val="22"/>
                <w:szCs w:val="22"/>
              </w:rPr>
              <w:t>2019</w:t>
            </w:r>
          </w:p>
        </w:tc>
        <w:tc>
          <w:tcPr>
            <w:tcW w:w="465" w:type="pct"/>
            <w:shd w:val="clear" w:color="auto" w:fill="auto"/>
            <w:noWrap/>
            <w:vAlign w:val="center"/>
          </w:tcPr>
          <w:p w:rsidRPr="00545D17" w:rsidR="00BC438E" w:rsidP="00DD3653" w:rsidRDefault="00BC438E" w14:paraId="7177898A" w14:textId="77777777">
            <w:pPr>
              <w:jc w:val="center"/>
              <w:rPr>
                <w:color w:val="000000"/>
                <w:sz w:val="22"/>
                <w:szCs w:val="22"/>
              </w:rPr>
            </w:pPr>
            <w:r>
              <w:rPr>
                <w:color w:val="000000"/>
                <w:sz w:val="22"/>
                <w:szCs w:val="22"/>
              </w:rPr>
              <w:t>4</w:t>
            </w:r>
          </w:p>
        </w:tc>
        <w:tc>
          <w:tcPr>
            <w:tcW w:w="1132" w:type="pct"/>
            <w:shd w:val="clear" w:color="auto" w:fill="auto"/>
            <w:noWrap/>
            <w:vAlign w:val="center"/>
          </w:tcPr>
          <w:p w:rsidRPr="00B233D8" w:rsidR="00BC438E" w:rsidP="00DD3653" w:rsidRDefault="00BC438E" w14:paraId="11E46879" w14:textId="77777777">
            <w:pPr>
              <w:jc w:val="center"/>
              <w:rPr>
                <w:color w:val="000000"/>
                <w:sz w:val="22"/>
                <w:szCs w:val="22"/>
              </w:rPr>
            </w:pPr>
            <w:r w:rsidRPr="002E3EBB">
              <w:rPr>
                <w:sz w:val="22"/>
                <w:szCs w:val="22"/>
              </w:rPr>
              <w:t>76</w:t>
            </w:r>
          </w:p>
        </w:tc>
        <w:tc>
          <w:tcPr>
            <w:tcW w:w="1066" w:type="pct"/>
            <w:shd w:val="clear" w:color="auto" w:fill="auto"/>
            <w:noWrap/>
            <w:vAlign w:val="center"/>
          </w:tcPr>
          <w:p w:rsidRPr="00B233D8" w:rsidR="00BC438E" w:rsidP="00DD3653" w:rsidRDefault="00BC438E" w14:paraId="0288AED2" w14:textId="77777777">
            <w:pPr>
              <w:jc w:val="center"/>
              <w:rPr>
                <w:color w:val="000000"/>
                <w:sz w:val="22"/>
                <w:szCs w:val="22"/>
              </w:rPr>
            </w:pPr>
            <w:r w:rsidRPr="002E3EBB">
              <w:rPr>
                <w:sz w:val="22"/>
                <w:szCs w:val="22"/>
              </w:rPr>
              <w:t>88</w:t>
            </w:r>
          </w:p>
        </w:tc>
        <w:tc>
          <w:tcPr>
            <w:tcW w:w="1871" w:type="pct"/>
            <w:shd w:val="clear" w:color="auto" w:fill="auto"/>
            <w:noWrap/>
            <w:vAlign w:val="center"/>
          </w:tcPr>
          <w:p w:rsidRPr="00B233D8" w:rsidR="00BC438E" w:rsidP="00DD3653" w:rsidRDefault="00BC438E" w14:paraId="50A75EFE" w14:textId="77777777">
            <w:pPr>
              <w:jc w:val="center"/>
              <w:rPr>
                <w:color w:val="000000"/>
                <w:sz w:val="22"/>
                <w:szCs w:val="22"/>
              </w:rPr>
            </w:pPr>
            <w:r w:rsidRPr="002E3EBB">
              <w:rPr>
                <w:sz w:val="22"/>
                <w:szCs w:val="22"/>
              </w:rPr>
              <w:t>96</w:t>
            </w:r>
          </w:p>
        </w:tc>
      </w:tr>
      <w:tr w:rsidRPr="00545D17" w:rsidR="00BC438E" w:rsidTr="00DD3653" w14:paraId="4C7B567F" w14:textId="77777777">
        <w:trPr>
          <w:trHeight w:val="288"/>
        </w:trPr>
        <w:tc>
          <w:tcPr>
            <w:tcW w:w="466" w:type="pct"/>
            <w:vMerge/>
            <w:vAlign w:val="center"/>
          </w:tcPr>
          <w:p w:rsidRPr="00545D17" w:rsidR="00BC438E" w:rsidP="00DD3653" w:rsidRDefault="00BC438E" w14:paraId="117CCCD1" w14:textId="77777777">
            <w:pPr>
              <w:jc w:val="center"/>
              <w:rPr>
                <w:b/>
                <w:color w:val="000000"/>
                <w:sz w:val="22"/>
                <w:szCs w:val="22"/>
              </w:rPr>
            </w:pPr>
          </w:p>
        </w:tc>
        <w:tc>
          <w:tcPr>
            <w:tcW w:w="465" w:type="pct"/>
            <w:shd w:val="clear" w:color="auto" w:fill="auto"/>
            <w:noWrap/>
            <w:vAlign w:val="center"/>
          </w:tcPr>
          <w:p w:rsidRPr="00545D17" w:rsidR="00BC438E" w:rsidP="00DD3653" w:rsidRDefault="00BC438E" w14:paraId="7BCA2538" w14:textId="77777777">
            <w:pPr>
              <w:jc w:val="center"/>
              <w:rPr>
                <w:color w:val="000000"/>
                <w:sz w:val="22"/>
                <w:szCs w:val="22"/>
              </w:rPr>
            </w:pPr>
            <w:r>
              <w:rPr>
                <w:color w:val="000000"/>
                <w:sz w:val="22"/>
                <w:szCs w:val="22"/>
              </w:rPr>
              <w:t>8</w:t>
            </w:r>
          </w:p>
        </w:tc>
        <w:tc>
          <w:tcPr>
            <w:tcW w:w="1132" w:type="pct"/>
            <w:shd w:val="clear" w:color="auto" w:fill="auto"/>
            <w:noWrap/>
            <w:vAlign w:val="center"/>
          </w:tcPr>
          <w:p w:rsidRPr="00B233D8" w:rsidR="00BC438E" w:rsidP="00DD3653" w:rsidRDefault="00BC438E" w14:paraId="1502D77F" w14:textId="77777777">
            <w:pPr>
              <w:jc w:val="center"/>
              <w:rPr>
                <w:color w:val="000000"/>
                <w:sz w:val="22"/>
                <w:szCs w:val="22"/>
              </w:rPr>
            </w:pPr>
            <w:r w:rsidRPr="002E3EBB">
              <w:rPr>
                <w:sz w:val="22"/>
                <w:szCs w:val="22"/>
              </w:rPr>
              <w:t>72</w:t>
            </w:r>
          </w:p>
        </w:tc>
        <w:tc>
          <w:tcPr>
            <w:tcW w:w="1066" w:type="pct"/>
            <w:shd w:val="clear" w:color="auto" w:fill="auto"/>
            <w:noWrap/>
            <w:vAlign w:val="center"/>
          </w:tcPr>
          <w:p w:rsidRPr="00B233D8" w:rsidR="00BC438E" w:rsidP="00DD3653" w:rsidRDefault="00BC438E" w14:paraId="2911EA3F" w14:textId="77777777">
            <w:pPr>
              <w:jc w:val="center"/>
              <w:rPr>
                <w:color w:val="000000"/>
                <w:sz w:val="22"/>
                <w:szCs w:val="22"/>
              </w:rPr>
            </w:pPr>
            <w:r w:rsidRPr="002E3EBB">
              <w:rPr>
                <w:sz w:val="22"/>
                <w:szCs w:val="22"/>
              </w:rPr>
              <w:t>85</w:t>
            </w:r>
          </w:p>
        </w:tc>
        <w:tc>
          <w:tcPr>
            <w:tcW w:w="1871" w:type="pct"/>
            <w:shd w:val="clear" w:color="auto" w:fill="auto"/>
            <w:noWrap/>
            <w:vAlign w:val="center"/>
          </w:tcPr>
          <w:p w:rsidRPr="00B233D8" w:rsidR="00BC438E" w:rsidP="00DD3653" w:rsidRDefault="00BC438E" w14:paraId="2F5434D3" w14:textId="77777777">
            <w:pPr>
              <w:jc w:val="center"/>
              <w:rPr>
                <w:color w:val="000000"/>
                <w:sz w:val="22"/>
                <w:szCs w:val="22"/>
              </w:rPr>
            </w:pPr>
            <w:r w:rsidRPr="002E3EBB">
              <w:rPr>
                <w:sz w:val="22"/>
                <w:szCs w:val="22"/>
              </w:rPr>
              <w:t>94</w:t>
            </w:r>
          </w:p>
        </w:tc>
      </w:tr>
      <w:tr w:rsidRPr="00545D17" w:rsidR="00BC438E" w:rsidTr="00DD3653" w14:paraId="5DFF6431" w14:textId="77777777">
        <w:trPr>
          <w:trHeight w:val="288"/>
        </w:trPr>
        <w:tc>
          <w:tcPr>
            <w:tcW w:w="466" w:type="pct"/>
            <w:vMerge w:val="restart"/>
            <w:vAlign w:val="center"/>
          </w:tcPr>
          <w:p w:rsidRPr="00545D17" w:rsidR="00BC438E" w:rsidP="00DD3653" w:rsidRDefault="00BC438E" w14:paraId="32B229CB" w14:textId="77777777">
            <w:pPr>
              <w:jc w:val="center"/>
              <w:rPr>
                <w:b/>
                <w:color w:val="000000"/>
                <w:sz w:val="22"/>
                <w:szCs w:val="22"/>
              </w:rPr>
            </w:pPr>
            <w:r w:rsidRPr="00545D17">
              <w:rPr>
                <w:b/>
                <w:color w:val="000000"/>
                <w:sz w:val="22"/>
                <w:szCs w:val="22"/>
              </w:rPr>
              <w:t>2015</w:t>
            </w:r>
          </w:p>
        </w:tc>
        <w:tc>
          <w:tcPr>
            <w:tcW w:w="465" w:type="pct"/>
            <w:shd w:val="clear" w:color="auto" w:fill="auto"/>
            <w:noWrap/>
            <w:vAlign w:val="center"/>
          </w:tcPr>
          <w:p w:rsidRPr="00545D17" w:rsidR="00BC438E" w:rsidP="00DD3653" w:rsidRDefault="00BC438E" w14:paraId="77FA1A8C" w14:textId="77777777">
            <w:pPr>
              <w:jc w:val="center"/>
              <w:rPr>
                <w:color w:val="000000"/>
                <w:sz w:val="22"/>
                <w:szCs w:val="22"/>
              </w:rPr>
            </w:pPr>
            <w:r w:rsidRPr="00545D17">
              <w:rPr>
                <w:color w:val="000000"/>
                <w:sz w:val="22"/>
                <w:szCs w:val="22"/>
              </w:rPr>
              <w:t>4</w:t>
            </w:r>
          </w:p>
        </w:tc>
        <w:tc>
          <w:tcPr>
            <w:tcW w:w="1132" w:type="pct"/>
            <w:shd w:val="clear" w:color="auto" w:fill="auto"/>
            <w:noWrap/>
            <w:vAlign w:val="center"/>
          </w:tcPr>
          <w:p w:rsidRPr="00545D17" w:rsidR="00BC438E" w:rsidP="00DD3653" w:rsidRDefault="00BC438E" w14:paraId="50D969D7" w14:textId="77777777">
            <w:pPr>
              <w:jc w:val="center"/>
              <w:rPr>
                <w:color w:val="000000"/>
                <w:sz w:val="22"/>
                <w:szCs w:val="22"/>
              </w:rPr>
            </w:pPr>
            <w:r w:rsidRPr="00545D17">
              <w:rPr>
                <w:color w:val="000000"/>
                <w:sz w:val="22"/>
                <w:szCs w:val="22"/>
              </w:rPr>
              <w:t>79</w:t>
            </w:r>
          </w:p>
        </w:tc>
        <w:tc>
          <w:tcPr>
            <w:tcW w:w="1066" w:type="pct"/>
            <w:shd w:val="clear" w:color="auto" w:fill="auto"/>
            <w:noWrap/>
            <w:vAlign w:val="center"/>
          </w:tcPr>
          <w:p w:rsidRPr="00545D17" w:rsidR="00BC438E" w:rsidP="00DD3653" w:rsidRDefault="00BC438E" w14:paraId="3FBE360C" w14:textId="77777777">
            <w:pPr>
              <w:jc w:val="center"/>
              <w:rPr>
                <w:color w:val="000000"/>
                <w:sz w:val="22"/>
                <w:szCs w:val="22"/>
              </w:rPr>
            </w:pPr>
            <w:r w:rsidRPr="00545D17">
              <w:rPr>
                <w:color w:val="000000"/>
                <w:sz w:val="22"/>
                <w:szCs w:val="22"/>
              </w:rPr>
              <w:t>85</w:t>
            </w:r>
          </w:p>
        </w:tc>
        <w:tc>
          <w:tcPr>
            <w:tcW w:w="1871" w:type="pct"/>
            <w:shd w:val="clear" w:color="auto" w:fill="auto"/>
            <w:noWrap/>
            <w:vAlign w:val="center"/>
          </w:tcPr>
          <w:p w:rsidRPr="00545D17" w:rsidR="00BC438E" w:rsidP="00DD3653" w:rsidRDefault="00BC438E" w14:paraId="7F2C3522" w14:textId="77777777">
            <w:pPr>
              <w:jc w:val="center"/>
              <w:rPr>
                <w:color w:val="000000"/>
                <w:sz w:val="22"/>
                <w:szCs w:val="22"/>
              </w:rPr>
            </w:pPr>
            <w:r w:rsidRPr="00545D17">
              <w:rPr>
                <w:color w:val="000000"/>
                <w:sz w:val="22"/>
                <w:szCs w:val="22"/>
              </w:rPr>
              <w:t>96</w:t>
            </w:r>
          </w:p>
        </w:tc>
      </w:tr>
      <w:tr w:rsidRPr="00545D17" w:rsidR="00BC438E" w:rsidTr="00DD3653" w14:paraId="0F34FFF5" w14:textId="77777777">
        <w:trPr>
          <w:trHeight w:val="288"/>
        </w:trPr>
        <w:tc>
          <w:tcPr>
            <w:tcW w:w="466" w:type="pct"/>
            <w:vMerge/>
            <w:vAlign w:val="center"/>
          </w:tcPr>
          <w:p w:rsidRPr="00545D17" w:rsidR="00BC438E" w:rsidP="00DD3653" w:rsidRDefault="00BC438E" w14:paraId="29B39BF8" w14:textId="77777777">
            <w:pPr>
              <w:jc w:val="center"/>
              <w:rPr>
                <w:b/>
                <w:color w:val="000000"/>
                <w:sz w:val="22"/>
                <w:szCs w:val="22"/>
              </w:rPr>
            </w:pPr>
          </w:p>
        </w:tc>
        <w:tc>
          <w:tcPr>
            <w:tcW w:w="465" w:type="pct"/>
            <w:shd w:val="clear" w:color="auto" w:fill="auto"/>
            <w:noWrap/>
            <w:vAlign w:val="center"/>
          </w:tcPr>
          <w:p w:rsidRPr="00545D17" w:rsidR="00BC438E" w:rsidP="00DD3653" w:rsidRDefault="00BC438E" w14:paraId="6A734FB5" w14:textId="77777777">
            <w:pPr>
              <w:jc w:val="center"/>
              <w:rPr>
                <w:color w:val="000000"/>
                <w:sz w:val="22"/>
                <w:szCs w:val="22"/>
              </w:rPr>
            </w:pPr>
            <w:r w:rsidRPr="00545D17">
              <w:rPr>
                <w:color w:val="000000"/>
                <w:sz w:val="22"/>
                <w:szCs w:val="22"/>
              </w:rPr>
              <w:t>8</w:t>
            </w:r>
          </w:p>
        </w:tc>
        <w:tc>
          <w:tcPr>
            <w:tcW w:w="1132" w:type="pct"/>
            <w:shd w:val="clear" w:color="auto" w:fill="auto"/>
            <w:noWrap/>
            <w:vAlign w:val="center"/>
          </w:tcPr>
          <w:p w:rsidRPr="00545D17" w:rsidR="00BC438E" w:rsidP="00DD3653" w:rsidRDefault="00BC438E" w14:paraId="64C5D20E" w14:textId="77777777">
            <w:pPr>
              <w:jc w:val="center"/>
              <w:rPr>
                <w:color w:val="000000"/>
                <w:sz w:val="22"/>
                <w:szCs w:val="22"/>
              </w:rPr>
            </w:pPr>
            <w:r w:rsidRPr="00545D17">
              <w:rPr>
                <w:color w:val="000000"/>
                <w:sz w:val="22"/>
                <w:szCs w:val="22"/>
              </w:rPr>
              <w:t>78</w:t>
            </w:r>
          </w:p>
        </w:tc>
        <w:tc>
          <w:tcPr>
            <w:tcW w:w="1066" w:type="pct"/>
            <w:shd w:val="clear" w:color="auto" w:fill="auto"/>
            <w:noWrap/>
            <w:vAlign w:val="center"/>
          </w:tcPr>
          <w:p w:rsidRPr="00545D17" w:rsidR="00BC438E" w:rsidP="00DD3653" w:rsidRDefault="00BC438E" w14:paraId="1418543B" w14:textId="77777777">
            <w:pPr>
              <w:jc w:val="center"/>
              <w:rPr>
                <w:color w:val="000000"/>
                <w:sz w:val="22"/>
                <w:szCs w:val="22"/>
              </w:rPr>
            </w:pPr>
            <w:r w:rsidRPr="00545D17">
              <w:rPr>
                <w:color w:val="000000"/>
                <w:sz w:val="22"/>
                <w:szCs w:val="22"/>
              </w:rPr>
              <w:t>84</w:t>
            </w:r>
          </w:p>
        </w:tc>
        <w:tc>
          <w:tcPr>
            <w:tcW w:w="1871" w:type="pct"/>
            <w:shd w:val="clear" w:color="auto" w:fill="auto"/>
            <w:noWrap/>
            <w:vAlign w:val="center"/>
          </w:tcPr>
          <w:p w:rsidRPr="00545D17" w:rsidR="00BC438E" w:rsidP="00DD3653" w:rsidRDefault="00BC438E" w14:paraId="0464198E" w14:textId="77777777">
            <w:pPr>
              <w:jc w:val="center"/>
              <w:rPr>
                <w:color w:val="000000"/>
                <w:sz w:val="22"/>
                <w:szCs w:val="22"/>
              </w:rPr>
            </w:pPr>
            <w:r w:rsidRPr="00545D17">
              <w:rPr>
                <w:color w:val="000000"/>
                <w:sz w:val="22"/>
                <w:szCs w:val="22"/>
              </w:rPr>
              <w:t>94</w:t>
            </w:r>
          </w:p>
        </w:tc>
      </w:tr>
      <w:tr w:rsidRPr="00545D17" w:rsidR="00BC438E" w:rsidTr="00DD3653" w14:paraId="0589D902" w14:textId="77777777">
        <w:trPr>
          <w:trHeight w:val="288"/>
        </w:trPr>
        <w:tc>
          <w:tcPr>
            <w:tcW w:w="466" w:type="pct"/>
            <w:vMerge w:val="restart"/>
            <w:vAlign w:val="center"/>
          </w:tcPr>
          <w:p w:rsidRPr="00545D17" w:rsidR="00BC438E" w:rsidP="00DD3653" w:rsidRDefault="00BC438E" w14:paraId="7F4C0349" w14:textId="77777777">
            <w:pPr>
              <w:jc w:val="center"/>
              <w:rPr>
                <w:b/>
                <w:color w:val="000000"/>
              </w:rPr>
            </w:pPr>
            <w:r w:rsidRPr="00545D17">
              <w:rPr>
                <w:b/>
                <w:color w:val="000000"/>
                <w:sz w:val="22"/>
                <w:szCs w:val="22"/>
              </w:rPr>
              <w:t>2011</w:t>
            </w:r>
          </w:p>
        </w:tc>
        <w:tc>
          <w:tcPr>
            <w:tcW w:w="465" w:type="pct"/>
            <w:shd w:val="clear" w:color="auto" w:fill="auto"/>
            <w:noWrap/>
            <w:vAlign w:val="center"/>
            <w:hideMark/>
          </w:tcPr>
          <w:p w:rsidRPr="00545D17" w:rsidR="00BC438E" w:rsidP="00DD3653" w:rsidRDefault="00BC438E" w14:paraId="22270AF2" w14:textId="77777777">
            <w:pPr>
              <w:jc w:val="center"/>
              <w:rPr>
                <w:color w:val="000000"/>
              </w:rPr>
            </w:pPr>
            <w:r w:rsidRPr="00545D17">
              <w:rPr>
                <w:color w:val="000000"/>
                <w:sz w:val="22"/>
                <w:szCs w:val="22"/>
              </w:rPr>
              <w:t>4</w:t>
            </w:r>
          </w:p>
        </w:tc>
        <w:tc>
          <w:tcPr>
            <w:tcW w:w="1132" w:type="pct"/>
            <w:shd w:val="clear" w:color="auto" w:fill="auto"/>
            <w:noWrap/>
            <w:vAlign w:val="center"/>
            <w:hideMark/>
          </w:tcPr>
          <w:p w:rsidRPr="00545D17" w:rsidR="00BC438E" w:rsidP="00DD3653" w:rsidRDefault="00BC438E" w14:paraId="4EDBB078" w14:textId="77777777">
            <w:pPr>
              <w:jc w:val="center"/>
              <w:rPr>
                <w:color w:val="000000"/>
              </w:rPr>
            </w:pPr>
            <w:r w:rsidRPr="00545D17">
              <w:rPr>
                <w:color w:val="000000"/>
                <w:sz w:val="22"/>
                <w:szCs w:val="22"/>
              </w:rPr>
              <w:t>79</w:t>
            </w:r>
          </w:p>
        </w:tc>
        <w:tc>
          <w:tcPr>
            <w:tcW w:w="1066" w:type="pct"/>
            <w:shd w:val="clear" w:color="auto" w:fill="auto"/>
            <w:noWrap/>
            <w:vAlign w:val="center"/>
            <w:hideMark/>
          </w:tcPr>
          <w:p w:rsidRPr="00545D17" w:rsidR="00BC438E" w:rsidP="00DD3653" w:rsidRDefault="00BC438E" w14:paraId="5D0DBB2B" w14:textId="77777777">
            <w:pPr>
              <w:jc w:val="center"/>
              <w:rPr>
                <w:color w:val="000000"/>
              </w:rPr>
            </w:pPr>
            <w:r w:rsidRPr="00545D17">
              <w:rPr>
                <w:color w:val="000000"/>
                <w:sz w:val="22"/>
                <w:szCs w:val="22"/>
              </w:rPr>
              <w:t>84</w:t>
            </w:r>
          </w:p>
        </w:tc>
        <w:tc>
          <w:tcPr>
            <w:tcW w:w="1871" w:type="pct"/>
            <w:shd w:val="clear" w:color="auto" w:fill="auto"/>
            <w:noWrap/>
            <w:vAlign w:val="center"/>
            <w:hideMark/>
          </w:tcPr>
          <w:p w:rsidRPr="00545D17" w:rsidR="00BC438E" w:rsidP="00DD3653" w:rsidRDefault="00BC438E" w14:paraId="72D236B6" w14:textId="77777777">
            <w:pPr>
              <w:jc w:val="center"/>
              <w:rPr>
                <w:color w:val="000000"/>
              </w:rPr>
            </w:pPr>
            <w:r w:rsidRPr="00545D17">
              <w:rPr>
                <w:color w:val="000000"/>
                <w:sz w:val="22"/>
                <w:szCs w:val="22"/>
              </w:rPr>
              <w:t>95</w:t>
            </w:r>
          </w:p>
        </w:tc>
      </w:tr>
      <w:tr w:rsidRPr="00545D17" w:rsidR="00BC438E" w:rsidTr="00DD3653" w14:paraId="1D299CEF" w14:textId="77777777">
        <w:trPr>
          <w:trHeight w:val="288"/>
        </w:trPr>
        <w:tc>
          <w:tcPr>
            <w:tcW w:w="466" w:type="pct"/>
            <w:vMerge/>
            <w:vAlign w:val="center"/>
          </w:tcPr>
          <w:p w:rsidRPr="00545D17" w:rsidR="00BC438E" w:rsidP="00DD3653" w:rsidRDefault="00BC438E" w14:paraId="1456E2FE" w14:textId="77777777">
            <w:pPr>
              <w:jc w:val="center"/>
              <w:rPr>
                <w:color w:val="000000"/>
              </w:rPr>
            </w:pPr>
          </w:p>
        </w:tc>
        <w:tc>
          <w:tcPr>
            <w:tcW w:w="465" w:type="pct"/>
            <w:shd w:val="clear" w:color="auto" w:fill="auto"/>
            <w:noWrap/>
            <w:vAlign w:val="center"/>
            <w:hideMark/>
          </w:tcPr>
          <w:p w:rsidRPr="00545D17" w:rsidR="00BC438E" w:rsidP="00DD3653" w:rsidRDefault="00BC438E" w14:paraId="644EE5C4" w14:textId="77777777">
            <w:pPr>
              <w:jc w:val="center"/>
              <w:rPr>
                <w:color w:val="000000"/>
              </w:rPr>
            </w:pPr>
            <w:r w:rsidRPr="00545D17">
              <w:rPr>
                <w:color w:val="000000"/>
                <w:sz w:val="22"/>
                <w:szCs w:val="22"/>
              </w:rPr>
              <w:t>8</w:t>
            </w:r>
          </w:p>
        </w:tc>
        <w:tc>
          <w:tcPr>
            <w:tcW w:w="1132" w:type="pct"/>
            <w:shd w:val="clear" w:color="auto" w:fill="auto"/>
            <w:noWrap/>
            <w:vAlign w:val="center"/>
            <w:hideMark/>
          </w:tcPr>
          <w:p w:rsidRPr="00545D17" w:rsidR="00BC438E" w:rsidP="00DD3653" w:rsidRDefault="00BC438E" w14:paraId="41D17296" w14:textId="77777777">
            <w:pPr>
              <w:jc w:val="center"/>
              <w:rPr>
                <w:color w:val="000000"/>
              </w:rPr>
            </w:pPr>
            <w:r w:rsidRPr="00545D17">
              <w:rPr>
                <w:color w:val="000000"/>
                <w:sz w:val="22"/>
                <w:szCs w:val="22"/>
              </w:rPr>
              <w:t>87</w:t>
            </w:r>
          </w:p>
        </w:tc>
        <w:tc>
          <w:tcPr>
            <w:tcW w:w="1066" w:type="pct"/>
            <w:shd w:val="clear" w:color="auto" w:fill="auto"/>
            <w:noWrap/>
            <w:vAlign w:val="center"/>
            <w:hideMark/>
          </w:tcPr>
          <w:p w:rsidRPr="00545D17" w:rsidR="00BC438E" w:rsidP="00DD3653" w:rsidRDefault="00BC438E" w14:paraId="1B25AAED" w14:textId="77777777">
            <w:pPr>
              <w:jc w:val="center"/>
              <w:rPr>
                <w:color w:val="000000"/>
              </w:rPr>
            </w:pPr>
            <w:r w:rsidRPr="00545D17">
              <w:rPr>
                <w:color w:val="000000"/>
                <w:sz w:val="22"/>
                <w:szCs w:val="22"/>
              </w:rPr>
              <w:t>87</w:t>
            </w:r>
          </w:p>
        </w:tc>
        <w:tc>
          <w:tcPr>
            <w:tcW w:w="1871" w:type="pct"/>
            <w:shd w:val="clear" w:color="auto" w:fill="auto"/>
            <w:noWrap/>
            <w:vAlign w:val="center"/>
            <w:hideMark/>
          </w:tcPr>
          <w:p w:rsidRPr="00545D17" w:rsidR="00BC438E" w:rsidP="00DD3653" w:rsidRDefault="00BC438E" w14:paraId="0F1B160D" w14:textId="77777777">
            <w:pPr>
              <w:jc w:val="center"/>
              <w:rPr>
                <w:color w:val="000000"/>
              </w:rPr>
            </w:pPr>
            <w:r w:rsidRPr="00545D17">
              <w:rPr>
                <w:color w:val="000000"/>
                <w:sz w:val="22"/>
                <w:szCs w:val="22"/>
              </w:rPr>
              <w:t>94</w:t>
            </w:r>
          </w:p>
        </w:tc>
      </w:tr>
      <w:tr w:rsidRPr="00545D17" w:rsidR="00BC438E" w:rsidTr="00DD3653" w14:paraId="29EFB23F" w14:textId="77777777">
        <w:trPr>
          <w:trHeight w:val="288"/>
        </w:trPr>
        <w:tc>
          <w:tcPr>
            <w:tcW w:w="466" w:type="pct"/>
            <w:vMerge w:val="restart"/>
            <w:vAlign w:val="center"/>
          </w:tcPr>
          <w:p w:rsidRPr="00545D17" w:rsidR="00BC438E" w:rsidP="00DD3653" w:rsidRDefault="00BC438E" w14:paraId="607636BE" w14:textId="77777777">
            <w:pPr>
              <w:jc w:val="center"/>
              <w:rPr>
                <w:b/>
                <w:color w:val="000000"/>
              </w:rPr>
            </w:pPr>
            <w:r w:rsidRPr="00545D17">
              <w:rPr>
                <w:b/>
                <w:color w:val="000000"/>
                <w:sz w:val="22"/>
                <w:szCs w:val="22"/>
              </w:rPr>
              <w:t>2007</w:t>
            </w:r>
          </w:p>
        </w:tc>
        <w:tc>
          <w:tcPr>
            <w:tcW w:w="465" w:type="pct"/>
            <w:shd w:val="clear" w:color="auto" w:fill="auto"/>
            <w:noWrap/>
            <w:vAlign w:val="center"/>
            <w:hideMark/>
          </w:tcPr>
          <w:p w:rsidRPr="00545D17" w:rsidR="00BC438E" w:rsidP="00DD3653" w:rsidRDefault="00BC438E" w14:paraId="321F0086" w14:textId="77777777">
            <w:pPr>
              <w:jc w:val="center"/>
              <w:rPr>
                <w:color w:val="000000"/>
              </w:rPr>
            </w:pPr>
            <w:r w:rsidRPr="00545D17">
              <w:rPr>
                <w:color w:val="000000"/>
                <w:sz w:val="22"/>
                <w:szCs w:val="22"/>
              </w:rPr>
              <w:t>4</w:t>
            </w:r>
          </w:p>
        </w:tc>
        <w:tc>
          <w:tcPr>
            <w:tcW w:w="1132" w:type="pct"/>
            <w:shd w:val="clear" w:color="auto" w:fill="auto"/>
            <w:noWrap/>
            <w:vAlign w:val="center"/>
            <w:hideMark/>
          </w:tcPr>
          <w:p w:rsidRPr="00545D17" w:rsidR="00BC438E" w:rsidP="00DD3653" w:rsidRDefault="00BC438E" w14:paraId="6A63E4ED" w14:textId="77777777">
            <w:pPr>
              <w:jc w:val="center"/>
              <w:rPr>
                <w:color w:val="000000"/>
              </w:rPr>
            </w:pPr>
            <w:r w:rsidRPr="00545D17">
              <w:rPr>
                <w:color w:val="000000"/>
                <w:sz w:val="22"/>
                <w:szCs w:val="22"/>
              </w:rPr>
              <w:t>70</w:t>
            </w:r>
          </w:p>
        </w:tc>
        <w:tc>
          <w:tcPr>
            <w:tcW w:w="1066" w:type="pct"/>
            <w:shd w:val="clear" w:color="auto" w:fill="auto"/>
            <w:noWrap/>
            <w:vAlign w:val="center"/>
            <w:hideMark/>
          </w:tcPr>
          <w:p w:rsidRPr="00545D17" w:rsidR="00BC438E" w:rsidP="00DD3653" w:rsidRDefault="00BC438E" w14:paraId="1552468B" w14:textId="77777777">
            <w:pPr>
              <w:jc w:val="center"/>
              <w:rPr>
                <w:color w:val="000000"/>
              </w:rPr>
            </w:pPr>
            <w:r w:rsidRPr="00545D17">
              <w:rPr>
                <w:color w:val="000000"/>
                <w:sz w:val="22"/>
                <w:szCs w:val="22"/>
              </w:rPr>
              <w:t>89</w:t>
            </w:r>
          </w:p>
        </w:tc>
        <w:tc>
          <w:tcPr>
            <w:tcW w:w="1871" w:type="pct"/>
            <w:shd w:val="clear" w:color="auto" w:fill="auto"/>
            <w:noWrap/>
            <w:vAlign w:val="center"/>
            <w:hideMark/>
          </w:tcPr>
          <w:p w:rsidRPr="00545D17" w:rsidR="00BC438E" w:rsidP="00DD3653" w:rsidRDefault="00BC438E" w14:paraId="1069124C" w14:textId="77777777">
            <w:pPr>
              <w:jc w:val="center"/>
              <w:rPr>
                <w:color w:val="000000"/>
              </w:rPr>
            </w:pPr>
            <w:r w:rsidRPr="00545D17">
              <w:rPr>
                <w:color w:val="000000"/>
                <w:sz w:val="22"/>
                <w:szCs w:val="22"/>
              </w:rPr>
              <w:t>95</w:t>
            </w:r>
          </w:p>
        </w:tc>
      </w:tr>
      <w:tr w:rsidRPr="00545D17" w:rsidR="00BC438E" w:rsidTr="00DD3653" w14:paraId="3DF89136" w14:textId="77777777">
        <w:trPr>
          <w:trHeight w:val="288"/>
        </w:trPr>
        <w:tc>
          <w:tcPr>
            <w:tcW w:w="466" w:type="pct"/>
            <w:vMerge/>
            <w:vAlign w:val="center"/>
          </w:tcPr>
          <w:p w:rsidRPr="00545D17" w:rsidR="00BC438E" w:rsidP="00DD3653" w:rsidRDefault="00BC438E" w14:paraId="6B95DD0C" w14:textId="77777777">
            <w:pPr>
              <w:jc w:val="center"/>
              <w:rPr>
                <w:color w:val="000000"/>
              </w:rPr>
            </w:pPr>
          </w:p>
        </w:tc>
        <w:tc>
          <w:tcPr>
            <w:tcW w:w="465" w:type="pct"/>
            <w:shd w:val="clear" w:color="auto" w:fill="auto"/>
            <w:noWrap/>
            <w:vAlign w:val="center"/>
            <w:hideMark/>
          </w:tcPr>
          <w:p w:rsidRPr="00545D17" w:rsidR="00BC438E" w:rsidP="00DD3653" w:rsidRDefault="00BC438E" w14:paraId="6F4DFE1B" w14:textId="77777777">
            <w:pPr>
              <w:jc w:val="center"/>
              <w:rPr>
                <w:color w:val="000000"/>
              </w:rPr>
            </w:pPr>
            <w:r w:rsidRPr="00545D17">
              <w:rPr>
                <w:color w:val="000000"/>
                <w:sz w:val="22"/>
                <w:szCs w:val="22"/>
              </w:rPr>
              <w:t>8</w:t>
            </w:r>
          </w:p>
        </w:tc>
        <w:tc>
          <w:tcPr>
            <w:tcW w:w="1132" w:type="pct"/>
            <w:shd w:val="clear" w:color="auto" w:fill="auto"/>
            <w:noWrap/>
            <w:vAlign w:val="center"/>
            <w:hideMark/>
          </w:tcPr>
          <w:p w:rsidRPr="00545D17" w:rsidR="00BC438E" w:rsidP="00DD3653" w:rsidRDefault="00BC438E" w14:paraId="1E1A4F9E" w14:textId="77777777">
            <w:pPr>
              <w:jc w:val="center"/>
              <w:rPr>
                <w:color w:val="000000"/>
              </w:rPr>
            </w:pPr>
            <w:r w:rsidRPr="00545D17">
              <w:rPr>
                <w:color w:val="000000"/>
                <w:sz w:val="22"/>
                <w:szCs w:val="22"/>
              </w:rPr>
              <w:t>68</w:t>
            </w:r>
          </w:p>
        </w:tc>
        <w:tc>
          <w:tcPr>
            <w:tcW w:w="1066" w:type="pct"/>
            <w:shd w:val="clear" w:color="auto" w:fill="auto"/>
            <w:noWrap/>
            <w:vAlign w:val="center"/>
            <w:hideMark/>
          </w:tcPr>
          <w:p w:rsidRPr="00545D17" w:rsidR="00BC438E" w:rsidP="00DD3653" w:rsidRDefault="00BC438E" w14:paraId="726D12F9" w14:textId="77777777">
            <w:pPr>
              <w:jc w:val="center"/>
              <w:rPr>
                <w:color w:val="000000"/>
              </w:rPr>
            </w:pPr>
            <w:r w:rsidRPr="00545D17">
              <w:rPr>
                <w:color w:val="000000"/>
                <w:sz w:val="22"/>
                <w:szCs w:val="22"/>
              </w:rPr>
              <w:t>83</w:t>
            </w:r>
          </w:p>
        </w:tc>
        <w:tc>
          <w:tcPr>
            <w:tcW w:w="1871" w:type="pct"/>
            <w:shd w:val="clear" w:color="auto" w:fill="auto"/>
            <w:noWrap/>
            <w:vAlign w:val="center"/>
            <w:hideMark/>
          </w:tcPr>
          <w:p w:rsidRPr="00545D17" w:rsidR="00BC438E" w:rsidP="00DD3653" w:rsidRDefault="00BC438E" w14:paraId="5D7DCB99" w14:textId="77777777">
            <w:pPr>
              <w:jc w:val="center"/>
              <w:rPr>
                <w:color w:val="000000"/>
              </w:rPr>
            </w:pPr>
            <w:r w:rsidRPr="00545D17">
              <w:rPr>
                <w:color w:val="000000"/>
                <w:sz w:val="22"/>
                <w:szCs w:val="22"/>
              </w:rPr>
              <w:t>93</w:t>
            </w:r>
          </w:p>
        </w:tc>
      </w:tr>
      <w:tr w:rsidRPr="00545D17" w:rsidR="00BC438E" w:rsidTr="00DD3653" w14:paraId="481ADEE8" w14:textId="77777777">
        <w:trPr>
          <w:trHeight w:val="288"/>
        </w:trPr>
        <w:tc>
          <w:tcPr>
            <w:tcW w:w="466" w:type="pct"/>
            <w:vMerge w:val="restart"/>
            <w:vAlign w:val="center"/>
          </w:tcPr>
          <w:p w:rsidRPr="00545D17" w:rsidR="00BC438E" w:rsidP="00DD3653" w:rsidRDefault="00BC438E" w14:paraId="03E79C4A" w14:textId="77777777">
            <w:pPr>
              <w:jc w:val="center"/>
              <w:rPr>
                <w:b/>
                <w:color w:val="000000"/>
              </w:rPr>
            </w:pPr>
            <w:r w:rsidRPr="00545D17">
              <w:rPr>
                <w:b/>
                <w:color w:val="000000"/>
                <w:sz w:val="22"/>
                <w:szCs w:val="22"/>
              </w:rPr>
              <w:t>2003</w:t>
            </w:r>
          </w:p>
        </w:tc>
        <w:tc>
          <w:tcPr>
            <w:tcW w:w="465" w:type="pct"/>
            <w:shd w:val="clear" w:color="auto" w:fill="auto"/>
            <w:noWrap/>
            <w:vAlign w:val="center"/>
            <w:hideMark/>
          </w:tcPr>
          <w:p w:rsidRPr="00545D17" w:rsidR="00BC438E" w:rsidP="00DD3653" w:rsidRDefault="00BC438E" w14:paraId="676363ED" w14:textId="77777777">
            <w:pPr>
              <w:jc w:val="center"/>
              <w:rPr>
                <w:color w:val="000000"/>
              </w:rPr>
            </w:pPr>
            <w:r w:rsidRPr="00545D17">
              <w:rPr>
                <w:color w:val="000000"/>
                <w:sz w:val="22"/>
                <w:szCs w:val="22"/>
              </w:rPr>
              <w:t>4</w:t>
            </w:r>
          </w:p>
        </w:tc>
        <w:tc>
          <w:tcPr>
            <w:tcW w:w="1132" w:type="pct"/>
            <w:shd w:val="clear" w:color="auto" w:fill="auto"/>
            <w:noWrap/>
            <w:vAlign w:val="center"/>
            <w:hideMark/>
          </w:tcPr>
          <w:p w:rsidRPr="00545D17" w:rsidR="00BC438E" w:rsidP="00DD3653" w:rsidRDefault="00BC438E" w14:paraId="6AFD58E8" w14:textId="77777777">
            <w:pPr>
              <w:jc w:val="center"/>
              <w:rPr>
                <w:color w:val="000000"/>
              </w:rPr>
            </w:pPr>
            <w:r w:rsidRPr="00545D17">
              <w:rPr>
                <w:color w:val="000000"/>
                <w:sz w:val="22"/>
                <w:szCs w:val="22"/>
              </w:rPr>
              <w:t>70</w:t>
            </w:r>
          </w:p>
        </w:tc>
        <w:tc>
          <w:tcPr>
            <w:tcW w:w="1066" w:type="pct"/>
            <w:shd w:val="clear" w:color="auto" w:fill="auto"/>
            <w:noWrap/>
            <w:vAlign w:val="center"/>
            <w:hideMark/>
          </w:tcPr>
          <w:p w:rsidRPr="00545D17" w:rsidR="00BC438E" w:rsidP="00DD3653" w:rsidRDefault="00BC438E" w14:paraId="1448A602" w14:textId="77777777">
            <w:pPr>
              <w:jc w:val="center"/>
              <w:rPr>
                <w:color w:val="000000"/>
              </w:rPr>
            </w:pPr>
            <w:r w:rsidRPr="00545D17">
              <w:rPr>
                <w:color w:val="000000"/>
                <w:sz w:val="22"/>
                <w:szCs w:val="22"/>
              </w:rPr>
              <w:t>82</w:t>
            </w:r>
          </w:p>
        </w:tc>
        <w:tc>
          <w:tcPr>
            <w:tcW w:w="1871" w:type="pct"/>
            <w:shd w:val="clear" w:color="auto" w:fill="auto"/>
            <w:noWrap/>
            <w:vAlign w:val="center"/>
            <w:hideMark/>
          </w:tcPr>
          <w:p w:rsidRPr="00545D17" w:rsidR="00BC438E" w:rsidP="00DD3653" w:rsidRDefault="00BC438E" w14:paraId="42155997" w14:textId="77777777">
            <w:pPr>
              <w:jc w:val="center"/>
              <w:rPr>
                <w:color w:val="000000"/>
              </w:rPr>
            </w:pPr>
            <w:r w:rsidRPr="00545D17">
              <w:rPr>
                <w:color w:val="000000"/>
                <w:sz w:val="22"/>
                <w:szCs w:val="22"/>
              </w:rPr>
              <w:t>95</w:t>
            </w:r>
          </w:p>
        </w:tc>
      </w:tr>
      <w:tr w:rsidRPr="00545D17" w:rsidR="00BC438E" w:rsidTr="00DD3653" w14:paraId="58204FFB" w14:textId="77777777">
        <w:trPr>
          <w:trHeight w:val="288"/>
        </w:trPr>
        <w:tc>
          <w:tcPr>
            <w:tcW w:w="466" w:type="pct"/>
            <w:vMerge/>
            <w:vAlign w:val="center"/>
          </w:tcPr>
          <w:p w:rsidRPr="00545D17" w:rsidR="00BC438E" w:rsidP="00DD3653" w:rsidRDefault="00BC438E" w14:paraId="49E63715" w14:textId="77777777">
            <w:pPr>
              <w:jc w:val="center"/>
              <w:rPr>
                <w:color w:val="000000"/>
              </w:rPr>
            </w:pPr>
          </w:p>
        </w:tc>
        <w:tc>
          <w:tcPr>
            <w:tcW w:w="465" w:type="pct"/>
            <w:shd w:val="clear" w:color="auto" w:fill="auto"/>
            <w:noWrap/>
            <w:vAlign w:val="center"/>
            <w:hideMark/>
          </w:tcPr>
          <w:p w:rsidRPr="00545D17" w:rsidR="00BC438E" w:rsidP="00DD3653" w:rsidRDefault="00BC438E" w14:paraId="1FDC0170" w14:textId="77777777">
            <w:pPr>
              <w:jc w:val="center"/>
              <w:rPr>
                <w:color w:val="000000"/>
              </w:rPr>
            </w:pPr>
            <w:r w:rsidRPr="00545D17">
              <w:rPr>
                <w:color w:val="000000"/>
                <w:sz w:val="22"/>
                <w:szCs w:val="22"/>
              </w:rPr>
              <w:t>8</w:t>
            </w:r>
          </w:p>
        </w:tc>
        <w:tc>
          <w:tcPr>
            <w:tcW w:w="1132" w:type="pct"/>
            <w:shd w:val="clear" w:color="auto" w:fill="auto"/>
            <w:noWrap/>
            <w:vAlign w:val="center"/>
            <w:hideMark/>
          </w:tcPr>
          <w:p w:rsidRPr="00545D17" w:rsidR="00BC438E" w:rsidP="00DD3653" w:rsidRDefault="00BC438E" w14:paraId="562FF33D" w14:textId="77777777">
            <w:pPr>
              <w:jc w:val="center"/>
              <w:rPr>
                <w:color w:val="000000"/>
              </w:rPr>
            </w:pPr>
            <w:r w:rsidRPr="00545D17">
              <w:rPr>
                <w:color w:val="000000"/>
                <w:sz w:val="22"/>
                <w:szCs w:val="22"/>
              </w:rPr>
              <w:t>71</w:t>
            </w:r>
          </w:p>
        </w:tc>
        <w:tc>
          <w:tcPr>
            <w:tcW w:w="1066" w:type="pct"/>
            <w:shd w:val="clear" w:color="auto" w:fill="auto"/>
            <w:noWrap/>
            <w:vAlign w:val="center"/>
            <w:hideMark/>
          </w:tcPr>
          <w:p w:rsidRPr="00545D17" w:rsidR="00BC438E" w:rsidP="00DD3653" w:rsidRDefault="00BC438E" w14:paraId="089344EE" w14:textId="77777777">
            <w:pPr>
              <w:jc w:val="center"/>
              <w:rPr>
                <w:color w:val="000000"/>
              </w:rPr>
            </w:pPr>
            <w:r w:rsidRPr="00545D17">
              <w:rPr>
                <w:color w:val="000000"/>
                <w:sz w:val="22"/>
                <w:szCs w:val="22"/>
              </w:rPr>
              <w:t>78</w:t>
            </w:r>
          </w:p>
        </w:tc>
        <w:tc>
          <w:tcPr>
            <w:tcW w:w="1871" w:type="pct"/>
            <w:shd w:val="clear" w:color="auto" w:fill="auto"/>
            <w:noWrap/>
            <w:vAlign w:val="center"/>
            <w:hideMark/>
          </w:tcPr>
          <w:p w:rsidRPr="00545D17" w:rsidR="00BC438E" w:rsidP="00DD3653" w:rsidRDefault="00BC438E" w14:paraId="14C802CE" w14:textId="77777777">
            <w:pPr>
              <w:jc w:val="center"/>
              <w:rPr>
                <w:color w:val="000000"/>
              </w:rPr>
            </w:pPr>
            <w:r w:rsidRPr="00545D17">
              <w:rPr>
                <w:color w:val="000000"/>
                <w:sz w:val="22"/>
                <w:szCs w:val="22"/>
              </w:rPr>
              <w:t>94</w:t>
            </w:r>
          </w:p>
        </w:tc>
      </w:tr>
      <w:tr w:rsidRPr="00545D17" w:rsidR="00BC438E" w:rsidTr="00DD3653" w14:paraId="67CAAD84" w14:textId="77777777">
        <w:trPr>
          <w:trHeight w:val="288"/>
        </w:trPr>
        <w:tc>
          <w:tcPr>
            <w:tcW w:w="466" w:type="pct"/>
            <w:vAlign w:val="center"/>
          </w:tcPr>
          <w:p w:rsidRPr="00545D17" w:rsidR="00BC438E" w:rsidP="00DD3653" w:rsidRDefault="00BC438E" w14:paraId="6AA94465" w14:textId="77777777">
            <w:pPr>
              <w:jc w:val="center"/>
              <w:rPr>
                <w:b/>
                <w:color w:val="000000"/>
              </w:rPr>
            </w:pPr>
            <w:r w:rsidRPr="00545D17">
              <w:rPr>
                <w:b/>
                <w:color w:val="000000"/>
                <w:sz w:val="22"/>
                <w:szCs w:val="22"/>
              </w:rPr>
              <w:t>1999</w:t>
            </w:r>
          </w:p>
        </w:tc>
        <w:tc>
          <w:tcPr>
            <w:tcW w:w="465" w:type="pct"/>
            <w:shd w:val="clear" w:color="auto" w:fill="auto"/>
            <w:noWrap/>
            <w:vAlign w:val="center"/>
            <w:hideMark/>
          </w:tcPr>
          <w:p w:rsidRPr="00545D17" w:rsidR="00BC438E" w:rsidP="00DD3653" w:rsidRDefault="00BC438E" w14:paraId="7AB1CC53" w14:textId="77777777">
            <w:pPr>
              <w:jc w:val="center"/>
              <w:rPr>
                <w:color w:val="000000"/>
              </w:rPr>
            </w:pPr>
            <w:r w:rsidRPr="00545D17">
              <w:rPr>
                <w:color w:val="000000"/>
                <w:sz w:val="22"/>
                <w:szCs w:val="22"/>
              </w:rPr>
              <w:t>8</w:t>
            </w:r>
          </w:p>
        </w:tc>
        <w:tc>
          <w:tcPr>
            <w:tcW w:w="1132" w:type="pct"/>
            <w:shd w:val="clear" w:color="auto" w:fill="auto"/>
            <w:noWrap/>
            <w:vAlign w:val="center"/>
            <w:hideMark/>
          </w:tcPr>
          <w:p w:rsidRPr="00545D17" w:rsidR="00BC438E" w:rsidP="00DD3653" w:rsidRDefault="00BC438E" w14:paraId="11F8931A" w14:textId="77777777">
            <w:pPr>
              <w:jc w:val="center"/>
              <w:rPr>
                <w:color w:val="000000"/>
              </w:rPr>
            </w:pPr>
            <w:r w:rsidRPr="00545D17">
              <w:rPr>
                <w:color w:val="000000"/>
                <w:sz w:val="22"/>
                <w:szCs w:val="22"/>
              </w:rPr>
              <w:t>83</w:t>
            </w:r>
          </w:p>
        </w:tc>
        <w:tc>
          <w:tcPr>
            <w:tcW w:w="1066" w:type="pct"/>
            <w:shd w:val="clear" w:color="auto" w:fill="auto"/>
            <w:noWrap/>
            <w:vAlign w:val="center"/>
            <w:hideMark/>
          </w:tcPr>
          <w:p w:rsidRPr="00545D17" w:rsidR="00BC438E" w:rsidP="00DD3653" w:rsidRDefault="00BC438E" w14:paraId="0830052B" w14:textId="77777777">
            <w:pPr>
              <w:jc w:val="center"/>
              <w:rPr>
                <w:color w:val="000000"/>
              </w:rPr>
            </w:pPr>
            <w:r w:rsidRPr="00545D17">
              <w:rPr>
                <w:color w:val="000000"/>
                <w:sz w:val="22"/>
                <w:szCs w:val="22"/>
              </w:rPr>
              <w:t>90</w:t>
            </w:r>
          </w:p>
        </w:tc>
        <w:tc>
          <w:tcPr>
            <w:tcW w:w="1871" w:type="pct"/>
            <w:shd w:val="clear" w:color="auto" w:fill="auto"/>
            <w:noWrap/>
            <w:vAlign w:val="center"/>
            <w:hideMark/>
          </w:tcPr>
          <w:p w:rsidRPr="00545D17" w:rsidR="00BC438E" w:rsidP="00DD3653" w:rsidRDefault="00BC438E" w14:paraId="3543095B" w14:textId="77777777">
            <w:pPr>
              <w:jc w:val="center"/>
              <w:rPr>
                <w:color w:val="000000"/>
              </w:rPr>
            </w:pPr>
            <w:r w:rsidRPr="00545D17">
              <w:rPr>
                <w:color w:val="000000"/>
                <w:sz w:val="22"/>
                <w:szCs w:val="22"/>
              </w:rPr>
              <w:t>94</w:t>
            </w:r>
          </w:p>
        </w:tc>
      </w:tr>
      <w:tr w:rsidRPr="00545D17" w:rsidR="00BC438E" w:rsidTr="00DD3653" w14:paraId="4E0F25FE" w14:textId="77777777">
        <w:trPr>
          <w:trHeight w:val="288"/>
        </w:trPr>
        <w:tc>
          <w:tcPr>
            <w:tcW w:w="466" w:type="pct"/>
            <w:vAlign w:val="center"/>
          </w:tcPr>
          <w:p w:rsidRPr="00545D17" w:rsidR="00BC438E" w:rsidP="00DD3653" w:rsidRDefault="00BC438E" w14:paraId="656F8967" w14:textId="77777777">
            <w:pPr>
              <w:jc w:val="center"/>
              <w:rPr>
                <w:b/>
                <w:color w:val="000000"/>
              </w:rPr>
            </w:pPr>
            <w:r w:rsidRPr="00545D17">
              <w:rPr>
                <w:b/>
                <w:color w:val="000000"/>
                <w:sz w:val="22"/>
                <w:szCs w:val="22"/>
              </w:rPr>
              <w:t>1995</w:t>
            </w:r>
          </w:p>
        </w:tc>
        <w:tc>
          <w:tcPr>
            <w:tcW w:w="465" w:type="pct"/>
            <w:shd w:val="clear" w:color="auto" w:fill="auto"/>
            <w:noWrap/>
            <w:vAlign w:val="center"/>
            <w:hideMark/>
          </w:tcPr>
          <w:p w:rsidRPr="00545D17" w:rsidR="00BC438E" w:rsidP="00DD3653" w:rsidRDefault="00BC438E" w14:paraId="02F71634" w14:textId="77777777">
            <w:pPr>
              <w:jc w:val="center"/>
              <w:rPr>
                <w:color w:val="000000"/>
              </w:rPr>
            </w:pPr>
            <w:r w:rsidRPr="00545D17">
              <w:rPr>
                <w:color w:val="000000"/>
                <w:sz w:val="22"/>
                <w:szCs w:val="22"/>
              </w:rPr>
              <w:t>4</w:t>
            </w:r>
          </w:p>
        </w:tc>
        <w:tc>
          <w:tcPr>
            <w:tcW w:w="1132" w:type="pct"/>
            <w:shd w:val="clear" w:color="auto" w:fill="auto"/>
            <w:noWrap/>
            <w:vAlign w:val="center"/>
            <w:hideMark/>
          </w:tcPr>
          <w:p w:rsidRPr="00545D17" w:rsidR="00BC438E" w:rsidP="00DD3653" w:rsidRDefault="00BC438E" w14:paraId="5C1B7DF0" w14:textId="77777777">
            <w:pPr>
              <w:jc w:val="center"/>
              <w:rPr>
                <w:color w:val="000000"/>
              </w:rPr>
            </w:pPr>
            <w:r w:rsidRPr="00545D17">
              <w:rPr>
                <w:color w:val="000000"/>
                <w:sz w:val="22"/>
                <w:szCs w:val="22"/>
              </w:rPr>
              <w:t>86</w:t>
            </w:r>
          </w:p>
        </w:tc>
        <w:tc>
          <w:tcPr>
            <w:tcW w:w="1066" w:type="pct"/>
            <w:shd w:val="clear" w:color="auto" w:fill="auto"/>
            <w:noWrap/>
            <w:vAlign w:val="center"/>
            <w:hideMark/>
          </w:tcPr>
          <w:p w:rsidRPr="00545D17" w:rsidR="00BC438E" w:rsidP="00DD3653" w:rsidRDefault="00BC438E" w14:paraId="25BB511C" w14:textId="77777777">
            <w:pPr>
              <w:jc w:val="center"/>
              <w:rPr>
                <w:color w:val="000000"/>
              </w:rPr>
            </w:pPr>
            <w:r w:rsidRPr="00545D17">
              <w:rPr>
                <w:color w:val="000000"/>
                <w:sz w:val="22"/>
                <w:szCs w:val="22"/>
              </w:rPr>
              <w:t>NA</w:t>
            </w:r>
          </w:p>
        </w:tc>
        <w:tc>
          <w:tcPr>
            <w:tcW w:w="1871" w:type="pct"/>
            <w:shd w:val="clear" w:color="auto" w:fill="auto"/>
            <w:noWrap/>
            <w:vAlign w:val="center"/>
            <w:hideMark/>
          </w:tcPr>
          <w:p w:rsidRPr="00545D17" w:rsidR="00BC438E" w:rsidP="00DD3653" w:rsidRDefault="00BC438E" w14:paraId="1E235F63" w14:textId="77777777">
            <w:pPr>
              <w:jc w:val="center"/>
              <w:rPr>
                <w:color w:val="000000"/>
              </w:rPr>
            </w:pPr>
            <w:r w:rsidRPr="00545D17">
              <w:rPr>
                <w:color w:val="000000"/>
                <w:sz w:val="22"/>
                <w:szCs w:val="22"/>
              </w:rPr>
              <w:t>94</w:t>
            </w:r>
          </w:p>
        </w:tc>
      </w:tr>
      <w:bookmarkEnd w:id="9"/>
    </w:tbl>
    <w:p w:rsidR="007251D5" w:rsidP="00BF2C34" w:rsidRDefault="007251D5" w14:paraId="2C1BA0CE" w14:textId="1CF10B67">
      <w:pPr>
        <w:rPr>
          <w:b/>
          <w:szCs w:val="20"/>
        </w:rPr>
      </w:pPr>
    </w:p>
    <w:p w:rsidR="00A61696" w:rsidRDefault="00A61696" w14:paraId="2AB44346" w14:textId="77777777">
      <w:pPr>
        <w:spacing w:after="160" w:line="259" w:lineRule="auto"/>
        <w:rPr>
          <w:b/>
          <w:szCs w:val="20"/>
        </w:rPr>
      </w:pPr>
      <w:r>
        <w:rPr>
          <w:b/>
        </w:rPr>
        <w:br w:type="page"/>
      </w:r>
    </w:p>
    <w:p w:rsidRPr="00BF2C34" w:rsidR="0079199F" w:rsidP="0079199F" w:rsidRDefault="002D2F87" w14:paraId="2DA9640E" w14:textId="2D40CD79">
      <w:pPr>
        <w:pStyle w:val="P1-StandPara"/>
        <w:widowControl w:val="0"/>
        <w:spacing w:after="60" w:line="240" w:lineRule="atLeast"/>
        <w:ind w:firstLine="0"/>
        <w:jc w:val="left"/>
        <w:rPr>
          <w:sz w:val="24"/>
          <w:szCs w:val="24"/>
        </w:rPr>
      </w:pPr>
      <w:r w:rsidRPr="00BF2C34">
        <w:rPr>
          <w:sz w:val="24"/>
          <w:szCs w:val="24"/>
        </w:rPr>
        <w:lastRenderedPageBreak/>
        <w:t xml:space="preserve">Our approach to </w:t>
      </w:r>
      <w:r w:rsidR="009312D3">
        <w:rPr>
          <w:sz w:val="24"/>
          <w:szCs w:val="24"/>
        </w:rPr>
        <w:t xml:space="preserve">maximizing </w:t>
      </w:r>
      <w:r w:rsidRPr="00BF2C34">
        <w:rPr>
          <w:sz w:val="24"/>
          <w:szCs w:val="24"/>
        </w:rPr>
        <w:t>school recruitment is to:</w:t>
      </w:r>
    </w:p>
    <w:p w:rsidR="004119C8" w:rsidP="00CD5B47" w:rsidRDefault="004119C8" w14:paraId="317BC798" w14:textId="77777777">
      <w:pPr>
        <w:pStyle w:val="P1-StandPara"/>
        <w:widowControl w:val="0"/>
        <w:numPr>
          <w:ilvl w:val="0"/>
          <w:numId w:val="7"/>
        </w:numPr>
        <w:spacing w:after="120" w:line="240" w:lineRule="atLeast"/>
        <w:jc w:val="left"/>
        <w:rPr>
          <w:sz w:val="24"/>
          <w:szCs w:val="24"/>
        </w:rPr>
      </w:pPr>
      <w:r>
        <w:rPr>
          <w:sz w:val="24"/>
          <w:szCs w:val="24"/>
        </w:rPr>
        <w:t xml:space="preserve">Begin recruitment activities as early as </w:t>
      </w:r>
      <w:proofErr w:type="gramStart"/>
      <w:r>
        <w:rPr>
          <w:sz w:val="24"/>
          <w:szCs w:val="24"/>
        </w:rPr>
        <w:t>possible;</w:t>
      </w:r>
      <w:proofErr w:type="gramEnd"/>
      <w:r>
        <w:rPr>
          <w:sz w:val="24"/>
          <w:szCs w:val="24"/>
        </w:rPr>
        <w:t xml:space="preserve"> </w:t>
      </w:r>
    </w:p>
    <w:p w:rsidRPr="00BF2C34" w:rsidR="00A23B47" w:rsidP="00CD5B47" w:rsidRDefault="001C4B49" w14:paraId="3AC84522" w14:textId="6C0F3847">
      <w:pPr>
        <w:pStyle w:val="P1-StandPara"/>
        <w:widowControl w:val="0"/>
        <w:numPr>
          <w:ilvl w:val="0"/>
          <w:numId w:val="7"/>
        </w:numPr>
        <w:spacing w:after="120" w:line="240" w:lineRule="atLeast"/>
        <w:jc w:val="left"/>
        <w:rPr>
          <w:sz w:val="24"/>
          <w:szCs w:val="24"/>
        </w:rPr>
      </w:pPr>
      <w:r w:rsidRPr="00BF2C34">
        <w:rPr>
          <w:sz w:val="24"/>
          <w:szCs w:val="24"/>
        </w:rPr>
        <w:t xml:space="preserve">Engage stakeholders at all levels </w:t>
      </w:r>
      <w:r w:rsidRPr="00BF2C34" w:rsidR="00DD5EEF">
        <w:rPr>
          <w:rFonts w:eastAsiaTheme="minorHAnsi"/>
          <w:sz w:val="24"/>
          <w:szCs w:val="24"/>
        </w:rPr>
        <w:t xml:space="preserve">throughout </w:t>
      </w:r>
      <w:r w:rsidR="00BC438E">
        <w:rPr>
          <w:rFonts w:eastAsiaTheme="minorHAnsi"/>
          <w:sz w:val="24"/>
          <w:szCs w:val="24"/>
        </w:rPr>
        <w:t>the</w:t>
      </w:r>
      <w:r w:rsidRPr="00BF2C34" w:rsidR="00DD5EEF">
        <w:rPr>
          <w:rFonts w:eastAsiaTheme="minorHAnsi"/>
          <w:sz w:val="24"/>
          <w:szCs w:val="24"/>
        </w:rPr>
        <w:t xml:space="preserve"> cycle of </w:t>
      </w:r>
      <w:proofErr w:type="gramStart"/>
      <w:r w:rsidR="00097AB7">
        <w:rPr>
          <w:rFonts w:eastAsiaTheme="minorHAnsi"/>
          <w:sz w:val="24"/>
          <w:szCs w:val="24"/>
        </w:rPr>
        <w:t>ICILS</w:t>
      </w:r>
      <w:r w:rsidRPr="00BF2C34" w:rsidR="00BF2C34">
        <w:rPr>
          <w:rFonts w:eastAsiaTheme="minorHAnsi"/>
          <w:sz w:val="24"/>
          <w:szCs w:val="24"/>
        </w:rPr>
        <w:t>;</w:t>
      </w:r>
      <w:proofErr w:type="gramEnd"/>
    </w:p>
    <w:p w:rsidRPr="00BF2C34" w:rsidR="0079199F" w:rsidP="00CD5B47" w:rsidRDefault="00DD5EEF" w14:paraId="586FBC51" w14:textId="588DC00B">
      <w:pPr>
        <w:pStyle w:val="P1-StandPara"/>
        <w:widowControl w:val="0"/>
        <w:numPr>
          <w:ilvl w:val="0"/>
          <w:numId w:val="7"/>
        </w:numPr>
        <w:spacing w:after="120" w:line="240" w:lineRule="atLeast"/>
        <w:jc w:val="left"/>
        <w:rPr>
          <w:sz w:val="24"/>
          <w:szCs w:val="24"/>
        </w:rPr>
      </w:pPr>
      <w:r w:rsidRPr="00BF2C34">
        <w:rPr>
          <w:sz w:val="24"/>
          <w:szCs w:val="24"/>
        </w:rPr>
        <w:t xml:space="preserve">Obtain endorsements about the value of </w:t>
      </w:r>
      <w:r w:rsidR="00097AB7">
        <w:rPr>
          <w:sz w:val="24"/>
          <w:szCs w:val="24"/>
        </w:rPr>
        <w:t>ICILS</w:t>
      </w:r>
      <w:r w:rsidRPr="00BF2C34">
        <w:rPr>
          <w:sz w:val="24"/>
          <w:szCs w:val="24"/>
        </w:rPr>
        <w:t xml:space="preserve"> from relevant national </w:t>
      </w:r>
      <w:r w:rsidRPr="00BF2C34" w:rsidR="004107A4">
        <w:rPr>
          <w:sz w:val="24"/>
          <w:szCs w:val="24"/>
        </w:rPr>
        <w:t>organizations,</w:t>
      </w:r>
      <w:r w:rsidRPr="00BF2C34">
        <w:rPr>
          <w:sz w:val="24"/>
          <w:szCs w:val="24"/>
        </w:rPr>
        <w:t xml:space="preserve"> state and regional </w:t>
      </w:r>
      <w:proofErr w:type="gramStart"/>
      <w:r w:rsidRPr="00BF2C34">
        <w:rPr>
          <w:sz w:val="24"/>
          <w:szCs w:val="24"/>
        </w:rPr>
        <w:t>agencies</w:t>
      </w:r>
      <w:r w:rsidRPr="00BF2C34" w:rsidR="00BF2C34">
        <w:rPr>
          <w:sz w:val="24"/>
          <w:szCs w:val="24"/>
        </w:rPr>
        <w:t>;</w:t>
      </w:r>
      <w:proofErr w:type="gramEnd"/>
    </w:p>
    <w:p w:rsidRPr="00BF2C34" w:rsidR="00DD5EEF" w:rsidP="00CD5B47" w:rsidRDefault="00DD5EEF" w14:paraId="2C12E3D5" w14:textId="39C2D2A5">
      <w:pPr>
        <w:pStyle w:val="P1-StandPara"/>
        <w:widowControl w:val="0"/>
        <w:numPr>
          <w:ilvl w:val="0"/>
          <w:numId w:val="7"/>
        </w:numPr>
        <w:spacing w:after="120" w:line="240" w:lineRule="atLeast"/>
        <w:jc w:val="left"/>
        <w:rPr>
          <w:sz w:val="24"/>
          <w:szCs w:val="24"/>
        </w:rPr>
      </w:pPr>
      <w:r w:rsidRPr="00BF2C34">
        <w:rPr>
          <w:rFonts w:eastAsiaTheme="minorHAnsi"/>
          <w:sz w:val="24"/>
          <w:szCs w:val="24"/>
        </w:rPr>
        <w:t>Engage with the broad school community (i.e., not sampled schools)</w:t>
      </w:r>
      <w:r w:rsidRPr="00BF2C34" w:rsidR="0079199F">
        <w:rPr>
          <w:rFonts w:eastAsiaTheme="minorHAnsi"/>
          <w:sz w:val="24"/>
          <w:szCs w:val="24"/>
        </w:rPr>
        <w:t xml:space="preserve"> </w:t>
      </w:r>
      <w:r w:rsidRPr="00BF2C34">
        <w:rPr>
          <w:rFonts w:eastAsiaTheme="minorHAnsi"/>
          <w:sz w:val="24"/>
          <w:szCs w:val="24"/>
        </w:rPr>
        <w:t>through involvement at small-scale school leader conferences and events, to provide an opportunity to test-drive our anticipated recruitment messages, build</w:t>
      </w:r>
      <w:r w:rsidRPr="00BF2C34" w:rsidR="00797B77">
        <w:rPr>
          <w:rFonts w:eastAsiaTheme="minorHAnsi"/>
          <w:sz w:val="24"/>
          <w:szCs w:val="24"/>
        </w:rPr>
        <w:t xml:space="preserve"> relationships with </w:t>
      </w:r>
      <w:r w:rsidRPr="00BF2C34">
        <w:rPr>
          <w:rFonts w:eastAsiaTheme="minorHAnsi"/>
          <w:sz w:val="24"/>
          <w:szCs w:val="24"/>
        </w:rPr>
        <w:t xml:space="preserve">influential school-level </w:t>
      </w:r>
      <w:r w:rsidRPr="00BF2C34" w:rsidR="006A4708">
        <w:rPr>
          <w:rFonts w:eastAsiaTheme="minorHAnsi"/>
          <w:sz w:val="24"/>
          <w:szCs w:val="24"/>
        </w:rPr>
        <w:t>leaders and</w:t>
      </w:r>
      <w:r w:rsidRPr="00BF2C34">
        <w:rPr>
          <w:rFonts w:eastAsiaTheme="minorHAnsi"/>
          <w:sz w:val="24"/>
          <w:szCs w:val="24"/>
        </w:rPr>
        <w:t xml:space="preserve"> highlight anticipated benefits of participation</w:t>
      </w:r>
      <w:r w:rsidRPr="00BF2C34" w:rsidR="007C6982">
        <w:rPr>
          <w:rFonts w:eastAsiaTheme="minorHAnsi"/>
          <w:sz w:val="24"/>
          <w:szCs w:val="24"/>
        </w:rPr>
        <w:t xml:space="preserve"> </w:t>
      </w:r>
      <w:r w:rsidRPr="00BF2C34">
        <w:rPr>
          <w:rFonts w:eastAsiaTheme="minorHAnsi"/>
          <w:sz w:val="24"/>
          <w:szCs w:val="24"/>
        </w:rPr>
        <w:t xml:space="preserve">to build hope and excitement among schools that they may be selected into the </w:t>
      </w:r>
      <w:proofErr w:type="gramStart"/>
      <w:r w:rsidRPr="00BF2C34">
        <w:rPr>
          <w:rFonts w:eastAsiaTheme="minorHAnsi"/>
          <w:sz w:val="24"/>
          <w:szCs w:val="24"/>
        </w:rPr>
        <w:t>study</w:t>
      </w:r>
      <w:r w:rsidRPr="00BF2C34" w:rsidR="00BF2C34">
        <w:rPr>
          <w:rFonts w:eastAsiaTheme="minorHAnsi"/>
          <w:sz w:val="24"/>
          <w:szCs w:val="24"/>
        </w:rPr>
        <w:t>;</w:t>
      </w:r>
      <w:proofErr w:type="gramEnd"/>
    </w:p>
    <w:p w:rsidRPr="00BF2C34" w:rsidR="002B2A99" w:rsidP="00CD5B47" w:rsidRDefault="0079199F" w14:paraId="6609F086" w14:textId="6614B0D0">
      <w:pPr>
        <w:pStyle w:val="P1-StandPara"/>
        <w:widowControl w:val="0"/>
        <w:numPr>
          <w:ilvl w:val="0"/>
          <w:numId w:val="7"/>
        </w:numPr>
        <w:spacing w:after="120" w:line="240" w:lineRule="atLeast"/>
        <w:jc w:val="left"/>
        <w:rPr>
          <w:sz w:val="24"/>
          <w:szCs w:val="24"/>
        </w:rPr>
      </w:pPr>
      <w:r w:rsidRPr="00BF2C34">
        <w:rPr>
          <w:sz w:val="24"/>
          <w:szCs w:val="24"/>
        </w:rPr>
        <w:t xml:space="preserve">Inform Chief State Officers and state assessment directors about the sample of schools in their </w:t>
      </w:r>
      <w:proofErr w:type="gramStart"/>
      <w:r w:rsidRPr="00BF2C34">
        <w:rPr>
          <w:sz w:val="24"/>
          <w:szCs w:val="24"/>
        </w:rPr>
        <w:t>state</w:t>
      </w:r>
      <w:r w:rsidRPr="00BF2C34" w:rsidR="00BF2C34">
        <w:rPr>
          <w:sz w:val="24"/>
          <w:szCs w:val="24"/>
        </w:rPr>
        <w:t>;</w:t>
      </w:r>
      <w:proofErr w:type="gramEnd"/>
    </w:p>
    <w:p w:rsidRPr="00BF2C34" w:rsidR="0079199F" w:rsidP="00CD5B47" w:rsidRDefault="0079199F" w14:paraId="36ADBE09" w14:textId="1DA08CEE">
      <w:pPr>
        <w:pStyle w:val="N1-1stBullet"/>
        <w:widowControl w:val="0"/>
        <w:numPr>
          <w:ilvl w:val="0"/>
          <w:numId w:val="7"/>
        </w:numPr>
        <w:spacing w:after="120" w:line="240" w:lineRule="auto"/>
        <w:rPr>
          <w:rFonts w:ascii="Times New Roman" w:hAnsi="Times New Roman"/>
          <w:szCs w:val="24"/>
        </w:rPr>
      </w:pPr>
      <w:r w:rsidRPr="00BF2C34">
        <w:rPr>
          <w:rFonts w:ascii="Times New Roman" w:hAnsi="Times New Roman"/>
          <w:szCs w:val="24"/>
        </w:rPr>
        <w:t>U</w:t>
      </w:r>
      <w:r w:rsidRPr="00BF2C34" w:rsidR="00D72BEC">
        <w:rPr>
          <w:rFonts w:ascii="Times New Roman" w:hAnsi="Times New Roman"/>
          <w:szCs w:val="24"/>
        </w:rPr>
        <w:t>se</w:t>
      </w:r>
      <w:r w:rsidRPr="00BF2C34">
        <w:rPr>
          <w:rFonts w:ascii="Times New Roman" w:hAnsi="Times New Roman"/>
          <w:szCs w:val="24"/>
        </w:rPr>
        <w:t xml:space="preserve"> the assistance of NAEP State Coordinators to recruit districts and schools, providing key state agency involvement in </w:t>
      </w:r>
      <w:proofErr w:type="gramStart"/>
      <w:r w:rsidRPr="00BF2C34">
        <w:rPr>
          <w:rFonts w:ascii="Times New Roman" w:hAnsi="Times New Roman"/>
          <w:szCs w:val="24"/>
        </w:rPr>
        <w:t>recruitment</w:t>
      </w:r>
      <w:r w:rsidRPr="00BF2C34" w:rsidR="00BF2C34">
        <w:rPr>
          <w:rFonts w:ascii="Times New Roman" w:hAnsi="Times New Roman"/>
          <w:szCs w:val="24"/>
        </w:rPr>
        <w:t>;</w:t>
      </w:r>
      <w:proofErr w:type="gramEnd"/>
    </w:p>
    <w:p w:rsidRPr="00BF2C34" w:rsidR="0079199F" w:rsidP="00CD5B47" w:rsidRDefault="0079199F" w14:paraId="7D6AFC25" w14:textId="67F085C3">
      <w:pPr>
        <w:pStyle w:val="N1-1stBullet"/>
        <w:widowControl w:val="0"/>
        <w:numPr>
          <w:ilvl w:val="0"/>
          <w:numId w:val="7"/>
        </w:numPr>
        <w:spacing w:after="120"/>
        <w:rPr>
          <w:rFonts w:ascii="Times New Roman" w:hAnsi="Times New Roman"/>
          <w:szCs w:val="24"/>
        </w:rPr>
      </w:pPr>
      <w:r w:rsidRPr="00BF2C34">
        <w:rPr>
          <w:rFonts w:ascii="Times New Roman" w:hAnsi="Times New Roman"/>
          <w:szCs w:val="24"/>
        </w:rPr>
        <w:t>Send letters and informational materials to schools and districts. These letters will be customized by type of school</w:t>
      </w:r>
      <w:r w:rsidR="00E32A8E">
        <w:rPr>
          <w:rFonts w:ascii="Times New Roman" w:hAnsi="Times New Roman"/>
          <w:szCs w:val="24"/>
        </w:rPr>
        <w:t xml:space="preserve">. In addition, alternative versions are provided in Appendix A to account for school composition during recruitment, as </w:t>
      </w:r>
      <w:r w:rsidR="00BC438E">
        <w:rPr>
          <w:rFonts w:ascii="Times New Roman" w:hAnsi="Times New Roman"/>
          <w:szCs w:val="24"/>
        </w:rPr>
        <w:t>additional language will be added</w:t>
      </w:r>
      <w:r w:rsidR="00E32A8E">
        <w:rPr>
          <w:rFonts w:ascii="Times New Roman" w:hAnsi="Times New Roman"/>
          <w:szCs w:val="24"/>
        </w:rPr>
        <w:t xml:space="preserve"> for schools conducting learning </w:t>
      </w:r>
      <w:proofErr w:type="gramStart"/>
      <w:r w:rsidR="00E32A8E">
        <w:rPr>
          <w:rFonts w:ascii="Times New Roman" w:hAnsi="Times New Roman"/>
          <w:szCs w:val="24"/>
        </w:rPr>
        <w:t>virtually</w:t>
      </w:r>
      <w:r w:rsidRPr="00BF2C34" w:rsidR="00BF2C34">
        <w:rPr>
          <w:rFonts w:ascii="Times New Roman" w:hAnsi="Times New Roman"/>
          <w:szCs w:val="24"/>
        </w:rPr>
        <w:t>;</w:t>
      </w:r>
      <w:proofErr w:type="gramEnd"/>
    </w:p>
    <w:p w:rsidRPr="00BF2C34" w:rsidR="002D2F87" w:rsidP="00CD5B47" w:rsidRDefault="002D2F87" w14:paraId="0A32B46C" w14:textId="043FC774">
      <w:pPr>
        <w:pStyle w:val="P1-StandPara"/>
        <w:widowControl w:val="0"/>
        <w:numPr>
          <w:ilvl w:val="0"/>
          <w:numId w:val="7"/>
        </w:numPr>
        <w:spacing w:after="120" w:line="240" w:lineRule="atLeast"/>
        <w:jc w:val="left"/>
        <w:rPr>
          <w:sz w:val="24"/>
          <w:szCs w:val="24"/>
        </w:rPr>
      </w:pPr>
      <w:r w:rsidRPr="00BF2C34">
        <w:rPr>
          <w:sz w:val="24"/>
          <w:szCs w:val="24"/>
        </w:rPr>
        <w:t xml:space="preserve">Train experienced NAEP State Coordinators about </w:t>
      </w:r>
      <w:proofErr w:type="gramStart"/>
      <w:r w:rsidR="00097AB7">
        <w:rPr>
          <w:sz w:val="24"/>
          <w:szCs w:val="24"/>
        </w:rPr>
        <w:t>ICILS</w:t>
      </w:r>
      <w:r w:rsidRPr="00BF2C34" w:rsidR="00BF2C34">
        <w:rPr>
          <w:sz w:val="24"/>
          <w:szCs w:val="24"/>
        </w:rPr>
        <w:t>;</w:t>
      </w:r>
      <w:proofErr w:type="gramEnd"/>
    </w:p>
    <w:p w:rsidRPr="00BF2C34" w:rsidR="0079199F" w:rsidP="00CD5B47" w:rsidRDefault="0079199F" w14:paraId="5B195F5F" w14:textId="1DD35AC6">
      <w:pPr>
        <w:pStyle w:val="N1-1stBullet"/>
        <w:widowControl w:val="0"/>
        <w:numPr>
          <w:ilvl w:val="0"/>
          <w:numId w:val="7"/>
        </w:numPr>
        <w:spacing w:after="120"/>
        <w:rPr>
          <w:rFonts w:ascii="Times New Roman" w:hAnsi="Times New Roman"/>
          <w:szCs w:val="24"/>
        </w:rPr>
      </w:pPr>
      <w:r w:rsidRPr="00BF2C34">
        <w:rPr>
          <w:rFonts w:ascii="Times New Roman" w:hAnsi="Times New Roman"/>
          <w:szCs w:val="24"/>
        </w:rPr>
        <w:t xml:space="preserve">Follow-up mailings with telephone calls and emails to explain the study and school involvement, including placing the </w:t>
      </w:r>
      <w:r w:rsidR="00097AB7">
        <w:rPr>
          <w:rFonts w:ascii="Times New Roman" w:hAnsi="Times New Roman"/>
          <w:szCs w:val="24"/>
        </w:rPr>
        <w:t>ICILS</w:t>
      </w:r>
      <w:r w:rsidRPr="00BF2C34">
        <w:rPr>
          <w:rFonts w:ascii="Times New Roman" w:hAnsi="Times New Roman"/>
          <w:szCs w:val="24"/>
        </w:rPr>
        <w:t xml:space="preserve"> assessment date on school </w:t>
      </w:r>
      <w:proofErr w:type="gramStart"/>
      <w:r w:rsidRPr="00BF2C34">
        <w:rPr>
          <w:rFonts w:ascii="Times New Roman" w:hAnsi="Times New Roman"/>
          <w:szCs w:val="24"/>
        </w:rPr>
        <w:t>calendars</w:t>
      </w:r>
      <w:r w:rsidRPr="00BF2C34" w:rsidR="00BF2C34">
        <w:rPr>
          <w:rFonts w:ascii="Times New Roman" w:hAnsi="Times New Roman"/>
          <w:szCs w:val="24"/>
        </w:rPr>
        <w:t>;</w:t>
      </w:r>
      <w:proofErr w:type="gramEnd"/>
    </w:p>
    <w:p w:rsidRPr="00BF2C34" w:rsidR="00CD5B47" w:rsidP="00CD5B47" w:rsidRDefault="0079199F" w14:paraId="17792633" w14:textId="59EC4C64">
      <w:pPr>
        <w:pStyle w:val="N1-1stBullet"/>
        <w:widowControl w:val="0"/>
        <w:numPr>
          <w:ilvl w:val="0"/>
          <w:numId w:val="7"/>
        </w:numPr>
        <w:spacing w:after="120"/>
        <w:rPr>
          <w:rFonts w:ascii="Times New Roman" w:hAnsi="Times New Roman"/>
          <w:szCs w:val="24"/>
        </w:rPr>
      </w:pPr>
      <w:r w:rsidRPr="00BF2C34">
        <w:rPr>
          <w:rFonts w:ascii="Times New Roman" w:hAnsi="Times New Roman"/>
          <w:szCs w:val="24"/>
        </w:rPr>
        <w:t xml:space="preserve">Maintain continued contact until schools have built a relationship with the </w:t>
      </w:r>
      <w:r w:rsidR="00BC438E">
        <w:rPr>
          <w:rFonts w:ascii="Times New Roman" w:hAnsi="Times New Roman"/>
          <w:szCs w:val="24"/>
        </w:rPr>
        <w:t>ICILS team</w:t>
      </w:r>
      <w:r w:rsidRPr="00BF2C34">
        <w:rPr>
          <w:rFonts w:ascii="Times New Roman" w:hAnsi="Times New Roman"/>
          <w:szCs w:val="24"/>
        </w:rPr>
        <w:t xml:space="preserve"> and fully understand </w:t>
      </w:r>
      <w:proofErr w:type="gramStart"/>
      <w:r w:rsidR="00097AB7">
        <w:rPr>
          <w:rFonts w:ascii="Times New Roman" w:hAnsi="Times New Roman"/>
          <w:szCs w:val="24"/>
        </w:rPr>
        <w:t>ICILS</w:t>
      </w:r>
      <w:r w:rsidRPr="00BF2C34" w:rsidR="00BF2C34">
        <w:rPr>
          <w:rFonts w:ascii="Times New Roman" w:hAnsi="Times New Roman"/>
          <w:szCs w:val="24"/>
        </w:rPr>
        <w:t>;</w:t>
      </w:r>
      <w:proofErr w:type="gramEnd"/>
    </w:p>
    <w:p w:rsidRPr="00BF2C34" w:rsidR="004C21D1" w:rsidP="004C21D1" w:rsidRDefault="004C21D1" w14:paraId="11B8B9E7" w14:textId="6F11B8D5">
      <w:pPr>
        <w:pStyle w:val="N1-1stBullet"/>
        <w:widowControl w:val="0"/>
        <w:numPr>
          <w:ilvl w:val="0"/>
          <w:numId w:val="7"/>
        </w:numPr>
        <w:spacing w:after="120"/>
        <w:rPr>
          <w:rFonts w:ascii="Times New Roman" w:hAnsi="Times New Roman"/>
          <w:szCs w:val="24"/>
        </w:rPr>
      </w:pPr>
      <w:r w:rsidRPr="00BF2C34">
        <w:rPr>
          <w:rFonts w:ascii="Times New Roman" w:hAnsi="Times New Roman"/>
          <w:szCs w:val="24"/>
        </w:rPr>
        <w:t xml:space="preserve">Use monetary school incentives </w:t>
      </w:r>
      <w:r>
        <w:rPr>
          <w:rFonts w:ascii="Times New Roman" w:hAnsi="Times New Roman"/>
          <w:szCs w:val="24"/>
        </w:rPr>
        <w:t xml:space="preserve">of at least $200 and </w:t>
      </w:r>
      <w:r w:rsidRPr="00BF2C34">
        <w:rPr>
          <w:rFonts w:ascii="Times New Roman" w:hAnsi="Times New Roman"/>
          <w:szCs w:val="24"/>
        </w:rPr>
        <w:t>up to $800</w:t>
      </w:r>
      <w:r>
        <w:rPr>
          <w:rFonts w:ascii="Times New Roman" w:hAnsi="Times New Roman"/>
          <w:szCs w:val="24"/>
        </w:rPr>
        <w:t xml:space="preserve"> for select schools (all school incentives will be $200, and graduated incentives will be </w:t>
      </w:r>
      <w:r w:rsidR="00FF3C4D">
        <w:rPr>
          <w:rFonts w:ascii="Times New Roman" w:hAnsi="Times New Roman"/>
          <w:szCs w:val="24"/>
        </w:rPr>
        <w:t xml:space="preserve">introduced </w:t>
      </w:r>
      <w:r w:rsidR="009312D3">
        <w:rPr>
          <w:rFonts w:ascii="Times New Roman" w:hAnsi="Times New Roman"/>
          <w:szCs w:val="24"/>
        </w:rPr>
        <w:t>for target schools</w:t>
      </w:r>
      <w:r w:rsidR="00971486">
        <w:rPr>
          <w:rFonts w:ascii="Times New Roman" w:hAnsi="Times New Roman"/>
          <w:szCs w:val="24"/>
        </w:rPr>
        <w:t>, per description in Part A.9</w:t>
      </w:r>
      <w:proofErr w:type="gramStart"/>
      <w:r>
        <w:rPr>
          <w:rFonts w:ascii="Times New Roman" w:hAnsi="Times New Roman"/>
          <w:szCs w:val="24"/>
        </w:rPr>
        <w:t>)</w:t>
      </w:r>
      <w:r w:rsidRPr="00BF2C34">
        <w:rPr>
          <w:rFonts w:ascii="Times New Roman" w:hAnsi="Times New Roman"/>
          <w:szCs w:val="24"/>
        </w:rPr>
        <w:t>;</w:t>
      </w:r>
      <w:proofErr w:type="gramEnd"/>
    </w:p>
    <w:p w:rsidRPr="00BF2C34" w:rsidR="00CD5B47" w:rsidP="00CD5B47" w:rsidRDefault="00CD5B47" w14:paraId="322349B7" w14:textId="7A27605A">
      <w:pPr>
        <w:pStyle w:val="N1-1stBullet"/>
        <w:widowControl w:val="0"/>
        <w:numPr>
          <w:ilvl w:val="0"/>
          <w:numId w:val="7"/>
        </w:numPr>
        <w:spacing w:after="120"/>
        <w:rPr>
          <w:rFonts w:ascii="Times New Roman" w:hAnsi="Times New Roman"/>
          <w:szCs w:val="24"/>
        </w:rPr>
      </w:pPr>
      <w:r w:rsidRPr="00BF2C34">
        <w:rPr>
          <w:rFonts w:ascii="Times New Roman" w:hAnsi="Times New Roman"/>
          <w:szCs w:val="24"/>
        </w:rPr>
        <w:t xml:space="preserve">Offer salient, interactive, topical webinars to participating district and school </w:t>
      </w:r>
      <w:proofErr w:type="gramStart"/>
      <w:r w:rsidRPr="00BF2C34">
        <w:rPr>
          <w:rFonts w:ascii="Times New Roman" w:hAnsi="Times New Roman"/>
          <w:szCs w:val="24"/>
        </w:rPr>
        <w:t>staff</w:t>
      </w:r>
      <w:r w:rsidRPr="00BF2C34" w:rsidR="00BF2C34">
        <w:rPr>
          <w:rFonts w:ascii="Times New Roman" w:hAnsi="Times New Roman"/>
          <w:szCs w:val="24"/>
        </w:rPr>
        <w:t>;</w:t>
      </w:r>
      <w:proofErr w:type="gramEnd"/>
      <w:r w:rsidRPr="00BF2C34">
        <w:rPr>
          <w:rFonts w:ascii="Times New Roman" w:hAnsi="Times New Roman"/>
          <w:szCs w:val="24"/>
        </w:rPr>
        <w:t xml:space="preserve"> </w:t>
      </w:r>
    </w:p>
    <w:p w:rsidRPr="00BF2C34" w:rsidR="00D872C9" w:rsidP="00CD5B47" w:rsidRDefault="00CD5B47" w14:paraId="22B2C7B1" w14:textId="1727C26F">
      <w:pPr>
        <w:pStyle w:val="N1-1stBullet"/>
        <w:widowControl w:val="0"/>
        <w:numPr>
          <w:ilvl w:val="0"/>
          <w:numId w:val="7"/>
        </w:numPr>
        <w:spacing w:after="120"/>
        <w:rPr>
          <w:rFonts w:ascii="Times New Roman" w:hAnsi="Times New Roman" w:eastAsiaTheme="minorHAnsi"/>
          <w:szCs w:val="24"/>
        </w:rPr>
      </w:pPr>
      <w:r w:rsidRPr="00BF2C34">
        <w:rPr>
          <w:rFonts w:ascii="Times New Roman" w:hAnsi="Times New Roman"/>
          <w:szCs w:val="24"/>
        </w:rPr>
        <w:t xml:space="preserve">Provide </w:t>
      </w:r>
      <w:r w:rsidRPr="00BF2C34" w:rsidR="00D351EB">
        <w:rPr>
          <w:rFonts w:ascii="Times New Roman" w:hAnsi="Times New Roman" w:eastAsiaTheme="minorHAnsi"/>
          <w:szCs w:val="24"/>
        </w:rPr>
        <w:t xml:space="preserve">school reports augmented with survey response </w:t>
      </w:r>
      <w:proofErr w:type="gramStart"/>
      <w:r w:rsidRPr="00BF2C34" w:rsidR="00D351EB">
        <w:rPr>
          <w:rFonts w:ascii="Times New Roman" w:hAnsi="Times New Roman" w:eastAsiaTheme="minorHAnsi"/>
          <w:szCs w:val="24"/>
        </w:rPr>
        <w:t>data</w:t>
      </w:r>
      <w:r w:rsidRPr="00BF2C34">
        <w:rPr>
          <w:rFonts w:ascii="Times New Roman" w:hAnsi="Times New Roman" w:eastAsiaTheme="minorHAnsi"/>
          <w:szCs w:val="24"/>
        </w:rPr>
        <w:t>;</w:t>
      </w:r>
      <w:proofErr w:type="gramEnd"/>
      <w:r w:rsidRPr="00BF2C34">
        <w:rPr>
          <w:rFonts w:ascii="Times New Roman" w:hAnsi="Times New Roman" w:eastAsiaTheme="minorHAnsi"/>
          <w:szCs w:val="24"/>
        </w:rPr>
        <w:t xml:space="preserve"> </w:t>
      </w:r>
    </w:p>
    <w:p w:rsidRPr="00BF2C34" w:rsidR="00D351EB" w:rsidP="00CD5B47" w:rsidRDefault="00CD5B47" w14:paraId="2914BD18" w14:textId="79BF1ACE">
      <w:pPr>
        <w:pStyle w:val="N1-1stBullet"/>
        <w:widowControl w:val="0"/>
        <w:numPr>
          <w:ilvl w:val="0"/>
          <w:numId w:val="2"/>
        </w:numPr>
        <w:tabs>
          <w:tab w:val="clear" w:pos="936"/>
          <w:tab w:val="num" w:pos="720"/>
        </w:tabs>
        <w:autoSpaceDE w:val="0"/>
        <w:autoSpaceDN w:val="0"/>
        <w:adjustRightInd w:val="0"/>
        <w:spacing w:after="120"/>
        <w:ind w:left="720" w:hanging="360"/>
        <w:rPr>
          <w:rFonts w:ascii="Times New Roman" w:hAnsi="Times New Roman" w:eastAsiaTheme="minorHAnsi"/>
          <w:szCs w:val="24"/>
        </w:rPr>
      </w:pPr>
      <w:r w:rsidRPr="00BF2C34">
        <w:rPr>
          <w:rFonts w:ascii="Times New Roman" w:hAnsi="Times New Roman" w:eastAsiaTheme="minorHAnsi"/>
          <w:szCs w:val="24"/>
        </w:rPr>
        <w:t>Pro</w:t>
      </w:r>
      <w:r w:rsidRPr="00BF2C34" w:rsidR="00D872C9">
        <w:rPr>
          <w:rFonts w:ascii="Times New Roman" w:hAnsi="Times New Roman" w:eastAsiaTheme="minorHAnsi"/>
          <w:szCs w:val="24"/>
        </w:rPr>
        <w:t xml:space="preserve">duce and distribute </w:t>
      </w:r>
      <w:r w:rsidRPr="00BF2C34" w:rsidR="007C6982">
        <w:rPr>
          <w:rFonts w:ascii="Times New Roman" w:hAnsi="Times New Roman" w:eastAsiaTheme="minorHAnsi"/>
          <w:szCs w:val="24"/>
        </w:rPr>
        <w:t>a newsletter compiling relevant</w:t>
      </w:r>
      <w:r w:rsidRPr="00BF2C34" w:rsidR="00516BA7">
        <w:rPr>
          <w:rFonts w:ascii="Times New Roman" w:hAnsi="Times New Roman" w:eastAsiaTheme="minorHAnsi"/>
          <w:szCs w:val="24"/>
        </w:rPr>
        <w:t xml:space="preserve"> elementary and middle-school math and science research reports and practice guides from federal Regional Education Laboratories, Comprehensive Centers, and the What Works Clearinghouse for all </w:t>
      </w:r>
      <w:proofErr w:type="gramStart"/>
      <w:r w:rsidRPr="00BF2C34" w:rsidR="00516BA7">
        <w:rPr>
          <w:rFonts w:ascii="Times New Roman" w:hAnsi="Times New Roman" w:eastAsiaTheme="minorHAnsi"/>
          <w:szCs w:val="24"/>
        </w:rPr>
        <w:t>levels</w:t>
      </w:r>
      <w:r w:rsidRPr="00BF2C34" w:rsidR="00BF2C34">
        <w:rPr>
          <w:rFonts w:ascii="Times New Roman" w:hAnsi="Times New Roman" w:eastAsiaTheme="minorHAnsi"/>
          <w:szCs w:val="24"/>
        </w:rPr>
        <w:t>;</w:t>
      </w:r>
      <w:proofErr w:type="gramEnd"/>
    </w:p>
    <w:p w:rsidRPr="00BF2C34" w:rsidR="002D2F87" w:rsidP="00CD5B47" w:rsidRDefault="00516BA7" w14:paraId="7EABF49F" w14:textId="0C704B2F">
      <w:pPr>
        <w:pStyle w:val="ListParagraph"/>
        <w:numPr>
          <w:ilvl w:val="0"/>
          <w:numId w:val="9"/>
        </w:numPr>
        <w:autoSpaceDE w:val="0"/>
        <w:autoSpaceDN w:val="0"/>
        <w:adjustRightInd w:val="0"/>
        <w:spacing w:after="120"/>
        <w:rPr>
          <w:rFonts w:eastAsiaTheme="minorHAnsi"/>
        </w:rPr>
      </w:pPr>
      <w:r w:rsidRPr="00BF2C34">
        <w:rPr>
          <w:rFonts w:eastAsiaTheme="minorHAnsi"/>
        </w:rPr>
        <w:t xml:space="preserve">Provide </w:t>
      </w:r>
      <w:r w:rsidRPr="00BF2C34" w:rsidR="00797B77">
        <w:rPr>
          <w:rFonts w:eastAsiaTheme="minorHAnsi"/>
        </w:rPr>
        <w:t>study updates for all levels on key study milestones and releases</w:t>
      </w:r>
      <w:r w:rsidRPr="00BF2C34" w:rsidR="00BF2C34">
        <w:rPr>
          <w:rFonts w:eastAsiaTheme="minorHAnsi"/>
        </w:rPr>
        <w:t>;</w:t>
      </w:r>
      <w:r w:rsidRPr="00BF2C34" w:rsidR="00797B77">
        <w:rPr>
          <w:rFonts w:eastAsiaTheme="minorHAnsi"/>
        </w:rPr>
        <w:t xml:space="preserve"> and</w:t>
      </w:r>
    </w:p>
    <w:p w:rsidRPr="004570C8" w:rsidR="002D2F87" w:rsidP="00CD5B47" w:rsidRDefault="002D2F87" w14:paraId="25D463A9" w14:textId="7035BFDC">
      <w:pPr>
        <w:pStyle w:val="N1-1stBullet"/>
        <w:widowControl w:val="0"/>
        <w:numPr>
          <w:ilvl w:val="0"/>
          <w:numId w:val="9"/>
        </w:numPr>
        <w:spacing w:after="120" w:line="240" w:lineRule="auto"/>
        <w:rPr>
          <w:rFonts w:ascii="Times New Roman" w:hAnsi="Times New Roman"/>
          <w:b/>
          <w:szCs w:val="24"/>
        </w:rPr>
      </w:pPr>
      <w:r w:rsidRPr="00BF2C34">
        <w:rPr>
          <w:rFonts w:ascii="Times New Roman" w:hAnsi="Times New Roman"/>
          <w:szCs w:val="24"/>
        </w:rPr>
        <w:t xml:space="preserve">Make in-person visits to some </w:t>
      </w:r>
      <w:r w:rsidRPr="00BF2C34" w:rsidR="00797B77">
        <w:rPr>
          <w:rFonts w:ascii="Times New Roman" w:hAnsi="Times New Roman"/>
          <w:szCs w:val="24"/>
        </w:rPr>
        <w:t xml:space="preserve">districts and </w:t>
      </w:r>
      <w:r w:rsidRPr="00BF2C34">
        <w:rPr>
          <w:rFonts w:ascii="Times New Roman" w:hAnsi="Times New Roman"/>
          <w:szCs w:val="24"/>
        </w:rPr>
        <w:t>schools, as necessary</w:t>
      </w:r>
      <w:r w:rsidRPr="00BF2C34" w:rsidR="00122A34">
        <w:rPr>
          <w:rFonts w:ascii="Times New Roman" w:hAnsi="Times New Roman"/>
          <w:szCs w:val="24"/>
        </w:rPr>
        <w:t>.</w:t>
      </w:r>
    </w:p>
    <w:p w:rsidR="00D50E2B" w:rsidP="00D50E2B" w:rsidRDefault="00D50E2B" w14:paraId="590E3EE0" w14:textId="75AD2E55">
      <w:pPr>
        <w:pStyle w:val="N1-1stBullet"/>
        <w:widowControl w:val="0"/>
        <w:numPr>
          <w:ilvl w:val="0"/>
          <w:numId w:val="0"/>
        </w:numPr>
        <w:spacing w:after="120" w:line="240" w:lineRule="auto"/>
        <w:rPr>
          <w:rFonts w:ascii="Times New Roman" w:hAnsi="Times New Roman"/>
          <w:szCs w:val="24"/>
        </w:rPr>
      </w:pPr>
      <w:r>
        <w:rPr>
          <w:rFonts w:ascii="Times New Roman" w:hAnsi="Times New Roman"/>
          <w:szCs w:val="24"/>
        </w:rPr>
        <w:t>Our approach to maximizing student recruitment is to:</w:t>
      </w:r>
    </w:p>
    <w:p w:rsidRPr="004570C8" w:rsidR="00D50E2B" w:rsidP="00D50E2B" w:rsidRDefault="00D50E2B" w14:paraId="3368A81C" w14:textId="2A12E7DF">
      <w:pPr>
        <w:pStyle w:val="N1-1stBullet"/>
        <w:widowControl w:val="0"/>
        <w:numPr>
          <w:ilvl w:val="0"/>
          <w:numId w:val="14"/>
        </w:numPr>
        <w:spacing w:after="120" w:line="240" w:lineRule="auto"/>
        <w:rPr>
          <w:rFonts w:ascii="Times New Roman" w:hAnsi="Times New Roman"/>
          <w:bCs/>
          <w:szCs w:val="24"/>
        </w:rPr>
      </w:pPr>
      <w:r w:rsidRPr="004570C8">
        <w:rPr>
          <w:rFonts w:ascii="Times New Roman" w:hAnsi="Times New Roman"/>
          <w:bCs/>
          <w:szCs w:val="24"/>
        </w:rPr>
        <w:t xml:space="preserve">Encourage schools to use implied permission forms or notification letters. Written permission will be collected if required by the school district or </w:t>
      </w:r>
      <w:proofErr w:type="gramStart"/>
      <w:r w:rsidRPr="004570C8">
        <w:rPr>
          <w:rFonts w:ascii="Times New Roman" w:hAnsi="Times New Roman"/>
          <w:bCs/>
          <w:szCs w:val="24"/>
        </w:rPr>
        <w:t>school;</w:t>
      </w:r>
      <w:proofErr w:type="gramEnd"/>
    </w:p>
    <w:p w:rsidRPr="004570C8" w:rsidR="00D50E2B" w:rsidP="00D50E2B" w:rsidRDefault="00BC438E" w14:paraId="0FD76154" w14:textId="70BED878">
      <w:pPr>
        <w:pStyle w:val="N1-1stBullet"/>
        <w:widowControl w:val="0"/>
        <w:numPr>
          <w:ilvl w:val="0"/>
          <w:numId w:val="14"/>
        </w:numPr>
        <w:spacing w:after="120" w:line="240" w:lineRule="auto"/>
        <w:rPr>
          <w:rFonts w:ascii="Times New Roman" w:hAnsi="Times New Roman"/>
          <w:bCs/>
          <w:szCs w:val="24"/>
        </w:rPr>
      </w:pPr>
      <w:bookmarkStart w:name="_Hlk83904704" w:id="10"/>
      <w:r>
        <w:rPr>
          <w:rFonts w:ascii="Times New Roman" w:hAnsi="Times New Roman"/>
          <w:bCs/>
          <w:szCs w:val="24"/>
        </w:rPr>
        <w:t xml:space="preserve">Remind school coordinators to </w:t>
      </w:r>
      <w:bookmarkEnd w:id="10"/>
      <w:r>
        <w:rPr>
          <w:rFonts w:ascii="Times New Roman" w:hAnsi="Times New Roman"/>
          <w:bCs/>
          <w:szCs w:val="24"/>
        </w:rPr>
        <w:t>send</w:t>
      </w:r>
      <w:r w:rsidRPr="004570C8" w:rsidR="00D50E2B">
        <w:rPr>
          <w:rFonts w:ascii="Times New Roman" w:hAnsi="Times New Roman"/>
          <w:bCs/>
          <w:szCs w:val="24"/>
        </w:rPr>
        <w:t xml:space="preserve"> parental permission forms home to parents 4-6 </w:t>
      </w:r>
      <w:r w:rsidRPr="004570C8" w:rsidR="00D50E2B">
        <w:rPr>
          <w:rFonts w:ascii="Times New Roman" w:hAnsi="Times New Roman"/>
          <w:bCs/>
          <w:szCs w:val="24"/>
        </w:rPr>
        <w:lastRenderedPageBreak/>
        <w:t xml:space="preserve">weeks ahead of the </w:t>
      </w:r>
      <w:r w:rsidR="00097AB7">
        <w:rPr>
          <w:rFonts w:ascii="Times New Roman" w:hAnsi="Times New Roman"/>
          <w:bCs/>
          <w:szCs w:val="24"/>
        </w:rPr>
        <w:t>ICILS</w:t>
      </w:r>
      <w:r w:rsidRPr="004570C8" w:rsidR="00D50E2B">
        <w:rPr>
          <w:rFonts w:ascii="Times New Roman" w:hAnsi="Times New Roman"/>
          <w:bCs/>
          <w:szCs w:val="24"/>
        </w:rPr>
        <w:t xml:space="preserve"> sessions to allow ample time for parents to grant </w:t>
      </w:r>
      <w:proofErr w:type="gramStart"/>
      <w:r w:rsidRPr="004570C8" w:rsidR="00D50E2B">
        <w:rPr>
          <w:rFonts w:ascii="Times New Roman" w:hAnsi="Times New Roman"/>
          <w:bCs/>
          <w:szCs w:val="24"/>
        </w:rPr>
        <w:t>permission;</w:t>
      </w:r>
      <w:proofErr w:type="gramEnd"/>
    </w:p>
    <w:p w:rsidR="00D50E2B" w:rsidP="00D50E2B" w:rsidRDefault="00D50E2B" w14:paraId="2BAC9812" w14:textId="201E5D04">
      <w:pPr>
        <w:pStyle w:val="N1-1stBullet"/>
        <w:widowControl w:val="0"/>
        <w:numPr>
          <w:ilvl w:val="0"/>
          <w:numId w:val="14"/>
        </w:numPr>
        <w:spacing w:after="120" w:line="240" w:lineRule="auto"/>
        <w:rPr>
          <w:rFonts w:ascii="Times New Roman" w:hAnsi="Times New Roman"/>
          <w:bCs/>
          <w:szCs w:val="24"/>
        </w:rPr>
      </w:pPr>
      <w:r w:rsidRPr="004570C8">
        <w:rPr>
          <w:rFonts w:ascii="Times New Roman" w:hAnsi="Times New Roman"/>
          <w:bCs/>
          <w:szCs w:val="24"/>
        </w:rPr>
        <w:t xml:space="preserve">Offer participating students a small token of appreciation valued at approximately $4, for example </w:t>
      </w:r>
      <w:r w:rsidR="004C21D1">
        <w:rPr>
          <w:rFonts w:ascii="Times New Roman" w:hAnsi="Times New Roman"/>
          <w:bCs/>
          <w:szCs w:val="24"/>
        </w:rPr>
        <w:t xml:space="preserve">ear buds, a digital watch, or a pair of </w:t>
      </w:r>
      <w:proofErr w:type="gramStart"/>
      <w:r w:rsidR="004C21D1">
        <w:rPr>
          <w:rFonts w:ascii="Times New Roman" w:hAnsi="Times New Roman"/>
          <w:bCs/>
          <w:szCs w:val="24"/>
        </w:rPr>
        <w:t>sunglasses</w:t>
      </w:r>
      <w:r w:rsidRPr="004570C8">
        <w:rPr>
          <w:rFonts w:ascii="Times New Roman" w:hAnsi="Times New Roman"/>
          <w:bCs/>
          <w:szCs w:val="24"/>
        </w:rPr>
        <w:t>;</w:t>
      </w:r>
      <w:proofErr w:type="gramEnd"/>
    </w:p>
    <w:p w:rsidR="004C21D1" w:rsidP="00D50E2B" w:rsidRDefault="004C21D1" w14:paraId="6D6B6187" w14:textId="338422E9">
      <w:pPr>
        <w:pStyle w:val="N1-1stBullet"/>
        <w:widowControl w:val="0"/>
        <w:numPr>
          <w:ilvl w:val="0"/>
          <w:numId w:val="14"/>
        </w:numPr>
        <w:spacing w:after="120" w:line="240" w:lineRule="auto"/>
        <w:rPr>
          <w:rFonts w:ascii="Times New Roman" w:hAnsi="Times New Roman"/>
          <w:bCs/>
          <w:szCs w:val="24"/>
        </w:rPr>
      </w:pPr>
      <w:r>
        <w:rPr>
          <w:rFonts w:ascii="Times New Roman" w:hAnsi="Times New Roman"/>
          <w:bCs/>
          <w:szCs w:val="24"/>
        </w:rPr>
        <w:t xml:space="preserve">Provide students with a certificate with their name thanking them for participating and representing the United States in </w:t>
      </w:r>
      <w:proofErr w:type="gramStart"/>
      <w:r w:rsidR="00097AB7">
        <w:rPr>
          <w:rFonts w:ascii="Times New Roman" w:hAnsi="Times New Roman"/>
          <w:bCs/>
          <w:szCs w:val="24"/>
        </w:rPr>
        <w:t>ICILS</w:t>
      </w:r>
      <w:r>
        <w:rPr>
          <w:rFonts w:ascii="Times New Roman" w:hAnsi="Times New Roman"/>
          <w:bCs/>
          <w:szCs w:val="24"/>
        </w:rPr>
        <w:t>;</w:t>
      </w:r>
      <w:proofErr w:type="gramEnd"/>
    </w:p>
    <w:p w:rsidRPr="004570C8" w:rsidR="00D50E2B" w:rsidP="00D50E2B" w:rsidRDefault="005E0CD6" w14:paraId="36DE5DF9" w14:textId="0002A094">
      <w:pPr>
        <w:pStyle w:val="N1-1stBullet"/>
        <w:widowControl w:val="0"/>
        <w:numPr>
          <w:ilvl w:val="0"/>
          <w:numId w:val="14"/>
        </w:numPr>
        <w:spacing w:after="120" w:line="240" w:lineRule="auto"/>
        <w:rPr>
          <w:rFonts w:ascii="Times New Roman" w:hAnsi="Times New Roman"/>
          <w:bCs/>
          <w:szCs w:val="24"/>
        </w:rPr>
      </w:pPr>
      <w:r>
        <w:rPr>
          <w:rFonts w:ascii="Times New Roman" w:hAnsi="Times New Roman"/>
          <w:bCs/>
          <w:szCs w:val="24"/>
        </w:rPr>
        <w:t xml:space="preserve">If </w:t>
      </w:r>
      <w:r w:rsidR="004C21D1">
        <w:rPr>
          <w:rFonts w:ascii="Times New Roman" w:hAnsi="Times New Roman"/>
          <w:bCs/>
          <w:szCs w:val="24"/>
        </w:rPr>
        <w:t xml:space="preserve">permitted by the school, </w:t>
      </w:r>
      <w:r>
        <w:rPr>
          <w:rFonts w:ascii="Times New Roman" w:hAnsi="Times New Roman"/>
          <w:bCs/>
          <w:szCs w:val="24"/>
        </w:rPr>
        <w:t xml:space="preserve">certificate will also serve as a </w:t>
      </w:r>
      <w:r w:rsidR="00D50E2B">
        <w:rPr>
          <w:rFonts w:ascii="Times New Roman" w:hAnsi="Times New Roman"/>
          <w:bCs/>
          <w:szCs w:val="24"/>
        </w:rPr>
        <w:t>certificate of service</w:t>
      </w:r>
      <w:r w:rsidR="004C21D1">
        <w:rPr>
          <w:rFonts w:ascii="Times New Roman" w:hAnsi="Times New Roman"/>
          <w:bCs/>
          <w:szCs w:val="24"/>
        </w:rPr>
        <w:t xml:space="preserve"> and community service hours</w:t>
      </w:r>
      <w:r w:rsidR="00BC438E">
        <w:rPr>
          <w:rFonts w:ascii="Times New Roman" w:hAnsi="Times New Roman"/>
          <w:bCs/>
          <w:szCs w:val="24"/>
        </w:rPr>
        <w:t xml:space="preserve">, </w:t>
      </w:r>
      <w:r w:rsidR="004C21D1">
        <w:rPr>
          <w:rFonts w:ascii="Times New Roman" w:hAnsi="Times New Roman"/>
          <w:bCs/>
          <w:szCs w:val="24"/>
        </w:rPr>
        <w:t xml:space="preserve">as permitted by the </w:t>
      </w:r>
      <w:proofErr w:type="gramStart"/>
      <w:r w:rsidR="004C21D1">
        <w:rPr>
          <w:rFonts w:ascii="Times New Roman" w:hAnsi="Times New Roman"/>
          <w:bCs/>
          <w:szCs w:val="24"/>
        </w:rPr>
        <w:t>school;</w:t>
      </w:r>
      <w:proofErr w:type="gramEnd"/>
    </w:p>
    <w:p w:rsidRPr="004570C8" w:rsidR="00D50E2B" w:rsidP="00D50E2B" w:rsidRDefault="00BC438E" w14:paraId="5768A412" w14:textId="7FFAC520">
      <w:pPr>
        <w:pStyle w:val="N1-1stBullet"/>
        <w:widowControl w:val="0"/>
        <w:numPr>
          <w:ilvl w:val="0"/>
          <w:numId w:val="14"/>
        </w:numPr>
        <w:spacing w:after="120" w:line="240" w:lineRule="auto"/>
        <w:rPr>
          <w:rFonts w:ascii="Times New Roman" w:hAnsi="Times New Roman"/>
          <w:bCs/>
          <w:szCs w:val="24"/>
        </w:rPr>
      </w:pPr>
      <w:r w:rsidRPr="00BC438E">
        <w:rPr>
          <w:rFonts w:ascii="Times New Roman" w:hAnsi="Times New Roman"/>
          <w:bCs/>
          <w:szCs w:val="24"/>
        </w:rPr>
        <w:t xml:space="preserve">Remind school coordinators to </w:t>
      </w:r>
      <w:r w:rsidRPr="004570C8" w:rsidR="00D50E2B">
        <w:rPr>
          <w:rFonts w:ascii="Times New Roman" w:hAnsi="Times New Roman"/>
          <w:bCs/>
          <w:szCs w:val="24"/>
        </w:rPr>
        <w:t xml:space="preserve">encourage student </w:t>
      </w:r>
      <w:proofErr w:type="gramStart"/>
      <w:r w:rsidRPr="004570C8" w:rsidR="00D50E2B">
        <w:rPr>
          <w:rFonts w:ascii="Times New Roman" w:hAnsi="Times New Roman"/>
          <w:bCs/>
          <w:szCs w:val="24"/>
        </w:rPr>
        <w:t>participation;</w:t>
      </w:r>
      <w:proofErr w:type="gramEnd"/>
    </w:p>
    <w:p w:rsidR="00D50E2B" w:rsidP="00D50E2B" w:rsidRDefault="004C21D1" w14:paraId="1F58744E" w14:textId="0243D1AE">
      <w:pPr>
        <w:pStyle w:val="N1-1stBullet"/>
        <w:widowControl w:val="0"/>
        <w:numPr>
          <w:ilvl w:val="0"/>
          <w:numId w:val="14"/>
        </w:numPr>
        <w:spacing w:after="120" w:line="240" w:lineRule="auto"/>
        <w:rPr>
          <w:rFonts w:ascii="Times New Roman" w:hAnsi="Times New Roman"/>
          <w:bCs/>
          <w:szCs w:val="24"/>
        </w:rPr>
      </w:pPr>
      <w:r>
        <w:rPr>
          <w:rFonts w:ascii="Times New Roman" w:hAnsi="Times New Roman"/>
          <w:bCs/>
          <w:szCs w:val="24"/>
        </w:rPr>
        <w:t xml:space="preserve">Ask schools to hang colorful, engaging posters in the school announcing </w:t>
      </w:r>
      <w:proofErr w:type="gramStart"/>
      <w:r>
        <w:rPr>
          <w:rFonts w:ascii="Times New Roman" w:hAnsi="Times New Roman"/>
          <w:bCs/>
          <w:szCs w:val="24"/>
        </w:rPr>
        <w:t>participation;</w:t>
      </w:r>
      <w:proofErr w:type="gramEnd"/>
    </w:p>
    <w:p w:rsidR="00D50E2B" w:rsidP="00D50E2B" w:rsidRDefault="00D50E2B" w14:paraId="720B96E3" w14:textId="30159EA7">
      <w:pPr>
        <w:pStyle w:val="N1-1stBullet"/>
        <w:widowControl w:val="0"/>
        <w:numPr>
          <w:ilvl w:val="0"/>
          <w:numId w:val="14"/>
        </w:numPr>
        <w:spacing w:after="120" w:line="240" w:lineRule="auto"/>
        <w:rPr>
          <w:rFonts w:ascii="Times New Roman" w:hAnsi="Times New Roman"/>
          <w:bCs/>
          <w:szCs w:val="24"/>
        </w:rPr>
      </w:pPr>
      <w:r>
        <w:rPr>
          <w:rFonts w:ascii="Times New Roman" w:hAnsi="Times New Roman"/>
          <w:bCs/>
          <w:szCs w:val="24"/>
        </w:rPr>
        <w:t>When feasible, have the test administrator (TA) speak to student prior to the scheduled session day to encourage participation.</w:t>
      </w:r>
    </w:p>
    <w:p w:rsidR="00D50E2B" w:rsidP="00D50E2B" w:rsidRDefault="00D50E2B" w14:paraId="232F9E67" w14:textId="65B614EB">
      <w:pPr>
        <w:pStyle w:val="N1-1stBullet"/>
        <w:widowControl w:val="0"/>
        <w:numPr>
          <w:ilvl w:val="0"/>
          <w:numId w:val="0"/>
        </w:numPr>
        <w:spacing w:after="120" w:line="240" w:lineRule="auto"/>
        <w:rPr>
          <w:rFonts w:ascii="Times New Roman" w:hAnsi="Times New Roman"/>
          <w:bCs/>
          <w:szCs w:val="24"/>
        </w:rPr>
      </w:pPr>
      <w:r>
        <w:rPr>
          <w:rFonts w:ascii="Times New Roman" w:hAnsi="Times New Roman"/>
          <w:bCs/>
          <w:szCs w:val="24"/>
        </w:rPr>
        <w:t>Our approach to maximizing teacher recruitment is to:</w:t>
      </w:r>
    </w:p>
    <w:p w:rsidR="00D50E2B" w:rsidP="00D50E2B" w:rsidRDefault="00D50E2B" w14:paraId="154D6EEA" w14:textId="4E1DEDF7">
      <w:pPr>
        <w:pStyle w:val="N1-1stBullet"/>
        <w:widowControl w:val="0"/>
        <w:numPr>
          <w:ilvl w:val="0"/>
          <w:numId w:val="15"/>
        </w:numPr>
        <w:spacing w:after="120" w:line="240" w:lineRule="auto"/>
        <w:rPr>
          <w:rFonts w:ascii="Times New Roman" w:hAnsi="Times New Roman"/>
          <w:bCs/>
          <w:szCs w:val="24"/>
        </w:rPr>
      </w:pPr>
      <w:r>
        <w:rPr>
          <w:rFonts w:ascii="Times New Roman" w:hAnsi="Times New Roman"/>
          <w:bCs/>
          <w:szCs w:val="24"/>
        </w:rPr>
        <w:t xml:space="preserve">Send letters and materials reinforcing the importance of participation to </w:t>
      </w:r>
      <w:proofErr w:type="gramStart"/>
      <w:r>
        <w:rPr>
          <w:rFonts w:ascii="Times New Roman" w:hAnsi="Times New Roman"/>
          <w:bCs/>
          <w:szCs w:val="24"/>
        </w:rPr>
        <w:t>teachers;</w:t>
      </w:r>
      <w:proofErr w:type="gramEnd"/>
    </w:p>
    <w:p w:rsidR="00D50E2B" w:rsidP="00D50E2B" w:rsidRDefault="00D50E2B" w14:paraId="6D3EEEA0" w14:textId="4CC6386E">
      <w:pPr>
        <w:pStyle w:val="N1-1stBullet"/>
        <w:widowControl w:val="0"/>
        <w:numPr>
          <w:ilvl w:val="0"/>
          <w:numId w:val="15"/>
        </w:numPr>
        <w:spacing w:after="120" w:line="240" w:lineRule="auto"/>
        <w:rPr>
          <w:rFonts w:ascii="Times New Roman" w:hAnsi="Times New Roman"/>
          <w:bCs/>
          <w:szCs w:val="24"/>
        </w:rPr>
      </w:pPr>
      <w:r>
        <w:rPr>
          <w:rFonts w:ascii="Times New Roman" w:hAnsi="Times New Roman"/>
          <w:bCs/>
          <w:szCs w:val="24"/>
        </w:rPr>
        <w:t xml:space="preserve">Follow up with prompting phone calls from RTI’s recruitment experts, who have already established relationships with the school during the school recruitment </w:t>
      </w:r>
      <w:proofErr w:type="gramStart"/>
      <w:r>
        <w:rPr>
          <w:rFonts w:ascii="Times New Roman" w:hAnsi="Times New Roman"/>
          <w:bCs/>
          <w:szCs w:val="24"/>
        </w:rPr>
        <w:t>phase;</w:t>
      </w:r>
      <w:proofErr w:type="gramEnd"/>
    </w:p>
    <w:p w:rsidR="00D50E2B" w:rsidP="00D50E2B" w:rsidRDefault="00D50E2B" w14:paraId="56884892" w14:textId="146D7585">
      <w:pPr>
        <w:pStyle w:val="N1-1stBullet"/>
        <w:widowControl w:val="0"/>
        <w:numPr>
          <w:ilvl w:val="0"/>
          <w:numId w:val="15"/>
        </w:numPr>
        <w:spacing w:after="120" w:line="240" w:lineRule="auto"/>
        <w:rPr>
          <w:rFonts w:ascii="Times New Roman" w:hAnsi="Times New Roman"/>
          <w:bCs/>
          <w:szCs w:val="24"/>
        </w:rPr>
      </w:pPr>
      <w:r>
        <w:rPr>
          <w:rFonts w:ascii="Times New Roman" w:hAnsi="Times New Roman"/>
          <w:bCs/>
          <w:szCs w:val="24"/>
        </w:rPr>
        <w:t xml:space="preserve">Offer a $25 incentive for </w:t>
      </w:r>
      <w:proofErr w:type="gramStart"/>
      <w:r>
        <w:rPr>
          <w:rFonts w:ascii="Times New Roman" w:hAnsi="Times New Roman"/>
          <w:bCs/>
          <w:szCs w:val="24"/>
        </w:rPr>
        <w:t>participation;</w:t>
      </w:r>
      <w:proofErr w:type="gramEnd"/>
    </w:p>
    <w:p w:rsidRPr="004570C8" w:rsidR="00D50E2B" w:rsidP="004570C8" w:rsidRDefault="00D50E2B" w14:paraId="193CFCF1" w14:textId="7D6D9196">
      <w:pPr>
        <w:pStyle w:val="N1-1stBullet"/>
        <w:widowControl w:val="0"/>
        <w:numPr>
          <w:ilvl w:val="0"/>
          <w:numId w:val="15"/>
        </w:numPr>
        <w:spacing w:after="120" w:line="240" w:lineRule="auto"/>
        <w:rPr>
          <w:rFonts w:ascii="Times New Roman" w:hAnsi="Times New Roman"/>
          <w:bCs/>
          <w:szCs w:val="24"/>
        </w:rPr>
      </w:pPr>
      <w:r>
        <w:rPr>
          <w:rFonts w:ascii="Times New Roman" w:hAnsi="Times New Roman"/>
          <w:bCs/>
          <w:szCs w:val="24"/>
        </w:rPr>
        <w:t>Have the TA speak to teachers in person on the day of the student session, or, if teachers are not available, have TA leave personalized postcard reminders in teacher mailboxes.</w:t>
      </w:r>
    </w:p>
    <w:p w:rsidR="008725EE" w:rsidP="005A0683" w:rsidRDefault="008725EE" w14:paraId="13405757" w14:textId="6DBB4BA0">
      <w:pPr>
        <w:pStyle w:val="TIMSSOMBHeading2"/>
      </w:pPr>
      <w:bookmarkStart w:name="_Toc85105266" w:id="11"/>
      <w:r>
        <w:t>B.4</w:t>
      </w:r>
      <w:r>
        <w:tab/>
        <w:t>Purpose of</w:t>
      </w:r>
      <w:r w:rsidR="00CD5B47">
        <w:t xml:space="preserve"> the</w:t>
      </w:r>
      <w:r>
        <w:t xml:space="preserve"> </w:t>
      </w:r>
      <w:r w:rsidR="00D50E2B">
        <w:t>Main Study and Data Uses</w:t>
      </w:r>
      <w:bookmarkEnd w:id="11"/>
    </w:p>
    <w:p w:rsidR="00A21817" w:rsidP="008725EE" w:rsidRDefault="00A21817" w14:paraId="673E87A7" w14:textId="28D328D2">
      <w:pPr>
        <w:pStyle w:val="P1-StandPara"/>
        <w:widowControl w:val="0"/>
        <w:spacing w:after="120" w:line="240" w:lineRule="atLeast"/>
        <w:ind w:firstLine="0"/>
        <w:jc w:val="left"/>
        <w:rPr>
          <w:sz w:val="24"/>
          <w:szCs w:val="24"/>
        </w:rPr>
      </w:pPr>
      <w:r>
        <w:rPr>
          <w:sz w:val="24"/>
          <w:szCs w:val="24"/>
        </w:rPr>
        <w:t xml:space="preserve">The goals of </w:t>
      </w:r>
      <w:r w:rsidR="004C21D1">
        <w:rPr>
          <w:sz w:val="24"/>
          <w:szCs w:val="24"/>
        </w:rPr>
        <w:t xml:space="preserve">the </w:t>
      </w:r>
      <w:r w:rsidR="00097AB7">
        <w:rPr>
          <w:sz w:val="24"/>
          <w:szCs w:val="24"/>
        </w:rPr>
        <w:t>ICILS</w:t>
      </w:r>
      <w:r w:rsidR="004C21D1">
        <w:rPr>
          <w:sz w:val="24"/>
          <w:szCs w:val="24"/>
        </w:rPr>
        <w:t xml:space="preserve"> main study</w:t>
      </w:r>
      <w:r>
        <w:rPr>
          <w:sz w:val="24"/>
          <w:szCs w:val="24"/>
        </w:rPr>
        <w:t xml:space="preserve"> are to (1) provide trend information about student achievement in mathematics and science to inform education policy discussions and identify existing educational inequalities</w:t>
      </w:r>
      <w:r w:rsidR="004C21D1">
        <w:rPr>
          <w:sz w:val="24"/>
          <w:szCs w:val="24"/>
        </w:rPr>
        <w:t>;</w:t>
      </w:r>
      <w:r>
        <w:rPr>
          <w:sz w:val="24"/>
          <w:szCs w:val="24"/>
        </w:rPr>
        <w:t xml:space="preserve"> (2)</w:t>
      </w:r>
      <w:r w:rsidR="004C21D1">
        <w:rPr>
          <w:sz w:val="24"/>
          <w:szCs w:val="24"/>
        </w:rPr>
        <w:t xml:space="preserve"> </w:t>
      </w:r>
      <w:r w:rsidRPr="00284679" w:rsidR="004C21D1">
        <w:rPr>
          <w:sz w:val="24"/>
          <w:szCs w:val="24"/>
        </w:rPr>
        <w:t xml:space="preserve">provide comparative indicators on student performance and school practices across countries </w:t>
      </w:r>
      <w:proofErr w:type="gramStart"/>
      <w:r w:rsidRPr="00284679" w:rsidR="004C21D1">
        <w:rPr>
          <w:sz w:val="24"/>
          <w:szCs w:val="24"/>
        </w:rPr>
        <w:t>in order to</w:t>
      </w:r>
      <w:proofErr w:type="gramEnd"/>
      <w:r w:rsidRPr="00284679" w:rsidR="004C21D1">
        <w:rPr>
          <w:sz w:val="24"/>
          <w:szCs w:val="24"/>
        </w:rPr>
        <w:t xml:space="preserve"> benchmark U.S. student performance</w:t>
      </w:r>
      <w:r w:rsidR="004C21D1">
        <w:rPr>
          <w:sz w:val="24"/>
          <w:szCs w:val="24"/>
        </w:rPr>
        <w:t>.</w:t>
      </w:r>
    </w:p>
    <w:p w:rsidRPr="00BF2C34" w:rsidR="00A21817" w:rsidP="008725EE" w:rsidRDefault="00A21817" w14:paraId="6B943D9C" w14:textId="47D1D9D4">
      <w:pPr>
        <w:pStyle w:val="P1-StandPara"/>
        <w:widowControl w:val="0"/>
        <w:spacing w:after="120" w:line="240" w:lineRule="atLeast"/>
        <w:ind w:firstLine="0"/>
        <w:jc w:val="left"/>
        <w:rPr>
          <w:sz w:val="24"/>
          <w:szCs w:val="24"/>
        </w:rPr>
      </w:pPr>
      <w:r w:rsidRPr="002E3EBB">
        <w:rPr>
          <w:sz w:val="24"/>
          <w:szCs w:val="24"/>
        </w:rPr>
        <w:t xml:space="preserve">Data compiled and collected from </w:t>
      </w:r>
      <w:r w:rsidR="00097AB7">
        <w:rPr>
          <w:sz w:val="24"/>
          <w:szCs w:val="24"/>
        </w:rPr>
        <w:t>ICILS</w:t>
      </w:r>
      <w:r w:rsidRPr="002E3EBB">
        <w:rPr>
          <w:sz w:val="24"/>
          <w:szCs w:val="24"/>
        </w:rPr>
        <w:t xml:space="preserve"> 202</w:t>
      </w:r>
      <w:r>
        <w:rPr>
          <w:sz w:val="24"/>
          <w:szCs w:val="24"/>
        </w:rPr>
        <w:t>3</w:t>
      </w:r>
      <w:r w:rsidRPr="002E3EBB">
        <w:rPr>
          <w:sz w:val="24"/>
          <w:szCs w:val="24"/>
        </w:rPr>
        <w:t xml:space="preserve"> will allow for evidence-based decisions to be made for educational improvement. These high-quality, internationally comparative trend data are key </w:t>
      </w:r>
      <w:r w:rsidR="009312D3">
        <w:rPr>
          <w:sz w:val="24"/>
          <w:szCs w:val="24"/>
        </w:rPr>
        <w:t>to</w:t>
      </w:r>
      <w:r w:rsidRPr="002E3EBB">
        <w:rPr>
          <w:sz w:val="24"/>
          <w:szCs w:val="24"/>
        </w:rPr>
        <w:t xml:space="preserve"> informing education policy discussions.</w:t>
      </w:r>
    </w:p>
    <w:p w:rsidR="008725EE" w:rsidP="005A0683" w:rsidRDefault="008725EE" w14:paraId="661EC384" w14:textId="77777777">
      <w:pPr>
        <w:pStyle w:val="TIMSSOMBHeading2"/>
      </w:pPr>
      <w:bookmarkStart w:name="_Toc119829984" w:id="12"/>
      <w:bookmarkStart w:name="_Toc85105267" w:id="13"/>
      <w:r>
        <w:t>B.5</w:t>
      </w:r>
      <w:r>
        <w:tab/>
        <w:t>Individuals Consulted on Study Design</w:t>
      </w:r>
      <w:bookmarkEnd w:id="12"/>
      <w:bookmarkEnd w:id="13"/>
    </w:p>
    <w:p w:rsidRPr="00BF2C34" w:rsidR="008725EE" w:rsidP="008725EE" w:rsidRDefault="008725EE" w14:paraId="453F866E" w14:textId="49AA7A17">
      <w:pPr>
        <w:pStyle w:val="N2-2ndBullet"/>
        <w:widowControl w:val="0"/>
        <w:tabs>
          <w:tab w:val="left" w:pos="720"/>
        </w:tabs>
        <w:spacing w:after="120"/>
        <w:ind w:left="0" w:firstLine="0"/>
        <w:jc w:val="left"/>
        <w:rPr>
          <w:sz w:val="24"/>
          <w:szCs w:val="24"/>
        </w:rPr>
      </w:pPr>
      <w:r w:rsidRPr="00BF2C34">
        <w:rPr>
          <w:sz w:val="24"/>
          <w:szCs w:val="24"/>
        </w:rPr>
        <w:t xml:space="preserve">Overall direction for </w:t>
      </w:r>
      <w:r w:rsidR="00097AB7">
        <w:rPr>
          <w:sz w:val="24"/>
          <w:szCs w:val="24"/>
        </w:rPr>
        <w:t>ICILS</w:t>
      </w:r>
      <w:r w:rsidRPr="00BF2C34">
        <w:rPr>
          <w:sz w:val="24"/>
          <w:szCs w:val="24"/>
        </w:rPr>
        <w:t xml:space="preserve"> is provided by </w:t>
      </w:r>
      <w:r w:rsidRPr="006A4887">
        <w:rPr>
          <w:sz w:val="24"/>
          <w:szCs w:val="24"/>
        </w:rPr>
        <w:t>L</w:t>
      </w:r>
      <w:r w:rsidRPr="006A4887" w:rsidR="006A4887">
        <w:rPr>
          <w:sz w:val="24"/>
          <w:szCs w:val="24"/>
        </w:rPr>
        <w:t>inda Hamilton</w:t>
      </w:r>
      <w:r w:rsidRPr="006A4887">
        <w:rPr>
          <w:sz w:val="24"/>
          <w:szCs w:val="24"/>
        </w:rPr>
        <w:t>,</w:t>
      </w:r>
      <w:r w:rsidRPr="00BF2C34">
        <w:rPr>
          <w:sz w:val="24"/>
          <w:szCs w:val="24"/>
        </w:rPr>
        <w:t xml:space="preserve"> National Research Coordinator, National Center for Education Statistics (NCES), U.S. Department of Education, in consultation with </w:t>
      </w:r>
      <w:proofErr w:type="gramStart"/>
      <w:r w:rsidRPr="00BF2C34">
        <w:rPr>
          <w:sz w:val="24"/>
          <w:szCs w:val="24"/>
        </w:rPr>
        <w:t>a number of</w:t>
      </w:r>
      <w:proofErr w:type="gramEnd"/>
      <w:r w:rsidRPr="00BF2C34">
        <w:rPr>
          <w:sz w:val="24"/>
          <w:szCs w:val="24"/>
        </w:rPr>
        <w:t xml:space="preserve"> NCES statistical staff.</w:t>
      </w:r>
    </w:p>
    <w:p w:rsidRPr="00BF2C34" w:rsidR="008725EE" w:rsidP="00CD5B47" w:rsidRDefault="00F836F1" w14:paraId="3114FDE2" w14:textId="14206F36">
      <w:pPr>
        <w:pStyle w:val="P1-StandPara"/>
        <w:widowControl w:val="0"/>
        <w:spacing w:after="120" w:line="240" w:lineRule="atLeast"/>
        <w:ind w:firstLine="0"/>
        <w:jc w:val="left"/>
        <w:rPr>
          <w:sz w:val="24"/>
          <w:szCs w:val="24"/>
        </w:rPr>
      </w:pPr>
      <w:r>
        <w:rPr>
          <w:sz w:val="24"/>
          <w:szCs w:val="24"/>
        </w:rPr>
        <w:t xml:space="preserve">IEA is </w:t>
      </w:r>
      <w:r w:rsidRPr="00BF2C34" w:rsidR="008725EE">
        <w:rPr>
          <w:sz w:val="24"/>
          <w:szCs w:val="24"/>
        </w:rPr>
        <w:t xml:space="preserve">responsible for the statistical design of </w:t>
      </w:r>
      <w:r w:rsidR="00097AB7">
        <w:rPr>
          <w:sz w:val="24"/>
          <w:szCs w:val="24"/>
        </w:rPr>
        <w:t>ICILS</w:t>
      </w:r>
      <w:r>
        <w:rPr>
          <w:sz w:val="24"/>
          <w:szCs w:val="24"/>
        </w:rPr>
        <w:t>.</w:t>
      </w:r>
    </w:p>
    <w:p w:rsidRPr="00BF2C34" w:rsidR="008725EE" w:rsidP="00CD5B47" w:rsidRDefault="008725EE" w14:paraId="6FF8B695" w14:textId="7C3BED88">
      <w:pPr>
        <w:pStyle w:val="P1-StandPara"/>
        <w:widowControl w:val="0"/>
        <w:spacing w:after="120" w:line="240" w:lineRule="atLeast"/>
        <w:ind w:firstLine="0"/>
        <w:jc w:val="left"/>
        <w:rPr>
          <w:sz w:val="24"/>
          <w:szCs w:val="24"/>
        </w:rPr>
      </w:pPr>
      <w:r w:rsidRPr="00BF2C34">
        <w:rPr>
          <w:sz w:val="24"/>
          <w:szCs w:val="24"/>
        </w:rPr>
        <w:t>RTI International is the contractor responsible for sampling</w:t>
      </w:r>
      <w:r w:rsidR="00266C32">
        <w:rPr>
          <w:sz w:val="24"/>
          <w:szCs w:val="24"/>
        </w:rPr>
        <w:t>, data collection,</w:t>
      </w:r>
      <w:r w:rsidRPr="00BF2C34">
        <w:rPr>
          <w:sz w:val="24"/>
          <w:szCs w:val="24"/>
        </w:rPr>
        <w:t xml:space="preserve"> and data analysis:</w:t>
      </w:r>
    </w:p>
    <w:p w:rsidRPr="00BF2C34" w:rsidR="00BF2C34" w:rsidP="00CD5B47" w:rsidRDefault="008725EE" w14:paraId="5ABCD7A5" w14:textId="0D5F2C00">
      <w:pPr>
        <w:pStyle w:val="N2-2ndBullet"/>
        <w:widowControl w:val="0"/>
        <w:numPr>
          <w:ilvl w:val="0"/>
          <w:numId w:val="8"/>
        </w:numPr>
        <w:tabs>
          <w:tab w:val="num" w:pos="-72"/>
        </w:tabs>
        <w:spacing w:after="120"/>
        <w:ind w:left="1008" w:hanging="288"/>
        <w:jc w:val="left"/>
        <w:rPr>
          <w:sz w:val="24"/>
          <w:szCs w:val="24"/>
        </w:rPr>
      </w:pPr>
      <w:r w:rsidRPr="00BF2C34">
        <w:rPr>
          <w:sz w:val="24"/>
          <w:szCs w:val="24"/>
        </w:rPr>
        <w:t>Debbie Herget, Project Director, RTI International (919-4</w:t>
      </w:r>
      <w:r w:rsidRPr="00BF2C34" w:rsidR="00BF2C34">
        <w:rPr>
          <w:sz w:val="24"/>
          <w:szCs w:val="24"/>
        </w:rPr>
        <w:t>85</w:t>
      </w:r>
      <w:r w:rsidRPr="00BF2C34">
        <w:rPr>
          <w:sz w:val="24"/>
          <w:szCs w:val="24"/>
        </w:rPr>
        <w:t>-7</w:t>
      </w:r>
      <w:r w:rsidRPr="00BF2C34" w:rsidR="00BF2C34">
        <w:rPr>
          <w:sz w:val="24"/>
          <w:szCs w:val="24"/>
        </w:rPr>
        <w:t>793</w:t>
      </w:r>
      <w:proofErr w:type="gramStart"/>
      <w:r w:rsidRPr="00BF2C34" w:rsidR="00BF2C34">
        <w:rPr>
          <w:sz w:val="24"/>
          <w:szCs w:val="24"/>
        </w:rPr>
        <w:t>);</w:t>
      </w:r>
      <w:proofErr w:type="gramEnd"/>
    </w:p>
    <w:p w:rsidRPr="00BF2C34" w:rsidR="008725EE" w:rsidP="00CD5B47" w:rsidRDefault="00BF2C34" w14:paraId="33816DE9" w14:textId="33E67AE4">
      <w:pPr>
        <w:pStyle w:val="N2-2ndBullet"/>
        <w:widowControl w:val="0"/>
        <w:numPr>
          <w:ilvl w:val="0"/>
          <w:numId w:val="8"/>
        </w:numPr>
        <w:tabs>
          <w:tab w:val="num" w:pos="-72"/>
        </w:tabs>
        <w:spacing w:after="120"/>
        <w:ind w:left="1008" w:hanging="288"/>
        <w:jc w:val="left"/>
        <w:rPr>
          <w:sz w:val="24"/>
          <w:szCs w:val="24"/>
        </w:rPr>
      </w:pPr>
      <w:r w:rsidRPr="00BF2C34">
        <w:rPr>
          <w:sz w:val="24"/>
          <w:szCs w:val="24"/>
        </w:rPr>
        <w:t>Ben Dalton, Associate Project Director, RTI International (919-541-7228)</w:t>
      </w:r>
      <w:r w:rsidRPr="00BF2C34" w:rsidR="008725EE">
        <w:rPr>
          <w:sz w:val="24"/>
          <w:szCs w:val="24"/>
        </w:rPr>
        <w:t>; and</w:t>
      </w:r>
    </w:p>
    <w:p w:rsidRPr="00BF2C34" w:rsidR="008725EE" w:rsidP="00CD5B47" w:rsidRDefault="008725EE" w14:paraId="0762602F" w14:textId="5C33468A">
      <w:pPr>
        <w:pStyle w:val="N2-2ndBullet"/>
        <w:widowControl w:val="0"/>
        <w:numPr>
          <w:ilvl w:val="0"/>
          <w:numId w:val="8"/>
        </w:numPr>
        <w:tabs>
          <w:tab w:val="num" w:pos="-72"/>
        </w:tabs>
        <w:spacing w:after="120"/>
        <w:ind w:left="1008" w:hanging="288"/>
        <w:jc w:val="left"/>
        <w:rPr>
          <w:sz w:val="24"/>
          <w:szCs w:val="24"/>
        </w:rPr>
      </w:pPr>
      <w:r w:rsidRPr="00BF2C34">
        <w:rPr>
          <w:sz w:val="24"/>
          <w:szCs w:val="24"/>
        </w:rPr>
        <w:t>David Wilson, Senior Statistician, RTI International (919-541-6990).</w:t>
      </w:r>
    </w:p>
    <w:p w:rsidRPr="00BF2C34" w:rsidR="008725EE" w:rsidP="00CD5B47" w:rsidRDefault="008725EE" w14:paraId="6410AB10" w14:textId="77777777">
      <w:pPr>
        <w:pStyle w:val="P1-StandPara"/>
        <w:widowControl w:val="0"/>
        <w:spacing w:after="120" w:line="240" w:lineRule="atLeast"/>
        <w:ind w:firstLine="0"/>
        <w:jc w:val="left"/>
        <w:rPr>
          <w:sz w:val="24"/>
          <w:szCs w:val="24"/>
        </w:rPr>
      </w:pPr>
      <w:r w:rsidRPr="00BF2C34">
        <w:rPr>
          <w:sz w:val="24"/>
          <w:szCs w:val="24"/>
        </w:rPr>
        <w:t>Analysis and reporting will be performed by:</w:t>
      </w:r>
    </w:p>
    <w:p w:rsidRPr="00BF2C34" w:rsidR="008725EE" w:rsidP="00CD5B47" w:rsidRDefault="008725EE" w14:paraId="6E7F634B" w14:textId="602BDA36">
      <w:pPr>
        <w:pStyle w:val="N2-2ndBullet"/>
        <w:widowControl w:val="0"/>
        <w:numPr>
          <w:ilvl w:val="0"/>
          <w:numId w:val="8"/>
        </w:numPr>
        <w:tabs>
          <w:tab w:val="num" w:pos="-72"/>
        </w:tabs>
        <w:spacing w:after="120"/>
        <w:ind w:left="1008" w:hanging="288"/>
        <w:jc w:val="left"/>
        <w:rPr>
          <w:sz w:val="24"/>
          <w:szCs w:val="24"/>
        </w:rPr>
      </w:pPr>
      <w:r w:rsidRPr="00BF2C34">
        <w:rPr>
          <w:sz w:val="24"/>
          <w:szCs w:val="24"/>
        </w:rPr>
        <w:lastRenderedPageBreak/>
        <w:t xml:space="preserve">National Center for Education Statistics, U.S. Department of </w:t>
      </w:r>
      <w:proofErr w:type="gramStart"/>
      <w:r w:rsidRPr="00BF2C34">
        <w:rPr>
          <w:sz w:val="24"/>
          <w:szCs w:val="24"/>
        </w:rPr>
        <w:t>Education</w:t>
      </w:r>
      <w:r w:rsidRPr="00BF2C34" w:rsidR="00BF2C34">
        <w:rPr>
          <w:sz w:val="24"/>
          <w:szCs w:val="24"/>
        </w:rPr>
        <w:t>;</w:t>
      </w:r>
      <w:proofErr w:type="gramEnd"/>
    </w:p>
    <w:p w:rsidRPr="00E6514E" w:rsidR="008725EE" w:rsidP="00CD5B47" w:rsidRDefault="00097AB7" w14:paraId="28113653" w14:textId="3E6D9043">
      <w:pPr>
        <w:pStyle w:val="N2-2ndBullet"/>
        <w:widowControl w:val="0"/>
        <w:numPr>
          <w:ilvl w:val="0"/>
          <w:numId w:val="8"/>
        </w:numPr>
        <w:tabs>
          <w:tab w:val="num" w:pos="-72"/>
        </w:tabs>
        <w:spacing w:after="120"/>
        <w:ind w:left="1008" w:hanging="288"/>
        <w:jc w:val="left"/>
        <w:rPr>
          <w:sz w:val="24"/>
          <w:szCs w:val="24"/>
        </w:rPr>
      </w:pPr>
      <w:r w:rsidRPr="00E6514E">
        <w:rPr>
          <w:sz w:val="24"/>
          <w:szCs w:val="24"/>
        </w:rPr>
        <w:t>ICILS</w:t>
      </w:r>
      <w:r w:rsidRPr="00E6514E" w:rsidR="008725EE">
        <w:rPr>
          <w:sz w:val="24"/>
          <w:szCs w:val="24"/>
        </w:rPr>
        <w:t xml:space="preserve"> International Study Center, </w:t>
      </w:r>
      <w:proofErr w:type="gramStart"/>
      <w:r w:rsidRPr="00E6514E" w:rsidR="006A4887">
        <w:rPr>
          <w:sz w:val="24"/>
          <w:szCs w:val="24"/>
        </w:rPr>
        <w:t>IEA</w:t>
      </w:r>
      <w:r w:rsidRPr="00E6514E" w:rsidR="00BF2C34">
        <w:rPr>
          <w:sz w:val="24"/>
          <w:szCs w:val="24"/>
        </w:rPr>
        <w:t>;</w:t>
      </w:r>
      <w:proofErr w:type="gramEnd"/>
    </w:p>
    <w:p w:rsidRPr="00E6514E" w:rsidR="008725EE" w:rsidP="00CD5B47" w:rsidRDefault="00685D82" w14:paraId="375DCE38" w14:textId="3625F8BF">
      <w:pPr>
        <w:pStyle w:val="N2-2ndBullet"/>
        <w:widowControl w:val="0"/>
        <w:numPr>
          <w:ilvl w:val="0"/>
          <w:numId w:val="8"/>
        </w:numPr>
        <w:tabs>
          <w:tab w:val="num" w:pos="-72"/>
        </w:tabs>
        <w:spacing w:after="120"/>
        <w:ind w:left="1008" w:hanging="288"/>
        <w:jc w:val="left"/>
        <w:rPr>
          <w:sz w:val="24"/>
          <w:szCs w:val="24"/>
        </w:rPr>
      </w:pPr>
      <w:r w:rsidRPr="00E6514E">
        <w:rPr>
          <w:sz w:val="24"/>
          <w:szCs w:val="24"/>
        </w:rPr>
        <w:t>RTI International</w:t>
      </w:r>
      <w:r w:rsidRPr="00E6514E" w:rsidR="008725EE">
        <w:rPr>
          <w:sz w:val="24"/>
          <w:szCs w:val="24"/>
        </w:rPr>
        <w:t>; and</w:t>
      </w:r>
    </w:p>
    <w:p w:rsidRPr="00E6514E" w:rsidR="008725EE" w:rsidP="00CD5B47" w:rsidRDefault="008725EE" w14:paraId="24BCF96F" w14:textId="6F5828F7">
      <w:pPr>
        <w:pStyle w:val="N2-2ndBullet"/>
        <w:widowControl w:val="0"/>
        <w:numPr>
          <w:ilvl w:val="0"/>
          <w:numId w:val="8"/>
        </w:numPr>
        <w:tabs>
          <w:tab w:val="num" w:pos="-72"/>
        </w:tabs>
        <w:spacing w:after="120"/>
        <w:ind w:left="1008" w:hanging="288"/>
        <w:jc w:val="left"/>
        <w:rPr>
          <w:sz w:val="24"/>
          <w:szCs w:val="24"/>
        </w:rPr>
      </w:pPr>
      <w:proofErr w:type="spellStart"/>
      <w:r w:rsidRPr="00E6514E">
        <w:rPr>
          <w:sz w:val="24"/>
          <w:szCs w:val="24"/>
        </w:rPr>
        <w:t>A</w:t>
      </w:r>
      <w:r w:rsidRPr="00E6514E" w:rsidR="00685D82">
        <w:rPr>
          <w:sz w:val="24"/>
          <w:szCs w:val="24"/>
        </w:rPr>
        <w:t>nLar</w:t>
      </w:r>
      <w:proofErr w:type="spellEnd"/>
      <w:r w:rsidRPr="00E6514E">
        <w:rPr>
          <w:sz w:val="24"/>
          <w:szCs w:val="24"/>
        </w:rPr>
        <w:t xml:space="preserve">, under contract to </w:t>
      </w:r>
      <w:r w:rsidRPr="00E6514E" w:rsidR="00685D82">
        <w:rPr>
          <w:sz w:val="24"/>
          <w:szCs w:val="24"/>
        </w:rPr>
        <w:t>RTI International</w:t>
      </w:r>
      <w:r w:rsidRPr="00E6514E">
        <w:rPr>
          <w:sz w:val="24"/>
          <w:szCs w:val="24"/>
        </w:rPr>
        <w:t>.</w:t>
      </w:r>
    </w:p>
    <w:p w:rsidR="008725EE" w:rsidRDefault="008725EE" w14:paraId="12EF6990" w14:textId="77777777"/>
    <w:sectPr w:rsidR="008725EE" w:rsidSect="00AF013F">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0D047" w14:textId="77777777" w:rsidR="00D476C7" w:rsidRDefault="00D476C7" w:rsidP="00BF2C34">
      <w:r>
        <w:separator/>
      </w:r>
    </w:p>
  </w:endnote>
  <w:endnote w:type="continuationSeparator" w:id="0">
    <w:p w14:paraId="3ED36298" w14:textId="77777777" w:rsidR="00D476C7" w:rsidRDefault="00D476C7" w:rsidP="00BF2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2FEF5" w14:textId="77777777" w:rsidR="00773BF8" w:rsidRDefault="009F4C30" w:rsidP="0012353E">
    <w:pPr>
      <w:pStyle w:val="Footer"/>
      <w:rPr>
        <w:rStyle w:val="PageNumber"/>
        <w:sz w:val="24"/>
      </w:rPr>
    </w:pPr>
    <w:r>
      <w:rPr>
        <w:rStyle w:val="PageNumber"/>
      </w:rPr>
      <w:fldChar w:fldCharType="begin"/>
    </w:r>
    <w:r>
      <w:rPr>
        <w:rStyle w:val="PageNumber"/>
      </w:rPr>
      <w:instrText xml:space="preserve">PAGE  </w:instrText>
    </w:r>
    <w:r>
      <w:rPr>
        <w:rStyle w:val="PageNumber"/>
      </w:rPr>
      <w:fldChar w:fldCharType="end"/>
    </w:r>
  </w:p>
  <w:p w14:paraId="5D4BFC4E" w14:textId="77777777" w:rsidR="00773BF8" w:rsidRDefault="00CB1A7E" w:rsidP="001235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969526"/>
      <w:docPartObj>
        <w:docPartGallery w:val="Page Numbers (Bottom of Page)"/>
        <w:docPartUnique/>
      </w:docPartObj>
    </w:sdtPr>
    <w:sdtEndPr>
      <w:rPr>
        <w:noProof/>
        <w:sz w:val="20"/>
      </w:rPr>
    </w:sdtEndPr>
    <w:sdtContent>
      <w:p w14:paraId="4BAFF387" w14:textId="01C5C71C" w:rsidR="00266C32" w:rsidRPr="005A0683" w:rsidRDefault="00266C32">
        <w:pPr>
          <w:pStyle w:val="Footer"/>
          <w:jc w:val="center"/>
          <w:rPr>
            <w:sz w:val="20"/>
          </w:rPr>
        </w:pPr>
        <w:r w:rsidRPr="005A0683">
          <w:rPr>
            <w:sz w:val="20"/>
          </w:rPr>
          <w:fldChar w:fldCharType="begin"/>
        </w:r>
        <w:r w:rsidRPr="005A0683">
          <w:rPr>
            <w:sz w:val="20"/>
          </w:rPr>
          <w:instrText xml:space="preserve"> PAGE   \* MERGEFORMAT </w:instrText>
        </w:r>
        <w:r w:rsidRPr="005A0683">
          <w:rPr>
            <w:sz w:val="20"/>
          </w:rPr>
          <w:fldChar w:fldCharType="separate"/>
        </w:r>
        <w:r w:rsidRPr="005A0683">
          <w:rPr>
            <w:noProof/>
            <w:sz w:val="20"/>
          </w:rPr>
          <w:t>2</w:t>
        </w:r>
        <w:r w:rsidRPr="005A0683">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5BC08" w14:textId="77777777" w:rsidR="005A0683" w:rsidRPr="00AD6F4D" w:rsidRDefault="005A0683" w:rsidP="00AD6F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5811710"/>
      <w:docPartObj>
        <w:docPartGallery w:val="Page Numbers (Bottom of Page)"/>
        <w:docPartUnique/>
      </w:docPartObj>
    </w:sdtPr>
    <w:sdtEndPr>
      <w:rPr>
        <w:noProof/>
        <w:sz w:val="20"/>
      </w:rPr>
    </w:sdtEndPr>
    <w:sdtContent>
      <w:p w14:paraId="59876E89" w14:textId="387A6150" w:rsidR="00AD6F4D" w:rsidRPr="00AD6F4D" w:rsidRDefault="00AD6F4D" w:rsidP="00AD6F4D">
        <w:pPr>
          <w:pStyle w:val="Footer"/>
          <w:jc w:val="center"/>
          <w:rPr>
            <w:sz w:val="20"/>
          </w:rPr>
        </w:pPr>
        <w:r w:rsidRPr="00AD6F4D">
          <w:rPr>
            <w:sz w:val="20"/>
          </w:rPr>
          <w:fldChar w:fldCharType="begin"/>
        </w:r>
        <w:r w:rsidRPr="00AD6F4D">
          <w:rPr>
            <w:sz w:val="20"/>
          </w:rPr>
          <w:instrText xml:space="preserve"> PAGE   \* MERGEFORMAT </w:instrText>
        </w:r>
        <w:r w:rsidRPr="00AD6F4D">
          <w:rPr>
            <w:sz w:val="20"/>
          </w:rPr>
          <w:fldChar w:fldCharType="separate"/>
        </w:r>
        <w:r w:rsidRPr="00AD6F4D">
          <w:rPr>
            <w:noProof/>
            <w:sz w:val="20"/>
          </w:rPr>
          <w:t>2</w:t>
        </w:r>
        <w:r w:rsidRPr="00AD6F4D">
          <w:rPr>
            <w:noProof/>
            <w:sz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628701"/>
      <w:docPartObj>
        <w:docPartGallery w:val="Page Numbers (Bottom of Page)"/>
        <w:docPartUnique/>
      </w:docPartObj>
    </w:sdtPr>
    <w:sdtEndPr>
      <w:rPr>
        <w:noProof/>
        <w:sz w:val="20"/>
      </w:rPr>
    </w:sdtEndPr>
    <w:sdtContent>
      <w:p w14:paraId="6093BBCB" w14:textId="77777777" w:rsidR="00AF013F" w:rsidRPr="005A0683" w:rsidRDefault="00AF013F">
        <w:pPr>
          <w:pStyle w:val="Footer"/>
          <w:jc w:val="center"/>
          <w:rPr>
            <w:sz w:val="20"/>
          </w:rPr>
        </w:pPr>
        <w:r w:rsidRPr="005A0683">
          <w:rPr>
            <w:sz w:val="20"/>
          </w:rPr>
          <w:fldChar w:fldCharType="begin"/>
        </w:r>
        <w:r w:rsidRPr="005A0683">
          <w:rPr>
            <w:sz w:val="20"/>
          </w:rPr>
          <w:instrText xml:space="preserve"> PAGE   \* MERGEFORMAT </w:instrText>
        </w:r>
        <w:r w:rsidRPr="005A0683">
          <w:rPr>
            <w:sz w:val="20"/>
          </w:rPr>
          <w:fldChar w:fldCharType="separate"/>
        </w:r>
        <w:r w:rsidRPr="005A0683">
          <w:rPr>
            <w:noProof/>
            <w:sz w:val="20"/>
          </w:rPr>
          <w:t>2</w:t>
        </w:r>
        <w:r w:rsidRPr="005A0683">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B793C" w14:textId="77777777" w:rsidR="00D476C7" w:rsidRDefault="00D476C7" w:rsidP="00BF2C34">
      <w:r>
        <w:separator/>
      </w:r>
    </w:p>
  </w:footnote>
  <w:footnote w:type="continuationSeparator" w:id="0">
    <w:p w14:paraId="0856854F" w14:textId="77777777" w:rsidR="00D476C7" w:rsidRDefault="00D476C7" w:rsidP="00BF2C34">
      <w:r>
        <w:continuationSeparator/>
      </w:r>
    </w:p>
  </w:footnote>
  <w:footnote w:id="1">
    <w:p w14:paraId="6D6DE6A3" w14:textId="77777777" w:rsidR="00D80A23" w:rsidRDefault="00D80A23" w:rsidP="00D80A23">
      <w:pPr>
        <w:autoSpaceDE w:val="0"/>
        <w:autoSpaceDN w:val="0"/>
        <w:adjustRightInd w:val="0"/>
        <w:ind w:left="180" w:hanging="180"/>
        <w:rPr>
          <w:sz w:val="20"/>
          <w:szCs w:val="20"/>
        </w:rPr>
      </w:pPr>
      <w:r>
        <w:rPr>
          <w:rStyle w:val="FootnoteReference"/>
        </w:rPr>
        <w:footnoteRef/>
      </w:r>
      <w:r>
        <w:t xml:space="preserve"> </w:t>
      </w:r>
      <w:proofErr w:type="spellStart"/>
      <w:r>
        <w:rPr>
          <w:rFonts w:eastAsiaTheme="minorHAnsi"/>
          <w:sz w:val="20"/>
          <w:szCs w:val="20"/>
        </w:rPr>
        <w:t>Keyfitz</w:t>
      </w:r>
      <w:proofErr w:type="spellEnd"/>
      <w:r>
        <w:rPr>
          <w:rFonts w:eastAsiaTheme="minorHAnsi"/>
          <w:sz w:val="20"/>
          <w:szCs w:val="20"/>
        </w:rPr>
        <w:t xml:space="preserve">, N. (1951). Sampling with Probabilities Proportional to Size: Adjustment for Changes in Probabilities. </w:t>
      </w:r>
      <w:r>
        <w:rPr>
          <w:rFonts w:eastAsiaTheme="minorHAnsi"/>
          <w:i/>
          <w:iCs/>
          <w:sz w:val="20"/>
          <w:szCs w:val="20"/>
        </w:rPr>
        <w:t>Journal of the American Statistical Association</w:t>
      </w:r>
      <w:r>
        <w:rPr>
          <w:rFonts w:eastAsiaTheme="minorHAnsi"/>
          <w:sz w:val="20"/>
          <w:szCs w:val="20"/>
        </w:rPr>
        <w:t>, 46, 105-109.</w:t>
      </w:r>
    </w:p>
  </w:footnote>
  <w:footnote w:id="2">
    <w:p w14:paraId="2C35F2BA" w14:textId="77777777" w:rsidR="00D80A23" w:rsidRDefault="00D80A23" w:rsidP="00D80A23">
      <w:pPr>
        <w:pStyle w:val="FootnoteText"/>
        <w:ind w:left="180" w:hanging="180"/>
      </w:pPr>
      <w:r>
        <w:rPr>
          <w:rStyle w:val="FootnoteReference"/>
        </w:rPr>
        <w:footnoteRef/>
      </w:r>
      <w:r>
        <w:t xml:space="preserve"> Chowdhury, S., Chu, A., &amp; Kaufman, S. (2000). Minimizing overlap in NCES surveys. Proceedings of the Survey Methods Research Section, American Statistical Association, 174-179. Retrieved from </w:t>
      </w:r>
      <w:r>
        <w:rPr>
          <w:bCs/>
          <w:color w:val="0066FF"/>
        </w:rPr>
        <w:t>http://www.amstat.org/sections/srms/ proceedings/papers/2000_025.pdf</w:t>
      </w:r>
      <w:r>
        <w:rPr>
          <w:bCs/>
        </w:rPr>
        <w:t>.</w:t>
      </w:r>
    </w:p>
  </w:footnote>
  <w:footnote w:id="3">
    <w:p w14:paraId="4011B866" w14:textId="68D15332" w:rsidR="00C524C8" w:rsidRDefault="00C524C8" w:rsidP="00764D22">
      <w:pPr>
        <w:pStyle w:val="FootnoteText"/>
        <w:ind w:left="90" w:hanging="90"/>
      </w:pPr>
      <w:r>
        <w:rPr>
          <w:rStyle w:val="FootnoteReference"/>
        </w:rPr>
        <w:footnoteRef/>
      </w:r>
      <w:r>
        <w:t xml:space="preserve"> </w:t>
      </w:r>
      <w:r w:rsidR="00764D22">
        <w:t xml:space="preserve"> </w:t>
      </w:r>
      <w:r>
        <w:t xml:space="preserve">Enrollment less than 5 will be </w:t>
      </w:r>
      <w:r w:rsidR="00913210">
        <w:t>set to 5 for purposes of implicit stratification and sampling.</w:t>
      </w:r>
    </w:p>
  </w:footnote>
  <w:footnote w:id="4">
    <w:p w14:paraId="3B678297" w14:textId="1A34C3BE" w:rsidR="00913210" w:rsidRDefault="00913210" w:rsidP="00913210">
      <w:pPr>
        <w:pStyle w:val="FootnoteText"/>
      </w:pPr>
      <w:r>
        <w:rPr>
          <w:rStyle w:val="FootnoteReference"/>
        </w:rPr>
        <w:footnoteRef/>
      </w:r>
      <w:r>
        <w:t xml:space="preserve"> Students are considered ineligible if they are enrolled in the classroom but not in the target grade (grade 8) or if a student transferred from the school or class between the time that the student roster was prepared and the scheduled session at the school. Students are excluded if they meet the internationally defined criteria as having a functional disability, an intellectual disability, or if they are a non-native language speaker and unable to read or speak the language of the assessment. Students with functional or intellectual disabilities or have at least one year of English instruction or are able to overcome the language barrier would be included in the testing.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7627E" w14:textId="77777777" w:rsidR="005A0683" w:rsidRDefault="005A06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CDE62" w14:textId="77777777" w:rsidR="005A0683" w:rsidRDefault="005A06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033FF" w14:textId="77777777" w:rsidR="005A0683" w:rsidRDefault="005A06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76A5B1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A84103"/>
    <w:multiLevelType w:val="hybridMultilevel"/>
    <w:tmpl w:val="E87A0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B6944"/>
    <w:multiLevelType w:val="hybridMultilevel"/>
    <w:tmpl w:val="64EE8E82"/>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 w15:restartNumberingAfterBreak="0">
    <w:nsid w:val="29171311"/>
    <w:multiLevelType w:val="hybridMultilevel"/>
    <w:tmpl w:val="49C474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3F6F58"/>
    <w:multiLevelType w:val="hybridMultilevel"/>
    <w:tmpl w:val="924CF1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67253CD"/>
    <w:multiLevelType w:val="hybridMultilevel"/>
    <w:tmpl w:val="0AF24C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4BC0680"/>
    <w:multiLevelType w:val="hybridMultilevel"/>
    <w:tmpl w:val="051EB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6F2CC7"/>
    <w:multiLevelType w:val="hybridMultilevel"/>
    <w:tmpl w:val="28B29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A40917"/>
    <w:multiLevelType w:val="hybridMultilevel"/>
    <w:tmpl w:val="B404A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FE7661"/>
    <w:multiLevelType w:val="hybridMultilevel"/>
    <w:tmpl w:val="AE940552"/>
    <w:lvl w:ilvl="0" w:tplc="E25444AA">
      <w:start w:val="2"/>
      <w:numFmt w:val="upperLetter"/>
      <w:lvlText w:val="%1."/>
      <w:lvlJc w:val="left"/>
      <w:pPr>
        <w:tabs>
          <w:tab w:val="num" w:pos="405"/>
        </w:tabs>
        <w:ind w:left="405" w:hanging="405"/>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60CA5F9A"/>
    <w:multiLevelType w:val="hybridMultilevel"/>
    <w:tmpl w:val="42260764"/>
    <w:lvl w:ilvl="0" w:tplc="C8CA72A2">
      <w:start w:val="1"/>
      <w:numFmt w:val="bullet"/>
      <w:lvlText w:val=""/>
      <w:lvlJc w:val="left"/>
      <w:pPr>
        <w:tabs>
          <w:tab w:val="num" w:pos="936"/>
        </w:tabs>
        <w:ind w:left="936" w:hanging="576"/>
      </w:pPr>
      <w:rPr>
        <w:rFonts w:ascii="Symbol" w:hAnsi="Symbol" w:hint="default"/>
        <w:sz w:val="20"/>
        <w:szCs w:val="24"/>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67765977"/>
    <w:multiLevelType w:val="hybridMultilevel"/>
    <w:tmpl w:val="D3C25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704C07"/>
    <w:multiLevelType w:val="hybridMultilevel"/>
    <w:tmpl w:val="EE049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A0034A6"/>
    <w:multiLevelType w:val="hybridMultilevel"/>
    <w:tmpl w:val="04EE6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5"/>
  </w:num>
  <w:num w:numId="4">
    <w:abstractNumId w:val="3"/>
  </w:num>
  <w:num w:numId="5">
    <w:abstractNumId w:val="6"/>
  </w:num>
  <w:num w:numId="6">
    <w:abstractNumId w:val="4"/>
  </w:num>
  <w:num w:numId="7">
    <w:abstractNumId w:val="8"/>
  </w:num>
  <w:num w:numId="8">
    <w:abstractNumId w:val="0"/>
  </w:num>
  <w:num w:numId="9">
    <w:abstractNumId w:val="2"/>
  </w:num>
  <w:num w:numId="10">
    <w:abstractNumId w:val="10"/>
  </w:num>
  <w:num w:numId="11">
    <w:abstractNumId w:val="14"/>
  </w:num>
  <w:num w:numId="12">
    <w:abstractNumId w:val="12"/>
  </w:num>
  <w:num w:numId="13">
    <w:abstractNumId w:val="13"/>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F87"/>
    <w:rsid w:val="00050EEB"/>
    <w:rsid w:val="000620D3"/>
    <w:rsid w:val="000755B4"/>
    <w:rsid w:val="00076BD7"/>
    <w:rsid w:val="00097AB7"/>
    <w:rsid w:val="000A085F"/>
    <w:rsid w:val="000A30E7"/>
    <w:rsid w:val="000F1459"/>
    <w:rsid w:val="000F3D20"/>
    <w:rsid w:val="00121AB5"/>
    <w:rsid w:val="00122A34"/>
    <w:rsid w:val="0012319D"/>
    <w:rsid w:val="00146971"/>
    <w:rsid w:val="00171157"/>
    <w:rsid w:val="00175F44"/>
    <w:rsid w:val="00192647"/>
    <w:rsid w:val="001B05E7"/>
    <w:rsid w:val="001C4189"/>
    <w:rsid w:val="001C4B49"/>
    <w:rsid w:val="001D3EE0"/>
    <w:rsid w:val="001E59A4"/>
    <w:rsid w:val="002254E1"/>
    <w:rsid w:val="00232DBC"/>
    <w:rsid w:val="00237B78"/>
    <w:rsid w:val="002421EF"/>
    <w:rsid w:val="00266C32"/>
    <w:rsid w:val="00295668"/>
    <w:rsid w:val="002B2A99"/>
    <w:rsid w:val="002D2F87"/>
    <w:rsid w:val="002D7B06"/>
    <w:rsid w:val="002E3EBB"/>
    <w:rsid w:val="002F5F93"/>
    <w:rsid w:val="00317BA9"/>
    <w:rsid w:val="003F7D31"/>
    <w:rsid w:val="004107A4"/>
    <w:rsid w:val="00411721"/>
    <w:rsid w:val="004119C8"/>
    <w:rsid w:val="004570C8"/>
    <w:rsid w:val="0046223B"/>
    <w:rsid w:val="00463796"/>
    <w:rsid w:val="004C21D1"/>
    <w:rsid w:val="004E3E05"/>
    <w:rsid w:val="004E691E"/>
    <w:rsid w:val="004F6CB3"/>
    <w:rsid w:val="00502BDD"/>
    <w:rsid w:val="00516BA7"/>
    <w:rsid w:val="0058224C"/>
    <w:rsid w:val="0058623A"/>
    <w:rsid w:val="00597581"/>
    <w:rsid w:val="005A0683"/>
    <w:rsid w:val="005C6F62"/>
    <w:rsid w:val="005E0CD6"/>
    <w:rsid w:val="00606284"/>
    <w:rsid w:val="00682213"/>
    <w:rsid w:val="00684188"/>
    <w:rsid w:val="00685D82"/>
    <w:rsid w:val="006A4708"/>
    <w:rsid w:val="006A4887"/>
    <w:rsid w:val="006F4494"/>
    <w:rsid w:val="007164FD"/>
    <w:rsid w:val="007251D5"/>
    <w:rsid w:val="00725779"/>
    <w:rsid w:val="007377A5"/>
    <w:rsid w:val="0074378A"/>
    <w:rsid w:val="00750976"/>
    <w:rsid w:val="00764D22"/>
    <w:rsid w:val="0077544B"/>
    <w:rsid w:val="0079199F"/>
    <w:rsid w:val="00797B77"/>
    <w:rsid w:val="007C6982"/>
    <w:rsid w:val="00816267"/>
    <w:rsid w:val="00827DE3"/>
    <w:rsid w:val="00830045"/>
    <w:rsid w:val="008538BC"/>
    <w:rsid w:val="008725EE"/>
    <w:rsid w:val="008853DB"/>
    <w:rsid w:val="008B6E03"/>
    <w:rsid w:val="008D0A88"/>
    <w:rsid w:val="00900491"/>
    <w:rsid w:val="00913210"/>
    <w:rsid w:val="00925F9E"/>
    <w:rsid w:val="009273F0"/>
    <w:rsid w:val="00930E0C"/>
    <w:rsid w:val="009312D3"/>
    <w:rsid w:val="00971486"/>
    <w:rsid w:val="00984C1D"/>
    <w:rsid w:val="009B4F04"/>
    <w:rsid w:val="009D1402"/>
    <w:rsid w:val="009E3F8C"/>
    <w:rsid w:val="009F4C30"/>
    <w:rsid w:val="009F5D22"/>
    <w:rsid w:val="00A21817"/>
    <w:rsid w:val="00A23B47"/>
    <w:rsid w:val="00A448A5"/>
    <w:rsid w:val="00A61696"/>
    <w:rsid w:val="00A6596A"/>
    <w:rsid w:val="00A90098"/>
    <w:rsid w:val="00AD649D"/>
    <w:rsid w:val="00AD6F4D"/>
    <w:rsid w:val="00AF013F"/>
    <w:rsid w:val="00B128C3"/>
    <w:rsid w:val="00B233D8"/>
    <w:rsid w:val="00B27085"/>
    <w:rsid w:val="00B308D4"/>
    <w:rsid w:val="00B6601F"/>
    <w:rsid w:val="00BA4562"/>
    <w:rsid w:val="00BB0DB7"/>
    <w:rsid w:val="00BC438E"/>
    <w:rsid w:val="00BD2F97"/>
    <w:rsid w:val="00BF2C34"/>
    <w:rsid w:val="00BF766A"/>
    <w:rsid w:val="00C16EDC"/>
    <w:rsid w:val="00C33ABA"/>
    <w:rsid w:val="00C524C8"/>
    <w:rsid w:val="00C543E7"/>
    <w:rsid w:val="00C64FFC"/>
    <w:rsid w:val="00CA2BE0"/>
    <w:rsid w:val="00CB1A7E"/>
    <w:rsid w:val="00CD018F"/>
    <w:rsid w:val="00CD5B47"/>
    <w:rsid w:val="00CE1C9C"/>
    <w:rsid w:val="00CE3BF0"/>
    <w:rsid w:val="00D04BD0"/>
    <w:rsid w:val="00D16478"/>
    <w:rsid w:val="00D216A6"/>
    <w:rsid w:val="00D340CC"/>
    <w:rsid w:val="00D351EB"/>
    <w:rsid w:val="00D4053E"/>
    <w:rsid w:val="00D476C7"/>
    <w:rsid w:val="00D50E2B"/>
    <w:rsid w:val="00D708F4"/>
    <w:rsid w:val="00D72BEC"/>
    <w:rsid w:val="00D80A23"/>
    <w:rsid w:val="00D8426E"/>
    <w:rsid w:val="00D864EF"/>
    <w:rsid w:val="00D872C9"/>
    <w:rsid w:val="00DB4E01"/>
    <w:rsid w:val="00DC35EC"/>
    <w:rsid w:val="00DD4725"/>
    <w:rsid w:val="00DD5EEF"/>
    <w:rsid w:val="00DD6485"/>
    <w:rsid w:val="00DF7143"/>
    <w:rsid w:val="00E32A8E"/>
    <w:rsid w:val="00E6514E"/>
    <w:rsid w:val="00EA3BFF"/>
    <w:rsid w:val="00EA5466"/>
    <w:rsid w:val="00ED22DE"/>
    <w:rsid w:val="00F75957"/>
    <w:rsid w:val="00F77C65"/>
    <w:rsid w:val="00F836F1"/>
    <w:rsid w:val="00F94758"/>
    <w:rsid w:val="00FA5DE7"/>
    <w:rsid w:val="00FC733E"/>
    <w:rsid w:val="00FF138C"/>
    <w:rsid w:val="00FF3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733AE"/>
  <w15:chartTrackingRefBased/>
  <w15:docId w15:val="{5C7E6548-7171-4CBD-ADDF-E73C934AF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F8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D6F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251D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A068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7251D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251D5"/>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9"/>
    <w:qFormat/>
    <w:rsid w:val="002D2F87"/>
    <w:pPr>
      <w:keepNext/>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rsid w:val="002D2F87"/>
    <w:rPr>
      <w:rFonts w:ascii="Times New Roman" w:eastAsia="Times New Roman" w:hAnsi="Times New Roman" w:cs="Times New Roman"/>
      <w:b/>
      <w:sz w:val="24"/>
      <w:szCs w:val="24"/>
    </w:rPr>
  </w:style>
  <w:style w:type="paragraph" w:customStyle="1" w:styleId="P1-StandPara">
    <w:name w:val="P1-Stand Para"/>
    <w:rsid w:val="002D2F87"/>
    <w:pPr>
      <w:spacing w:after="0" w:line="360" w:lineRule="atLeast"/>
      <w:ind w:firstLine="1152"/>
      <w:jc w:val="both"/>
    </w:pPr>
    <w:rPr>
      <w:rFonts w:ascii="Times New Roman" w:eastAsia="Times New Roman" w:hAnsi="Times New Roman" w:cs="Times New Roman"/>
      <w:szCs w:val="20"/>
    </w:rPr>
  </w:style>
  <w:style w:type="paragraph" w:customStyle="1" w:styleId="N1-1stBullet">
    <w:name w:val="N1-1st Bullet"/>
    <w:basedOn w:val="Normal"/>
    <w:rsid w:val="002D2F87"/>
    <w:pPr>
      <w:numPr>
        <w:numId w:val="1"/>
      </w:numPr>
      <w:spacing w:after="240" w:line="240" w:lineRule="atLeast"/>
    </w:pPr>
    <w:rPr>
      <w:rFonts w:ascii="Garamond" w:hAnsi="Garamond"/>
      <w:szCs w:val="20"/>
    </w:rPr>
  </w:style>
  <w:style w:type="paragraph" w:styleId="BalloonText">
    <w:name w:val="Balloon Text"/>
    <w:basedOn w:val="Normal"/>
    <w:link w:val="BalloonTextChar"/>
    <w:uiPriority w:val="99"/>
    <w:semiHidden/>
    <w:unhideWhenUsed/>
    <w:rsid w:val="00DD64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485"/>
    <w:rPr>
      <w:rFonts w:ascii="Segoe UI" w:eastAsia="Times New Roman" w:hAnsi="Segoe UI" w:cs="Segoe UI"/>
      <w:sz w:val="18"/>
      <w:szCs w:val="18"/>
    </w:rPr>
  </w:style>
  <w:style w:type="paragraph" w:styleId="ListParagraph">
    <w:name w:val="List Paragraph"/>
    <w:basedOn w:val="Normal"/>
    <w:uiPriority w:val="34"/>
    <w:qFormat/>
    <w:rsid w:val="00DD5EEF"/>
    <w:pPr>
      <w:ind w:left="720"/>
      <w:contextualSpacing/>
    </w:pPr>
  </w:style>
  <w:style w:type="character" w:styleId="CommentReference">
    <w:name w:val="annotation reference"/>
    <w:basedOn w:val="DefaultParagraphFont"/>
    <w:uiPriority w:val="99"/>
    <w:semiHidden/>
    <w:unhideWhenUsed/>
    <w:rsid w:val="00797B77"/>
    <w:rPr>
      <w:sz w:val="16"/>
      <w:szCs w:val="16"/>
    </w:rPr>
  </w:style>
  <w:style w:type="paragraph" w:styleId="CommentText">
    <w:name w:val="annotation text"/>
    <w:basedOn w:val="Normal"/>
    <w:link w:val="CommentTextChar"/>
    <w:uiPriority w:val="99"/>
    <w:unhideWhenUsed/>
    <w:rsid w:val="00797B77"/>
    <w:rPr>
      <w:sz w:val="20"/>
      <w:szCs w:val="20"/>
    </w:rPr>
  </w:style>
  <w:style w:type="character" w:customStyle="1" w:styleId="CommentTextChar">
    <w:name w:val="Comment Text Char"/>
    <w:basedOn w:val="DefaultParagraphFont"/>
    <w:link w:val="CommentText"/>
    <w:uiPriority w:val="99"/>
    <w:rsid w:val="00797B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7B77"/>
    <w:rPr>
      <w:b/>
      <w:bCs/>
    </w:rPr>
  </w:style>
  <w:style w:type="character" w:customStyle="1" w:styleId="CommentSubjectChar">
    <w:name w:val="Comment Subject Char"/>
    <w:basedOn w:val="CommentTextChar"/>
    <w:link w:val="CommentSubject"/>
    <w:uiPriority w:val="99"/>
    <w:semiHidden/>
    <w:rsid w:val="00797B77"/>
    <w:rPr>
      <w:rFonts w:ascii="Times New Roman" w:eastAsia="Times New Roman" w:hAnsi="Times New Roman" w:cs="Times New Roman"/>
      <w:b/>
      <w:bCs/>
      <w:sz w:val="20"/>
      <w:szCs w:val="20"/>
    </w:rPr>
  </w:style>
  <w:style w:type="paragraph" w:customStyle="1" w:styleId="N2-2ndBullet">
    <w:name w:val="N2-2nd Bullet"/>
    <w:basedOn w:val="Normal"/>
    <w:uiPriority w:val="99"/>
    <w:rsid w:val="008725EE"/>
    <w:pPr>
      <w:tabs>
        <w:tab w:val="num" w:pos="720"/>
      </w:tabs>
      <w:spacing w:after="240" w:line="240" w:lineRule="atLeast"/>
      <w:ind w:left="720" w:hanging="720"/>
      <w:jc w:val="both"/>
    </w:pPr>
    <w:rPr>
      <w:sz w:val="22"/>
      <w:szCs w:val="20"/>
    </w:rPr>
  </w:style>
  <w:style w:type="character" w:customStyle="1" w:styleId="Heading2Char">
    <w:name w:val="Heading 2 Char"/>
    <w:basedOn w:val="DefaultParagraphFont"/>
    <w:link w:val="Heading2"/>
    <w:uiPriority w:val="9"/>
    <w:rsid w:val="007251D5"/>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7251D5"/>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7251D5"/>
    <w:rPr>
      <w:rFonts w:asciiTheme="majorHAnsi" w:eastAsiaTheme="majorEastAsia" w:hAnsiTheme="majorHAnsi" w:cstheme="majorBidi"/>
      <w:color w:val="2F5496" w:themeColor="accent1" w:themeShade="BF"/>
      <w:sz w:val="24"/>
      <w:szCs w:val="24"/>
    </w:rPr>
  </w:style>
  <w:style w:type="character" w:styleId="PageNumber">
    <w:name w:val="page number"/>
    <w:basedOn w:val="DefaultParagraphFont"/>
    <w:uiPriority w:val="99"/>
    <w:rsid w:val="007251D5"/>
    <w:rPr>
      <w:rFonts w:cs="Times New Roman"/>
    </w:rPr>
  </w:style>
  <w:style w:type="paragraph" w:styleId="Footer">
    <w:name w:val="footer"/>
    <w:basedOn w:val="Normal"/>
    <w:link w:val="FooterChar"/>
    <w:uiPriority w:val="99"/>
    <w:rsid w:val="007251D5"/>
    <w:pPr>
      <w:widowControl w:val="0"/>
      <w:tabs>
        <w:tab w:val="center" w:pos="4320"/>
        <w:tab w:val="right" w:pos="8640"/>
      </w:tabs>
      <w:spacing w:after="120" w:line="240" w:lineRule="atLeast"/>
      <w:jc w:val="both"/>
      <w:outlineLvl w:val="3"/>
    </w:pPr>
    <w:rPr>
      <w:sz w:val="22"/>
      <w:szCs w:val="20"/>
    </w:rPr>
  </w:style>
  <w:style w:type="character" w:customStyle="1" w:styleId="FooterChar">
    <w:name w:val="Footer Char"/>
    <w:basedOn w:val="DefaultParagraphFont"/>
    <w:link w:val="Footer"/>
    <w:uiPriority w:val="99"/>
    <w:rsid w:val="007251D5"/>
    <w:rPr>
      <w:rFonts w:ascii="Times New Roman" w:eastAsia="Times New Roman" w:hAnsi="Times New Roman" w:cs="Times New Roman"/>
      <w:szCs w:val="20"/>
    </w:rPr>
  </w:style>
  <w:style w:type="paragraph" w:customStyle="1" w:styleId="C1-CtrBoldHd">
    <w:name w:val="C1-Ctr BoldHd"/>
    <w:uiPriority w:val="99"/>
    <w:rsid w:val="007251D5"/>
    <w:pPr>
      <w:keepNext/>
      <w:spacing w:after="720" w:line="240" w:lineRule="atLeast"/>
      <w:jc w:val="center"/>
    </w:pPr>
    <w:rPr>
      <w:rFonts w:ascii="Times New Roman" w:eastAsia="Times New Roman" w:hAnsi="Times New Roman" w:cs="Times New Roman"/>
      <w:b/>
      <w:caps/>
      <w:szCs w:val="20"/>
    </w:rPr>
  </w:style>
  <w:style w:type="paragraph" w:styleId="NoSpacing">
    <w:name w:val="No Spacing"/>
    <w:link w:val="NoSpacingChar"/>
    <w:uiPriority w:val="1"/>
    <w:qFormat/>
    <w:rsid w:val="007251D5"/>
    <w:pPr>
      <w:spacing w:after="0" w:line="240" w:lineRule="auto"/>
    </w:pPr>
  </w:style>
  <w:style w:type="paragraph" w:styleId="Header">
    <w:name w:val="header"/>
    <w:basedOn w:val="Normal"/>
    <w:link w:val="HeaderChar"/>
    <w:uiPriority w:val="99"/>
    <w:unhideWhenUsed/>
    <w:rsid w:val="00BF2C34"/>
    <w:pPr>
      <w:tabs>
        <w:tab w:val="center" w:pos="4680"/>
        <w:tab w:val="right" w:pos="9360"/>
      </w:tabs>
    </w:pPr>
  </w:style>
  <w:style w:type="character" w:customStyle="1" w:styleId="HeaderChar">
    <w:name w:val="Header Char"/>
    <w:basedOn w:val="DefaultParagraphFont"/>
    <w:link w:val="Header"/>
    <w:uiPriority w:val="99"/>
    <w:rsid w:val="00BF2C34"/>
    <w:rPr>
      <w:rFonts w:ascii="Times New Roman" w:eastAsia="Times New Roman" w:hAnsi="Times New Roman" w:cs="Times New Roman"/>
      <w:sz w:val="24"/>
      <w:szCs w:val="24"/>
    </w:rPr>
  </w:style>
  <w:style w:type="paragraph" w:customStyle="1" w:styleId="TIMSSOMBHeading1">
    <w:name w:val="TIMSS OMB Heading 1"/>
    <w:basedOn w:val="Heading2"/>
    <w:autoRedefine/>
    <w:qFormat/>
    <w:rsid w:val="00AD6F4D"/>
    <w:pPr>
      <w:keepLines w:val="0"/>
      <w:spacing w:before="0" w:after="120" w:line="23" w:lineRule="atLeast"/>
      <w:jc w:val="center"/>
    </w:pPr>
    <w:rPr>
      <w:rFonts w:ascii="Cambria" w:eastAsia="Times New Roman" w:hAnsi="Cambria" w:cs="Times New Roman"/>
      <w:b/>
      <w:bCs/>
      <w:iCs/>
      <w:color w:val="auto"/>
      <w:sz w:val="28"/>
      <w:szCs w:val="28"/>
    </w:rPr>
  </w:style>
  <w:style w:type="paragraph" w:customStyle="1" w:styleId="TIMSSOMBHeading2">
    <w:name w:val="TIMSS OMB Heading 2"/>
    <w:basedOn w:val="Heading3"/>
    <w:qFormat/>
    <w:rsid w:val="005A0683"/>
    <w:pPr>
      <w:spacing w:before="200" w:line="276" w:lineRule="auto"/>
    </w:pPr>
    <w:rPr>
      <w:rFonts w:ascii="Cambria" w:hAnsi="Cambria"/>
      <w:b/>
      <w:bCs/>
      <w:color w:val="4472C4" w:themeColor="accent1"/>
      <w:sz w:val="22"/>
      <w:szCs w:val="22"/>
    </w:rPr>
  </w:style>
  <w:style w:type="character" w:customStyle="1" w:styleId="Heading3Char">
    <w:name w:val="Heading 3 Char"/>
    <w:basedOn w:val="DefaultParagraphFont"/>
    <w:link w:val="Heading3"/>
    <w:uiPriority w:val="9"/>
    <w:semiHidden/>
    <w:rsid w:val="005A0683"/>
    <w:rPr>
      <w:rFonts w:asciiTheme="majorHAnsi" w:eastAsiaTheme="majorEastAsia" w:hAnsiTheme="majorHAnsi" w:cstheme="majorBidi"/>
      <w:color w:val="1F3763" w:themeColor="accent1" w:themeShade="7F"/>
      <w:sz w:val="24"/>
      <w:szCs w:val="24"/>
    </w:rPr>
  </w:style>
  <w:style w:type="paragraph" w:customStyle="1" w:styleId="TIMSSOMBHeading3">
    <w:name w:val="TIMSS OMB Heading 3"/>
    <w:basedOn w:val="Heading4"/>
    <w:qFormat/>
    <w:rsid w:val="005A0683"/>
    <w:pPr>
      <w:spacing w:line="276" w:lineRule="auto"/>
    </w:pPr>
    <w:rPr>
      <w:sz w:val="22"/>
      <w:szCs w:val="22"/>
    </w:rPr>
  </w:style>
  <w:style w:type="character" w:customStyle="1" w:styleId="Heading1Char">
    <w:name w:val="Heading 1 Char"/>
    <w:basedOn w:val="DefaultParagraphFont"/>
    <w:link w:val="Heading1"/>
    <w:uiPriority w:val="9"/>
    <w:rsid w:val="00AD6F4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D6F4D"/>
    <w:pPr>
      <w:spacing w:line="259" w:lineRule="auto"/>
      <w:outlineLvl w:val="9"/>
    </w:pPr>
  </w:style>
  <w:style w:type="paragraph" w:styleId="TOC2">
    <w:name w:val="toc 2"/>
    <w:basedOn w:val="Normal"/>
    <w:next w:val="Normal"/>
    <w:autoRedefine/>
    <w:uiPriority w:val="39"/>
    <w:unhideWhenUsed/>
    <w:rsid w:val="00AD6F4D"/>
    <w:pPr>
      <w:spacing w:after="100"/>
      <w:ind w:left="240"/>
    </w:pPr>
  </w:style>
  <w:style w:type="paragraph" w:styleId="TOC3">
    <w:name w:val="toc 3"/>
    <w:basedOn w:val="Normal"/>
    <w:next w:val="Normal"/>
    <w:autoRedefine/>
    <w:uiPriority w:val="39"/>
    <w:unhideWhenUsed/>
    <w:rsid w:val="00AD6F4D"/>
    <w:pPr>
      <w:spacing w:after="100"/>
      <w:ind w:left="480"/>
    </w:pPr>
  </w:style>
  <w:style w:type="character" w:styleId="Hyperlink">
    <w:name w:val="Hyperlink"/>
    <w:basedOn w:val="DefaultParagraphFont"/>
    <w:uiPriority w:val="99"/>
    <w:unhideWhenUsed/>
    <w:rsid w:val="00AD6F4D"/>
    <w:rPr>
      <w:color w:val="0563C1" w:themeColor="hyperlink"/>
      <w:u w:val="single"/>
    </w:rPr>
  </w:style>
  <w:style w:type="character" w:styleId="UnresolvedMention">
    <w:name w:val="Unresolved Mention"/>
    <w:basedOn w:val="DefaultParagraphFont"/>
    <w:uiPriority w:val="99"/>
    <w:semiHidden/>
    <w:unhideWhenUsed/>
    <w:rsid w:val="0074378A"/>
    <w:rPr>
      <w:color w:val="605E5C"/>
      <w:shd w:val="clear" w:color="auto" w:fill="E1DFDD"/>
    </w:rPr>
  </w:style>
  <w:style w:type="character" w:styleId="FollowedHyperlink">
    <w:name w:val="FollowedHyperlink"/>
    <w:basedOn w:val="DefaultParagraphFont"/>
    <w:uiPriority w:val="99"/>
    <w:semiHidden/>
    <w:unhideWhenUsed/>
    <w:rsid w:val="005C6F62"/>
    <w:rPr>
      <w:color w:val="954F72" w:themeColor="followedHyperlink"/>
      <w:u w:val="single"/>
    </w:rPr>
  </w:style>
  <w:style w:type="paragraph" w:styleId="FootnoteText">
    <w:name w:val="footnote text"/>
    <w:basedOn w:val="Normal"/>
    <w:link w:val="FootnoteTextChar"/>
    <w:uiPriority w:val="99"/>
    <w:semiHidden/>
    <w:unhideWhenUsed/>
    <w:rsid w:val="00CE3BF0"/>
    <w:rPr>
      <w:sz w:val="20"/>
      <w:szCs w:val="20"/>
    </w:rPr>
  </w:style>
  <w:style w:type="character" w:customStyle="1" w:styleId="FootnoteTextChar">
    <w:name w:val="Footnote Text Char"/>
    <w:basedOn w:val="DefaultParagraphFont"/>
    <w:link w:val="FootnoteText"/>
    <w:uiPriority w:val="99"/>
    <w:semiHidden/>
    <w:rsid w:val="00CE3BF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E3BF0"/>
    <w:rPr>
      <w:vertAlign w:val="superscript"/>
    </w:rPr>
  </w:style>
  <w:style w:type="character" w:customStyle="1" w:styleId="NoSpacingChar">
    <w:name w:val="No Spacing Char"/>
    <w:link w:val="NoSpacing"/>
    <w:uiPriority w:val="1"/>
    <w:locked/>
    <w:rsid w:val="00D70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5439">
      <w:bodyDiv w:val="1"/>
      <w:marLeft w:val="0"/>
      <w:marRight w:val="0"/>
      <w:marTop w:val="0"/>
      <w:marBottom w:val="0"/>
      <w:divBdr>
        <w:top w:val="none" w:sz="0" w:space="0" w:color="auto"/>
        <w:left w:val="none" w:sz="0" w:space="0" w:color="auto"/>
        <w:bottom w:val="none" w:sz="0" w:space="0" w:color="auto"/>
        <w:right w:val="none" w:sz="0" w:space="0" w:color="auto"/>
      </w:divBdr>
    </w:div>
    <w:div w:id="90322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C88C8-5384-44D5-A3A0-DD2764456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9</Pages>
  <Words>2178</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Millar, Kimrey</dc:creator>
  <cp:keywords/>
  <dc:description/>
  <cp:lastModifiedBy>Carrie Clarady</cp:lastModifiedBy>
  <cp:revision>25</cp:revision>
  <dcterms:created xsi:type="dcterms:W3CDTF">2021-10-20T20:12:00Z</dcterms:created>
  <dcterms:modified xsi:type="dcterms:W3CDTF">2021-10-29T14:45:00Z</dcterms:modified>
</cp:coreProperties>
</file>