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C511C" w:rsidRPr="00756A57" w:rsidP="00B305E5" w14:paraId="6E319D80" w14:textId="77777777">
      <w:pPr>
        <w:widowControl/>
        <w:tabs>
          <w:tab w:val="center" w:pos="5040"/>
        </w:tabs>
        <w:jc w:val="center"/>
        <w:rPr>
          <w:sz w:val="26"/>
          <w:szCs w:val="26"/>
        </w:rPr>
      </w:pPr>
      <w:r w:rsidRPr="00756A57">
        <w:rPr>
          <w:sz w:val="26"/>
          <w:szCs w:val="26"/>
        </w:rPr>
        <w:t xml:space="preserve">Supporting Statement for </w:t>
      </w:r>
    </w:p>
    <w:p w:rsidR="005E3A7C" w:rsidRPr="00756A57" w:rsidP="005E3A7C" w14:paraId="007418C3" w14:textId="77777777">
      <w:pPr>
        <w:widowControl/>
        <w:tabs>
          <w:tab w:val="center" w:pos="5040"/>
        </w:tabs>
        <w:jc w:val="center"/>
        <w:rPr>
          <w:b/>
          <w:sz w:val="26"/>
          <w:szCs w:val="26"/>
        </w:rPr>
      </w:pPr>
      <w:r w:rsidRPr="00756A57">
        <w:rPr>
          <w:b/>
          <w:sz w:val="26"/>
          <w:szCs w:val="26"/>
        </w:rPr>
        <w:t>FERC-740</w:t>
      </w:r>
      <w:r w:rsidRPr="00756A57" w:rsidR="002A5EB5">
        <w:rPr>
          <w:b/>
          <w:sz w:val="26"/>
          <w:szCs w:val="26"/>
        </w:rPr>
        <w:t>,</w:t>
      </w:r>
      <w:r w:rsidRPr="00756A57">
        <w:rPr>
          <w:b/>
          <w:sz w:val="26"/>
          <w:szCs w:val="26"/>
        </w:rPr>
        <w:t xml:space="preserve"> Availability of </w:t>
      </w:r>
      <w:r w:rsidR="00403824">
        <w:rPr>
          <w:b/>
          <w:sz w:val="26"/>
          <w:szCs w:val="26"/>
        </w:rPr>
        <w:t>E-Tag</w:t>
      </w:r>
      <w:r w:rsidRPr="00756A57">
        <w:rPr>
          <w:b/>
          <w:sz w:val="26"/>
          <w:szCs w:val="26"/>
        </w:rPr>
        <w:t xml:space="preserve"> Information to Commission Staff</w:t>
      </w:r>
    </w:p>
    <w:p w:rsidR="005E3A7C" w:rsidRPr="00756A57" w:rsidP="005E3A7C" w14:paraId="00E69BA1" w14:textId="77777777">
      <w:pPr>
        <w:widowControl/>
        <w:tabs>
          <w:tab w:val="center" w:pos="5040"/>
        </w:tabs>
        <w:rPr>
          <w:b/>
          <w:sz w:val="26"/>
          <w:szCs w:val="26"/>
        </w:rPr>
      </w:pPr>
    </w:p>
    <w:p w:rsidR="005E3A7C" w:rsidRPr="00756A57" w:rsidP="006208CF" w14:paraId="29ED181A" w14:textId="77777777">
      <w:pPr>
        <w:widowControl/>
        <w:tabs>
          <w:tab w:val="center" w:pos="5040"/>
        </w:tabs>
        <w:rPr>
          <w:sz w:val="26"/>
          <w:szCs w:val="26"/>
        </w:rPr>
      </w:pPr>
      <w:r w:rsidRPr="00756A57">
        <w:rPr>
          <w:sz w:val="26"/>
          <w:szCs w:val="26"/>
        </w:rPr>
        <w:t xml:space="preserve">The Federal Energy Regulatory Commission (Commission or FERC) requests that the Office of Management and Budget (OMB) review and approve, for a three-year period, </w:t>
      </w:r>
      <w:r w:rsidRPr="00756A57">
        <w:rPr>
          <w:bCs/>
          <w:sz w:val="26"/>
          <w:szCs w:val="26"/>
        </w:rPr>
        <w:t>FERC-7</w:t>
      </w:r>
      <w:r w:rsidRPr="00756A57" w:rsidR="00E50708">
        <w:rPr>
          <w:bCs/>
          <w:sz w:val="26"/>
          <w:szCs w:val="26"/>
        </w:rPr>
        <w:t>40</w:t>
      </w:r>
      <w:r w:rsidRPr="00756A57" w:rsidR="002A5EB5">
        <w:rPr>
          <w:sz w:val="26"/>
        </w:rPr>
        <w:t xml:space="preserve"> (</w:t>
      </w:r>
      <w:r w:rsidRPr="00756A57" w:rsidR="002A5EB5">
        <w:rPr>
          <w:bCs/>
          <w:sz w:val="26"/>
          <w:szCs w:val="26"/>
        </w:rPr>
        <w:t xml:space="preserve">Availability of </w:t>
      </w:r>
      <w:r w:rsidR="00403824">
        <w:rPr>
          <w:bCs/>
          <w:sz w:val="26"/>
          <w:szCs w:val="26"/>
        </w:rPr>
        <w:t>E-Tag</w:t>
      </w:r>
      <w:r w:rsidRPr="00756A57" w:rsidR="002A5EB5">
        <w:rPr>
          <w:bCs/>
          <w:sz w:val="26"/>
          <w:szCs w:val="26"/>
        </w:rPr>
        <w:t xml:space="preserve"> Information to Commission Staff)</w:t>
      </w:r>
      <w:r w:rsidRPr="00756A57">
        <w:rPr>
          <w:sz w:val="26"/>
          <w:szCs w:val="26"/>
        </w:rPr>
        <w:t xml:space="preserve">. </w:t>
      </w:r>
      <w:r w:rsidRPr="00756A57" w:rsidR="002A5EB5">
        <w:rPr>
          <w:sz w:val="26"/>
          <w:szCs w:val="26"/>
        </w:rPr>
        <w:t xml:space="preserve"> FERC-740 is an existing information collection</w:t>
      </w:r>
      <w:r w:rsidRPr="00756A57" w:rsidR="008271A1">
        <w:rPr>
          <w:sz w:val="26"/>
          <w:szCs w:val="26"/>
        </w:rPr>
        <w:t>.  N</w:t>
      </w:r>
      <w:r w:rsidRPr="00756A57" w:rsidR="002A5EB5">
        <w:rPr>
          <w:sz w:val="26"/>
          <w:szCs w:val="26"/>
        </w:rPr>
        <w:t xml:space="preserve">o changes are being made to the </w:t>
      </w:r>
      <w:r w:rsidRPr="00756A57" w:rsidR="008271A1">
        <w:rPr>
          <w:sz w:val="26"/>
          <w:szCs w:val="26"/>
        </w:rPr>
        <w:t xml:space="preserve">reporting or recordkeeping </w:t>
      </w:r>
      <w:r w:rsidRPr="00756A57" w:rsidR="002A5EB5">
        <w:rPr>
          <w:sz w:val="26"/>
          <w:szCs w:val="26"/>
        </w:rPr>
        <w:t>requirements.</w:t>
      </w:r>
    </w:p>
    <w:p w:rsidR="00B22D96" w:rsidRPr="00756A57" w:rsidP="00B22D96" w14:paraId="07C26DA8" w14:textId="77777777">
      <w:pPr>
        <w:widowControl/>
        <w:tabs>
          <w:tab w:val="center" w:pos="5040"/>
        </w:tabs>
        <w:rPr>
          <w:sz w:val="26"/>
          <w:szCs w:val="26"/>
        </w:rPr>
      </w:pPr>
    </w:p>
    <w:p w:rsidR="00DF69DC" w:rsidRPr="00756A57" w:rsidP="00DF69DC" w14:paraId="48F586CE" w14:textId="77777777">
      <w:pPr>
        <w:widowControl/>
        <w:spacing w:after="200"/>
        <w:rPr>
          <w:b/>
          <w:sz w:val="26"/>
          <w:szCs w:val="26"/>
        </w:rPr>
      </w:pPr>
      <w:r w:rsidRPr="00756A57">
        <w:rPr>
          <w:b/>
          <w:sz w:val="26"/>
          <w:szCs w:val="26"/>
        </w:rPr>
        <w:t>A.        JUSTIFICATION</w:t>
      </w:r>
    </w:p>
    <w:p w:rsidR="00B22D96" w:rsidRPr="00756A57" w:rsidP="00DF69DC" w14:paraId="0E417AF2" w14:textId="77777777">
      <w:pPr>
        <w:widowControl/>
        <w:tabs>
          <w:tab w:val="left" w:pos="-1440"/>
        </w:tabs>
        <w:ind w:left="720" w:hanging="720"/>
        <w:rPr>
          <w:b/>
          <w:sz w:val="26"/>
          <w:szCs w:val="26"/>
        </w:rPr>
      </w:pPr>
      <w:r w:rsidRPr="00756A57">
        <w:rPr>
          <w:b/>
          <w:sz w:val="26"/>
          <w:szCs w:val="26"/>
        </w:rPr>
        <w:t>1.</w:t>
      </w:r>
      <w:r w:rsidRPr="00756A57">
        <w:rPr>
          <w:b/>
          <w:sz w:val="26"/>
          <w:szCs w:val="26"/>
        </w:rPr>
        <w:tab/>
      </w:r>
      <w:r w:rsidRPr="00756A57">
        <w:rPr>
          <w:b/>
          <w:caps/>
          <w:sz w:val="26"/>
          <w:szCs w:val="26"/>
        </w:rPr>
        <w:t>Circumstances That Make the Collection of Information Necessary</w:t>
      </w:r>
    </w:p>
    <w:p w:rsidR="00B22D96" w:rsidRPr="00756A57" w:rsidP="00B22D96" w14:paraId="01165981" w14:textId="77777777">
      <w:pPr>
        <w:widowControl/>
        <w:tabs>
          <w:tab w:val="center" w:pos="5040"/>
        </w:tabs>
        <w:rPr>
          <w:sz w:val="26"/>
          <w:szCs w:val="26"/>
        </w:rPr>
      </w:pPr>
    </w:p>
    <w:p w:rsidR="00956D77" w:rsidRPr="00756A57" w:rsidP="00956D77" w14:paraId="51745732" w14:textId="77777777">
      <w:pPr>
        <w:widowControl/>
        <w:tabs>
          <w:tab w:val="center" w:pos="5040"/>
        </w:tabs>
        <w:rPr>
          <w:sz w:val="26"/>
          <w:szCs w:val="26"/>
        </w:rPr>
      </w:pPr>
      <w:r w:rsidRPr="00756A57">
        <w:rPr>
          <w:sz w:val="26"/>
          <w:szCs w:val="26"/>
        </w:rPr>
        <w:t>This collection of information assists the Commission in implementing s</w:t>
      </w:r>
      <w:r w:rsidRPr="00756A57" w:rsidR="00C602FA">
        <w:rPr>
          <w:sz w:val="26"/>
          <w:szCs w:val="26"/>
        </w:rPr>
        <w:t>ections 222 and 307(a) of the Federal Power Act (FPA)</w:t>
      </w:r>
      <w:r w:rsidRPr="00756A57">
        <w:rPr>
          <w:sz w:val="26"/>
          <w:szCs w:val="26"/>
        </w:rPr>
        <w:t>.</w:t>
      </w:r>
      <w:r>
        <w:rPr>
          <w:bCs/>
          <w:sz w:val="26"/>
          <w:szCs w:val="26"/>
          <w:vertAlign w:val="superscript"/>
        </w:rPr>
        <w:footnoteReference w:id="2"/>
      </w:r>
      <w:r w:rsidRPr="00756A57">
        <w:rPr>
          <w:sz w:val="26"/>
          <w:szCs w:val="26"/>
        </w:rPr>
        <w:t xml:space="preserve">  Section 222 prohibits </w:t>
      </w:r>
      <w:r w:rsidR="0081026A">
        <w:rPr>
          <w:sz w:val="26"/>
          <w:szCs w:val="26"/>
        </w:rPr>
        <w:t xml:space="preserve">manipulation of wholesale electric </w:t>
      </w:r>
      <w:r w:rsidRPr="00756A57">
        <w:rPr>
          <w:sz w:val="26"/>
          <w:szCs w:val="26"/>
        </w:rPr>
        <w:t>energy market</w:t>
      </w:r>
      <w:r w:rsidR="0081026A">
        <w:rPr>
          <w:sz w:val="26"/>
          <w:szCs w:val="26"/>
        </w:rPr>
        <w:t xml:space="preserve">s.  </w:t>
      </w:r>
      <w:r w:rsidRPr="00756A57">
        <w:rPr>
          <w:sz w:val="26"/>
          <w:szCs w:val="26"/>
        </w:rPr>
        <w:t>Section 307(a) authorizes the Commission to conduct investigations to determine whether an</w:t>
      </w:r>
      <w:r w:rsidRPr="00756A57" w:rsidR="00095169">
        <w:rPr>
          <w:sz w:val="26"/>
          <w:szCs w:val="26"/>
        </w:rPr>
        <w:t>y</w:t>
      </w:r>
      <w:r w:rsidRPr="00756A57">
        <w:rPr>
          <w:sz w:val="26"/>
          <w:szCs w:val="26"/>
        </w:rPr>
        <w:t xml:space="preserve"> entity has violated any portion of the FP</w:t>
      </w:r>
      <w:r w:rsidRPr="00756A57" w:rsidR="00095169">
        <w:rPr>
          <w:sz w:val="26"/>
          <w:szCs w:val="26"/>
        </w:rPr>
        <w:t>A, to aid in the enforcement of any regulation pertaining to the FPA, or in obtaining information to serve as the basis for recommended legislation.</w:t>
      </w:r>
    </w:p>
    <w:p w:rsidR="00C602FA" w:rsidRPr="00756A57" w:rsidP="00DF69DC" w14:paraId="7741EEE1" w14:textId="77777777">
      <w:pPr>
        <w:widowControl/>
        <w:tabs>
          <w:tab w:val="center" w:pos="5040"/>
        </w:tabs>
        <w:rPr>
          <w:sz w:val="26"/>
          <w:szCs w:val="26"/>
        </w:rPr>
      </w:pPr>
    </w:p>
    <w:p w:rsidR="005E21CA" w:rsidRPr="00756A57" w:rsidP="00DF69DC" w14:paraId="3776319D" w14:textId="77777777">
      <w:pPr>
        <w:widowControl/>
        <w:tabs>
          <w:tab w:val="center" w:pos="5040"/>
        </w:tabs>
        <w:rPr>
          <w:sz w:val="26"/>
          <w:szCs w:val="26"/>
        </w:rPr>
      </w:pPr>
      <w:r w:rsidRPr="00756A57">
        <w:rPr>
          <w:sz w:val="26"/>
          <w:szCs w:val="26"/>
        </w:rPr>
        <w:t xml:space="preserve">Consistent with sections 222 and 307(a), the Commission’s regulation at </w:t>
      </w:r>
      <w:r w:rsidRPr="00756A57" w:rsidR="00DF69DC">
        <w:rPr>
          <w:sz w:val="26"/>
          <w:szCs w:val="26"/>
        </w:rPr>
        <w:t>18 CFR 366.2(d)</w:t>
      </w:r>
      <w:r w:rsidRPr="00756A57">
        <w:rPr>
          <w:sz w:val="26"/>
          <w:szCs w:val="26"/>
        </w:rPr>
        <w:t xml:space="preserve"> </w:t>
      </w:r>
      <w:r w:rsidRPr="00756A57" w:rsidR="00DF69DC">
        <w:rPr>
          <w:sz w:val="26"/>
          <w:szCs w:val="26"/>
        </w:rPr>
        <w:t xml:space="preserve">requires Commission access, on a non-public and view-only basis, to information that is located on </w:t>
      </w:r>
      <w:r w:rsidR="0081026A">
        <w:rPr>
          <w:sz w:val="26"/>
          <w:szCs w:val="26"/>
        </w:rPr>
        <w:t xml:space="preserve">electronic tags, also known as </w:t>
      </w:r>
      <w:r w:rsidR="00403824">
        <w:rPr>
          <w:sz w:val="26"/>
          <w:szCs w:val="26"/>
        </w:rPr>
        <w:t>E-Tags</w:t>
      </w:r>
      <w:r w:rsidR="0081026A">
        <w:rPr>
          <w:sz w:val="26"/>
          <w:szCs w:val="26"/>
        </w:rPr>
        <w:t>.</w:t>
      </w:r>
    </w:p>
    <w:p w:rsidR="005E21CA" w:rsidRPr="00756A57" w:rsidP="00DF69DC" w14:paraId="4C5A21E3" w14:textId="77777777">
      <w:pPr>
        <w:widowControl/>
        <w:tabs>
          <w:tab w:val="center" w:pos="5040"/>
        </w:tabs>
        <w:rPr>
          <w:sz w:val="26"/>
          <w:szCs w:val="26"/>
        </w:rPr>
      </w:pPr>
    </w:p>
    <w:p w:rsidR="004611F2" w:rsidP="00D85085" w14:paraId="38D2D0BD" w14:textId="77777777">
      <w:pPr>
        <w:widowControl/>
        <w:tabs>
          <w:tab w:val="center" w:pos="5040"/>
        </w:tabs>
        <w:rPr>
          <w:sz w:val="26"/>
          <w:szCs w:val="26"/>
        </w:rPr>
      </w:pPr>
      <w:r>
        <w:rPr>
          <w:sz w:val="26"/>
          <w:szCs w:val="26"/>
        </w:rPr>
        <w:t>E-Tags</w:t>
      </w:r>
      <w:r w:rsidRPr="00756A57" w:rsidR="005E21CA">
        <w:rPr>
          <w:sz w:val="26"/>
          <w:szCs w:val="26"/>
        </w:rPr>
        <w:t xml:space="preserve"> document the movement of energy across an interchange over prescribed physical paths, for a given duration, and for a given energy profile</w:t>
      </w:r>
      <w:r w:rsidR="0081026A">
        <w:rPr>
          <w:sz w:val="26"/>
          <w:szCs w:val="26"/>
        </w:rPr>
        <w:t xml:space="preserve">.  They also </w:t>
      </w:r>
      <w:r w:rsidRPr="00756A57" w:rsidR="005E21CA">
        <w:rPr>
          <w:sz w:val="26"/>
          <w:szCs w:val="26"/>
        </w:rPr>
        <w:t xml:space="preserve">include information about those entities with financial responsibilities for the receipt and delivery of the energy.  </w:t>
      </w:r>
      <w:r>
        <w:rPr>
          <w:sz w:val="26"/>
          <w:szCs w:val="26"/>
        </w:rPr>
        <w:t>E-Tags</w:t>
      </w:r>
      <w:r w:rsidRPr="00756A57" w:rsidR="005E21CA">
        <w:rPr>
          <w:sz w:val="26"/>
          <w:szCs w:val="26"/>
        </w:rPr>
        <w:t xml:space="preserve"> may contain information about the different types of entities involved in moving power across interchanges, including generators, transmission system operators, </w:t>
      </w:r>
      <w:r w:rsidR="00756A57">
        <w:rPr>
          <w:sz w:val="26"/>
          <w:szCs w:val="26"/>
        </w:rPr>
        <w:t xml:space="preserve">and </w:t>
      </w:r>
      <w:r w:rsidRPr="00756A57" w:rsidR="005E21CA">
        <w:rPr>
          <w:sz w:val="26"/>
          <w:szCs w:val="26"/>
        </w:rPr>
        <w:t>energy traders</w:t>
      </w:r>
      <w:r w:rsidR="00756A57">
        <w:rPr>
          <w:sz w:val="26"/>
          <w:szCs w:val="26"/>
        </w:rPr>
        <w:t>.</w:t>
      </w:r>
    </w:p>
    <w:p w:rsidR="00DC5AF5" w:rsidP="00D85085" w14:paraId="0A9EC33F" w14:textId="77777777">
      <w:pPr>
        <w:widowControl/>
        <w:tabs>
          <w:tab w:val="center" w:pos="5040"/>
        </w:tabs>
        <w:rPr>
          <w:sz w:val="26"/>
          <w:szCs w:val="26"/>
        </w:rPr>
      </w:pPr>
    </w:p>
    <w:p w:rsidR="00DC5AF5" w:rsidRPr="00826974" w:rsidP="00826974" w14:paraId="07B50089" w14:textId="77777777">
      <w:pPr>
        <w:widowControl/>
        <w:tabs>
          <w:tab w:val="left" w:pos="-1440"/>
        </w:tabs>
        <w:rPr>
          <w:sz w:val="26"/>
          <w:szCs w:val="26"/>
        </w:rPr>
      </w:pPr>
      <w:r>
        <w:rPr>
          <w:bCs/>
          <w:sz w:val="26"/>
          <w:szCs w:val="26"/>
        </w:rPr>
        <w:t xml:space="preserve">The regulation at 18 CFR 366.2(d) requires </w:t>
      </w:r>
      <w:r w:rsidRPr="00A55C7A">
        <w:rPr>
          <w:bCs/>
          <w:sz w:val="26"/>
          <w:szCs w:val="26"/>
        </w:rPr>
        <w:t>E-Tag Authors</w:t>
      </w:r>
      <w:r>
        <w:rPr>
          <w:rStyle w:val="FootnoteReference"/>
          <w:bCs/>
          <w:sz w:val="26"/>
          <w:szCs w:val="26"/>
          <w:vertAlign w:val="superscript"/>
        </w:rPr>
        <w:footnoteReference w:id="3"/>
      </w:r>
      <w:r w:rsidRPr="00A55C7A">
        <w:rPr>
          <w:bCs/>
          <w:sz w:val="26"/>
          <w:szCs w:val="26"/>
        </w:rPr>
        <w:t xml:space="preserve"> and Balancing Authorities</w:t>
      </w:r>
      <w:r>
        <w:rPr>
          <w:rStyle w:val="FootnoteReference"/>
          <w:bCs/>
          <w:sz w:val="26"/>
          <w:szCs w:val="26"/>
          <w:vertAlign w:val="superscript"/>
        </w:rPr>
        <w:footnoteReference w:id="4"/>
      </w:r>
      <w:r>
        <w:rPr>
          <w:bCs/>
          <w:sz w:val="26"/>
          <w:szCs w:val="26"/>
        </w:rPr>
        <w:t xml:space="preserve"> to </w:t>
      </w:r>
      <w:r w:rsidRPr="00756A57">
        <w:rPr>
          <w:bCs/>
          <w:sz w:val="26"/>
          <w:szCs w:val="26"/>
        </w:rPr>
        <w:t>list the Commission on the "</w:t>
      </w:r>
      <w:r w:rsidR="00826974">
        <w:rPr>
          <w:bCs/>
          <w:sz w:val="26"/>
          <w:szCs w:val="26"/>
        </w:rPr>
        <w:t>cc</w:t>
      </w:r>
      <w:r w:rsidRPr="00756A57">
        <w:rPr>
          <w:bCs/>
          <w:sz w:val="26"/>
          <w:szCs w:val="26"/>
        </w:rPr>
        <w:t xml:space="preserve">" list of </w:t>
      </w:r>
      <w:r w:rsidR="00826974">
        <w:rPr>
          <w:bCs/>
          <w:sz w:val="26"/>
          <w:szCs w:val="26"/>
        </w:rPr>
        <w:t xml:space="preserve">addressees </w:t>
      </w:r>
      <w:r w:rsidRPr="00756A57">
        <w:rPr>
          <w:bCs/>
          <w:sz w:val="26"/>
          <w:szCs w:val="26"/>
        </w:rPr>
        <w:t xml:space="preserve">so that the Commission can receive a </w:t>
      </w:r>
      <w:r w:rsidRPr="00756A57">
        <w:rPr>
          <w:bCs/>
          <w:sz w:val="26"/>
          <w:szCs w:val="26"/>
        </w:rPr>
        <w:t xml:space="preserve">copy of the </w:t>
      </w:r>
      <w:r w:rsidR="00403824">
        <w:rPr>
          <w:bCs/>
          <w:sz w:val="26"/>
          <w:szCs w:val="26"/>
        </w:rPr>
        <w:t>E-Tags</w:t>
      </w:r>
      <w:r w:rsidRPr="00756A57">
        <w:rPr>
          <w:bCs/>
          <w:sz w:val="26"/>
          <w:szCs w:val="26"/>
        </w:rPr>
        <w:t xml:space="preserve">.  </w:t>
      </w:r>
      <w:r w:rsidR="00826974">
        <w:rPr>
          <w:sz w:val="26"/>
          <w:szCs w:val="26"/>
        </w:rPr>
        <w:t xml:space="preserve">Information on E-Tags </w:t>
      </w:r>
      <w:r w:rsidRPr="00756A57" w:rsidR="00826974">
        <w:rPr>
          <w:sz w:val="26"/>
          <w:szCs w:val="26"/>
        </w:rPr>
        <w:t xml:space="preserve">helps the Commission ascertain whether any person, electric utility, transmitting utility, or other entity has violated or is about to violate any provisions of this Act or any rule, regulation, or order thereunder.      </w:t>
      </w:r>
    </w:p>
    <w:p w:rsidR="00DC5AF5" w:rsidRPr="00756A57" w:rsidP="00D85085" w14:paraId="45E24789" w14:textId="77777777">
      <w:pPr>
        <w:widowControl/>
        <w:tabs>
          <w:tab w:val="center" w:pos="5040"/>
        </w:tabs>
        <w:rPr>
          <w:sz w:val="26"/>
          <w:szCs w:val="26"/>
        </w:rPr>
      </w:pPr>
    </w:p>
    <w:p w:rsidR="005E3A7C" w:rsidRPr="00756A57" w:rsidP="00104E7D" w14:paraId="14DF1C5A" w14:textId="77777777">
      <w:pPr>
        <w:widowControl/>
        <w:tabs>
          <w:tab w:val="center" w:pos="5040"/>
        </w:tabs>
        <w:rPr>
          <w:sz w:val="26"/>
          <w:szCs w:val="26"/>
        </w:rPr>
      </w:pPr>
      <w:r w:rsidRPr="00756A57">
        <w:rPr>
          <w:sz w:val="26"/>
          <w:szCs w:val="26"/>
        </w:rPr>
        <w:t xml:space="preserve">For more information on the information on a typical </w:t>
      </w:r>
      <w:r w:rsidR="00403824">
        <w:rPr>
          <w:sz w:val="26"/>
          <w:szCs w:val="26"/>
        </w:rPr>
        <w:t>E-Tag</w:t>
      </w:r>
      <w:r w:rsidRPr="00756A57">
        <w:rPr>
          <w:sz w:val="26"/>
          <w:szCs w:val="26"/>
        </w:rPr>
        <w:t xml:space="preserve"> and what it looks like, see the </w:t>
      </w:r>
      <w:r w:rsidRPr="00756A57" w:rsidR="00D93BAF">
        <w:rPr>
          <w:sz w:val="26"/>
          <w:szCs w:val="26"/>
        </w:rPr>
        <w:t xml:space="preserve">Supplementary Documents </w:t>
      </w:r>
      <w:r w:rsidRPr="00756A57">
        <w:rPr>
          <w:sz w:val="26"/>
          <w:szCs w:val="26"/>
        </w:rPr>
        <w:t xml:space="preserve">(sample </w:t>
      </w:r>
      <w:r w:rsidR="00403824">
        <w:rPr>
          <w:sz w:val="26"/>
          <w:szCs w:val="26"/>
        </w:rPr>
        <w:t>E-Tag</w:t>
      </w:r>
      <w:r w:rsidRPr="00756A57">
        <w:rPr>
          <w:sz w:val="26"/>
          <w:szCs w:val="26"/>
        </w:rPr>
        <w:t xml:space="preserve">, and explanation of data fields) </w:t>
      </w:r>
      <w:r w:rsidRPr="00756A57" w:rsidR="004B0F76">
        <w:rPr>
          <w:sz w:val="26"/>
          <w:szCs w:val="26"/>
        </w:rPr>
        <w:t xml:space="preserve">in ROCIS and reginfo.gov </w:t>
      </w:r>
      <w:r w:rsidRPr="00756A57">
        <w:rPr>
          <w:sz w:val="26"/>
          <w:szCs w:val="26"/>
        </w:rPr>
        <w:t>submitted as part of this clearance package.</w:t>
      </w:r>
      <w:r w:rsidRPr="00756A57" w:rsidR="00A52469">
        <w:rPr>
          <w:sz w:val="26"/>
          <w:szCs w:val="26"/>
        </w:rPr>
        <w:t xml:space="preserve"> </w:t>
      </w:r>
    </w:p>
    <w:p w:rsidR="00B25A28" w:rsidRPr="00756A57" w:rsidP="00B25A28" w14:paraId="4E4F6A68" w14:textId="77777777">
      <w:pPr>
        <w:widowControl/>
        <w:tabs>
          <w:tab w:val="left" w:pos="-1440"/>
        </w:tabs>
        <w:rPr>
          <w:sz w:val="26"/>
          <w:szCs w:val="26"/>
        </w:rPr>
      </w:pPr>
    </w:p>
    <w:p w:rsidR="00851366" w:rsidRPr="00756A57" w:rsidP="00851366" w14:paraId="57B1FD15" w14:textId="77777777">
      <w:pPr>
        <w:widowControl/>
        <w:ind w:left="720" w:hanging="720"/>
        <w:rPr>
          <w:b/>
          <w:bCs/>
          <w:sz w:val="26"/>
          <w:szCs w:val="26"/>
        </w:rPr>
      </w:pPr>
      <w:r w:rsidRPr="00756A57">
        <w:rPr>
          <w:b/>
          <w:sz w:val="26"/>
          <w:szCs w:val="26"/>
        </w:rPr>
        <w:t>2.</w:t>
      </w:r>
      <w:r w:rsidRPr="00756A57">
        <w:rPr>
          <w:b/>
          <w:sz w:val="26"/>
          <w:szCs w:val="26"/>
        </w:rPr>
        <w:tab/>
      </w:r>
      <w:r w:rsidRPr="00756A57">
        <w:rPr>
          <w:b/>
          <w:bCs/>
          <w:caps/>
          <w:sz w:val="26"/>
          <w:szCs w:val="26"/>
        </w:rPr>
        <w:t xml:space="preserve">How, By Whom, And For What Purpose </w:t>
      </w:r>
      <w:r w:rsidRPr="00756A57" w:rsidR="00D3374C">
        <w:rPr>
          <w:b/>
          <w:bCs/>
          <w:caps/>
          <w:sz w:val="26"/>
          <w:szCs w:val="26"/>
        </w:rPr>
        <w:t>the</w:t>
      </w:r>
      <w:r w:rsidRPr="00756A57">
        <w:rPr>
          <w:b/>
          <w:bCs/>
          <w:caps/>
          <w:sz w:val="26"/>
          <w:szCs w:val="26"/>
        </w:rPr>
        <w:t xml:space="preserve"> Information Is To Be Used </w:t>
      </w:r>
      <w:r w:rsidRPr="00756A57" w:rsidR="00D3374C">
        <w:rPr>
          <w:b/>
          <w:bCs/>
          <w:caps/>
          <w:sz w:val="26"/>
          <w:szCs w:val="26"/>
        </w:rPr>
        <w:t>and</w:t>
      </w:r>
      <w:r w:rsidRPr="00756A57">
        <w:rPr>
          <w:b/>
          <w:bCs/>
          <w:caps/>
          <w:sz w:val="26"/>
          <w:szCs w:val="26"/>
        </w:rPr>
        <w:t xml:space="preserve"> </w:t>
      </w:r>
      <w:r w:rsidRPr="00756A57" w:rsidR="00D3374C">
        <w:rPr>
          <w:b/>
          <w:bCs/>
          <w:caps/>
          <w:sz w:val="26"/>
          <w:szCs w:val="26"/>
        </w:rPr>
        <w:t>the</w:t>
      </w:r>
      <w:r w:rsidRPr="00756A57">
        <w:rPr>
          <w:b/>
          <w:bCs/>
          <w:caps/>
          <w:sz w:val="26"/>
          <w:szCs w:val="26"/>
        </w:rPr>
        <w:t xml:space="preserve"> Consequences </w:t>
      </w:r>
      <w:r w:rsidRPr="00756A57" w:rsidR="00D3374C">
        <w:rPr>
          <w:b/>
          <w:bCs/>
          <w:caps/>
          <w:sz w:val="26"/>
          <w:szCs w:val="26"/>
        </w:rPr>
        <w:t>of</w:t>
      </w:r>
      <w:r w:rsidRPr="00756A57">
        <w:rPr>
          <w:b/>
          <w:bCs/>
          <w:caps/>
          <w:sz w:val="26"/>
          <w:szCs w:val="26"/>
        </w:rPr>
        <w:t xml:space="preserve"> Not Collecting </w:t>
      </w:r>
      <w:r w:rsidRPr="00756A57" w:rsidR="00D3374C">
        <w:rPr>
          <w:b/>
          <w:bCs/>
          <w:caps/>
          <w:sz w:val="26"/>
          <w:szCs w:val="26"/>
        </w:rPr>
        <w:t>the</w:t>
      </w:r>
      <w:r w:rsidRPr="00756A57">
        <w:rPr>
          <w:b/>
          <w:bCs/>
          <w:caps/>
          <w:sz w:val="26"/>
          <w:szCs w:val="26"/>
        </w:rPr>
        <w:t xml:space="preserve"> Information</w:t>
      </w:r>
    </w:p>
    <w:p w:rsidR="00D73940" w:rsidRPr="00756A57" w:rsidP="00937812" w14:paraId="6246FEA5" w14:textId="77777777">
      <w:pPr>
        <w:widowControl/>
        <w:ind w:firstLine="720"/>
        <w:rPr>
          <w:bCs/>
          <w:sz w:val="26"/>
          <w:szCs w:val="26"/>
        </w:rPr>
      </w:pPr>
    </w:p>
    <w:p w:rsidR="001E57BC" w:rsidRPr="00756A57" w:rsidP="00104E7D" w14:paraId="58A3EEFC" w14:textId="77777777">
      <w:pPr>
        <w:widowControl/>
        <w:rPr>
          <w:bCs/>
          <w:sz w:val="26"/>
          <w:szCs w:val="26"/>
        </w:rPr>
      </w:pPr>
      <w:r w:rsidRPr="00756A57">
        <w:rPr>
          <w:bCs/>
          <w:sz w:val="26"/>
          <w:szCs w:val="26"/>
        </w:rPr>
        <w:t xml:space="preserve">The Commission </w:t>
      </w:r>
      <w:r w:rsidRPr="00756A57" w:rsidR="003579B6">
        <w:rPr>
          <w:bCs/>
          <w:sz w:val="26"/>
          <w:szCs w:val="26"/>
        </w:rPr>
        <w:t xml:space="preserve">established </w:t>
      </w:r>
      <w:r w:rsidRPr="00756A57">
        <w:rPr>
          <w:bCs/>
          <w:sz w:val="26"/>
          <w:szCs w:val="26"/>
        </w:rPr>
        <w:t xml:space="preserve">the FERC-740 information collection in </w:t>
      </w:r>
      <w:r w:rsidRPr="00756A57" w:rsidR="00D73940">
        <w:rPr>
          <w:bCs/>
          <w:sz w:val="26"/>
          <w:szCs w:val="26"/>
        </w:rPr>
        <w:t>Order 771</w:t>
      </w:r>
      <w:r w:rsidRPr="00756A57" w:rsidR="003579B6">
        <w:rPr>
          <w:bCs/>
          <w:sz w:val="26"/>
          <w:szCs w:val="26"/>
        </w:rPr>
        <w:t>,</w:t>
      </w:r>
      <w:r>
        <w:rPr>
          <w:rStyle w:val="FootnoteReference"/>
          <w:bCs/>
          <w:sz w:val="26"/>
          <w:szCs w:val="26"/>
          <w:vertAlign w:val="superscript"/>
        </w:rPr>
        <w:footnoteReference w:id="5"/>
      </w:r>
      <w:r w:rsidRPr="00756A57" w:rsidR="00D73940">
        <w:rPr>
          <w:bCs/>
          <w:sz w:val="26"/>
          <w:szCs w:val="26"/>
        </w:rPr>
        <w:t xml:space="preserve"> </w:t>
      </w:r>
      <w:r w:rsidRPr="00756A57" w:rsidR="003579B6">
        <w:rPr>
          <w:bCs/>
          <w:sz w:val="26"/>
          <w:szCs w:val="26"/>
        </w:rPr>
        <w:t xml:space="preserve">in order to </w:t>
      </w:r>
      <w:r w:rsidRPr="00756A57" w:rsidR="00D73940">
        <w:rPr>
          <w:bCs/>
          <w:sz w:val="26"/>
          <w:szCs w:val="26"/>
        </w:rPr>
        <w:t>provide the Commission</w:t>
      </w:r>
      <w:r w:rsidRPr="00756A57" w:rsidR="003579B6">
        <w:rPr>
          <w:bCs/>
          <w:sz w:val="26"/>
          <w:szCs w:val="26"/>
        </w:rPr>
        <w:t xml:space="preserve"> </w:t>
      </w:r>
      <w:r w:rsidRPr="00756A57" w:rsidR="00D73940">
        <w:rPr>
          <w:bCs/>
          <w:sz w:val="26"/>
          <w:szCs w:val="26"/>
        </w:rPr>
        <w:t xml:space="preserve">with information that </w:t>
      </w:r>
      <w:r w:rsidRPr="00756A57" w:rsidR="003579B6">
        <w:rPr>
          <w:bCs/>
          <w:sz w:val="26"/>
          <w:szCs w:val="26"/>
        </w:rPr>
        <w:t xml:space="preserve">it </w:t>
      </w:r>
      <w:r w:rsidR="00826974">
        <w:rPr>
          <w:bCs/>
          <w:sz w:val="26"/>
          <w:szCs w:val="26"/>
        </w:rPr>
        <w:t>needs for efficient</w:t>
      </w:r>
      <w:r w:rsidRPr="00756A57" w:rsidR="003579B6">
        <w:rPr>
          <w:bCs/>
          <w:sz w:val="26"/>
          <w:szCs w:val="26"/>
        </w:rPr>
        <w:t xml:space="preserve"> </w:t>
      </w:r>
      <w:r w:rsidR="00826974">
        <w:rPr>
          <w:bCs/>
          <w:sz w:val="26"/>
          <w:szCs w:val="26"/>
        </w:rPr>
        <w:t>m</w:t>
      </w:r>
      <w:r w:rsidRPr="00756A57" w:rsidR="00D73940">
        <w:rPr>
          <w:bCs/>
          <w:sz w:val="26"/>
          <w:szCs w:val="26"/>
        </w:rPr>
        <w:t>arket surveillance and analysis</w:t>
      </w:r>
      <w:r w:rsidRPr="00756A57" w:rsidR="003579B6">
        <w:rPr>
          <w:bCs/>
          <w:sz w:val="26"/>
          <w:szCs w:val="26"/>
        </w:rPr>
        <w:t xml:space="preserve">.  </w:t>
      </w:r>
      <w:r w:rsidRPr="00756A57" w:rsidR="00D73940">
        <w:rPr>
          <w:bCs/>
          <w:sz w:val="26"/>
          <w:szCs w:val="26"/>
        </w:rPr>
        <w:t xml:space="preserve">The details of the physical path of a transaction </w:t>
      </w:r>
      <w:r w:rsidRPr="00756A57" w:rsidR="003579B6">
        <w:rPr>
          <w:bCs/>
          <w:sz w:val="26"/>
          <w:szCs w:val="26"/>
        </w:rPr>
        <w:t xml:space="preserve">that are </w:t>
      </w:r>
      <w:r w:rsidRPr="00756A57" w:rsidR="00D73940">
        <w:rPr>
          <w:bCs/>
          <w:sz w:val="26"/>
          <w:szCs w:val="26"/>
        </w:rPr>
        <w:t xml:space="preserve">included in </w:t>
      </w:r>
      <w:r w:rsidR="00403824">
        <w:rPr>
          <w:bCs/>
          <w:sz w:val="26"/>
          <w:szCs w:val="26"/>
        </w:rPr>
        <w:t>E-Tags</w:t>
      </w:r>
      <w:r w:rsidRPr="00756A57" w:rsidR="00D73940">
        <w:rPr>
          <w:bCs/>
          <w:sz w:val="26"/>
          <w:szCs w:val="26"/>
        </w:rPr>
        <w:t xml:space="preserve"> hel</w:t>
      </w:r>
      <w:r w:rsidRPr="00756A57" w:rsidR="003579B6">
        <w:rPr>
          <w:bCs/>
          <w:sz w:val="26"/>
          <w:szCs w:val="26"/>
        </w:rPr>
        <w:t>p</w:t>
      </w:r>
      <w:r w:rsidRPr="00756A57" w:rsidR="00D73940">
        <w:rPr>
          <w:bCs/>
          <w:sz w:val="26"/>
          <w:szCs w:val="26"/>
        </w:rPr>
        <w:t xml:space="preserve"> the Commission monitor interchange transactions effectively, detect and prevent price manipulation over interchanges, and ensure the efficient and orderly use of the transmission grid.</w:t>
      </w:r>
      <w:r w:rsidRPr="00756A57">
        <w:rPr>
          <w:bCs/>
          <w:sz w:val="26"/>
          <w:szCs w:val="26"/>
        </w:rPr>
        <w:t xml:space="preserve">  </w:t>
      </w:r>
    </w:p>
    <w:p w:rsidR="001E57BC" w:rsidRPr="00756A57" w:rsidP="00104E7D" w14:paraId="24141ABB" w14:textId="77777777">
      <w:pPr>
        <w:widowControl/>
        <w:rPr>
          <w:bCs/>
          <w:sz w:val="26"/>
          <w:szCs w:val="26"/>
        </w:rPr>
      </w:pPr>
    </w:p>
    <w:p w:rsidR="00A2438B" w:rsidRPr="00756A57" w:rsidP="00104E7D" w14:paraId="325241F7" w14:textId="77777777">
      <w:pPr>
        <w:widowControl/>
        <w:rPr>
          <w:bCs/>
          <w:sz w:val="26"/>
          <w:szCs w:val="26"/>
        </w:rPr>
      </w:pPr>
      <w:r w:rsidRPr="00756A57">
        <w:rPr>
          <w:bCs/>
          <w:sz w:val="26"/>
          <w:szCs w:val="26"/>
        </w:rPr>
        <w:t xml:space="preserve">Before the issuance of Order No. 771, the Commission relied on data requests to subjects of investigations to </w:t>
      </w:r>
      <w:r w:rsidRPr="00756A57" w:rsidR="003579B6">
        <w:rPr>
          <w:bCs/>
          <w:sz w:val="26"/>
          <w:szCs w:val="26"/>
        </w:rPr>
        <w:t xml:space="preserve">detect </w:t>
      </w:r>
      <w:r w:rsidRPr="00756A57">
        <w:rPr>
          <w:sz w:val="26"/>
        </w:rPr>
        <w:t xml:space="preserve">violation </w:t>
      </w:r>
      <w:r w:rsidRPr="00756A57" w:rsidR="003579B6">
        <w:rPr>
          <w:sz w:val="26"/>
        </w:rPr>
        <w:t>prohibitions of energy market manipulation.  Now, t</w:t>
      </w:r>
      <w:r w:rsidRPr="00756A57">
        <w:rPr>
          <w:sz w:val="26"/>
        </w:rPr>
        <w:t>he</w:t>
      </w:r>
      <w:r w:rsidRPr="00756A57" w:rsidR="003579B6">
        <w:rPr>
          <w:sz w:val="26"/>
        </w:rPr>
        <w:t xml:space="preserve"> information collected under </w:t>
      </w:r>
      <w:r w:rsidRPr="00756A57">
        <w:rPr>
          <w:sz w:val="26"/>
        </w:rPr>
        <w:t>FERC-740 data enable</w:t>
      </w:r>
      <w:r w:rsidRPr="00756A57" w:rsidR="003579B6">
        <w:rPr>
          <w:sz w:val="26"/>
        </w:rPr>
        <w:t>s</w:t>
      </w:r>
      <w:r w:rsidRPr="00756A57">
        <w:rPr>
          <w:sz w:val="26"/>
        </w:rPr>
        <w:t xml:space="preserve"> the Commission to obtain this data without the burden of preparing and responding to a data request</w:t>
      </w:r>
      <w:r w:rsidRPr="00756A57" w:rsidR="003579B6">
        <w:rPr>
          <w:sz w:val="26"/>
        </w:rPr>
        <w:t>.  In addition, the Commission has</w:t>
      </w:r>
      <w:r w:rsidRPr="00756A57">
        <w:rPr>
          <w:sz w:val="26"/>
        </w:rPr>
        <w:t xml:space="preserve"> been incorporating FERC-740 data into its routine screening processes</w:t>
      </w:r>
      <w:r w:rsidRPr="00756A57" w:rsidR="00251470">
        <w:rPr>
          <w:sz w:val="26"/>
        </w:rPr>
        <w:t xml:space="preserve"> to detect potential market manipulation in the wholesale electric markets</w:t>
      </w:r>
      <w:r w:rsidRPr="00756A57">
        <w:rPr>
          <w:sz w:val="26"/>
        </w:rPr>
        <w:t xml:space="preserve">.  By incorporating </w:t>
      </w:r>
      <w:r w:rsidR="00403824">
        <w:rPr>
          <w:sz w:val="26"/>
        </w:rPr>
        <w:t>E-Tag</w:t>
      </w:r>
      <w:r w:rsidRPr="00756A57">
        <w:rPr>
          <w:sz w:val="26"/>
        </w:rPr>
        <w:t xml:space="preserve"> data into surveillance processes, the Commission is able to monitor the market, as a whole, for prohibited activities on an ongoing basis rather than as a response to a complaint.</w:t>
      </w:r>
      <w:r w:rsidR="002356AE">
        <w:rPr>
          <w:sz w:val="26"/>
        </w:rPr>
        <w:t xml:space="preserve">  </w:t>
      </w:r>
      <w:r w:rsidRPr="00756A57">
        <w:rPr>
          <w:sz w:val="26"/>
        </w:rPr>
        <w:t>Further, the FERC-740 data has been used by the Commission to better understand certain aspects of market design</w:t>
      </w:r>
      <w:r w:rsidR="00756A57">
        <w:rPr>
          <w:sz w:val="26"/>
        </w:rPr>
        <w:t xml:space="preserve">.  </w:t>
      </w:r>
    </w:p>
    <w:p w:rsidR="00D73940" w:rsidRPr="00756A57" w:rsidP="00104E7D" w14:paraId="18B965E4" w14:textId="77777777">
      <w:pPr>
        <w:widowControl/>
        <w:rPr>
          <w:sz w:val="26"/>
          <w:szCs w:val="26"/>
        </w:rPr>
      </w:pPr>
    </w:p>
    <w:p w:rsidR="00132EC2" w:rsidRPr="00756A57" w:rsidP="00826974" w14:paraId="1B86A868" w14:textId="77777777">
      <w:pPr>
        <w:widowControl/>
        <w:tabs>
          <w:tab w:val="left" w:pos="-1440"/>
        </w:tabs>
        <w:rPr>
          <w:bCs/>
          <w:sz w:val="26"/>
          <w:szCs w:val="26"/>
        </w:rPr>
      </w:pPr>
      <w:r>
        <w:rPr>
          <w:sz w:val="26"/>
          <w:szCs w:val="26"/>
        </w:rPr>
        <w:t xml:space="preserve">If the </w:t>
      </w:r>
      <w:r w:rsidRPr="00756A57">
        <w:rPr>
          <w:sz w:val="26"/>
          <w:szCs w:val="26"/>
        </w:rPr>
        <w:t xml:space="preserve">Commission </w:t>
      </w:r>
      <w:r>
        <w:rPr>
          <w:sz w:val="26"/>
          <w:szCs w:val="26"/>
        </w:rPr>
        <w:t xml:space="preserve">lacked </w:t>
      </w:r>
      <w:r w:rsidRPr="00756A57">
        <w:rPr>
          <w:sz w:val="26"/>
          <w:szCs w:val="26"/>
        </w:rPr>
        <w:t xml:space="preserve">access to the information contained in </w:t>
      </w:r>
      <w:r w:rsidR="00403824">
        <w:rPr>
          <w:sz w:val="26"/>
          <w:szCs w:val="26"/>
        </w:rPr>
        <w:t>E-Tags</w:t>
      </w:r>
      <w:r>
        <w:rPr>
          <w:sz w:val="26"/>
          <w:szCs w:val="26"/>
        </w:rPr>
        <w:t xml:space="preserve">, the Commission’s efforts to monitor wholesale electric energy markets would be less efficient, and </w:t>
      </w:r>
      <w:r w:rsidRPr="00756A57">
        <w:rPr>
          <w:sz w:val="26"/>
          <w:szCs w:val="26"/>
        </w:rPr>
        <w:t>the Commission</w:t>
      </w:r>
      <w:r>
        <w:rPr>
          <w:sz w:val="26"/>
          <w:szCs w:val="26"/>
        </w:rPr>
        <w:t>’s ability to enforce the prohibition against market manipulation</w:t>
      </w:r>
      <w:r w:rsidRPr="00756A57">
        <w:rPr>
          <w:sz w:val="26"/>
          <w:szCs w:val="26"/>
        </w:rPr>
        <w:t xml:space="preserve"> would be limited</w:t>
      </w:r>
      <w:r>
        <w:rPr>
          <w:sz w:val="26"/>
          <w:szCs w:val="26"/>
        </w:rPr>
        <w:t>.</w:t>
      </w:r>
      <w:r w:rsidR="00826974">
        <w:rPr>
          <w:sz w:val="26"/>
          <w:szCs w:val="26"/>
        </w:rPr>
        <w:t xml:space="preserve">  </w:t>
      </w:r>
      <w:r w:rsidRPr="00756A57" w:rsidR="00A2438B">
        <w:rPr>
          <w:bCs/>
          <w:sz w:val="26"/>
          <w:szCs w:val="26"/>
        </w:rPr>
        <w:t xml:space="preserve">Without the </w:t>
      </w:r>
      <w:r w:rsidR="00403824">
        <w:rPr>
          <w:bCs/>
          <w:sz w:val="26"/>
          <w:szCs w:val="26"/>
        </w:rPr>
        <w:t>E-Tag</w:t>
      </w:r>
      <w:r w:rsidRPr="00756A57" w:rsidR="00A2438B">
        <w:rPr>
          <w:bCs/>
          <w:sz w:val="26"/>
          <w:szCs w:val="26"/>
        </w:rPr>
        <w:t xml:space="preserve"> data</w:t>
      </w:r>
      <w:r w:rsidRPr="00756A57" w:rsidR="006814AC">
        <w:rPr>
          <w:bCs/>
          <w:sz w:val="26"/>
          <w:szCs w:val="26"/>
        </w:rPr>
        <w:t>,</w:t>
      </w:r>
      <w:r w:rsidRPr="00756A57" w:rsidR="00A2438B">
        <w:rPr>
          <w:bCs/>
          <w:sz w:val="26"/>
          <w:szCs w:val="26"/>
        </w:rPr>
        <w:t xml:space="preserve"> it </w:t>
      </w:r>
      <w:r w:rsidRPr="00756A57" w:rsidR="008D10DC">
        <w:rPr>
          <w:bCs/>
          <w:sz w:val="26"/>
          <w:szCs w:val="26"/>
        </w:rPr>
        <w:t xml:space="preserve">would </w:t>
      </w:r>
      <w:r w:rsidRPr="00756A57" w:rsidR="00A2438B">
        <w:rPr>
          <w:bCs/>
          <w:sz w:val="26"/>
          <w:szCs w:val="26"/>
        </w:rPr>
        <w:t xml:space="preserve">be more difficult for the Commission to </w:t>
      </w:r>
      <w:r w:rsidRPr="00756A57" w:rsidR="00BA4B43">
        <w:rPr>
          <w:bCs/>
          <w:sz w:val="26"/>
          <w:szCs w:val="26"/>
        </w:rPr>
        <w:t xml:space="preserve">fulfill its mission to assure just and reasonable rates.  </w:t>
      </w:r>
      <w:r w:rsidRPr="00756A57" w:rsidR="00A2438B">
        <w:rPr>
          <w:bCs/>
          <w:sz w:val="26"/>
          <w:szCs w:val="26"/>
        </w:rPr>
        <w:t xml:space="preserve"> </w:t>
      </w:r>
      <w:r w:rsidRPr="00756A57">
        <w:rPr>
          <w:bCs/>
          <w:sz w:val="26"/>
          <w:szCs w:val="26"/>
        </w:rPr>
        <w:t xml:space="preserve">  </w:t>
      </w:r>
    </w:p>
    <w:p w:rsidR="00132EC2" w:rsidRPr="00756A57" w:rsidP="00132EC2" w14:paraId="17F769B0" w14:textId="77777777">
      <w:pPr>
        <w:widowControl/>
        <w:ind w:firstLine="720"/>
        <w:rPr>
          <w:bCs/>
          <w:sz w:val="26"/>
          <w:szCs w:val="26"/>
        </w:rPr>
      </w:pPr>
    </w:p>
    <w:p w:rsidR="002652E7" w:rsidRPr="00756A57" w:rsidP="00851366" w14:paraId="099E387E" w14:textId="77777777">
      <w:pPr>
        <w:widowControl/>
        <w:tabs>
          <w:tab w:val="left" w:pos="-1440"/>
        </w:tabs>
        <w:ind w:left="720" w:hanging="720"/>
        <w:rPr>
          <w:b/>
          <w:bCs/>
          <w:sz w:val="26"/>
          <w:szCs w:val="26"/>
        </w:rPr>
      </w:pPr>
      <w:r w:rsidRPr="00756A57">
        <w:rPr>
          <w:b/>
          <w:sz w:val="26"/>
          <w:szCs w:val="26"/>
        </w:rPr>
        <w:t>3.</w:t>
      </w:r>
      <w:r w:rsidRPr="00756A57">
        <w:rPr>
          <w:b/>
          <w:sz w:val="26"/>
          <w:szCs w:val="26"/>
        </w:rPr>
        <w:tab/>
      </w:r>
      <w:r w:rsidRPr="00756A57">
        <w:rPr>
          <w:b/>
          <w:bCs/>
          <w:caps/>
          <w:sz w:val="26"/>
          <w:szCs w:val="26"/>
        </w:rPr>
        <w:t>Describe Any Consideration Of The Use Of Improved Technology To Reduce Burden And Technical Or Legal Obstacles To Reducing Burden.</w:t>
      </w:r>
    </w:p>
    <w:p w:rsidR="00BA4B43" w:rsidRPr="00756A57" w:rsidP="00851366" w14:paraId="15E9EC0E" w14:textId="77777777">
      <w:pPr>
        <w:widowControl/>
        <w:tabs>
          <w:tab w:val="left" w:pos="-1440"/>
        </w:tabs>
        <w:ind w:left="720" w:hanging="720"/>
        <w:rPr>
          <w:b/>
          <w:bCs/>
          <w:sz w:val="26"/>
          <w:szCs w:val="26"/>
        </w:rPr>
      </w:pPr>
    </w:p>
    <w:p w:rsidR="00BA4B43" w:rsidRPr="00756A57" w:rsidP="00D73940" w14:paraId="4A1183FE" w14:textId="77777777">
      <w:pPr>
        <w:widowControl/>
        <w:tabs>
          <w:tab w:val="left" w:pos="-1440"/>
        </w:tabs>
        <w:rPr>
          <w:bCs/>
          <w:sz w:val="26"/>
          <w:szCs w:val="26"/>
        </w:rPr>
      </w:pPr>
      <w:r w:rsidRPr="00756A57">
        <w:rPr>
          <w:bCs/>
          <w:sz w:val="26"/>
          <w:szCs w:val="26"/>
        </w:rPr>
        <w:t>The Commission obtain</w:t>
      </w:r>
      <w:r w:rsidRPr="00756A57" w:rsidR="006814AC">
        <w:rPr>
          <w:bCs/>
          <w:sz w:val="26"/>
          <w:szCs w:val="26"/>
        </w:rPr>
        <w:t>s</w:t>
      </w:r>
      <w:r w:rsidRPr="00756A57">
        <w:rPr>
          <w:bCs/>
          <w:sz w:val="26"/>
          <w:szCs w:val="26"/>
        </w:rPr>
        <w:t xml:space="preserve"> the </w:t>
      </w:r>
      <w:r w:rsidR="00403824">
        <w:rPr>
          <w:bCs/>
          <w:sz w:val="26"/>
          <w:szCs w:val="26"/>
        </w:rPr>
        <w:t>E-Tag</w:t>
      </w:r>
      <w:r w:rsidRPr="00756A57">
        <w:rPr>
          <w:bCs/>
          <w:sz w:val="26"/>
          <w:szCs w:val="26"/>
        </w:rPr>
        <w:t xml:space="preserve"> data in an electronic format</w:t>
      </w:r>
      <w:r w:rsidR="002356AE">
        <w:rPr>
          <w:bCs/>
          <w:sz w:val="26"/>
          <w:szCs w:val="26"/>
        </w:rPr>
        <w:t xml:space="preserve">.  </w:t>
      </w:r>
      <w:r w:rsidRPr="00A55C7A" w:rsidR="002356AE">
        <w:rPr>
          <w:bCs/>
          <w:sz w:val="26"/>
          <w:szCs w:val="26"/>
        </w:rPr>
        <w:t>E-Tag Authors and Balancing Authorities</w:t>
      </w:r>
      <w:r w:rsidR="002356AE">
        <w:rPr>
          <w:bCs/>
          <w:sz w:val="26"/>
          <w:szCs w:val="26"/>
        </w:rPr>
        <w:t xml:space="preserve"> </w:t>
      </w:r>
      <w:r w:rsidRPr="00756A57" w:rsidR="00D73940">
        <w:rPr>
          <w:bCs/>
          <w:sz w:val="26"/>
          <w:szCs w:val="26"/>
        </w:rPr>
        <w:t xml:space="preserve">use existing, automated procedures to create and validate the </w:t>
      </w:r>
      <w:r w:rsidR="00403824">
        <w:rPr>
          <w:bCs/>
          <w:sz w:val="26"/>
          <w:szCs w:val="26"/>
        </w:rPr>
        <w:t>E-Tags</w:t>
      </w:r>
      <w:r w:rsidRPr="00756A57" w:rsidR="00D73940">
        <w:rPr>
          <w:bCs/>
          <w:sz w:val="26"/>
          <w:szCs w:val="26"/>
        </w:rPr>
        <w:t xml:space="preserve"> in a way that provides the Commission with access to them.  In the rare event that a new B</w:t>
      </w:r>
      <w:r w:rsidR="002356AE">
        <w:rPr>
          <w:bCs/>
          <w:sz w:val="26"/>
          <w:szCs w:val="26"/>
        </w:rPr>
        <w:t>alancing Authority w</w:t>
      </w:r>
      <w:r w:rsidRPr="00756A57" w:rsidR="00D73940">
        <w:rPr>
          <w:bCs/>
          <w:sz w:val="26"/>
          <w:szCs w:val="26"/>
        </w:rPr>
        <w:t xml:space="preserve">ould need to alert </w:t>
      </w:r>
      <w:r w:rsidR="00403824">
        <w:rPr>
          <w:bCs/>
          <w:sz w:val="26"/>
          <w:szCs w:val="26"/>
        </w:rPr>
        <w:t>E-Tag</w:t>
      </w:r>
      <w:r w:rsidRPr="00756A57" w:rsidR="00D73940">
        <w:rPr>
          <w:bCs/>
          <w:sz w:val="26"/>
          <w:szCs w:val="26"/>
        </w:rPr>
        <w:t xml:space="preserve"> administrators that certain tags it generates qualify for exemption under the Commission’s regulations, this administrative function would be expected to require less than an hour of effort total from both the BA and an </w:t>
      </w:r>
      <w:r w:rsidR="00403824">
        <w:rPr>
          <w:bCs/>
          <w:sz w:val="26"/>
          <w:szCs w:val="26"/>
        </w:rPr>
        <w:t>E-Tag</w:t>
      </w:r>
      <w:r w:rsidRPr="00756A57" w:rsidR="00D73940">
        <w:rPr>
          <w:bCs/>
          <w:sz w:val="26"/>
          <w:szCs w:val="26"/>
        </w:rPr>
        <w:t xml:space="preserve"> administrator to include the BA on the exemption list.  New exempt BAs occur less frequently than every year, but for the purpose of estimation we will conservatively assume one </w:t>
      </w:r>
      <w:r w:rsidR="002356AE">
        <w:rPr>
          <w:bCs/>
          <w:sz w:val="26"/>
          <w:szCs w:val="26"/>
        </w:rPr>
        <w:t xml:space="preserve">response </w:t>
      </w:r>
      <w:r w:rsidRPr="00756A57" w:rsidR="00D73940">
        <w:rPr>
          <w:bCs/>
          <w:sz w:val="26"/>
          <w:szCs w:val="26"/>
        </w:rPr>
        <w:t>each year creating an additional burden associated with the Commission’s FERC-740</w:t>
      </w:r>
      <w:r w:rsidR="002356AE">
        <w:rPr>
          <w:bCs/>
          <w:sz w:val="26"/>
          <w:szCs w:val="26"/>
        </w:rPr>
        <w:t>.</w:t>
      </w:r>
    </w:p>
    <w:p w:rsidR="00BA4B43" w:rsidRPr="00756A57" w:rsidP="00BA4B43" w14:paraId="1D0175E0" w14:textId="77777777">
      <w:pPr>
        <w:widowControl/>
        <w:tabs>
          <w:tab w:val="left" w:pos="-1440"/>
        </w:tabs>
        <w:ind w:firstLine="720"/>
        <w:rPr>
          <w:bCs/>
          <w:sz w:val="26"/>
          <w:szCs w:val="26"/>
        </w:rPr>
      </w:pPr>
    </w:p>
    <w:p w:rsidR="002652E7" w:rsidRPr="00756A57" w:rsidP="00851366" w14:paraId="5C13DA9B" w14:textId="77777777">
      <w:pPr>
        <w:widowControl/>
        <w:tabs>
          <w:tab w:val="left" w:pos="-1440"/>
        </w:tabs>
        <w:ind w:left="720" w:hanging="720"/>
        <w:rPr>
          <w:b/>
          <w:bCs/>
          <w:sz w:val="26"/>
          <w:szCs w:val="26"/>
        </w:rPr>
      </w:pPr>
      <w:r w:rsidRPr="00756A57">
        <w:rPr>
          <w:b/>
          <w:sz w:val="26"/>
          <w:szCs w:val="26"/>
        </w:rPr>
        <w:t>4.</w:t>
      </w:r>
      <w:r w:rsidRPr="00756A57">
        <w:rPr>
          <w:b/>
          <w:sz w:val="26"/>
          <w:szCs w:val="26"/>
        </w:rPr>
        <w:tab/>
      </w:r>
      <w:r w:rsidRPr="00756A57">
        <w:rPr>
          <w:b/>
          <w:bCs/>
          <w:caps/>
          <w:sz w:val="26"/>
          <w:szCs w:val="26"/>
        </w:rPr>
        <w:t>Describe Efforts To Identify Duplication And Show Specifically Why Any Similar Information Already Available Cannot Be Used Or Modified For Use For The Purpose(S) Described In Instruction No. 2</w:t>
      </w:r>
    </w:p>
    <w:p w:rsidR="00805870" w:rsidRPr="00756A57" w:rsidP="00851366" w14:paraId="00B64A0C" w14:textId="77777777">
      <w:pPr>
        <w:widowControl/>
        <w:tabs>
          <w:tab w:val="left" w:pos="-1440"/>
        </w:tabs>
        <w:ind w:left="720" w:hanging="720"/>
        <w:rPr>
          <w:b/>
          <w:bCs/>
          <w:sz w:val="26"/>
          <w:szCs w:val="26"/>
        </w:rPr>
      </w:pPr>
    </w:p>
    <w:p w:rsidR="00805870" w:rsidRPr="00756A57" w:rsidP="00104E7D" w14:paraId="6C436AC0" w14:textId="77777777">
      <w:pPr>
        <w:widowControl/>
        <w:tabs>
          <w:tab w:val="left" w:pos="-1440"/>
        </w:tabs>
        <w:rPr>
          <w:bCs/>
          <w:sz w:val="26"/>
          <w:szCs w:val="26"/>
        </w:rPr>
      </w:pPr>
      <w:r w:rsidRPr="00756A57">
        <w:rPr>
          <w:bCs/>
          <w:sz w:val="26"/>
          <w:szCs w:val="26"/>
        </w:rPr>
        <w:t xml:space="preserve">The Commission periodically reviews filing requirements as OMB review dates arise or as the Commission may deem necessary in carrying out its regulatory responsibilities.  </w:t>
      </w:r>
      <w:r w:rsidRPr="00756A57" w:rsidR="001E57BC">
        <w:rPr>
          <w:bCs/>
          <w:sz w:val="26"/>
          <w:szCs w:val="26"/>
        </w:rPr>
        <w:t xml:space="preserve">In order to eliminate duplication of effort or data, the Commission deliberately relied on existing industry processes and procedures to facilitate the collection of this information.  The minimal change in the </w:t>
      </w:r>
      <w:r w:rsidR="00403824">
        <w:rPr>
          <w:bCs/>
          <w:sz w:val="26"/>
          <w:szCs w:val="26"/>
        </w:rPr>
        <w:t>E-Tag</w:t>
      </w:r>
      <w:r w:rsidRPr="00756A57" w:rsidR="001E57BC">
        <w:rPr>
          <w:bCs/>
          <w:sz w:val="26"/>
          <w:szCs w:val="26"/>
        </w:rPr>
        <w:t xml:space="preserve"> specification required by the Commission, the addition of "FERC" as an entity with "</w:t>
      </w:r>
      <w:r w:rsidR="002356AE">
        <w:rPr>
          <w:bCs/>
          <w:sz w:val="26"/>
          <w:szCs w:val="26"/>
        </w:rPr>
        <w:t>cc</w:t>
      </w:r>
      <w:r w:rsidRPr="00756A57" w:rsidR="001E57BC">
        <w:rPr>
          <w:bCs/>
          <w:sz w:val="26"/>
          <w:szCs w:val="26"/>
        </w:rPr>
        <w:t xml:space="preserve"> list" access to the reservation, was necessary to allow access to the data across the industry for the first time.  </w:t>
      </w:r>
      <w:r w:rsidRPr="00756A57" w:rsidR="00727A89">
        <w:rPr>
          <w:bCs/>
          <w:sz w:val="26"/>
          <w:szCs w:val="26"/>
        </w:rPr>
        <w:t xml:space="preserve">The </w:t>
      </w:r>
      <w:r w:rsidR="00403824">
        <w:rPr>
          <w:bCs/>
          <w:sz w:val="26"/>
          <w:szCs w:val="26"/>
        </w:rPr>
        <w:t>E-Tag</w:t>
      </w:r>
      <w:r w:rsidRPr="00756A57" w:rsidR="00727A89">
        <w:rPr>
          <w:bCs/>
          <w:sz w:val="26"/>
          <w:szCs w:val="26"/>
        </w:rPr>
        <w:t xml:space="preserve"> information is unique to each transaction and needed </w:t>
      </w:r>
      <w:r w:rsidRPr="00756A57" w:rsidR="000E7042">
        <w:rPr>
          <w:bCs/>
          <w:sz w:val="26"/>
          <w:szCs w:val="26"/>
        </w:rPr>
        <w:t xml:space="preserve">and used </w:t>
      </w:r>
      <w:r w:rsidRPr="00756A57" w:rsidR="00727A89">
        <w:rPr>
          <w:bCs/>
          <w:sz w:val="26"/>
          <w:szCs w:val="26"/>
        </w:rPr>
        <w:t xml:space="preserve">by industry to conduct </w:t>
      </w:r>
      <w:r w:rsidRPr="00756A57" w:rsidR="000E7042">
        <w:rPr>
          <w:bCs/>
          <w:sz w:val="26"/>
          <w:szCs w:val="26"/>
        </w:rPr>
        <w:t xml:space="preserve">normal </w:t>
      </w:r>
      <w:r w:rsidRPr="00756A57" w:rsidR="00727A89">
        <w:rPr>
          <w:bCs/>
          <w:sz w:val="26"/>
          <w:szCs w:val="26"/>
        </w:rPr>
        <w:t>business; FERC is accessing</w:t>
      </w:r>
      <w:r w:rsidRPr="00756A57" w:rsidR="000E7042">
        <w:rPr>
          <w:bCs/>
          <w:sz w:val="26"/>
          <w:szCs w:val="26"/>
        </w:rPr>
        <w:t xml:space="preserve"> </w:t>
      </w:r>
      <w:r w:rsidRPr="00756A57" w:rsidR="00727A89">
        <w:rPr>
          <w:bCs/>
          <w:sz w:val="26"/>
          <w:szCs w:val="26"/>
        </w:rPr>
        <w:t>that existing information.</w:t>
      </w:r>
      <w:r w:rsidRPr="00756A57" w:rsidR="001E57BC">
        <w:rPr>
          <w:bCs/>
          <w:sz w:val="26"/>
          <w:szCs w:val="26"/>
        </w:rPr>
        <w:t xml:space="preserve"> To date, the Commission has found no duplication of application data elsewhere.</w:t>
      </w:r>
    </w:p>
    <w:p w:rsidR="00D73940" w:rsidRPr="00756A57" w:rsidP="00104E7D" w14:paraId="71633106" w14:textId="77777777">
      <w:pPr>
        <w:widowControl/>
        <w:tabs>
          <w:tab w:val="left" w:pos="-1440"/>
        </w:tabs>
        <w:rPr>
          <w:bCs/>
          <w:sz w:val="26"/>
          <w:szCs w:val="26"/>
        </w:rPr>
      </w:pPr>
    </w:p>
    <w:p w:rsidR="002652E7" w:rsidRPr="00756A57" w:rsidP="00851366" w14:paraId="055CA081" w14:textId="77777777">
      <w:pPr>
        <w:widowControl/>
        <w:tabs>
          <w:tab w:val="left" w:pos="-1440"/>
        </w:tabs>
        <w:ind w:left="720" w:hanging="720"/>
        <w:rPr>
          <w:b/>
          <w:bCs/>
          <w:sz w:val="26"/>
          <w:szCs w:val="26"/>
        </w:rPr>
      </w:pPr>
      <w:r w:rsidRPr="00756A57">
        <w:rPr>
          <w:b/>
          <w:sz w:val="26"/>
          <w:szCs w:val="26"/>
        </w:rPr>
        <w:t>5.</w:t>
      </w:r>
      <w:r w:rsidRPr="00756A57">
        <w:rPr>
          <w:b/>
          <w:sz w:val="26"/>
          <w:szCs w:val="26"/>
        </w:rPr>
        <w:tab/>
      </w:r>
      <w:r w:rsidRPr="00756A57">
        <w:rPr>
          <w:b/>
          <w:bCs/>
          <w:caps/>
          <w:sz w:val="26"/>
          <w:szCs w:val="26"/>
        </w:rPr>
        <w:t xml:space="preserve">Methods Used To Minimize Burden </w:t>
      </w:r>
      <w:r w:rsidRPr="00756A57" w:rsidR="00D3374C">
        <w:rPr>
          <w:b/>
          <w:bCs/>
          <w:caps/>
          <w:sz w:val="26"/>
          <w:szCs w:val="26"/>
        </w:rPr>
        <w:t>in</w:t>
      </w:r>
      <w:r w:rsidRPr="00756A57">
        <w:rPr>
          <w:b/>
          <w:bCs/>
          <w:caps/>
          <w:sz w:val="26"/>
          <w:szCs w:val="26"/>
        </w:rPr>
        <w:t xml:space="preserve"> Collection </w:t>
      </w:r>
      <w:r w:rsidRPr="00756A57" w:rsidR="00D3374C">
        <w:rPr>
          <w:b/>
          <w:bCs/>
          <w:caps/>
          <w:sz w:val="26"/>
          <w:szCs w:val="26"/>
        </w:rPr>
        <w:t>of</w:t>
      </w:r>
      <w:r w:rsidRPr="00756A57">
        <w:rPr>
          <w:b/>
          <w:bCs/>
          <w:caps/>
          <w:sz w:val="26"/>
          <w:szCs w:val="26"/>
        </w:rPr>
        <w:t xml:space="preserve"> Information Involving Small Entities</w:t>
      </w:r>
    </w:p>
    <w:p w:rsidR="00292B53" w:rsidRPr="00756A57" w:rsidP="00851366" w14:paraId="4D8628F0" w14:textId="77777777">
      <w:pPr>
        <w:widowControl/>
        <w:tabs>
          <w:tab w:val="left" w:pos="-1440"/>
        </w:tabs>
        <w:ind w:left="720" w:hanging="720"/>
        <w:rPr>
          <w:b/>
          <w:bCs/>
          <w:sz w:val="26"/>
          <w:szCs w:val="26"/>
        </w:rPr>
      </w:pPr>
    </w:p>
    <w:p w:rsidR="00357799" w:rsidP="002356AE" w14:paraId="2EDD623E" w14:textId="77777777">
      <w:pPr>
        <w:widowControl/>
        <w:tabs>
          <w:tab w:val="left" w:pos="-1440"/>
        </w:tabs>
        <w:rPr>
          <w:sz w:val="26"/>
          <w:szCs w:val="26"/>
        </w:rPr>
      </w:pPr>
      <w:r>
        <w:rPr>
          <w:sz w:val="26"/>
          <w:szCs w:val="26"/>
        </w:rPr>
        <w:t xml:space="preserve">E-Tags are made automatically available to the Commission.  </w:t>
      </w:r>
      <w:r w:rsidR="002356AE">
        <w:rPr>
          <w:sz w:val="26"/>
          <w:szCs w:val="26"/>
        </w:rPr>
        <w:t xml:space="preserve">While the Commission does not maintain records as to how many small entities are subject to the requirements of 18 CFR </w:t>
      </w:r>
      <w:r>
        <w:rPr>
          <w:sz w:val="26"/>
          <w:szCs w:val="26"/>
        </w:rPr>
        <w:t xml:space="preserve">366.2(d), it seems reasonable to assume that the burdens of this collection of information are minimal for both small entities and other entities.  </w:t>
      </w:r>
    </w:p>
    <w:p w:rsidR="004D4AC0" w:rsidRPr="00756A57" w:rsidP="002356AE" w14:paraId="7E0EC34E" w14:textId="77777777">
      <w:pPr>
        <w:widowControl/>
        <w:tabs>
          <w:tab w:val="left" w:pos="-1440"/>
        </w:tabs>
        <w:rPr>
          <w:sz w:val="26"/>
          <w:szCs w:val="26"/>
        </w:rPr>
      </w:pPr>
    </w:p>
    <w:p w:rsidR="002652E7" w:rsidRPr="00756A57" w:rsidP="00851366" w14:paraId="17677EED" w14:textId="77777777">
      <w:pPr>
        <w:widowControl/>
        <w:tabs>
          <w:tab w:val="left" w:pos="-1440"/>
        </w:tabs>
        <w:ind w:left="720" w:hanging="720"/>
        <w:rPr>
          <w:b/>
          <w:bCs/>
          <w:sz w:val="26"/>
          <w:szCs w:val="26"/>
        </w:rPr>
      </w:pPr>
      <w:r w:rsidRPr="00756A57">
        <w:rPr>
          <w:b/>
          <w:sz w:val="26"/>
          <w:szCs w:val="26"/>
        </w:rPr>
        <w:t>6.</w:t>
      </w:r>
      <w:r w:rsidRPr="00756A57">
        <w:rPr>
          <w:b/>
          <w:sz w:val="26"/>
          <w:szCs w:val="26"/>
        </w:rPr>
        <w:tab/>
      </w:r>
      <w:r w:rsidRPr="00756A57">
        <w:rPr>
          <w:b/>
          <w:bCs/>
          <w:caps/>
          <w:sz w:val="26"/>
          <w:szCs w:val="26"/>
        </w:rPr>
        <w:t xml:space="preserve">Consequence </w:t>
      </w:r>
      <w:r w:rsidRPr="00756A57" w:rsidR="00D3374C">
        <w:rPr>
          <w:b/>
          <w:bCs/>
          <w:caps/>
          <w:sz w:val="26"/>
          <w:szCs w:val="26"/>
        </w:rPr>
        <w:t>to</w:t>
      </w:r>
      <w:r w:rsidRPr="00756A57">
        <w:rPr>
          <w:b/>
          <w:bCs/>
          <w:caps/>
          <w:sz w:val="26"/>
          <w:szCs w:val="26"/>
        </w:rPr>
        <w:t xml:space="preserve"> Federal Program If Collection Were Conducted Less Frequently</w:t>
      </w:r>
    </w:p>
    <w:p w:rsidR="00292B53" w:rsidRPr="00756A57" w:rsidP="00292B53" w14:paraId="787CF9AD" w14:textId="77777777">
      <w:pPr>
        <w:widowControl/>
        <w:tabs>
          <w:tab w:val="left" w:pos="-1440"/>
        </w:tabs>
        <w:ind w:firstLine="720"/>
        <w:rPr>
          <w:bCs/>
          <w:sz w:val="26"/>
          <w:szCs w:val="26"/>
        </w:rPr>
      </w:pPr>
    </w:p>
    <w:p w:rsidR="00292B53" w:rsidRPr="00756A57" w:rsidP="00357799" w14:paraId="6D8348CC" w14:textId="77777777">
      <w:pPr>
        <w:widowControl/>
        <w:tabs>
          <w:tab w:val="left" w:pos="-1440"/>
        </w:tabs>
        <w:rPr>
          <w:bCs/>
          <w:sz w:val="26"/>
          <w:szCs w:val="26"/>
        </w:rPr>
      </w:pPr>
      <w:r w:rsidRPr="00756A57">
        <w:rPr>
          <w:bCs/>
          <w:sz w:val="26"/>
          <w:szCs w:val="26"/>
        </w:rPr>
        <w:t xml:space="preserve">The data collection is fully automated and automatic.  Less frequent collection of the data would require burdensome reprogramming to little end.  </w:t>
      </w:r>
      <w:r w:rsidRPr="00756A57" w:rsidR="00980A90">
        <w:rPr>
          <w:bCs/>
          <w:sz w:val="26"/>
          <w:szCs w:val="26"/>
        </w:rPr>
        <w:t>Less f</w:t>
      </w:r>
      <w:r w:rsidRPr="00756A57" w:rsidR="00D228D2">
        <w:rPr>
          <w:bCs/>
          <w:sz w:val="26"/>
          <w:szCs w:val="26"/>
        </w:rPr>
        <w:t xml:space="preserve">requent access to the </w:t>
      </w:r>
      <w:r w:rsidR="00403824">
        <w:rPr>
          <w:bCs/>
          <w:sz w:val="26"/>
          <w:szCs w:val="26"/>
        </w:rPr>
        <w:t>E-Tag</w:t>
      </w:r>
      <w:r w:rsidRPr="00756A57" w:rsidR="00D228D2">
        <w:rPr>
          <w:bCs/>
          <w:sz w:val="26"/>
          <w:szCs w:val="26"/>
        </w:rPr>
        <w:t xml:space="preserve"> data</w:t>
      </w:r>
      <w:r w:rsidRPr="00756A57" w:rsidR="00980A90">
        <w:rPr>
          <w:bCs/>
          <w:sz w:val="26"/>
          <w:szCs w:val="26"/>
        </w:rPr>
        <w:t xml:space="preserve"> means an increased chance </w:t>
      </w:r>
      <w:r w:rsidRPr="00756A57" w:rsidR="00D41156">
        <w:rPr>
          <w:bCs/>
          <w:sz w:val="26"/>
          <w:szCs w:val="26"/>
        </w:rPr>
        <w:t>of unchecked anti-</w:t>
      </w:r>
      <w:r w:rsidRPr="00756A57" w:rsidR="00980A90">
        <w:rPr>
          <w:bCs/>
          <w:sz w:val="26"/>
          <w:szCs w:val="26"/>
        </w:rPr>
        <w:t>competitive or manipulative behavior</w:t>
      </w:r>
      <w:r w:rsidRPr="00756A57" w:rsidR="00D41156">
        <w:rPr>
          <w:bCs/>
          <w:sz w:val="26"/>
          <w:szCs w:val="26"/>
        </w:rPr>
        <w:t xml:space="preserve"> among market participants.  </w:t>
      </w:r>
      <w:r w:rsidRPr="00756A57" w:rsidR="00980A90">
        <w:rPr>
          <w:bCs/>
          <w:sz w:val="26"/>
          <w:szCs w:val="26"/>
        </w:rPr>
        <w:t xml:space="preserve"> </w:t>
      </w:r>
    </w:p>
    <w:p w:rsidR="00292B53" w:rsidRPr="00756A57" w:rsidP="00851366" w14:paraId="608CAA20" w14:textId="77777777">
      <w:pPr>
        <w:widowControl/>
        <w:tabs>
          <w:tab w:val="left" w:pos="-1440"/>
        </w:tabs>
        <w:ind w:left="720" w:hanging="720"/>
        <w:rPr>
          <w:b/>
          <w:bCs/>
          <w:sz w:val="26"/>
          <w:szCs w:val="26"/>
        </w:rPr>
      </w:pPr>
    </w:p>
    <w:p w:rsidR="00222D99" w:rsidRPr="00756A57" w:rsidP="00851366" w14:paraId="0F677CBF" w14:textId="77777777">
      <w:pPr>
        <w:widowControl/>
        <w:tabs>
          <w:tab w:val="left" w:pos="-1440"/>
        </w:tabs>
        <w:ind w:left="720" w:hanging="720"/>
        <w:rPr>
          <w:b/>
          <w:sz w:val="26"/>
          <w:szCs w:val="26"/>
        </w:rPr>
      </w:pPr>
      <w:r w:rsidRPr="00756A57">
        <w:rPr>
          <w:b/>
          <w:sz w:val="26"/>
          <w:szCs w:val="26"/>
        </w:rPr>
        <w:t>7.</w:t>
      </w:r>
      <w:r w:rsidRPr="00756A57">
        <w:rPr>
          <w:b/>
          <w:sz w:val="26"/>
          <w:szCs w:val="26"/>
        </w:rPr>
        <w:tab/>
      </w:r>
      <w:r w:rsidRPr="00756A57">
        <w:rPr>
          <w:b/>
          <w:caps/>
          <w:sz w:val="26"/>
          <w:szCs w:val="26"/>
        </w:rPr>
        <w:t xml:space="preserve">Explain Any Special Circumstances Relating To </w:t>
      </w:r>
      <w:r w:rsidRPr="00756A57" w:rsidR="00D3374C">
        <w:rPr>
          <w:b/>
          <w:caps/>
          <w:sz w:val="26"/>
          <w:szCs w:val="26"/>
        </w:rPr>
        <w:t>the</w:t>
      </w:r>
      <w:r w:rsidRPr="00756A57">
        <w:rPr>
          <w:b/>
          <w:caps/>
          <w:sz w:val="26"/>
          <w:szCs w:val="26"/>
        </w:rPr>
        <w:t xml:space="preserve"> Information Collection</w:t>
      </w:r>
    </w:p>
    <w:p w:rsidR="00D41156" w:rsidRPr="00756A57" w:rsidP="00851366" w14:paraId="10296D2D" w14:textId="77777777">
      <w:pPr>
        <w:widowControl/>
        <w:tabs>
          <w:tab w:val="left" w:pos="-1440"/>
        </w:tabs>
        <w:ind w:left="720" w:hanging="720"/>
        <w:rPr>
          <w:b/>
          <w:sz w:val="26"/>
          <w:szCs w:val="26"/>
        </w:rPr>
      </w:pPr>
    </w:p>
    <w:p w:rsidR="00357799" w:rsidRPr="00756A57" w:rsidP="00357799" w14:paraId="204E1D42" w14:textId="77777777">
      <w:pPr>
        <w:widowControl/>
        <w:tabs>
          <w:tab w:val="left" w:pos="-1440"/>
        </w:tabs>
        <w:rPr>
          <w:bCs/>
          <w:sz w:val="26"/>
          <w:szCs w:val="26"/>
        </w:rPr>
      </w:pPr>
      <w:r w:rsidRPr="00756A57">
        <w:rPr>
          <w:bCs/>
          <w:sz w:val="26"/>
          <w:szCs w:val="26"/>
        </w:rPr>
        <w:t xml:space="preserve">The basic requirement </w:t>
      </w:r>
      <w:r w:rsidRPr="00756A57" w:rsidR="001029F0">
        <w:rPr>
          <w:bCs/>
          <w:sz w:val="26"/>
          <w:szCs w:val="26"/>
        </w:rPr>
        <w:t>is that FERC be</w:t>
      </w:r>
      <w:r w:rsidRPr="00756A57" w:rsidR="00B35795">
        <w:rPr>
          <w:bCs/>
          <w:sz w:val="26"/>
          <w:szCs w:val="26"/>
        </w:rPr>
        <w:t xml:space="preserve"> included as an addressee on the </w:t>
      </w:r>
      <w:r w:rsidR="00403824">
        <w:rPr>
          <w:bCs/>
          <w:sz w:val="26"/>
          <w:szCs w:val="26"/>
        </w:rPr>
        <w:t>E-Tags</w:t>
      </w:r>
      <w:r w:rsidRPr="00756A57" w:rsidR="00B35795">
        <w:rPr>
          <w:bCs/>
          <w:sz w:val="26"/>
          <w:szCs w:val="26"/>
        </w:rPr>
        <w:t xml:space="preserve">. </w:t>
      </w:r>
      <w:r w:rsidRPr="00756A57" w:rsidR="00FB487C">
        <w:rPr>
          <w:bCs/>
          <w:sz w:val="26"/>
          <w:szCs w:val="26"/>
        </w:rPr>
        <w:t xml:space="preserve">  This is done automatically by the system.</w:t>
      </w:r>
    </w:p>
    <w:p w:rsidR="00D41156" w:rsidRPr="00756A57" w:rsidP="00B35795" w14:paraId="6FC53282" w14:textId="77777777">
      <w:pPr>
        <w:widowControl/>
        <w:tabs>
          <w:tab w:val="left" w:pos="-1440"/>
        </w:tabs>
        <w:rPr>
          <w:bCs/>
          <w:sz w:val="26"/>
          <w:szCs w:val="26"/>
        </w:rPr>
      </w:pPr>
    </w:p>
    <w:p w:rsidR="002652E7" w:rsidRPr="00756A57" w:rsidP="00851366" w14:paraId="7B2F94A4" w14:textId="77777777">
      <w:pPr>
        <w:widowControl/>
        <w:tabs>
          <w:tab w:val="left" w:pos="-1440"/>
        </w:tabs>
        <w:ind w:left="720" w:hanging="720"/>
        <w:rPr>
          <w:b/>
          <w:bCs/>
          <w:sz w:val="26"/>
          <w:szCs w:val="26"/>
        </w:rPr>
      </w:pPr>
      <w:r w:rsidRPr="00756A57">
        <w:rPr>
          <w:b/>
          <w:sz w:val="26"/>
          <w:szCs w:val="26"/>
        </w:rPr>
        <w:t>8.</w:t>
      </w:r>
      <w:r w:rsidRPr="00756A57">
        <w:rPr>
          <w:b/>
          <w:sz w:val="26"/>
          <w:szCs w:val="26"/>
        </w:rPr>
        <w:tab/>
      </w:r>
      <w:r w:rsidRPr="00756A57">
        <w:rPr>
          <w:b/>
          <w:bCs/>
          <w:caps/>
          <w:sz w:val="26"/>
          <w:szCs w:val="26"/>
        </w:rPr>
        <w:t xml:space="preserve">Describe Efforts </w:t>
      </w:r>
      <w:r w:rsidRPr="00756A57" w:rsidR="00D3374C">
        <w:rPr>
          <w:b/>
          <w:bCs/>
          <w:caps/>
          <w:sz w:val="26"/>
          <w:szCs w:val="26"/>
        </w:rPr>
        <w:t>to</w:t>
      </w:r>
      <w:r w:rsidRPr="00756A57">
        <w:rPr>
          <w:b/>
          <w:bCs/>
          <w:caps/>
          <w:sz w:val="26"/>
          <w:szCs w:val="26"/>
        </w:rPr>
        <w:t xml:space="preserve"> Consult Outside </w:t>
      </w:r>
      <w:r w:rsidRPr="00756A57" w:rsidR="00D3374C">
        <w:rPr>
          <w:b/>
          <w:bCs/>
          <w:caps/>
          <w:sz w:val="26"/>
          <w:szCs w:val="26"/>
        </w:rPr>
        <w:t>the</w:t>
      </w:r>
      <w:r w:rsidRPr="00756A57">
        <w:rPr>
          <w:b/>
          <w:bCs/>
          <w:caps/>
          <w:sz w:val="26"/>
          <w:szCs w:val="26"/>
        </w:rPr>
        <w:t xml:space="preserve"> Agency: Summarize Public Comments </w:t>
      </w:r>
      <w:r w:rsidRPr="00756A57" w:rsidR="00D3374C">
        <w:rPr>
          <w:b/>
          <w:bCs/>
          <w:caps/>
          <w:sz w:val="26"/>
          <w:szCs w:val="26"/>
        </w:rPr>
        <w:t>and</w:t>
      </w:r>
      <w:r w:rsidRPr="00756A57">
        <w:rPr>
          <w:b/>
          <w:bCs/>
          <w:caps/>
          <w:sz w:val="26"/>
          <w:szCs w:val="26"/>
        </w:rPr>
        <w:t xml:space="preserve"> </w:t>
      </w:r>
      <w:r w:rsidRPr="00756A57" w:rsidR="00D3374C">
        <w:rPr>
          <w:b/>
          <w:bCs/>
          <w:caps/>
          <w:sz w:val="26"/>
          <w:szCs w:val="26"/>
        </w:rPr>
        <w:t>the</w:t>
      </w:r>
      <w:r w:rsidRPr="00756A57">
        <w:rPr>
          <w:b/>
          <w:bCs/>
          <w:caps/>
          <w:sz w:val="26"/>
          <w:szCs w:val="26"/>
        </w:rPr>
        <w:t xml:space="preserve"> Agency's Response </w:t>
      </w:r>
      <w:r w:rsidRPr="00756A57" w:rsidR="00D3374C">
        <w:rPr>
          <w:b/>
          <w:bCs/>
          <w:caps/>
          <w:sz w:val="26"/>
          <w:szCs w:val="26"/>
        </w:rPr>
        <w:t>to</w:t>
      </w:r>
      <w:r w:rsidRPr="00756A57">
        <w:rPr>
          <w:b/>
          <w:bCs/>
          <w:caps/>
          <w:sz w:val="26"/>
          <w:szCs w:val="26"/>
        </w:rPr>
        <w:t xml:space="preserve"> These Comments</w:t>
      </w:r>
    </w:p>
    <w:p w:rsidR="00047A27" w:rsidRPr="00756A57" w:rsidP="00851366" w14:paraId="6B665BAD" w14:textId="77777777">
      <w:pPr>
        <w:widowControl/>
        <w:tabs>
          <w:tab w:val="left" w:pos="-1440"/>
        </w:tabs>
        <w:ind w:left="720" w:hanging="720"/>
        <w:rPr>
          <w:b/>
          <w:bCs/>
          <w:sz w:val="26"/>
          <w:szCs w:val="26"/>
        </w:rPr>
      </w:pPr>
    </w:p>
    <w:p w:rsidR="00747174" w:rsidRPr="00756A57" w:rsidP="000C088E" w14:paraId="50D7DEAD" w14:textId="77777777">
      <w:pPr>
        <w:widowControl/>
        <w:tabs>
          <w:tab w:val="left" w:pos="-1440"/>
        </w:tabs>
        <w:rPr>
          <w:sz w:val="26"/>
          <w:szCs w:val="26"/>
        </w:rPr>
      </w:pPr>
      <w:r w:rsidRPr="00756A57">
        <w:rPr>
          <w:sz w:val="26"/>
          <w:szCs w:val="26"/>
        </w:rPr>
        <w:t>The 60-day Notice</w:t>
      </w:r>
      <w:r w:rsidRPr="00756A57" w:rsidR="000F7EFC">
        <w:rPr>
          <w:sz w:val="26"/>
          <w:szCs w:val="26"/>
        </w:rPr>
        <w:t xml:space="preserve"> </w:t>
      </w:r>
      <w:r w:rsidRPr="00756A57">
        <w:rPr>
          <w:sz w:val="26"/>
          <w:szCs w:val="26"/>
        </w:rPr>
        <w:t>wa</w:t>
      </w:r>
      <w:r w:rsidRPr="00756A57" w:rsidR="000F7EFC">
        <w:rPr>
          <w:sz w:val="26"/>
          <w:szCs w:val="26"/>
        </w:rPr>
        <w:t xml:space="preserve">s published in the </w:t>
      </w:r>
      <w:r w:rsidRPr="004D4AC0" w:rsidR="000F7EFC">
        <w:rPr>
          <w:sz w:val="26"/>
          <w:szCs w:val="26"/>
        </w:rPr>
        <w:t>Federal Register</w:t>
      </w:r>
      <w:r w:rsidR="004D4AC0">
        <w:rPr>
          <w:sz w:val="26"/>
          <w:szCs w:val="26"/>
        </w:rPr>
        <w:t xml:space="preserve"> on July 14, 2022 (87 FR 58786),</w:t>
      </w:r>
      <w:r w:rsidRPr="00756A57" w:rsidR="000F7EFC">
        <w:rPr>
          <w:sz w:val="26"/>
          <w:szCs w:val="26"/>
        </w:rPr>
        <w:t xml:space="preserve"> providing public utilities and licensees, state commissions, Federal agencies, and other interested parties an opportunity to submit data, views, comments or suggestions concerning the pr</w:t>
      </w:r>
      <w:r w:rsidRPr="00756A57" w:rsidR="00F11351">
        <w:rPr>
          <w:sz w:val="26"/>
          <w:szCs w:val="26"/>
        </w:rPr>
        <w:t xml:space="preserve">oposed collection of data.  </w:t>
      </w:r>
      <w:r w:rsidRPr="00756A57">
        <w:rPr>
          <w:sz w:val="26"/>
          <w:szCs w:val="26"/>
        </w:rPr>
        <w:t xml:space="preserve">FERC received no comments.  </w:t>
      </w:r>
    </w:p>
    <w:p w:rsidR="00747174" w:rsidRPr="00756A57" w:rsidP="000C088E" w14:paraId="0486832B" w14:textId="77777777">
      <w:pPr>
        <w:widowControl/>
        <w:tabs>
          <w:tab w:val="left" w:pos="-1440"/>
        </w:tabs>
        <w:rPr>
          <w:sz w:val="26"/>
          <w:szCs w:val="26"/>
        </w:rPr>
      </w:pPr>
    </w:p>
    <w:p w:rsidR="00B35795" w:rsidRPr="00756A57" w:rsidP="000C088E" w14:paraId="3762C6D0" w14:textId="77777777">
      <w:pPr>
        <w:widowControl/>
        <w:tabs>
          <w:tab w:val="left" w:pos="-1440"/>
        </w:tabs>
        <w:rPr>
          <w:sz w:val="26"/>
          <w:szCs w:val="26"/>
        </w:rPr>
      </w:pPr>
      <w:r w:rsidRPr="00756A57">
        <w:rPr>
          <w:sz w:val="26"/>
          <w:szCs w:val="26"/>
        </w:rPr>
        <w:t>The 30-day Notice</w:t>
      </w:r>
      <w:r w:rsidR="004D4AC0">
        <w:rPr>
          <w:sz w:val="26"/>
          <w:szCs w:val="26"/>
        </w:rPr>
        <w:t xml:space="preserve"> was published in the Federal Register on September 28, 2022 (87 FR 58786).</w:t>
      </w:r>
    </w:p>
    <w:p w:rsidR="00047A27" w:rsidRPr="00756A57" w:rsidP="00047A27" w14:paraId="6371EA42" w14:textId="77777777">
      <w:pPr>
        <w:widowControl/>
        <w:tabs>
          <w:tab w:val="left" w:pos="-1440"/>
        </w:tabs>
        <w:ind w:firstLine="720"/>
        <w:rPr>
          <w:b/>
          <w:sz w:val="26"/>
          <w:szCs w:val="26"/>
        </w:rPr>
      </w:pPr>
    </w:p>
    <w:p w:rsidR="000508B1" w:rsidRPr="00756A57" w:rsidP="00851366" w14:paraId="2434D7DF" w14:textId="77777777">
      <w:pPr>
        <w:widowControl/>
        <w:tabs>
          <w:tab w:val="left" w:pos="-1440"/>
        </w:tabs>
        <w:ind w:left="720" w:hanging="720"/>
        <w:rPr>
          <w:b/>
          <w:bCs/>
          <w:sz w:val="26"/>
          <w:szCs w:val="26"/>
        </w:rPr>
      </w:pPr>
      <w:r w:rsidRPr="00756A57">
        <w:rPr>
          <w:b/>
          <w:sz w:val="26"/>
          <w:szCs w:val="26"/>
        </w:rPr>
        <w:t>9.</w:t>
      </w:r>
      <w:r w:rsidRPr="00756A57">
        <w:rPr>
          <w:b/>
          <w:sz w:val="26"/>
          <w:szCs w:val="26"/>
        </w:rPr>
        <w:tab/>
      </w:r>
      <w:r w:rsidRPr="00756A57">
        <w:rPr>
          <w:b/>
          <w:bCs/>
          <w:caps/>
          <w:sz w:val="26"/>
          <w:szCs w:val="26"/>
        </w:rPr>
        <w:t xml:space="preserve">Explain Any Payment </w:t>
      </w:r>
      <w:r w:rsidRPr="00756A57" w:rsidR="00D3374C">
        <w:rPr>
          <w:b/>
          <w:bCs/>
          <w:caps/>
          <w:sz w:val="26"/>
          <w:szCs w:val="26"/>
        </w:rPr>
        <w:t>or</w:t>
      </w:r>
      <w:r w:rsidRPr="00756A57">
        <w:rPr>
          <w:b/>
          <w:bCs/>
          <w:caps/>
          <w:sz w:val="26"/>
          <w:szCs w:val="26"/>
        </w:rPr>
        <w:t xml:space="preserve"> Gifts </w:t>
      </w:r>
      <w:r w:rsidRPr="00756A57" w:rsidR="00D3374C">
        <w:rPr>
          <w:b/>
          <w:bCs/>
          <w:caps/>
          <w:sz w:val="26"/>
          <w:szCs w:val="26"/>
        </w:rPr>
        <w:t>to</w:t>
      </w:r>
      <w:r w:rsidRPr="00756A57">
        <w:rPr>
          <w:b/>
          <w:bCs/>
          <w:caps/>
          <w:sz w:val="26"/>
          <w:szCs w:val="26"/>
        </w:rPr>
        <w:t xml:space="preserve"> Respondents</w:t>
      </w:r>
    </w:p>
    <w:p w:rsidR="000F7EFC" w:rsidRPr="00756A57" w:rsidP="00851366" w14:paraId="1A4A3D16" w14:textId="77777777">
      <w:pPr>
        <w:widowControl/>
        <w:tabs>
          <w:tab w:val="left" w:pos="-1440"/>
        </w:tabs>
        <w:ind w:left="720" w:hanging="720"/>
        <w:rPr>
          <w:b/>
          <w:bCs/>
          <w:sz w:val="26"/>
          <w:szCs w:val="26"/>
        </w:rPr>
      </w:pPr>
    </w:p>
    <w:p w:rsidR="000F7EFC" w:rsidRPr="00756A57" w:rsidP="009F6257" w14:paraId="2D163BE0" w14:textId="77777777">
      <w:pPr>
        <w:widowControl/>
        <w:rPr>
          <w:sz w:val="26"/>
          <w:szCs w:val="26"/>
        </w:rPr>
      </w:pPr>
      <w:r w:rsidRPr="00756A57">
        <w:rPr>
          <w:sz w:val="26"/>
          <w:szCs w:val="26"/>
        </w:rPr>
        <w:t xml:space="preserve">No payments or gifts </w:t>
      </w:r>
      <w:r w:rsidRPr="00756A57" w:rsidR="008F7EBA">
        <w:rPr>
          <w:sz w:val="26"/>
          <w:szCs w:val="26"/>
        </w:rPr>
        <w:t xml:space="preserve">are </w:t>
      </w:r>
      <w:r w:rsidRPr="00756A57">
        <w:rPr>
          <w:sz w:val="26"/>
          <w:szCs w:val="26"/>
        </w:rPr>
        <w:t>made to respondents.</w:t>
      </w:r>
    </w:p>
    <w:p w:rsidR="000F7EFC" w:rsidRPr="00756A57" w:rsidP="00851366" w14:paraId="4903D3C5" w14:textId="77777777">
      <w:pPr>
        <w:widowControl/>
        <w:tabs>
          <w:tab w:val="left" w:pos="-1440"/>
        </w:tabs>
        <w:ind w:left="720" w:hanging="720"/>
        <w:rPr>
          <w:bCs/>
          <w:sz w:val="26"/>
          <w:szCs w:val="26"/>
        </w:rPr>
      </w:pPr>
    </w:p>
    <w:p w:rsidR="00363416" w:rsidRPr="00756A57" w:rsidP="00851366" w14:paraId="32E00CC7" w14:textId="77777777">
      <w:pPr>
        <w:widowControl/>
        <w:tabs>
          <w:tab w:val="left" w:pos="-1440"/>
        </w:tabs>
        <w:ind w:left="720" w:hanging="720"/>
        <w:rPr>
          <w:b/>
          <w:sz w:val="26"/>
          <w:szCs w:val="26"/>
        </w:rPr>
      </w:pPr>
      <w:r w:rsidRPr="00756A57">
        <w:rPr>
          <w:b/>
          <w:sz w:val="26"/>
          <w:szCs w:val="26"/>
        </w:rPr>
        <w:t>10.</w:t>
      </w:r>
      <w:r w:rsidRPr="00756A57">
        <w:rPr>
          <w:b/>
          <w:sz w:val="26"/>
          <w:szCs w:val="26"/>
        </w:rPr>
        <w:tab/>
      </w:r>
      <w:r w:rsidRPr="00756A57">
        <w:rPr>
          <w:b/>
          <w:caps/>
          <w:sz w:val="26"/>
          <w:szCs w:val="26"/>
        </w:rPr>
        <w:t xml:space="preserve">Describe Any Assurance </w:t>
      </w:r>
      <w:r w:rsidRPr="00756A57" w:rsidR="00D3374C">
        <w:rPr>
          <w:b/>
          <w:caps/>
          <w:sz w:val="26"/>
          <w:szCs w:val="26"/>
        </w:rPr>
        <w:t>of</w:t>
      </w:r>
      <w:r w:rsidRPr="00756A57">
        <w:rPr>
          <w:b/>
          <w:caps/>
          <w:sz w:val="26"/>
          <w:szCs w:val="26"/>
        </w:rPr>
        <w:t xml:space="preserve"> Confidentiality Provided To Respondents</w:t>
      </w:r>
    </w:p>
    <w:p w:rsidR="009F6257" w:rsidRPr="00756A57" w:rsidP="009F6257" w14:paraId="5856EA76" w14:textId="77777777">
      <w:pPr>
        <w:widowControl/>
        <w:tabs>
          <w:tab w:val="left" w:pos="-1440"/>
        </w:tabs>
        <w:rPr>
          <w:b/>
          <w:sz w:val="26"/>
          <w:szCs w:val="26"/>
        </w:rPr>
      </w:pPr>
    </w:p>
    <w:p w:rsidR="009F6257" w:rsidRPr="00756A57" w:rsidP="009F6257" w14:paraId="196D853D" w14:textId="77777777">
      <w:pPr>
        <w:widowControl/>
        <w:tabs>
          <w:tab w:val="left" w:pos="-1440"/>
        </w:tabs>
        <w:rPr>
          <w:sz w:val="26"/>
          <w:szCs w:val="26"/>
        </w:rPr>
      </w:pPr>
      <w:r w:rsidRPr="00756A57">
        <w:rPr>
          <w:sz w:val="26"/>
          <w:szCs w:val="26"/>
        </w:rPr>
        <w:t xml:space="preserve">The Commission recognizes that some of the information contained in the </w:t>
      </w:r>
      <w:r w:rsidR="00403824">
        <w:rPr>
          <w:sz w:val="26"/>
          <w:szCs w:val="26"/>
        </w:rPr>
        <w:t>E-Tags</w:t>
      </w:r>
      <w:r w:rsidRPr="00756A57">
        <w:rPr>
          <w:sz w:val="26"/>
          <w:szCs w:val="26"/>
        </w:rPr>
        <w:t xml:space="preserve"> is likely commercially sensitive.</w:t>
      </w:r>
      <w:r>
        <w:rPr>
          <w:bCs/>
          <w:sz w:val="26"/>
          <w:szCs w:val="26"/>
          <w:vertAlign w:val="superscript"/>
        </w:rPr>
        <w:footnoteReference w:id="6"/>
      </w:r>
      <w:r w:rsidRPr="00756A57">
        <w:rPr>
          <w:sz w:val="26"/>
          <w:szCs w:val="26"/>
        </w:rPr>
        <w:t xml:space="preserve">  Disclosure of such data could result in competitive harm to market participants and the market as a whole if disclosed without reasonable confidentiality restrictions.</w:t>
      </w:r>
      <w:r>
        <w:rPr>
          <w:bCs/>
          <w:sz w:val="26"/>
          <w:szCs w:val="26"/>
          <w:vertAlign w:val="superscript"/>
        </w:rPr>
        <w:footnoteReference w:id="7"/>
      </w:r>
      <w:r w:rsidRPr="00756A57">
        <w:rPr>
          <w:sz w:val="26"/>
          <w:szCs w:val="26"/>
        </w:rPr>
        <w:t xml:space="preserve">  Accordingly, the Commission </w:t>
      </w:r>
      <w:r w:rsidRPr="00756A57" w:rsidR="00173CF2">
        <w:rPr>
          <w:sz w:val="26"/>
          <w:szCs w:val="26"/>
        </w:rPr>
        <w:t xml:space="preserve">has </w:t>
      </w:r>
      <w:r w:rsidRPr="00756A57">
        <w:rPr>
          <w:sz w:val="26"/>
          <w:szCs w:val="26"/>
        </w:rPr>
        <w:t>not ma</w:t>
      </w:r>
      <w:r w:rsidRPr="00756A57" w:rsidR="00173CF2">
        <w:rPr>
          <w:sz w:val="26"/>
          <w:szCs w:val="26"/>
        </w:rPr>
        <w:t>d</w:t>
      </w:r>
      <w:r w:rsidRPr="00756A57">
        <w:rPr>
          <w:sz w:val="26"/>
          <w:szCs w:val="26"/>
        </w:rPr>
        <w:t xml:space="preserve">e complete </w:t>
      </w:r>
      <w:r w:rsidR="00403824">
        <w:rPr>
          <w:sz w:val="26"/>
          <w:szCs w:val="26"/>
        </w:rPr>
        <w:t>E-Tags</w:t>
      </w:r>
      <w:r w:rsidRPr="00756A57">
        <w:rPr>
          <w:sz w:val="26"/>
          <w:szCs w:val="26"/>
        </w:rPr>
        <w:t xml:space="preserve"> publicly available</w:t>
      </w:r>
      <w:r w:rsidRPr="00756A57" w:rsidR="00173CF2">
        <w:rPr>
          <w:sz w:val="26"/>
          <w:szCs w:val="26"/>
        </w:rPr>
        <w:t>.</w:t>
      </w:r>
      <w:r w:rsidRPr="00756A57">
        <w:rPr>
          <w:sz w:val="26"/>
          <w:szCs w:val="26"/>
        </w:rPr>
        <w:t xml:space="preserve">  Furthermore, to the extent persons file requests to obtain data </w:t>
      </w:r>
      <w:r w:rsidRPr="00756A57">
        <w:rPr>
          <w:sz w:val="26"/>
          <w:szCs w:val="26"/>
        </w:rPr>
        <w:t>from the Commission under the Freedom of Information Act (FOIA), any commercially-sensitive data would be protected from disclosure if it satisfies the requirements of exemption 4 of the Freedom of Information Act (FOIA).</w:t>
      </w:r>
      <w:r>
        <w:rPr>
          <w:bCs/>
          <w:sz w:val="26"/>
          <w:szCs w:val="26"/>
          <w:vertAlign w:val="superscript"/>
        </w:rPr>
        <w:footnoteReference w:id="8"/>
      </w:r>
      <w:r w:rsidRPr="00756A57">
        <w:rPr>
          <w:sz w:val="26"/>
          <w:szCs w:val="26"/>
        </w:rPr>
        <w:t xml:space="preserve">  </w:t>
      </w:r>
      <w:r w:rsidRPr="00756A57" w:rsidR="00173CF2">
        <w:rPr>
          <w:sz w:val="26"/>
          <w:szCs w:val="26"/>
        </w:rPr>
        <w:t>A</w:t>
      </w:r>
      <w:r w:rsidRPr="00756A57">
        <w:rPr>
          <w:sz w:val="26"/>
          <w:szCs w:val="26"/>
        </w:rPr>
        <w:t xml:space="preserve">fter the </w:t>
      </w:r>
      <w:r w:rsidR="00403824">
        <w:rPr>
          <w:sz w:val="26"/>
          <w:szCs w:val="26"/>
        </w:rPr>
        <w:t>E-Tag</w:t>
      </w:r>
      <w:r w:rsidRPr="00756A57">
        <w:rPr>
          <w:sz w:val="26"/>
          <w:szCs w:val="26"/>
        </w:rPr>
        <w:t xml:space="preserve"> Authors and Balancing Authorities designate the Commission as an addressee, the Commission </w:t>
      </w:r>
      <w:r w:rsidRPr="00756A57" w:rsidR="00173CF2">
        <w:rPr>
          <w:sz w:val="26"/>
          <w:szCs w:val="26"/>
        </w:rPr>
        <w:t xml:space="preserve">has been </w:t>
      </w:r>
      <w:r w:rsidRPr="00756A57">
        <w:rPr>
          <w:sz w:val="26"/>
          <w:szCs w:val="26"/>
        </w:rPr>
        <w:t>access</w:t>
      </w:r>
      <w:r w:rsidRPr="00756A57" w:rsidR="00173CF2">
        <w:rPr>
          <w:sz w:val="26"/>
          <w:szCs w:val="26"/>
        </w:rPr>
        <w:t>ing</w:t>
      </w:r>
      <w:r w:rsidRPr="00756A57">
        <w:rPr>
          <w:sz w:val="26"/>
          <w:szCs w:val="26"/>
        </w:rPr>
        <w:t xml:space="preserve"> the </w:t>
      </w:r>
      <w:r w:rsidR="00403824">
        <w:rPr>
          <w:sz w:val="26"/>
          <w:szCs w:val="26"/>
        </w:rPr>
        <w:t>E-Tags</w:t>
      </w:r>
      <w:r w:rsidRPr="00756A57">
        <w:rPr>
          <w:sz w:val="26"/>
          <w:szCs w:val="26"/>
        </w:rPr>
        <w:t xml:space="preserve"> by contract with a commercial vendor, subject to confidentiality restrictions.</w:t>
      </w:r>
    </w:p>
    <w:p w:rsidR="009F6257" w:rsidRPr="00756A57" w:rsidP="009F6257" w14:paraId="199D3CDF" w14:textId="77777777">
      <w:pPr>
        <w:widowControl/>
        <w:tabs>
          <w:tab w:val="left" w:pos="-1440"/>
        </w:tabs>
        <w:rPr>
          <w:sz w:val="26"/>
          <w:szCs w:val="26"/>
        </w:rPr>
      </w:pPr>
    </w:p>
    <w:p w:rsidR="009F6257" w:rsidRPr="00756A57" w:rsidP="009F6257" w14:paraId="4034E3F8" w14:textId="77777777">
      <w:pPr>
        <w:widowControl/>
        <w:tabs>
          <w:tab w:val="left" w:pos="-1440"/>
        </w:tabs>
        <w:rPr>
          <w:b/>
          <w:sz w:val="26"/>
          <w:szCs w:val="26"/>
        </w:rPr>
      </w:pPr>
      <w:r w:rsidRPr="00756A57">
        <w:rPr>
          <w:sz w:val="26"/>
          <w:szCs w:val="26"/>
        </w:rPr>
        <w:t xml:space="preserve">While the Commission finds that </w:t>
      </w:r>
      <w:r w:rsidR="00403824">
        <w:rPr>
          <w:sz w:val="26"/>
          <w:szCs w:val="26"/>
        </w:rPr>
        <w:t>E-Tag</w:t>
      </w:r>
      <w:r w:rsidRPr="00756A57">
        <w:rPr>
          <w:sz w:val="26"/>
          <w:szCs w:val="26"/>
        </w:rPr>
        <w:t xml:space="preserve"> data should be made available to RTOs, ISOs, and MMUs, this should be done subject to appropriate confidentiality restrictions.  Furthermore, the Commission notes that such information may be shared among RTOs, ISOs and MMUs as part of an investigation of possible market violations or market design flaws as long as reasonable measures are taken to ensure that the information remains non-public.</w:t>
      </w:r>
      <w:r>
        <w:rPr>
          <w:bCs/>
          <w:sz w:val="26"/>
          <w:szCs w:val="26"/>
          <w:vertAlign w:val="superscript"/>
        </w:rPr>
        <w:footnoteReference w:id="9"/>
      </w:r>
      <w:r w:rsidRPr="00756A57">
        <w:rPr>
          <w:sz w:val="26"/>
          <w:szCs w:val="26"/>
        </w:rPr>
        <w:t xml:space="preserve"> </w:t>
      </w:r>
    </w:p>
    <w:p w:rsidR="00035740" w:rsidRPr="00756A57" w:rsidP="000F7EFC" w14:paraId="481A7A55" w14:textId="77777777">
      <w:pPr>
        <w:widowControl/>
        <w:tabs>
          <w:tab w:val="left" w:pos="-1440"/>
        </w:tabs>
        <w:ind w:firstLine="720"/>
        <w:rPr>
          <w:b/>
          <w:bCs/>
          <w:sz w:val="26"/>
          <w:szCs w:val="26"/>
        </w:rPr>
      </w:pPr>
    </w:p>
    <w:p w:rsidR="00173CF2" w:rsidRPr="00756A57" w:rsidP="00126095" w14:paraId="3AD3F588" w14:textId="77777777">
      <w:pPr>
        <w:widowControl/>
        <w:autoSpaceDE/>
        <w:autoSpaceDN/>
        <w:adjustRightInd/>
        <w:spacing w:line="276" w:lineRule="auto"/>
        <w:ind w:left="720" w:hanging="720"/>
        <w:rPr>
          <w:sz w:val="26"/>
        </w:rPr>
      </w:pPr>
      <w:r w:rsidRPr="00756A57">
        <w:rPr>
          <w:b/>
          <w:sz w:val="26"/>
          <w:szCs w:val="26"/>
        </w:rPr>
        <w:t>11.</w:t>
      </w:r>
      <w:r w:rsidRPr="00756A57">
        <w:rPr>
          <w:b/>
          <w:sz w:val="26"/>
          <w:szCs w:val="26"/>
        </w:rPr>
        <w:tab/>
      </w:r>
      <w:r w:rsidRPr="00756A57">
        <w:rPr>
          <w:b/>
          <w:bCs/>
          <w:sz w:val="26"/>
          <w:szCs w:val="26"/>
        </w:rPr>
        <w:t>PROVIDE ADDITIONAL JUSTIFICATION FOR ANY QUESTIONS OF A SENSITIVE NATURE, SUCH AS SEXUAL BEHAVIOR AND ATTITUDES, RELIGIOUS BELIEFS, AND OTHER MATTERS THAT ARE COMMONLY CONSIDERED PRIVATE</w:t>
      </w:r>
    </w:p>
    <w:p w:rsidR="00173CF2" w:rsidRPr="00756A57" w:rsidP="00173CF2" w14:paraId="707F3666" w14:textId="77777777">
      <w:pPr>
        <w:rPr>
          <w:b/>
          <w:bCs/>
          <w:sz w:val="26"/>
          <w:szCs w:val="26"/>
        </w:rPr>
      </w:pPr>
    </w:p>
    <w:p w:rsidR="00173CF2" w:rsidRPr="00756A57" w:rsidP="00173CF2" w14:paraId="5B56D8A5" w14:textId="77777777">
      <w:pPr>
        <w:rPr>
          <w:sz w:val="26"/>
          <w:szCs w:val="26"/>
        </w:rPr>
      </w:pPr>
      <w:r w:rsidRPr="00756A57">
        <w:rPr>
          <w:sz w:val="26"/>
          <w:szCs w:val="26"/>
        </w:rPr>
        <w:t xml:space="preserve">This collection does not contain any questions of a sensitive nature.  </w:t>
      </w:r>
    </w:p>
    <w:p w:rsidR="00D97A7F" w:rsidRPr="00756A57" w:rsidP="00F06CC6" w14:paraId="2DC219DE" w14:textId="77777777">
      <w:pPr>
        <w:widowControl/>
        <w:tabs>
          <w:tab w:val="left" w:pos="-1440"/>
        </w:tabs>
        <w:rPr>
          <w:b/>
          <w:bCs/>
          <w:sz w:val="26"/>
          <w:szCs w:val="26"/>
        </w:rPr>
      </w:pPr>
    </w:p>
    <w:p w:rsidR="00802A17" w:rsidRPr="00756A57" w:rsidP="00851366" w14:paraId="0A673105" w14:textId="77777777">
      <w:pPr>
        <w:widowControl/>
        <w:tabs>
          <w:tab w:val="left" w:pos="-1440"/>
        </w:tabs>
        <w:ind w:left="720" w:hanging="720"/>
        <w:rPr>
          <w:b/>
          <w:bCs/>
          <w:sz w:val="26"/>
          <w:szCs w:val="26"/>
        </w:rPr>
      </w:pPr>
      <w:r w:rsidRPr="00756A57">
        <w:rPr>
          <w:b/>
          <w:sz w:val="26"/>
          <w:szCs w:val="26"/>
        </w:rPr>
        <w:t>12.</w:t>
      </w:r>
      <w:r w:rsidRPr="00756A57">
        <w:rPr>
          <w:b/>
          <w:sz w:val="26"/>
          <w:szCs w:val="26"/>
        </w:rPr>
        <w:tab/>
      </w:r>
      <w:r w:rsidRPr="00756A57">
        <w:rPr>
          <w:b/>
          <w:bCs/>
          <w:caps/>
          <w:sz w:val="26"/>
          <w:szCs w:val="26"/>
        </w:rPr>
        <w:t xml:space="preserve">Estimated Burden </w:t>
      </w:r>
      <w:r w:rsidRPr="00756A57" w:rsidR="00D3374C">
        <w:rPr>
          <w:b/>
          <w:bCs/>
          <w:caps/>
          <w:sz w:val="26"/>
          <w:szCs w:val="26"/>
        </w:rPr>
        <w:t>of</w:t>
      </w:r>
      <w:r w:rsidRPr="00756A57">
        <w:rPr>
          <w:b/>
          <w:bCs/>
          <w:caps/>
          <w:sz w:val="26"/>
          <w:szCs w:val="26"/>
        </w:rPr>
        <w:t xml:space="preserve"> Collection </w:t>
      </w:r>
      <w:r w:rsidRPr="00756A57" w:rsidR="00D3374C">
        <w:rPr>
          <w:b/>
          <w:bCs/>
          <w:caps/>
          <w:sz w:val="26"/>
          <w:szCs w:val="26"/>
        </w:rPr>
        <w:t>of</w:t>
      </w:r>
      <w:r w:rsidRPr="00756A57">
        <w:rPr>
          <w:b/>
          <w:bCs/>
          <w:caps/>
          <w:sz w:val="26"/>
          <w:szCs w:val="26"/>
        </w:rPr>
        <w:t xml:space="preserve"> Information</w:t>
      </w:r>
    </w:p>
    <w:p w:rsidR="00D97A7F" w:rsidRPr="00756A57" w:rsidP="00851366" w14:paraId="33D0385A" w14:textId="77777777">
      <w:pPr>
        <w:widowControl/>
        <w:tabs>
          <w:tab w:val="left" w:pos="-1440"/>
        </w:tabs>
        <w:ind w:left="720" w:hanging="720"/>
        <w:rPr>
          <w:b/>
          <w:bCs/>
          <w:sz w:val="26"/>
          <w:szCs w:val="26"/>
        </w:rPr>
      </w:pPr>
    </w:p>
    <w:p w:rsidR="00DF69DC" w:rsidRPr="00756A57" w:rsidP="00DF69DC" w14:paraId="560E9CA0" w14:textId="77777777">
      <w:pPr>
        <w:widowControl/>
        <w:tabs>
          <w:tab w:val="center" w:pos="5040"/>
        </w:tabs>
        <w:rPr>
          <w:sz w:val="26"/>
          <w:szCs w:val="26"/>
        </w:rPr>
      </w:pPr>
      <w:r w:rsidRPr="00756A57">
        <w:rPr>
          <w:sz w:val="26"/>
          <w:szCs w:val="26"/>
        </w:rPr>
        <w:t xml:space="preserve">Commission access to data on </w:t>
      </w:r>
      <w:r w:rsidR="00403824">
        <w:rPr>
          <w:sz w:val="26"/>
          <w:szCs w:val="26"/>
        </w:rPr>
        <w:t>E-Tags</w:t>
      </w:r>
      <w:r w:rsidRPr="00756A57">
        <w:rPr>
          <w:sz w:val="26"/>
          <w:szCs w:val="26"/>
        </w:rPr>
        <w:t xml:space="preserve"> is completely automatic and is a normal business requirement.  Thus, the time, effort, and financial resources necessary to comply with this collection of information are “usual and customary” within the meaning of the OMB regulation at 5 CFR 1320.3(b)(2) (excluding such activities from the definition of “burden”).  In view of these circumstances, FERC is including in this information collection request only a “placeholder” burden of one hour to account for the rare event where a new BA qualifies for exemption under the Commission’s regulations (e.g., transmissions from a new non-U.S. BA into another non-U.S. BA using a path that does not go through a U.S. BA). In that case, this administrative function would be expected to require at most an hour of effort total from both the BA and </w:t>
      </w:r>
      <w:r w:rsidR="00403824">
        <w:rPr>
          <w:sz w:val="26"/>
          <w:szCs w:val="26"/>
        </w:rPr>
        <w:t>E-Tag</w:t>
      </w:r>
      <w:r w:rsidRPr="00756A57">
        <w:rPr>
          <w:sz w:val="26"/>
          <w:szCs w:val="26"/>
        </w:rPr>
        <w:t xml:space="preserve"> administrator to include the BA on the exemption list.  New exempt BAs are not common—years may </w:t>
      </w:r>
      <w:r w:rsidRPr="00756A57">
        <w:rPr>
          <w:sz w:val="26"/>
          <w:szCs w:val="26"/>
        </w:rPr>
        <w:t>pass between them—but for the purpose of estimation, we will conservatively assume one appears each year</w:t>
      </w:r>
      <w:r w:rsidR="00D91634">
        <w:rPr>
          <w:sz w:val="26"/>
          <w:szCs w:val="26"/>
        </w:rPr>
        <w:t>.</w:t>
      </w:r>
    </w:p>
    <w:p w:rsidR="00DF69DC" w:rsidRPr="00756A57" w:rsidP="00DF69DC" w14:paraId="099B8E5B" w14:textId="77777777">
      <w:pPr>
        <w:widowControl/>
        <w:tabs>
          <w:tab w:val="center" w:pos="5040"/>
        </w:tabs>
        <w:rPr>
          <w:sz w:val="26"/>
          <w:szCs w:val="26"/>
        </w:rPr>
      </w:pPr>
    </w:p>
    <w:p w:rsidR="000918DE" w:rsidP="00D91634" w14:paraId="2FB0DF93" w14:textId="77777777">
      <w:pPr>
        <w:rPr>
          <w:sz w:val="26"/>
          <w:szCs w:val="26"/>
        </w:rPr>
      </w:pPr>
      <w:r w:rsidRPr="00D91634">
        <w:rPr>
          <w:sz w:val="26"/>
          <w:szCs w:val="26"/>
        </w:rPr>
        <w:t>The Commission estimates the burden</w:t>
      </w:r>
      <w:r>
        <w:rPr>
          <w:bCs/>
          <w:iCs/>
          <w:sz w:val="26"/>
          <w:szCs w:val="26"/>
          <w:vertAlign w:val="superscript"/>
        </w:rPr>
        <w:footnoteReference w:id="10"/>
      </w:r>
      <w:r w:rsidRPr="00D91634">
        <w:rPr>
          <w:sz w:val="26"/>
          <w:szCs w:val="26"/>
        </w:rPr>
        <w:t xml:space="preserve"> and cost</w:t>
      </w:r>
      <w:r>
        <w:rPr>
          <w:rStyle w:val="FootnoteReference"/>
          <w:sz w:val="26"/>
          <w:szCs w:val="26"/>
          <w:vertAlign w:val="superscript"/>
        </w:rPr>
        <w:footnoteReference w:id="11"/>
      </w:r>
      <w:r w:rsidRPr="00D91634">
        <w:rPr>
          <w:sz w:val="26"/>
          <w:szCs w:val="26"/>
        </w:rPr>
        <w:t xml:space="preserve"> for FERC-740 as follows based on the distinct </w:t>
      </w:r>
      <w:r w:rsidR="00403824">
        <w:rPr>
          <w:sz w:val="26"/>
          <w:szCs w:val="26"/>
        </w:rPr>
        <w:t>E-Tags</w:t>
      </w:r>
      <w:r w:rsidRPr="00D91634">
        <w:rPr>
          <w:sz w:val="26"/>
          <w:szCs w:val="26"/>
        </w:rPr>
        <w:t xml:space="preserve"> </w:t>
      </w:r>
      <w:r>
        <w:rPr>
          <w:sz w:val="26"/>
          <w:szCs w:val="26"/>
        </w:rPr>
        <w:t xml:space="preserve">made available </w:t>
      </w:r>
      <w:r w:rsidRPr="00D91634">
        <w:rPr>
          <w:sz w:val="26"/>
          <w:szCs w:val="26"/>
        </w:rPr>
        <w:t>to the Commission in 2021 (the most recent full year available).</w:t>
      </w:r>
    </w:p>
    <w:p w:rsidR="00D91634" w:rsidRPr="00D91634" w:rsidP="00D91634" w14:paraId="2F7DCBD1" w14:textId="77777777">
      <w:pPr>
        <w:rPr>
          <w:sz w:val="26"/>
          <w:szCs w:val="26"/>
        </w:rPr>
      </w:pPr>
      <w:r>
        <w:rPr>
          <w:sz w:val="26"/>
          <w:szCs w:val="26"/>
        </w:rPr>
        <w:br w:type="page"/>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2"/>
        <w:gridCol w:w="1709"/>
        <w:gridCol w:w="1709"/>
        <w:gridCol w:w="1504"/>
        <w:gridCol w:w="1484"/>
        <w:gridCol w:w="1580"/>
      </w:tblGrid>
      <w:tr w14:paraId="25C255F9" w14:textId="77777777" w:rsidTr="000918DE">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trPr>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D91634" w:rsidRPr="00D91634" w:rsidP="00D91634" w14:paraId="0800DA5C" w14:textId="77777777">
            <w:pPr>
              <w:rPr>
                <w:b/>
                <w:sz w:val="26"/>
                <w:szCs w:val="26"/>
              </w:rPr>
            </w:pPr>
            <w:r w:rsidRPr="00D91634">
              <w:rPr>
                <w:sz w:val="26"/>
                <w:szCs w:val="26"/>
              </w:rPr>
              <w:br w:type="page"/>
            </w:r>
            <w:r w:rsidRPr="00D91634">
              <w:rPr>
                <w:b/>
                <w:sz w:val="26"/>
                <w:szCs w:val="26"/>
              </w:rPr>
              <w:t>A.</w:t>
            </w:r>
          </w:p>
          <w:p w:rsidR="00D91634" w:rsidRPr="00D91634" w:rsidP="00D91634" w14:paraId="23C5AF33" w14:textId="77777777">
            <w:pPr>
              <w:rPr>
                <w:b/>
                <w:sz w:val="26"/>
                <w:szCs w:val="26"/>
              </w:rPr>
            </w:pPr>
            <w:r w:rsidRPr="00D91634">
              <w:rPr>
                <w:b/>
                <w:sz w:val="26"/>
                <w:szCs w:val="26"/>
              </w:rPr>
              <w:t>Number of Respondents</w:t>
            </w:r>
            <w:r w:rsidRPr="00D91634">
              <w:rPr>
                <w:b/>
                <w:sz w:val="26"/>
                <w:szCs w:val="26"/>
              </w:rPr>
              <w:br/>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tcPr>
          <w:p w:rsidR="00D91634" w:rsidRPr="00D91634" w:rsidP="00D91634" w14:paraId="71DEFEB5" w14:textId="77777777">
            <w:pPr>
              <w:rPr>
                <w:b/>
                <w:sz w:val="26"/>
                <w:szCs w:val="26"/>
              </w:rPr>
            </w:pPr>
            <w:r w:rsidRPr="00D91634">
              <w:rPr>
                <w:b/>
                <w:sz w:val="26"/>
                <w:szCs w:val="26"/>
              </w:rPr>
              <w:t>B.</w:t>
            </w:r>
          </w:p>
          <w:p w:rsidR="00D91634" w:rsidRPr="00D91634" w:rsidP="00D91634" w14:paraId="12DE5507" w14:textId="77777777">
            <w:pPr>
              <w:rPr>
                <w:b/>
                <w:sz w:val="26"/>
                <w:szCs w:val="26"/>
              </w:rPr>
            </w:pPr>
            <w:r w:rsidRPr="00D91634">
              <w:rPr>
                <w:b/>
                <w:sz w:val="26"/>
                <w:szCs w:val="26"/>
              </w:rPr>
              <w:t>Annual Number of Responses (</w:t>
            </w:r>
            <w:r w:rsidR="00403824">
              <w:rPr>
                <w:b/>
                <w:sz w:val="26"/>
                <w:szCs w:val="26"/>
              </w:rPr>
              <w:t>E-Tags</w:t>
            </w:r>
            <w:r w:rsidRPr="00D91634">
              <w:rPr>
                <w:b/>
                <w:sz w:val="26"/>
                <w:szCs w:val="26"/>
              </w:rPr>
              <w:t>) per Respondent</w:t>
            </w:r>
          </w:p>
          <w:p w:rsidR="00D91634" w:rsidRPr="00D91634" w:rsidP="00D91634" w14:paraId="767096FA" w14:textId="77777777">
            <w:pPr>
              <w:rPr>
                <w:b/>
                <w:sz w:val="26"/>
                <w:szCs w:val="26"/>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D91634" w:rsidRPr="00D91634" w:rsidP="00D91634" w14:paraId="585CDFD1" w14:textId="77777777">
            <w:pPr>
              <w:rPr>
                <w:b/>
                <w:sz w:val="26"/>
                <w:szCs w:val="26"/>
              </w:rPr>
            </w:pPr>
            <w:r w:rsidRPr="00D91634">
              <w:rPr>
                <w:b/>
                <w:sz w:val="26"/>
                <w:szCs w:val="26"/>
              </w:rPr>
              <w:t>C.</w:t>
            </w:r>
          </w:p>
          <w:p w:rsidR="00D91634" w:rsidRPr="00D91634" w:rsidP="00D91634" w14:paraId="7E033D73" w14:textId="77777777">
            <w:pPr>
              <w:rPr>
                <w:b/>
                <w:sz w:val="26"/>
                <w:szCs w:val="26"/>
              </w:rPr>
            </w:pPr>
            <w:r w:rsidRPr="00D91634">
              <w:rPr>
                <w:b/>
                <w:sz w:val="26"/>
                <w:szCs w:val="26"/>
              </w:rPr>
              <w:t>Total Number of Responses (Column A x Column B)</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D91634" w:rsidRPr="00D91634" w:rsidP="00D91634" w14:paraId="5D594D87" w14:textId="77777777">
            <w:pPr>
              <w:rPr>
                <w:b/>
                <w:sz w:val="26"/>
                <w:szCs w:val="26"/>
              </w:rPr>
            </w:pPr>
            <w:r w:rsidRPr="00D91634">
              <w:rPr>
                <w:b/>
                <w:sz w:val="26"/>
                <w:szCs w:val="26"/>
              </w:rPr>
              <w:t>D.</w:t>
            </w:r>
          </w:p>
          <w:p w:rsidR="00D91634" w:rsidRPr="00D91634" w:rsidP="00D91634" w14:paraId="46000B7C" w14:textId="77777777">
            <w:pPr>
              <w:rPr>
                <w:b/>
                <w:sz w:val="26"/>
                <w:szCs w:val="26"/>
              </w:rPr>
            </w:pPr>
            <w:r w:rsidRPr="00D91634">
              <w:rPr>
                <w:b/>
                <w:sz w:val="26"/>
                <w:szCs w:val="26"/>
              </w:rPr>
              <w:t>Average Burden &amp; Cost Per Response</w:t>
            </w:r>
            <w:r>
              <w:rPr>
                <w:bCs/>
                <w:sz w:val="26"/>
                <w:szCs w:val="26"/>
                <w:vertAlign w:val="superscript"/>
              </w:rPr>
              <w:footnoteReference w:id="12"/>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D91634" w:rsidRPr="00D91634" w:rsidP="00D91634" w14:paraId="0AC56CEA" w14:textId="77777777">
            <w:pPr>
              <w:rPr>
                <w:b/>
                <w:sz w:val="26"/>
                <w:szCs w:val="26"/>
              </w:rPr>
            </w:pPr>
            <w:r w:rsidRPr="00D91634">
              <w:rPr>
                <w:b/>
                <w:sz w:val="26"/>
                <w:szCs w:val="26"/>
              </w:rPr>
              <w:t>E.</w:t>
            </w:r>
          </w:p>
          <w:p w:rsidR="00D91634" w:rsidRPr="00D91634" w:rsidP="00D91634" w14:paraId="52F010D1" w14:textId="77777777">
            <w:pPr>
              <w:rPr>
                <w:b/>
                <w:sz w:val="26"/>
                <w:szCs w:val="26"/>
              </w:rPr>
            </w:pPr>
            <w:r w:rsidRPr="00D91634">
              <w:rPr>
                <w:b/>
                <w:sz w:val="26"/>
                <w:szCs w:val="26"/>
              </w:rPr>
              <w:t>Total Annual Burden Hours &amp; Total Annual Cost</w:t>
            </w:r>
          </w:p>
          <w:p w:rsidR="00D91634" w:rsidRPr="00D91634" w:rsidP="00D91634" w14:paraId="5EC20A86" w14:textId="77777777">
            <w:pPr>
              <w:rPr>
                <w:b/>
                <w:sz w:val="26"/>
                <w:szCs w:val="26"/>
              </w:rPr>
            </w:pPr>
            <w:r w:rsidRPr="00D91634">
              <w:rPr>
                <w:b/>
                <w:sz w:val="26"/>
                <w:szCs w:val="26"/>
              </w:rPr>
              <w:t>(Column C x Column D)</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D91634" w:rsidRPr="00D91634" w:rsidP="00D91634" w14:paraId="551AA666" w14:textId="77777777">
            <w:pPr>
              <w:rPr>
                <w:b/>
                <w:sz w:val="26"/>
                <w:szCs w:val="26"/>
              </w:rPr>
            </w:pPr>
            <w:r w:rsidRPr="00D91634">
              <w:rPr>
                <w:b/>
                <w:sz w:val="26"/>
                <w:szCs w:val="26"/>
              </w:rPr>
              <w:t>F.</w:t>
            </w:r>
          </w:p>
          <w:p w:rsidR="00D91634" w:rsidRPr="00D91634" w:rsidP="00D91634" w14:paraId="7A6E6A39" w14:textId="77777777">
            <w:pPr>
              <w:rPr>
                <w:b/>
                <w:sz w:val="26"/>
                <w:szCs w:val="26"/>
              </w:rPr>
            </w:pPr>
            <w:r w:rsidRPr="00D91634">
              <w:rPr>
                <w:b/>
                <w:sz w:val="26"/>
                <w:szCs w:val="26"/>
              </w:rPr>
              <w:t>Cost per Respondent</w:t>
            </w:r>
          </w:p>
          <w:p w:rsidR="00D91634" w:rsidRPr="00D91634" w:rsidP="00D91634" w14:paraId="78EDFE5F" w14:textId="77777777">
            <w:pPr>
              <w:rPr>
                <w:b/>
                <w:sz w:val="26"/>
                <w:szCs w:val="26"/>
              </w:rPr>
            </w:pPr>
            <w:r w:rsidRPr="00D91634">
              <w:rPr>
                <w:b/>
                <w:sz w:val="26"/>
                <w:szCs w:val="26"/>
              </w:rPr>
              <w:t>($)</w:t>
            </w:r>
          </w:p>
          <w:p w:rsidR="00D91634" w:rsidRPr="00D91634" w:rsidP="00D91634" w14:paraId="5D44717B" w14:textId="77777777">
            <w:pPr>
              <w:rPr>
                <w:b/>
                <w:sz w:val="26"/>
                <w:szCs w:val="26"/>
              </w:rPr>
            </w:pPr>
            <w:r w:rsidRPr="00D91634">
              <w:rPr>
                <w:b/>
                <w:sz w:val="26"/>
                <w:szCs w:val="26"/>
              </w:rPr>
              <w:t>(Column E ÷ Column A)</w:t>
            </w:r>
          </w:p>
        </w:tc>
      </w:tr>
      <w:tr w14:paraId="3A70AF39" w14:textId="77777777" w:rsidTr="004D4AC0">
        <w:tblPrEx>
          <w:tblW w:w="0" w:type="auto"/>
          <w:tblInd w:w="-72" w:type="dxa"/>
          <w:tblLook w:val="01E0"/>
        </w:tblPrEx>
        <w:trPr>
          <w:cantSplit/>
        </w:trPr>
        <w:tc>
          <w:tcPr>
            <w:tcW w:w="0" w:type="auto"/>
            <w:tcBorders>
              <w:top w:val="single" w:sz="4" w:space="0" w:color="auto"/>
              <w:left w:val="single" w:sz="4" w:space="0" w:color="auto"/>
              <w:bottom w:val="single" w:sz="4" w:space="0" w:color="auto"/>
              <w:right w:val="single" w:sz="4" w:space="0" w:color="auto"/>
            </w:tcBorders>
            <w:vAlign w:val="bottom"/>
            <w:hideMark/>
          </w:tcPr>
          <w:p w:rsidR="00D91634" w:rsidRPr="00D91634" w:rsidP="00D91634" w14:paraId="2B690694" w14:textId="77777777">
            <w:pPr>
              <w:rPr>
                <w:sz w:val="26"/>
                <w:szCs w:val="26"/>
              </w:rPr>
            </w:pPr>
            <w:r w:rsidRPr="00D91634">
              <w:rPr>
                <w:sz w:val="26"/>
                <w:szCs w:val="26"/>
              </w:rPr>
              <w:t>435 PSE/BAs</w:t>
            </w:r>
          </w:p>
        </w:tc>
        <w:tc>
          <w:tcPr>
            <w:tcW w:w="0" w:type="auto"/>
            <w:tcBorders>
              <w:top w:val="single" w:sz="4" w:space="0" w:color="auto"/>
              <w:left w:val="single" w:sz="4" w:space="0" w:color="auto"/>
              <w:bottom w:val="single" w:sz="4" w:space="0" w:color="auto"/>
              <w:right w:val="single" w:sz="4" w:space="0" w:color="auto"/>
            </w:tcBorders>
            <w:vAlign w:val="bottom"/>
            <w:hideMark/>
          </w:tcPr>
          <w:p w:rsidR="00D91634" w:rsidRPr="00D91634" w:rsidP="00D91634" w14:paraId="772E1C6D" w14:textId="77777777">
            <w:pPr>
              <w:rPr>
                <w:sz w:val="26"/>
                <w:szCs w:val="26"/>
              </w:rPr>
            </w:pPr>
            <w:r w:rsidRPr="00D91634">
              <w:rPr>
                <w:sz w:val="26"/>
                <w:szCs w:val="26"/>
              </w:rPr>
              <w:t xml:space="preserve">3,403 </w:t>
            </w:r>
          </w:p>
          <w:p w:rsidR="00D91634" w:rsidRPr="00D91634" w:rsidP="00D91634" w14:paraId="3F05786F" w14:textId="77777777">
            <w:pPr>
              <w:rPr>
                <w:sz w:val="26"/>
                <w:szCs w:val="26"/>
              </w:rPr>
            </w:pPr>
            <w:r>
              <w:rPr>
                <w:sz w:val="26"/>
                <w:szCs w:val="26"/>
              </w:rPr>
              <w:t>E-Tags</w:t>
            </w:r>
          </w:p>
        </w:tc>
        <w:tc>
          <w:tcPr>
            <w:tcW w:w="0" w:type="auto"/>
            <w:tcBorders>
              <w:top w:val="single" w:sz="4" w:space="0" w:color="auto"/>
              <w:left w:val="single" w:sz="4" w:space="0" w:color="auto"/>
              <w:bottom w:val="single" w:sz="4" w:space="0" w:color="auto"/>
              <w:right w:val="single" w:sz="4" w:space="0" w:color="auto"/>
            </w:tcBorders>
            <w:vAlign w:val="bottom"/>
            <w:hideMark/>
          </w:tcPr>
          <w:p w:rsidR="00D91634" w:rsidRPr="00D91634" w:rsidP="00D91634" w14:paraId="4FEA1776" w14:textId="77777777">
            <w:pPr>
              <w:rPr>
                <w:sz w:val="26"/>
                <w:szCs w:val="26"/>
              </w:rPr>
            </w:pPr>
            <w:r w:rsidRPr="00D91634">
              <w:rPr>
                <w:sz w:val="26"/>
                <w:szCs w:val="26"/>
              </w:rPr>
              <w:t xml:space="preserve">1,480,305 </w:t>
            </w:r>
            <w:r w:rsidR="00403824">
              <w:rPr>
                <w:sz w:val="26"/>
                <w:szCs w:val="26"/>
              </w:rPr>
              <w:t>E-Tags</w:t>
            </w:r>
          </w:p>
        </w:tc>
        <w:tc>
          <w:tcPr>
            <w:tcW w:w="0" w:type="auto"/>
            <w:tcBorders>
              <w:top w:val="single" w:sz="4" w:space="0" w:color="auto"/>
              <w:left w:val="single" w:sz="4" w:space="0" w:color="auto"/>
              <w:bottom w:val="single" w:sz="4" w:space="0" w:color="auto"/>
              <w:right w:val="single" w:sz="4" w:space="0" w:color="auto"/>
            </w:tcBorders>
            <w:vAlign w:val="bottom"/>
            <w:hideMark/>
          </w:tcPr>
          <w:p w:rsidR="00D91634" w:rsidRPr="00D91634" w:rsidP="00D91634" w14:paraId="6292DB3D" w14:textId="77777777">
            <w:pPr>
              <w:rPr>
                <w:sz w:val="26"/>
                <w:szCs w:val="26"/>
              </w:rPr>
            </w:pPr>
            <w:r w:rsidRPr="00D91634">
              <w:rPr>
                <w:sz w:val="26"/>
                <w:szCs w:val="26"/>
              </w:rPr>
              <w:t>Automatic, so 0 burden and cost</w:t>
            </w:r>
          </w:p>
        </w:tc>
        <w:tc>
          <w:tcPr>
            <w:tcW w:w="0" w:type="auto"/>
            <w:tcBorders>
              <w:top w:val="single" w:sz="4" w:space="0" w:color="auto"/>
              <w:left w:val="single" w:sz="4" w:space="0" w:color="auto"/>
              <w:bottom w:val="single" w:sz="4" w:space="0" w:color="auto"/>
              <w:right w:val="single" w:sz="4" w:space="0" w:color="auto"/>
            </w:tcBorders>
            <w:vAlign w:val="bottom"/>
            <w:hideMark/>
          </w:tcPr>
          <w:p w:rsidR="00D91634" w:rsidRPr="00D91634" w:rsidP="00D91634" w14:paraId="36F1970A" w14:textId="77777777">
            <w:pPr>
              <w:rPr>
                <w:sz w:val="26"/>
                <w:szCs w:val="26"/>
              </w:rPr>
            </w:pPr>
            <w:r w:rsidRPr="00D91634">
              <w:rPr>
                <w:sz w:val="26"/>
                <w:szCs w:val="26"/>
              </w:rPr>
              <w:t>Automatic, so 0 burden and cost</w:t>
            </w:r>
          </w:p>
        </w:tc>
        <w:tc>
          <w:tcPr>
            <w:tcW w:w="0" w:type="auto"/>
            <w:tcBorders>
              <w:top w:val="single" w:sz="4" w:space="0" w:color="auto"/>
              <w:left w:val="single" w:sz="4" w:space="0" w:color="auto"/>
              <w:bottom w:val="single" w:sz="4" w:space="0" w:color="auto"/>
              <w:right w:val="single" w:sz="4" w:space="0" w:color="auto"/>
            </w:tcBorders>
            <w:vAlign w:val="bottom"/>
            <w:hideMark/>
          </w:tcPr>
          <w:p w:rsidR="00D91634" w:rsidRPr="00D91634" w:rsidP="00D91634" w14:paraId="6D3C3957" w14:textId="77777777">
            <w:pPr>
              <w:rPr>
                <w:sz w:val="26"/>
                <w:szCs w:val="26"/>
              </w:rPr>
            </w:pPr>
            <w:r w:rsidRPr="00D91634">
              <w:rPr>
                <w:sz w:val="26"/>
                <w:szCs w:val="26"/>
              </w:rPr>
              <w:t>Automatic, so 0 burden and cost</w:t>
            </w:r>
          </w:p>
        </w:tc>
      </w:tr>
      <w:tr w14:paraId="7CECD567" w14:textId="77777777" w:rsidTr="004D4AC0">
        <w:tblPrEx>
          <w:tblW w:w="0" w:type="auto"/>
          <w:tblInd w:w="-72" w:type="dxa"/>
          <w:tblLook w:val="01E0"/>
        </w:tblPrEx>
        <w:trPr>
          <w:cantSplit/>
        </w:trPr>
        <w:tc>
          <w:tcPr>
            <w:tcW w:w="0" w:type="auto"/>
            <w:tcBorders>
              <w:top w:val="single" w:sz="4" w:space="0" w:color="auto"/>
              <w:left w:val="single" w:sz="4" w:space="0" w:color="auto"/>
              <w:bottom w:val="single" w:sz="4" w:space="0" w:color="auto"/>
              <w:right w:val="single" w:sz="4" w:space="0" w:color="auto"/>
            </w:tcBorders>
            <w:vAlign w:val="bottom"/>
            <w:hideMark/>
          </w:tcPr>
          <w:p w:rsidR="00D91634" w:rsidRPr="00D91634" w:rsidP="00D91634" w14:paraId="0FFEF7D9" w14:textId="77777777">
            <w:pPr>
              <w:rPr>
                <w:sz w:val="26"/>
                <w:szCs w:val="26"/>
              </w:rPr>
            </w:pPr>
            <w:r w:rsidRPr="00D91634">
              <w:rPr>
                <w:sz w:val="26"/>
                <w:szCs w:val="26"/>
              </w:rPr>
              <w:t xml:space="preserve">1 </w:t>
            </w:r>
            <w:r w:rsidR="00403824">
              <w:rPr>
                <w:sz w:val="26"/>
                <w:szCs w:val="26"/>
              </w:rPr>
              <w:t>E-Tag</w:t>
            </w:r>
            <w:r w:rsidRPr="00D91634">
              <w:rPr>
                <w:sz w:val="26"/>
                <w:szCs w:val="26"/>
              </w:rPr>
              <w:t xml:space="preserve"> administrator </w:t>
            </w:r>
          </w:p>
        </w:tc>
        <w:tc>
          <w:tcPr>
            <w:tcW w:w="0" w:type="auto"/>
            <w:tcBorders>
              <w:top w:val="single" w:sz="4" w:space="0" w:color="auto"/>
              <w:left w:val="single" w:sz="4" w:space="0" w:color="auto"/>
              <w:bottom w:val="single" w:sz="4" w:space="0" w:color="auto"/>
              <w:right w:val="single" w:sz="4" w:space="0" w:color="auto"/>
            </w:tcBorders>
            <w:vAlign w:val="bottom"/>
            <w:hideMark/>
          </w:tcPr>
          <w:p w:rsidR="00D91634" w:rsidRPr="00D91634" w:rsidP="00D91634" w14:paraId="43770704" w14:textId="77777777">
            <w:pPr>
              <w:rPr>
                <w:sz w:val="26"/>
                <w:szCs w:val="26"/>
              </w:rPr>
            </w:pPr>
            <w:r w:rsidRPr="00D91634">
              <w:rPr>
                <w:sz w:val="26"/>
                <w:szCs w:val="26"/>
              </w:rPr>
              <w:t>1 response to add new non-jurisdictional Balancing Authority</w:t>
            </w:r>
          </w:p>
        </w:tc>
        <w:tc>
          <w:tcPr>
            <w:tcW w:w="0" w:type="auto"/>
            <w:tcBorders>
              <w:top w:val="single" w:sz="4" w:space="0" w:color="auto"/>
              <w:left w:val="single" w:sz="4" w:space="0" w:color="auto"/>
              <w:bottom w:val="single" w:sz="4" w:space="0" w:color="auto"/>
              <w:right w:val="single" w:sz="4" w:space="0" w:color="auto"/>
            </w:tcBorders>
            <w:vAlign w:val="bottom"/>
            <w:hideMark/>
          </w:tcPr>
          <w:p w:rsidR="00D91634" w:rsidRPr="00D91634" w:rsidP="00D91634" w14:paraId="4854ED5C" w14:textId="77777777">
            <w:pPr>
              <w:rPr>
                <w:sz w:val="26"/>
                <w:szCs w:val="26"/>
              </w:rPr>
            </w:pPr>
            <w:r w:rsidRPr="00D91634">
              <w:rPr>
                <w:sz w:val="26"/>
                <w:szCs w:val="26"/>
              </w:rPr>
              <w:t>1 response to add new non-jurisdictional Balancing Authority</w:t>
            </w:r>
          </w:p>
        </w:tc>
        <w:tc>
          <w:tcPr>
            <w:tcW w:w="0" w:type="auto"/>
            <w:tcBorders>
              <w:top w:val="single" w:sz="4" w:space="0" w:color="auto"/>
              <w:left w:val="single" w:sz="4" w:space="0" w:color="auto"/>
              <w:bottom w:val="single" w:sz="4" w:space="0" w:color="auto"/>
              <w:right w:val="single" w:sz="4" w:space="0" w:color="auto"/>
            </w:tcBorders>
            <w:vAlign w:val="bottom"/>
            <w:hideMark/>
          </w:tcPr>
          <w:p w:rsidR="00D91634" w:rsidRPr="00D91634" w:rsidP="00D91634" w14:paraId="7D22B224" w14:textId="77777777">
            <w:pPr>
              <w:rPr>
                <w:sz w:val="26"/>
                <w:szCs w:val="26"/>
              </w:rPr>
            </w:pPr>
            <w:r w:rsidRPr="00D91634">
              <w:rPr>
                <w:sz w:val="26"/>
                <w:szCs w:val="26"/>
              </w:rPr>
              <w:t>1 hr.;  $36.90</w:t>
            </w:r>
          </w:p>
        </w:tc>
        <w:tc>
          <w:tcPr>
            <w:tcW w:w="0" w:type="auto"/>
            <w:tcBorders>
              <w:top w:val="single" w:sz="4" w:space="0" w:color="auto"/>
              <w:left w:val="single" w:sz="4" w:space="0" w:color="auto"/>
              <w:bottom w:val="single" w:sz="4" w:space="0" w:color="auto"/>
              <w:right w:val="single" w:sz="4" w:space="0" w:color="auto"/>
            </w:tcBorders>
            <w:vAlign w:val="bottom"/>
            <w:hideMark/>
          </w:tcPr>
          <w:p w:rsidR="00D91634" w:rsidRPr="00D91634" w:rsidP="00D91634" w14:paraId="37191979" w14:textId="77777777">
            <w:pPr>
              <w:rPr>
                <w:sz w:val="26"/>
                <w:szCs w:val="26"/>
              </w:rPr>
            </w:pPr>
            <w:r w:rsidRPr="00D91634">
              <w:rPr>
                <w:sz w:val="26"/>
                <w:szCs w:val="26"/>
              </w:rPr>
              <w:t xml:space="preserve">1 hr.; $36.90 </w:t>
            </w:r>
          </w:p>
        </w:tc>
        <w:tc>
          <w:tcPr>
            <w:tcW w:w="0" w:type="auto"/>
            <w:tcBorders>
              <w:top w:val="single" w:sz="4" w:space="0" w:color="auto"/>
              <w:left w:val="single" w:sz="4" w:space="0" w:color="auto"/>
              <w:bottom w:val="single" w:sz="4" w:space="0" w:color="auto"/>
              <w:right w:val="single" w:sz="4" w:space="0" w:color="auto"/>
            </w:tcBorders>
            <w:vAlign w:val="bottom"/>
            <w:hideMark/>
          </w:tcPr>
          <w:p w:rsidR="00D91634" w:rsidRPr="00D91634" w:rsidP="00D91634" w14:paraId="58F2FD50" w14:textId="77777777">
            <w:pPr>
              <w:rPr>
                <w:sz w:val="26"/>
                <w:szCs w:val="26"/>
              </w:rPr>
            </w:pPr>
            <w:r w:rsidRPr="00D91634">
              <w:rPr>
                <w:sz w:val="26"/>
                <w:szCs w:val="26"/>
              </w:rPr>
              <w:t>$36.90</w:t>
            </w:r>
          </w:p>
        </w:tc>
      </w:tr>
      <w:tr w14:paraId="7853BE14" w14:textId="77777777" w:rsidTr="004D4AC0">
        <w:tblPrEx>
          <w:tblW w:w="0" w:type="auto"/>
          <w:tblInd w:w="-72" w:type="dxa"/>
          <w:tblLook w:val="01E0"/>
        </w:tblPrEx>
        <w:trPr>
          <w:cantSplit/>
        </w:trPr>
        <w:tc>
          <w:tcPr>
            <w:tcW w:w="0" w:type="auto"/>
            <w:tcBorders>
              <w:top w:val="single" w:sz="4" w:space="0" w:color="auto"/>
              <w:left w:val="single" w:sz="4" w:space="0" w:color="auto"/>
              <w:bottom w:val="single" w:sz="4" w:space="0" w:color="auto"/>
              <w:right w:val="single" w:sz="4" w:space="0" w:color="auto"/>
            </w:tcBorders>
            <w:vAlign w:val="bottom"/>
            <w:hideMark/>
          </w:tcPr>
          <w:p w:rsidR="00D91634" w:rsidRPr="00D91634" w:rsidP="00D91634" w14:paraId="24C3CD7A" w14:textId="77777777">
            <w:pPr>
              <w:rPr>
                <w:sz w:val="26"/>
                <w:szCs w:val="26"/>
              </w:rPr>
            </w:pPr>
            <w:r w:rsidRPr="00D91634">
              <w:rPr>
                <w:b/>
                <w:bCs/>
                <w:sz w:val="26"/>
                <w:szCs w:val="26"/>
              </w:rPr>
              <w:t>Totals</w:t>
            </w:r>
          </w:p>
        </w:tc>
        <w:tc>
          <w:tcPr>
            <w:tcW w:w="0" w:type="auto"/>
            <w:tcBorders>
              <w:top w:val="single" w:sz="4" w:space="0" w:color="auto"/>
              <w:left w:val="single" w:sz="4" w:space="0" w:color="auto"/>
              <w:bottom w:val="single" w:sz="4" w:space="0" w:color="auto"/>
              <w:right w:val="single" w:sz="4" w:space="0" w:color="auto"/>
            </w:tcBorders>
            <w:vAlign w:val="bottom"/>
            <w:hideMark/>
          </w:tcPr>
          <w:p w:rsidR="00D91634" w:rsidRPr="00D91634" w:rsidP="00D91634" w14:paraId="06AE7AF2" w14:textId="77777777">
            <w:pPr>
              <w:rPr>
                <w:sz w:val="26"/>
                <w:szCs w:val="26"/>
              </w:rPr>
            </w:pPr>
            <w:r w:rsidRPr="00D91634">
              <w:rPr>
                <w:sz w:val="26"/>
                <w:szCs w:val="26"/>
              </w:rPr>
              <w:t>3,404</w:t>
            </w:r>
          </w:p>
        </w:tc>
        <w:tc>
          <w:tcPr>
            <w:tcW w:w="0" w:type="auto"/>
            <w:tcBorders>
              <w:top w:val="single" w:sz="4" w:space="0" w:color="auto"/>
              <w:left w:val="single" w:sz="4" w:space="0" w:color="auto"/>
              <w:bottom w:val="single" w:sz="4" w:space="0" w:color="auto"/>
              <w:right w:val="single" w:sz="4" w:space="0" w:color="auto"/>
            </w:tcBorders>
            <w:vAlign w:val="bottom"/>
            <w:hideMark/>
          </w:tcPr>
          <w:p w:rsidR="00D91634" w:rsidRPr="00D91634" w:rsidP="00D91634" w14:paraId="6EAF3D2D" w14:textId="77777777">
            <w:pPr>
              <w:rPr>
                <w:sz w:val="26"/>
                <w:szCs w:val="26"/>
              </w:rPr>
            </w:pPr>
            <w:r w:rsidRPr="00D91634">
              <w:rPr>
                <w:sz w:val="26"/>
                <w:szCs w:val="26"/>
              </w:rPr>
              <w:t>1,480,306</w:t>
            </w:r>
          </w:p>
        </w:tc>
        <w:tc>
          <w:tcPr>
            <w:tcW w:w="0" w:type="auto"/>
            <w:tcBorders>
              <w:top w:val="single" w:sz="4" w:space="0" w:color="auto"/>
              <w:left w:val="single" w:sz="4" w:space="0" w:color="auto"/>
              <w:bottom w:val="single" w:sz="4" w:space="0" w:color="auto"/>
              <w:right w:val="single" w:sz="4" w:space="0" w:color="auto"/>
            </w:tcBorders>
            <w:vAlign w:val="bottom"/>
            <w:hideMark/>
          </w:tcPr>
          <w:p w:rsidR="00D91634" w:rsidRPr="00D91634" w:rsidP="00D91634" w14:paraId="53CAC814" w14:textId="77777777">
            <w:pPr>
              <w:rPr>
                <w:sz w:val="26"/>
                <w:szCs w:val="26"/>
              </w:rPr>
            </w:pPr>
            <w:r w:rsidRPr="00D91634">
              <w:rPr>
                <w:sz w:val="26"/>
                <w:szCs w:val="26"/>
              </w:rPr>
              <w:t>1 hr.; $36.90</w:t>
            </w:r>
          </w:p>
        </w:tc>
        <w:tc>
          <w:tcPr>
            <w:tcW w:w="0" w:type="auto"/>
            <w:tcBorders>
              <w:top w:val="single" w:sz="4" w:space="0" w:color="auto"/>
              <w:left w:val="single" w:sz="4" w:space="0" w:color="auto"/>
              <w:bottom w:val="single" w:sz="4" w:space="0" w:color="auto"/>
              <w:right w:val="single" w:sz="4" w:space="0" w:color="auto"/>
            </w:tcBorders>
            <w:vAlign w:val="bottom"/>
            <w:hideMark/>
          </w:tcPr>
          <w:p w:rsidR="00D91634" w:rsidRPr="00D91634" w:rsidP="00D91634" w14:paraId="256A944A" w14:textId="77777777">
            <w:pPr>
              <w:rPr>
                <w:sz w:val="26"/>
                <w:szCs w:val="26"/>
              </w:rPr>
            </w:pPr>
            <w:r w:rsidRPr="00D91634">
              <w:rPr>
                <w:sz w:val="26"/>
                <w:szCs w:val="26"/>
              </w:rPr>
              <w:t xml:space="preserve"> 1 hr.; $36.90</w:t>
            </w:r>
          </w:p>
        </w:tc>
        <w:tc>
          <w:tcPr>
            <w:tcW w:w="0" w:type="auto"/>
            <w:tcBorders>
              <w:top w:val="single" w:sz="4" w:space="0" w:color="auto"/>
              <w:left w:val="single" w:sz="4" w:space="0" w:color="auto"/>
              <w:bottom w:val="single" w:sz="4" w:space="0" w:color="auto"/>
              <w:right w:val="single" w:sz="4" w:space="0" w:color="auto"/>
            </w:tcBorders>
            <w:vAlign w:val="bottom"/>
            <w:hideMark/>
          </w:tcPr>
          <w:p w:rsidR="00D91634" w:rsidRPr="00D91634" w:rsidP="00D91634" w14:paraId="04C79960" w14:textId="77777777">
            <w:pPr>
              <w:rPr>
                <w:sz w:val="26"/>
                <w:szCs w:val="26"/>
              </w:rPr>
            </w:pPr>
            <w:r w:rsidRPr="00D91634">
              <w:rPr>
                <w:sz w:val="26"/>
                <w:szCs w:val="26"/>
              </w:rPr>
              <w:t>$36.90</w:t>
            </w:r>
          </w:p>
        </w:tc>
      </w:tr>
    </w:tbl>
    <w:p w:rsidR="009F6257" w:rsidRPr="00756A57" w:rsidP="009F6257" w14:paraId="3FB00D09" w14:textId="77777777">
      <w:pPr>
        <w:keepNext/>
        <w:keepLines/>
        <w:widowControl/>
        <w:tabs>
          <w:tab w:val="left" w:pos="720"/>
        </w:tabs>
        <w:rPr>
          <w:b/>
          <w:bCs/>
          <w:sz w:val="26"/>
          <w:szCs w:val="26"/>
        </w:rPr>
      </w:pPr>
    </w:p>
    <w:p w:rsidR="003D1A39" w:rsidRPr="00756A57" w:rsidP="00851366" w14:paraId="5FF0F134" w14:textId="77777777">
      <w:pPr>
        <w:keepNext/>
        <w:keepLines/>
        <w:widowControl/>
        <w:tabs>
          <w:tab w:val="left" w:pos="720"/>
        </w:tabs>
        <w:ind w:left="720" w:hanging="720"/>
        <w:rPr>
          <w:b/>
          <w:bCs/>
          <w:sz w:val="26"/>
          <w:szCs w:val="26"/>
        </w:rPr>
      </w:pPr>
      <w:r w:rsidRPr="00756A57">
        <w:rPr>
          <w:b/>
          <w:sz w:val="26"/>
          <w:szCs w:val="26"/>
        </w:rPr>
        <w:t xml:space="preserve">13.     </w:t>
      </w:r>
      <w:r w:rsidRPr="00756A57" w:rsidR="00A712AC">
        <w:rPr>
          <w:b/>
          <w:sz w:val="26"/>
          <w:szCs w:val="26"/>
        </w:rPr>
        <w:t xml:space="preserve"> </w:t>
      </w:r>
      <w:r w:rsidRPr="00756A57">
        <w:rPr>
          <w:b/>
          <w:caps/>
          <w:sz w:val="26"/>
          <w:szCs w:val="26"/>
        </w:rPr>
        <w:t>E</w:t>
      </w:r>
      <w:r w:rsidRPr="00756A57">
        <w:rPr>
          <w:b/>
          <w:bCs/>
          <w:caps/>
          <w:sz w:val="26"/>
          <w:szCs w:val="26"/>
        </w:rPr>
        <w:t xml:space="preserve">stimate </w:t>
      </w:r>
      <w:r w:rsidRPr="00756A57" w:rsidR="00D3374C">
        <w:rPr>
          <w:b/>
          <w:bCs/>
          <w:caps/>
          <w:sz w:val="26"/>
          <w:szCs w:val="26"/>
        </w:rPr>
        <w:t>of</w:t>
      </w:r>
      <w:r w:rsidRPr="00756A57">
        <w:rPr>
          <w:b/>
          <w:bCs/>
          <w:caps/>
          <w:sz w:val="26"/>
          <w:szCs w:val="26"/>
        </w:rPr>
        <w:t xml:space="preserve"> Total Annual Cost Burden </w:t>
      </w:r>
      <w:r w:rsidRPr="00756A57" w:rsidR="00D3374C">
        <w:rPr>
          <w:b/>
          <w:bCs/>
          <w:caps/>
          <w:sz w:val="26"/>
          <w:szCs w:val="26"/>
        </w:rPr>
        <w:t>to</w:t>
      </w:r>
      <w:r w:rsidRPr="00756A57">
        <w:rPr>
          <w:b/>
          <w:bCs/>
          <w:caps/>
          <w:sz w:val="26"/>
          <w:szCs w:val="26"/>
        </w:rPr>
        <w:t xml:space="preserve"> Respondents</w:t>
      </w:r>
    </w:p>
    <w:p w:rsidR="00D97A7F" w:rsidRPr="00756A57" w:rsidP="00851366" w14:paraId="3962370D" w14:textId="77777777">
      <w:pPr>
        <w:keepNext/>
        <w:keepLines/>
        <w:widowControl/>
        <w:tabs>
          <w:tab w:val="left" w:pos="720"/>
        </w:tabs>
        <w:ind w:left="720" w:hanging="720"/>
        <w:rPr>
          <w:b/>
          <w:bCs/>
          <w:sz w:val="26"/>
          <w:szCs w:val="26"/>
        </w:rPr>
      </w:pPr>
    </w:p>
    <w:p w:rsidR="000918DE" w:rsidP="00030582" w14:paraId="07E6BB6D" w14:textId="77777777">
      <w:pPr>
        <w:keepNext/>
        <w:keepLines/>
        <w:widowControl/>
        <w:tabs>
          <w:tab w:val="left" w:pos="0"/>
        </w:tabs>
        <w:rPr>
          <w:bCs/>
          <w:sz w:val="26"/>
          <w:szCs w:val="26"/>
        </w:rPr>
      </w:pPr>
      <w:r w:rsidRPr="00756A57">
        <w:rPr>
          <w:bCs/>
          <w:sz w:val="26"/>
          <w:szCs w:val="26"/>
        </w:rPr>
        <w:t xml:space="preserve">There are no costs </w:t>
      </w:r>
      <w:r w:rsidRPr="00756A57" w:rsidR="00030582">
        <w:rPr>
          <w:bCs/>
          <w:sz w:val="26"/>
          <w:szCs w:val="26"/>
        </w:rPr>
        <w:t xml:space="preserve">that are not associated with labor hours. </w:t>
      </w:r>
      <w:r w:rsidRPr="00756A57" w:rsidR="00B46976">
        <w:rPr>
          <w:bCs/>
          <w:sz w:val="26"/>
          <w:szCs w:val="26"/>
        </w:rPr>
        <w:t>Burden hour cost</w:t>
      </w:r>
      <w:r w:rsidR="0071320C">
        <w:rPr>
          <w:bCs/>
          <w:sz w:val="26"/>
          <w:szCs w:val="26"/>
        </w:rPr>
        <w:t>s</w:t>
      </w:r>
      <w:r w:rsidRPr="00756A57" w:rsidR="00B46976">
        <w:rPr>
          <w:bCs/>
          <w:sz w:val="26"/>
          <w:szCs w:val="26"/>
        </w:rPr>
        <w:t xml:space="preserve"> are detailed in #12 and #15.</w:t>
      </w:r>
    </w:p>
    <w:p w:rsidR="000918DE" w:rsidP="00030582" w14:paraId="39B105F0" w14:textId="77777777">
      <w:pPr>
        <w:keepNext/>
        <w:keepLines/>
        <w:widowControl/>
        <w:tabs>
          <w:tab w:val="left" w:pos="0"/>
        </w:tabs>
        <w:rPr>
          <w:bCs/>
          <w:sz w:val="26"/>
          <w:szCs w:val="26"/>
        </w:rPr>
      </w:pPr>
    </w:p>
    <w:p w:rsidR="006F6C3C" w:rsidRPr="00756A57" w:rsidP="000918DE" w14:paraId="573D8AA6" w14:textId="77777777">
      <w:pPr>
        <w:keepNext/>
        <w:keepLines/>
        <w:widowControl/>
        <w:tabs>
          <w:tab w:val="left" w:pos="0"/>
        </w:tabs>
        <w:rPr>
          <w:b/>
          <w:bCs/>
          <w:caps/>
          <w:sz w:val="26"/>
          <w:szCs w:val="26"/>
        </w:rPr>
      </w:pPr>
      <w:r w:rsidRPr="00756A57">
        <w:rPr>
          <w:b/>
          <w:sz w:val="26"/>
          <w:szCs w:val="26"/>
        </w:rPr>
        <w:t>14.</w:t>
      </w:r>
      <w:r w:rsidRPr="00756A57">
        <w:rPr>
          <w:b/>
          <w:sz w:val="26"/>
          <w:szCs w:val="26"/>
        </w:rPr>
        <w:tab/>
      </w:r>
      <w:r w:rsidRPr="00756A57">
        <w:rPr>
          <w:b/>
          <w:bCs/>
          <w:caps/>
          <w:sz w:val="26"/>
          <w:szCs w:val="26"/>
        </w:rPr>
        <w:t xml:space="preserve">Estimated Annualized Cost </w:t>
      </w:r>
      <w:r w:rsidRPr="00756A57" w:rsidR="00D3374C">
        <w:rPr>
          <w:b/>
          <w:bCs/>
          <w:caps/>
          <w:sz w:val="26"/>
          <w:szCs w:val="26"/>
        </w:rPr>
        <w:t>to</w:t>
      </w:r>
      <w:r w:rsidRPr="00756A57">
        <w:rPr>
          <w:b/>
          <w:bCs/>
          <w:caps/>
          <w:sz w:val="26"/>
          <w:szCs w:val="26"/>
        </w:rPr>
        <w:t xml:space="preserve"> Federal Government</w:t>
      </w:r>
    </w:p>
    <w:p w:rsidR="00D97A7F" w:rsidRPr="00756A57" w:rsidP="00851366" w14:paraId="6EFCE090" w14:textId="77777777">
      <w:pPr>
        <w:widowControl/>
        <w:tabs>
          <w:tab w:val="left" w:pos="-1440"/>
        </w:tabs>
        <w:ind w:left="720" w:hanging="720"/>
        <w:rPr>
          <w:b/>
          <w:bCs/>
          <w:sz w:val="26"/>
          <w:szCs w:val="26"/>
        </w:rPr>
      </w:pPr>
    </w:p>
    <w:p w:rsidR="00CD53E6" w:rsidRPr="00756A57" w:rsidP="00CD53E6" w14:paraId="763FE17B" w14:textId="77777777">
      <w:pPr>
        <w:widowControl/>
        <w:tabs>
          <w:tab w:val="left" w:pos="-1440"/>
        </w:tabs>
        <w:rPr>
          <w:sz w:val="26"/>
          <w:szCs w:val="26"/>
        </w:rPr>
      </w:pPr>
      <w:r w:rsidRPr="00756A57">
        <w:rPr>
          <w:sz w:val="26"/>
          <w:szCs w:val="26"/>
        </w:rPr>
        <w:t xml:space="preserve">The estimate of the cost for ‘analysis and processing of filings’ is based on salaries and benefits for professional and clerical support.  This estimated cost represents staff analysis, decision-making, and review of the data.  </w:t>
      </w:r>
    </w:p>
    <w:p w:rsidR="00CD53E6" w:rsidRPr="00756A57" w:rsidP="00CD53E6" w14:paraId="0BBA1E8D" w14:textId="77777777">
      <w:pPr>
        <w:widowControl/>
        <w:tabs>
          <w:tab w:val="left" w:pos="-1440"/>
        </w:tabs>
        <w:rPr>
          <w:sz w:val="26"/>
          <w:szCs w:val="26"/>
        </w:rPr>
      </w:pPr>
    </w:p>
    <w:p w:rsidR="00CD53E6" w:rsidRPr="00756A57" w:rsidP="00CD53E6" w14:paraId="7E32CC3A" w14:textId="77777777">
      <w:pPr>
        <w:widowControl/>
        <w:tabs>
          <w:tab w:val="left" w:pos="-1440"/>
        </w:tabs>
        <w:rPr>
          <w:sz w:val="26"/>
          <w:szCs w:val="26"/>
        </w:rPr>
      </w:pPr>
      <w:r w:rsidRPr="00756A57">
        <w:rPr>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CD53E6" w:rsidRPr="00756A57" w:rsidP="00CD53E6" w14:paraId="7DD1D86F" w14:textId="77777777">
      <w:pPr>
        <w:widowControl/>
        <w:tabs>
          <w:tab w:val="left" w:pos="-1440"/>
        </w:tabs>
        <w:rPr>
          <w:sz w:val="26"/>
          <w:szCs w:val="26"/>
        </w:rPr>
      </w:pPr>
    </w:p>
    <w:p w:rsidR="00FB4503" w:rsidRPr="00756A57" w:rsidP="00CD53E6" w14:paraId="766914D4" w14:textId="77777777">
      <w:pPr>
        <w:widowControl/>
        <w:tabs>
          <w:tab w:val="left" w:pos="-1440"/>
        </w:tabs>
        <w:rPr>
          <w:sz w:val="26"/>
          <w:szCs w:val="26"/>
        </w:rPr>
      </w:pPr>
      <w:r w:rsidRPr="00756A57">
        <w:rPr>
          <w:sz w:val="26"/>
          <w:szCs w:val="26"/>
        </w:rPr>
        <w:t>The estimate of the cost to the Federal Government is based on salaries for professional and clerical support</w:t>
      </w:r>
      <w:r w:rsidRPr="00756A57">
        <w:rPr>
          <w:sz w:val="26"/>
          <w:szCs w:val="26"/>
        </w:rPr>
        <w:t xml:space="preserve">. </w:t>
      </w:r>
    </w:p>
    <w:p w:rsidR="00D97A7F" w:rsidRPr="00756A57" w:rsidP="00104E7D" w14:paraId="3851089F" w14:textId="77777777">
      <w:pPr>
        <w:widowControl/>
        <w:tabs>
          <w:tab w:val="left" w:pos="-1440"/>
        </w:tabs>
        <w:rPr>
          <w:b/>
          <w:bCs/>
          <w:sz w:val="26"/>
          <w:szCs w:val="26"/>
        </w:rPr>
      </w:pPr>
      <w:r w:rsidRPr="00756A57">
        <w:rPr>
          <w:sz w:val="26"/>
          <w:szCs w:val="26"/>
        </w:rPr>
        <w:tab/>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0677F2AC" w14:textId="77777777" w:rsidTr="00B46976">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B46976" w:rsidRPr="00756A57" w:rsidP="00B46976" w14:paraId="17C47C21" w14:textId="77777777">
            <w:pPr>
              <w:rPr>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B46976" w:rsidRPr="00756A57" w:rsidP="00B46976" w14:paraId="67DAB296" w14:textId="77777777">
            <w:pPr>
              <w:rPr>
                <w:b/>
                <w:sz w:val="26"/>
                <w:szCs w:val="26"/>
              </w:rPr>
            </w:pPr>
            <w:r w:rsidRPr="00756A57">
              <w:rPr>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B46976" w:rsidRPr="00756A57" w:rsidP="00B46976" w14:paraId="4C0211F6" w14:textId="77777777">
            <w:pPr>
              <w:rPr>
                <w:b/>
                <w:sz w:val="26"/>
                <w:szCs w:val="26"/>
              </w:rPr>
            </w:pPr>
            <w:r w:rsidRPr="00756A57">
              <w:rPr>
                <w:b/>
                <w:sz w:val="26"/>
                <w:szCs w:val="26"/>
              </w:rPr>
              <w:t>Estimated Annual Federal Cost</w:t>
            </w:r>
            <w:r w:rsidRPr="00756A57" w:rsidR="00492171">
              <w:rPr>
                <w:b/>
                <w:sz w:val="26"/>
                <w:szCs w:val="26"/>
              </w:rPr>
              <w:t xml:space="preserve"> ($)</w:t>
            </w:r>
          </w:p>
        </w:tc>
      </w:tr>
      <w:tr w14:paraId="3D694F2F" w14:textId="77777777" w:rsidTr="0071320C">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71320C" w:rsidRPr="00756A57" w:rsidP="0071320C" w14:paraId="42A55DF7" w14:textId="77777777">
            <w:pPr>
              <w:rPr>
                <w:sz w:val="26"/>
                <w:szCs w:val="26"/>
              </w:rPr>
            </w:pPr>
            <w:r w:rsidRPr="00756A57">
              <w:rPr>
                <w:sz w:val="26"/>
                <w:szCs w:val="26"/>
              </w:rPr>
              <w:t>Analysis and Processing of filings</w:t>
            </w:r>
            <w:r>
              <w:rPr>
                <w:sz w:val="26"/>
                <w:szCs w:val="26"/>
                <w:vertAlign w:val="superscript"/>
              </w:rPr>
              <w:footnoteReference w:id="13"/>
            </w:r>
          </w:p>
        </w:tc>
        <w:tc>
          <w:tcPr>
            <w:tcW w:w="3201" w:type="dxa"/>
            <w:tcBorders>
              <w:top w:val="single" w:sz="4" w:space="0" w:color="auto"/>
              <w:left w:val="single" w:sz="4" w:space="0" w:color="auto"/>
              <w:bottom w:val="single" w:sz="4" w:space="0" w:color="auto"/>
              <w:right w:val="single" w:sz="4" w:space="0" w:color="auto"/>
            </w:tcBorders>
            <w:vAlign w:val="bottom"/>
            <w:hideMark/>
          </w:tcPr>
          <w:p w:rsidR="0071320C" w:rsidRPr="00756A57" w:rsidP="0071320C" w14:paraId="5D12B062" w14:textId="77777777">
            <w:pPr>
              <w:jc w:val="right"/>
              <w:rPr>
                <w:sz w:val="26"/>
                <w:szCs w:val="26"/>
              </w:rPr>
            </w:pPr>
            <w:r w:rsidRPr="00756A57">
              <w:rPr>
                <w:sz w:val="26"/>
                <w:szCs w:val="26"/>
              </w:rPr>
              <w:t>1.5</w:t>
            </w:r>
          </w:p>
        </w:tc>
        <w:tc>
          <w:tcPr>
            <w:tcW w:w="2995" w:type="dxa"/>
            <w:tcBorders>
              <w:top w:val="single" w:sz="4" w:space="0" w:color="auto"/>
              <w:left w:val="single" w:sz="4" w:space="0" w:color="auto"/>
              <w:bottom w:val="single" w:sz="4" w:space="0" w:color="auto"/>
              <w:right w:val="single" w:sz="4" w:space="0" w:color="auto"/>
            </w:tcBorders>
            <w:vAlign w:val="bottom"/>
          </w:tcPr>
          <w:p w:rsidR="0071320C" w:rsidRPr="00756A57" w:rsidP="0071320C" w14:paraId="31058FC5" w14:textId="77777777">
            <w:pPr>
              <w:jc w:val="right"/>
              <w:rPr>
                <w:sz w:val="26"/>
                <w:szCs w:val="26"/>
              </w:rPr>
            </w:pPr>
            <w:r>
              <w:rPr>
                <w:sz w:val="26"/>
                <w:szCs w:val="26"/>
              </w:rPr>
              <w:t>$283,488</w:t>
            </w:r>
          </w:p>
        </w:tc>
      </w:tr>
      <w:tr w14:paraId="477440BD" w14:textId="77777777" w:rsidTr="005804A4">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71320C" w:rsidRPr="00756A57" w:rsidP="0071320C" w14:paraId="0C0F9705" w14:textId="77777777">
            <w:pPr>
              <w:rPr>
                <w:sz w:val="26"/>
                <w:szCs w:val="26"/>
              </w:rPr>
            </w:pPr>
            <w:r w:rsidRPr="00756A57">
              <w:rPr>
                <w:sz w:val="26"/>
                <w:szCs w:val="26"/>
              </w:rPr>
              <w:t>Cost for obtaining the data from 3</w:t>
            </w:r>
            <w:r w:rsidRPr="00756A57">
              <w:rPr>
                <w:sz w:val="26"/>
                <w:szCs w:val="26"/>
                <w:vertAlign w:val="superscript"/>
              </w:rPr>
              <w:t>rd</w:t>
            </w:r>
            <w:r w:rsidRPr="00756A57">
              <w:rPr>
                <w:sz w:val="26"/>
                <w:szCs w:val="26"/>
              </w:rPr>
              <w:t xml:space="preserve"> party</w:t>
            </w:r>
            <w:r>
              <w:rPr>
                <w:rStyle w:val="FootnoteReference"/>
                <w:sz w:val="26"/>
                <w:szCs w:val="26"/>
                <w:vertAlign w:val="superscript"/>
              </w:rPr>
              <w:footnoteReference w:id="14"/>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rsidR="0071320C" w:rsidRPr="00756A57" w:rsidP="0071320C" w14:paraId="4D213F3B" w14:textId="77777777">
            <w:pPr>
              <w:jc w:val="right"/>
              <w:rPr>
                <w:sz w:val="26"/>
                <w:szCs w:val="26"/>
              </w:rPr>
            </w:pPr>
          </w:p>
        </w:tc>
        <w:tc>
          <w:tcPr>
            <w:tcW w:w="2995" w:type="dxa"/>
            <w:tcBorders>
              <w:top w:val="single" w:sz="4" w:space="0" w:color="auto"/>
              <w:left w:val="single" w:sz="4" w:space="0" w:color="auto"/>
              <w:bottom w:val="single" w:sz="4" w:space="0" w:color="auto"/>
              <w:right w:val="single" w:sz="4" w:space="0" w:color="auto"/>
            </w:tcBorders>
            <w:vAlign w:val="bottom"/>
          </w:tcPr>
          <w:p w:rsidR="0071320C" w:rsidRPr="00756A57" w:rsidP="0071320C" w14:paraId="0F839EEA" w14:textId="77777777">
            <w:pPr>
              <w:jc w:val="right"/>
              <w:rPr>
                <w:sz w:val="26"/>
                <w:szCs w:val="26"/>
              </w:rPr>
            </w:pPr>
            <w:r w:rsidRPr="00756A57">
              <w:rPr>
                <w:sz w:val="26"/>
                <w:szCs w:val="26"/>
              </w:rPr>
              <w:t>$60,000</w:t>
            </w:r>
          </w:p>
        </w:tc>
      </w:tr>
      <w:tr w14:paraId="115CBE87" w14:textId="77777777" w:rsidTr="00B4697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71320C" w:rsidRPr="00756A57" w:rsidP="0071320C" w14:paraId="51E4624F" w14:textId="77777777">
            <w:pPr>
              <w:rPr>
                <w:sz w:val="26"/>
                <w:szCs w:val="26"/>
              </w:rPr>
            </w:pPr>
            <w:r w:rsidRPr="00756A57">
              <w:rPr>
                <w:sz w:val="26"/>
                <w:szCs w:val="26"/>
              </w:rPr>
              <w:t>PRA</w:t>
            </w:r>
            <w:r>
              <w:rPr>
                <w:sz w:val="26"/>
                <w:szCs w:val="26"/>
                <w:vertAlign w:val="superscript"/>
              </w:rPr>
              <w:footnoteReference w:id="15"/>
            </w:r>
            <w:r w:rsidRPr="00756A57">
              <w:rPr>
                <w:sz w:val="26"/>
                <w:szCs w:val="26"/>
              </w:rPr>
              <w:t xml:space="preserve">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rsidR="0071320C" w:rsidRPr="00756A57" w:rsidP="0071320C" w14:paraId="419C4DC3" w14:textId="77777777">
            <w:pPr>
              <w:jc w:val="right"/>
              <w:rPr>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71320C" w:rsidRPr="00756A57" w:rsidP="0071320C" w14:paraId="245FFC3F" w14:textId="77777777">
            <w:pPr>
              <w:jc w:val="right"/>
              <w:rPr>
                <w:sz w:val="26"/>
                <w:szCs w:val="26"/>
              </w:rPr>
            </w:pPr>
            <w:r w:rsidRPr="00756A57">
              <w:rPr>
                <w:sz w:val="26"/>
                <w:szCs w:val="26"/>
              </w:rPr>
              <w:t>$</w:t>
            </w:r>
            <w:r w:rsidRPr="0071320C">
              <w:rPr>
                <w:sz w:val="26"/>
                <w:szCs w:val="26"/>
              </w:rPr>
              <w:t>7,694</w:t>
            </w:r>
          </w:p>
        </w:tc>
      </w:tr>
      <w:tr w14:paraId="6ED4B65C" w14:textId="77777777" w:rsidTr="00B4697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71320C" w:rsidRPr="00756A57" w:rsidP="0071320C" w14:paraId="2E05F904" w14:textId="77777777">
            <w:pPr>
              <w:rPr>
                <w:b/>
                <w:sz w:val="26"/>
                <w:szCs w:val="26"/>
              </w:rPr>
            </w:pPr>
            <w:r w:rsidRPr="00756A57">
              <w:rPr>
                <w:b/>
                <w:sz w:val="26"/>
                <w:szCs w:val="26"/>
              </w:rPr>
              <w:t>FERC Total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71320C" w:rsidRPr="00756A57" w:rsidP="0071320C" w14:paraId="362EDC3B" w14:textId="77777777">
            <w:pPr>
              <w:widowControl/>
              <w:autoSpaceDE/>
              <w:autoSpaceDN/>
              <w:adjustRightInd/>
              <w:rPr>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71320C" w:rsidRPr="00756A57" w:rsidP="0071320C" w14:paraId="3EC38BBD" w14:textId="77777777">
            <w:pPr>
              <w:jc w:val="right"/>
              <w:rPr>
                <w:sz w:val="26"/>
                <w:szCs w:val="26"/>
              </w:rPr>
            </w:pPr>
            <w:r>
              <w:rPr>
                <w:sz w:val="26"/>
                <w:szCs w:val="26"/>
              </w:rPr>
              <w:t>$351,182</w:t>
            </w:r>
          </w:p>
        </w:tc>
      </w:tr>
    </w:tbl>
    <w:p w:rsidR="00B46976" w:rsidRPr="00756A57" w:rsidP="00851366" w14:paraId="7164EC6B" w14:textId="77777777">
      <w:pPr>
        <w:widowControl/>
        <w:tabs>
          <w:tab w:val="left" w:pos="-1440"/>
        </w:tabs>
        <w:ind w:left="720" w:hanging="720"/>
        <w:rPr>
          <w:b/>
          <w:bCs/>
          <w:sz w:val="26"/>
          <w:szCs w:val="26"/>
        </w:rPr>
      </w:pPr>
    </w:p>
    <w:p w:rsidR="00E745E2" w:rsidRPr="00756A57" w:rsidP="00851366" w14:paraId="47CEAE98" w14:textId="77777777">
      <w:pPr>
        <w:widowControl/>
        <w:tabs>
          <w:tab w:val="left" w:pos="-1440"/>
        </w:tabs>
        <w:ind w:left="720" w:hanging="720"/>
        <w:rPr>
          <w:b/>
          <w:bCs/>
          <w:sz w:val="26"/>
          <w:szCs w:val="26"/>
        </w:rPr>
      </w:pPr>
      <w:r w:rsidRPr="00756A57">
        <w:rPr>
          <w:b/>
          <w:sz w:val="26"/>
          <w:szCs w:val="26"/>
        </w:rPr>
        <w:t xml:space="preserve">15.  </w:t>
      </w:r>
      <w:r w:rsidRPr="00756A57">
        <w:rPr>
          <w:b/>
          <w:bCs/>
          <w:sz w:val="26"/>
          <w:szCs w:val="26"/>
        </w:rPr>
        <w:tab/>
      </w:r>
      <w:r w:rsidRPr="00756A57">
        <w:rPr>
          <w:b/>
          <w:bCs/>
          <w:caps/>
          <w:sz w:val="26"/>
          <w:szCs w:val="26"/>
        </w:rPr>
        <w:t xml:space="preserve">Reasons </w:t>
      </w:r>
      <w:r w:rsidRPr="00756A57" w:rsidR="00D3374C">
        <w:rPr>
          <w:b/>
          <w:bCs/>
          <w:caps/>
          <w:sz w:val="26"/>
          <w:szCs w:val="26"/>
        </w:rPr>
        <w:t>for</w:t>
      </w:r>
      <w:r w:rsidRPr="00756A57">
        <w:rPr>
          <w:b/>
          <w:bCs/>
          <w:caps/>
          <w:sz w:val="26"/>
          <w:szCs w:val="26"/>
        </w:rPr>
        <w:t xml:space="preserve"> Changes </w:t>
      </w:r>
      <w:r w:rsidRPr="00756A57" w:rsidR="00D3374C">
        <w:rPr>
          <w:b/>
          <w:bCs/>
          <w:caps/>
          <w:sz w:val="26"/>
          <w:szCs w:val="26"/>
        </w:rPr>
        <w:t>in</w:t>
      </w:r>
      <w:r w:rsidRPr="00756A57">
        <w:rPr>
          <w:b/>
          <w:bCs/>
          <w:caps/>
          <w:sz w:val="26"/>
          <w:szCs w:val="26"/>
        </w:rPr>
        <w:t xml:space="preserve"> Burden Including </w:t>
      </w:r>
      <w:r w:rsidRPr="00756A57" w:rsidR="00D97A7F">
        <w:rPr>
          <w:b/>
          <w:bCs/>
          <w:caps/>
          <w:sz w:val="26"/>
          <w:szCs w:val="26"/>
        </w:rPr>
        <w:t>the</w:t>
      </w:r>
      <w:r w:rsidRPr="00756A57">
        <w:rPr>
          <w:b/>
          <w:bCs/>
          <w:caps/>
          <w:sz w:val="26"/>
          <w:szCs w:val="26"/>
        </w:rPr>
        <w:t xml:space="preserve"> Need </w:t>
      </w:r>
      <w:r w:rsidRPr="00756A57" w:rsidR="00D97A7F">
        <w:rPr>
          <w:b/>
          <w:bCs/>
          <w:caps/>
          <w:sz w:val="26"/>
          <w:szCs w:val="26"/>
        </w:rPr>
        <w:t>for</w:t>
      </w:r>
      <w:r w:rsidRPr="00756A57">
        <w:rPr>
          <w:b/>
          <w:bCs/>
          <w:caps/>
          <w:sz w:val="26"/>
          <w:szCs w:val="26"/>
        </w:rPr>
        <w:t xml:space="preserve"> Any Increase</w:t>
      </w:r>
    </w:p>
    <w:p w:rsidR="00F32C60" w:rsidRPr="00756A57" w:rsidP="00F32C60" w14:paraId="5F0CE272" w14:textId="77777777">
      <w:pPr>
        <w:rPr>
          <w:sz w:val="26"/>
          <w:szCs w:val="26"/>
        </w:rPr>
      </w:pPr>
    </w:p>
    <w:p w:rsidR="00F32C60" w:rsidP="00F32C60" w14:paraId="0C581878" w14:textId="77777777">
      <w:pPr>
        <w:rPr>
          <w:sz w:val="26"/>
          <w:szCs w:val="26"/>
        </w:rPr>
      </w:pPr>
      <w:r>
        <w:rPr>
          <w:sz w:val="26"/>
          <w:szCs w:val="26"/>
        </w:rPr>
        <w:t>There are no program changes and there are no adjustments.</w:t>
      </w:r>
    </w:p>
    <w:p w:rsidR="000918DE" w:rsidRPr="00756A57" w:rsidP="00F32C60" w14:paraId="2AAF5A09" w14:textId="77777777">
      <w:pPr>
        <w:rPr>
          <w:sz w:val="26"/>
          <w:szCs w:val="26"/>
        </w:rPr>
      </w:pPr>
    </w:p>
    <w:p w:rsidR="002652E7" w:rsidRPr="00756A57" w:rsidP="00851366" w14:paraId="241DC5B7" w14:textId="77777777">
      <w:pPr>
        <w:widowControl/>
        <w:ind w:left="720" w:hanging="720"/>
        <w:rPr>
          <w:b/>
          <w:sz w:val="26"/>
          <w:szCs w:val="26"/>
        </w:rPr>
      </w:pPr>
      <w:r w:rsidRPr="00756A57">
        <w:rPr>
          <w:b/>
          <w:sz w:val="26"/>
          <w:szCs w:val="26"/>
        </w:rPr>
        <w:t>16.</w:t>
      </w:r>
      <w:r w:rsidRPr="00756A57">
        <w:rPr>
          <w:b/>
          <w:sz w:val="26"/>
          <w:szCs w:val="26"/>
        </w:rPr>
        <w:tab/>
      </w:r>
      <w:r w:rsidRPr="00756A57">
        <w:rPr>
          <w:b/>
          <w:caps/>
          <w:sz w:val="26"/>
          <w:szCs w:val="26"/>
        </w:rPr>
        <w:t xml:space="preserve">Time Schedule </w:t>
      </w:r>
      <w:r w:rsidRPr="00756A57" w:rsidR="004B63E2">
        <w:rPr>
          <w:b/>
          <w:caps/>
          <w:sz w:val="26"/>
          <w:szCs w:val="26"/>
        </w:rPr>
        <w:t>for</w:t>
      </w:r>
      <w:r w:rsidRPr="00756A57">
        <w:rPr>
          <w:b/>
          <w:caps/>
          <w:sz w:val="26"/>
          <w:szCs w:val="26"/>
        </w:rPr>
        <w:t xml:space="preserve"> Publication </w:t>
      </w:r>
      <w:r w:rsidRPr="00756A57" w:rsidR="004B63E2">
        <w:rPr>
          <w:b/>
          <w:caps/>
          <w:sz w:val="26"/>
          <w:szCs w:val="26"/>
        </w:rPr>
        <w:t>of</w:t>
      </w:r>
      <w:r w:rsidRPr="00756A57">
        <w:rPr>
          <w:b/>
          <w:caps/>
          <w:sz w:val="26"/>
          <w:szCs w:val="26"/>
        </w:rPr>
        <w:t xml:space="preserve"> Data</w:t>
      </w:r>
    </w:p>
    <w:p w:rsidR="00466F51" w:rsidRPr="00756A57" w:rsidP="00851366" w14:paraId="2536CB09" w14:textId="77777777">
      <w:pPr>
        <w:widowControl/>
        <w:ind w:left="720" w:hanging="720"/>
        <w:rPr>
          <w:b/>
          <w:sz w:val="26"/>
          <w:szCs w:val="26"/>
        </w:rPr>
      </w:pPr>
    </w:p>
    <w:p w:rsidR="00466F51" w:rsidRPr="00756A57" w:rsidP="00E00B74" w14:paraId="4217CBAC" w14:textId="77777777">
      <w:pPr>
        <w:widowControl/>
        <w:rPr>
          <w:sz w:val="26"/>
          <w:szCs w:val="26"/>
        </w:rPr>
      </w:pPr>
      <w:r w:rsidRPr="00756A57">
        <w:rPr>
          <w:sz w:val="26"/>
          <w:szCs w:val="26"/>
        </w:rPr>
        <w:t>There is no publication of the data.</w:t>
      </w:r>
    </w:p>
    <w:p w:rsidR="00466F51" w:rsidRPr="00756A57" w:rsidP="00851366" w14:paraId="25ED5031" w14:textId="77777777">
      <w:pPr>
        <w:widowControl/>
        <w:ind w:left="720" w:hanging="720"/>
        <w:rPr>
          <w:b/>
          <w:sz w:val="26"/>
          <w:szCs w:val="26"/>
        </w:rPr>
      </w:pPr>
    </w:p>
    <w:p w:rsidR="002652E7" w:rsidRPr="00756A57" w:rsidP="00851366" w14:paraId="1C2A1EF3" w14:textId="77777777">
      <w:pPr>
        <w:widowControl/>
        <w:tabs>
          <w:tab w:val="left" w:pos="-1440"/>
        </w:tabs>
        <w:ind w:left="720" w:hanging="720"/>
        <w:rPr>
          <w:b/>
          <w:bCs/>
          <w:sz w:val="26"/>
          <w:szCs w:val="26"/>
        </w:rPr>
      </w:pPr>
      <w:r w:rsidRPr="00756A57">
        <w:rPr>
          <w:b/>
          <w:sz w:val="26"/>
          <w:szCs w:val="26"/>
        </w:rPr>
        <w:t>17.</w:t>
      </w:r>
      <w:r w:rsidRPr="00756A57">
        <w:rPr>
          <w:b/>
          <w:sz w:val="26"/>
          <w:szCs w:val="26"/>
        </w:rPr>
        <w:tab/>
      </w:r>
      <w:r w:rsidRPr="00756A57">
        <w:rPr>
          <w:b/>
          <w:bCs/>
          <w:caps/>
          <w:sz w:val="26"/>
          <w:szCs w:val="26"/>
        </w:rPr>
        <w:t xml:space="preserve">Display </w:t>
      </w:r>
      <w:r w:rsidRPr="00756A57" w:rsidR="004B63E2">
        <w:rPr>
          <w:b/>
          <w:bCs/>
          <w:caps/>
          <w:sz w:val="26"/>
          <w:szCs w:val="26"/>
        </w:rPr>
        <w:t>of</w:t>
      </w:r>
      <w:r w:rsidRPr="00756A57">
        <w:rPr>
          <w:b/>
          <w:bCs/>
          <w:caps/>
          <w:sz w:val="26"/>
          <w:szCs w:val="26"/>
        </w:rPr>
        <w:t xml:space="preserve"> </w:t>
      </w:r>
      <w:r w:rsidRPr="00756A57" w:rsidR="004B63E2">
        <w:rPr>
          <w:b/>
          <w:bCs/>
          <w:caps/>
          <w:sz w:val="26"/>
          <w:szCs w:val="26"/>
        </w:rPr>
        <w:t>the</w:t>
      </w:r>
      <w:r w:rsidRPr="00756A57">
        <w:rPr>
          <w:b/>
          <w:bCs/>
          <w:caps/>
          <w:sz w:val="26"/>
          <w:szCs w:val="26"/>
        </w:rPr>
        <w:t xml:space="preserve"> Expiration Date</w:t>
      </w:r>
    </w:p>
    <w:p w:rsidR="00466F51" w:rsidRPr="00756A57" w:rsidP="00851366" w14:paraId="16F21E21" w14:textId="77777777">
      <w:pPr>
        <w:widowControl/>
        <w:tabs>
          <w:tab w:val="left" w:pos="-1440"/>
        </w:tabs>
        <w:ind w:left="720" w:hanging="720"/>
        <w:rPr>
          <w:b/>
          <w:bCs/>
          <w:sz w:val="26"/>
          <w:szCs w:val="26"/>
        </w:rPr>
      </w:pPr>
    </w:p>
    <w:p w:rsidR="00466F51" w:rsidRPr="00756A57" w:rsidP="00E31580" w14:paraId="617AA743" w14:textId="77777777">
      <w:pPr>
        <w:widowControl/>
        <w:tabs>
          <w:tab w:val="left" w:pos="-1440"/>
        </w:tabs>
        <w:rPr>
          <w:sz w:val="26"/>
          <w:szCs w:val="26"/>
        </w:rPr>
      </w:pPr>
      <w:r w:rsidRPr="00756A57">
        <w:rPr>
          <w:sz w:val="26"/>
          <w:szCs w:val="26"/>
        </w:rPr>
        <w:t xml:space="preserve">The expiration date is displayed in a table posted on ferc.gov at </w:t>
      </w:r>
      <w:hyperlink r:id="rId10" w:history="1">
        <w:r w:rsidRPr="007349B5" w:rsidR="007349B5">
          <w:rPr>
            <w:rStyle w:val="Hyperlink"/>
            <w:sz w:val="26"/>
            <w:szCs w:val="26"/>
          </w:rPr>
          <w:t>Info</w:t>
        </w:r>
        <w:r w:rsidRPr="007349B5" w:rsidR="007349B5">
          <w:rPr>
            <w:rStyle w:val="Hyperlink"/>
            <w:sz w:val="26"/>
            <w:szCs w:val="26"/>
          </w:rPr>
          <w:t>r</w:t>
        </w:r>
        <w:r w:rsidRPr="007349B5" w:rsidR="007349B5">
          <w:rPr>
            <w:rStyle w:val="Hyperlink"/>
            <w:sz w:val="26"/>
            <w:szCs w:val="26"/>
          </w:rPr>
          <w:t>mation-Collections-8-31-2022.xlsx</w:t>
        </w:r>
      </w:hyperlink>
      <w:r w:rsidR="007349B5">
        <w:rPr>
          <w:sz w:val="26"/>
          <w:szCs w:val="26"/>
        </w:rPr>
        <w:t>.</w:t>
      </w:r>
    </w:p>
    <w:p w:rsidR="00E31580" w:rsidRPr="00756A57" w:rsidP="00851366" w14:paraId="396F95EC" w14:textId="77777777">
      <w:pPr>
        <w:widowControl/>
        <w:tabs>
          <w:tab w:val="left" w:pos="-1440"/>
        </w:tabs>
        <w:ind w:left="720" w:hanging="720"/>
        <w:rPr>
          <w:b/>
          <w:bCs/>
          <w:sz w:val="26"/>
          <w:szCs w:val="26"/>
        </w:rPr>
      </w:pPr>
    </w:p>
    <w:p w:rsidR="002652E7" w:rsidRPr="00756A57" w:rsidP="00851366" w14:paraId="08D75DBF" w14:textId="77777777">
      <w:pPr>
        <w:widowControl/>
        <w:ind w:left="720" w:hanging="720"/>
        <w:rPr>
          <w:b/>
          <w:bCs/>
          <w:caps/>
          <w:sz w:val="26"/>
          <w:szCs w:val="26"/>
        </w:rPr>
      </w:pPr>
      <w:r w:rsidRPr="00756A57">
        <w:rPr>
          <w:b/>
          <w:sz w:val="26"/>
          <w:szCs w:val="26"/>
        </w:rPr>
        <w:t>18.</w:t>
      </w:r>
      <w:r w:rsidRPr="00756A57" w:rsidR="000A047D">
        <w:rPr>
          <w:b/>
          <w:sz w:val="26"/>
          <w:szCs w:val="26"/>
        </w:rPr>
        <w:tab/>
      </w:r>
      <w:r w:rsidRPr="00756A57">
        <w:rPr>
          <w:b/>
          <w:bCs/>
          <w:caps/>
          <w:sz w:val="26"/>
          <w:szCs w:val="26"/>
        </w:rPr>
        <w:t xml:space="preserve">Exceptions </w:t>
      </w:r>
      <w:r w:rsidRPr="00756A57" w:rsidR="004B63E2">
        <w:rPr>
          <w:b/>
          <w:bCs/>
          <w:caps/>
          <w:sz w:val="26"/>
          <w:szCs w:val="26"/>
        </w:rPr>
        <w:t>to</w:t>
      </w:r>
      <w:r w:rsidRPr="00756A57">
        <w:rPr>
          <w:b/>
          <w:bCs/>
          <w:caps/>
          <w:sz w:val="26"/>
          <w:szCs w:val="26"/>
        </w:rPr>
        <w:t xml:space="preserve"> </w:t>
      </w:r>
      <w:r w:rsidRPr="00756A57" w:rsidR="004B63E2">
        <w:rPr>
          <w:b/>
          <w:bCs/>
          <w:caps/>
          <w:sz w:val="26"/>
          <w:szCs w:val="26"/>
        </w:rPr>
        <w:t>the</w:t>
      </w:r>
      <w:r w:rsidRPr="00756A57">
        <w:rPr>
          <w:b/>
          <w:bCs/>
          <w:caps/>
          <w:sz w:val="26"/>
          <w:szCs w:val="26"/>
        </w:rPr>
        <w:t xml:space="preserve"> Certification Statement</w:t>
      </w:r>
    </w:p>
    <w:p w:rsidR="00466F51" w:rsidRPr="00756A57" w:rsidP="00851366" w14:paraId="49342827" w14:textId="77777777">
      <w:pPr>
        <w:widowControl/>
        <w:ind w:left="720" w:hanging="720"/>
        <w:rPr>
          <w:b/>
          <w:bCs/>
          <w:sz w:val="26"/>
          <w:szCs w:val="26"/>
        </w:rPr>
      </w:pPr>
    </w:p>
    <w:p w:rsidR="00F30EB0" w:rsidRPr="00756A57" w:rsidP="00E31580" w14:paraId="70F529BF" w14:textId="77777777">
      <w:pPr>
        <w:widowControl/>
        <w:rPr>
          <w:bCs/>
          <w:sz w:val="26"/>
          <w:szCs w:val="26"/>
        </w:rPr>
      </w:pPr>
      <w:r w:rsidRPr="00756A57">
        <w:rPr>
          <w:sz w:val="26"/>
          <w:szCs w:val="26"/>
        </w:rPr>
        <w:t>There are no exceptions.</w:t>
      </w:r>
    </w:p>
    <w:sectPr w:rsidSect="00A34358">
      <w:headerReference w:type="default" r:id="rId11"/>
      <w:footerReference w:type="even" r:id="rId12"/>
      <w:footerReference w:type="default" r:id="rId13"/>
      <w:type w:val="continuous"/>
      <w:pgSz w:w="12240" w:h="15840"/>
      <w:pgMar w:top="1440" w:right="1440" w:bottom="1440" w:left="1440" w:header="446" w:footer="691"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MODMN+ArialNarrow">
    <w:altName w:val="Arial Narrow"/>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43A0" w:rsidP="0050727A" w14:paraId="4009DA4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043A0" w:rsidP="004C5162" w14:paraId="5507530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43A0" w14:paraId="0D6ECC37" w14:textId="77777777">
    <w:pPr>
      <w:pStyle w:val="Footer"/>
      <w:jc w:val="right"/>
    </w:pPr>
    <w:r>
      <w:fldChar w:fldCharType="begin"/>
    </w:r>
    <w:r>
      <w:instrText xml:space="preserve"> PAGE   \* MERGEFORMAT </w:instrText>
    </w:r>
    <w:r>
      <w:fldChar w:fldCharType="separate"/>
    </w:r>
    <w:r w:rsidR="00E601C7">
      <w:rPr>
        <w:noProof/>
      </w:rPr>
      <w:t>1</w:t>
    </w:r>
    <w:r>
      <w:rPr>
        <w:noProof/>
      </w:rPr>
      <w:fldChar w:fldCharType="end"/>
    </w:r>
  </w:p>
  <w:p w:rsidR="000043A0" w:rsidRPr="00115923" w:rsidP="004C5162" w14:paraId="6E9CFF24" w14:textId="77777777">
    <w:pPr>
      <w:pStyle w:val="Footer"/>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C28E3" w14:paraId="084F6C77" w14:textId="77777777">
      <w:r>
        <w:separator/>
      </w:r>
    </w:p>
  </w:footnote>
  <w:footnote w:type="continuationSeparator" w:id="1">
    <w:p w:rsidR="009C28E3" w14:paraId="3C41D183" w14:textId="77777777">
      <w:r>
        <w:continuationSeparator/>
      </w:r>
    </w:p>
  </w:footnote>
  <w:footnote w:id="2">
    <w:p w:rsidR="00C602FA" w:rsidRPr="001B5033" w:rsidP="00C602FA" w14:paraId="4F43F007" w14:textId="77777777">
      <w:pPr>
        <w:pStyle w:val="FootnoteText"/>
        <w:rPr>
          <w:sz w:val="26"/>
          <w:szCs w:val="26"/>
        </w:rPr>
      </w:pPr>
      <w:r w:rsidRPr="00A55C7A">
        <w:rPr>
          <w:sz w:val="26"/>
          <w:szCs w:val="26"/>
          <w:vertAlign w:val="superscript"/>
        </w:rPr>
        <w:footnoteRef/>
      </w:r>
      <w:r w:rsidRPr="00A55C7A">
        <w:rPr>
          <w:sz w:val="26"/>
          <w:szCs w:val="26"/>
        </w:rPr>
        <w:t xml:space="preserve"> 16 U.S.C. 824v, 825f</w:t>
      </w:r>
      <w:r w:rsidRPr="00A55C7A" w:rsidR="00095169">
        <w:rPr>
          <w:sz w:val="26"/>
          <w:szCs w:val="26"/>
        </w:rPr>
        <w:t>(a).</w:t>
      </w:r>
    </w:p>
  </w:footnote>
  <w:footnote w:id="3">
    <w:p w:rsidR="001B5033" w:rsidRPr="001B5033" w:rsidP="001B5033" w14:paraId="7C5C18A0" w14:textId="77777777">
      <w:pPr>
        <w:pStyle w:val="FootnoteText"/>
        <w:rPr>
          <w:sz w:val="26"/>
        </w:rPr>
      </w:pPr>
      <w:r w:rsidRPr="001B5033">
        <w:rPr>
          <w:rStyle w:val="FootnoteReference"/>
          <w:sz w:val="26"/>
          <w:vertAlign w:val="superscript"/>
        </w:rPr>
        <w:footnoteRef/>
      </w:r>
      <w:r w:rsidRPr="001B5033">
        <w:rPr>
          <w:sz w:val="26"/>
        </w:rPr>
        <w:t xml:space="preserve"> E-Tag Authors are typically Purchasing-Selling Entities. A Purchasing-Selling Entity is the entity that purchases or sells, and takes title to, energy, capacity, and Interconnected Operations Services. Purchasing-Selling Entities may be affiliated or unaffiliated merchants and may or may not own generating facilities. See NAESB Electronic Tagging Functional Specifications, Version 1.8.1.1, at 15.</w:t>
      </w:r>
    </w:p>
  </w:footnote>
  <w:footnote w:id="4">
    <w:p w:rsidR="001B5033" w14:paraId="7429BB64" w14:textId="77777777">
      <w:pPr>
        <w:pStyle w:val="FootnoteText"/>
      </w:pPr>
      <w:r w:rsidRPr="001B5033">
        <w:rPr>
          <w:rStyle w:val="FootnoteReference"/>
          <w:sz w:val="26"/>
          <w:vertAlign w:val="superscript"/>
        </w:rPr>
        <w:footnoteRef/>
      </w:r>
      <w:r w:rsidRPr="001B5033">
        <w:rPr>
          <w:sz w:val="26"/>
        </w:rPr>
        <w:t xml:space="preserve"> A Balancing Authority is responsible for integrating resource plans ahead of time, maintaining load-interchange-generation balance within a Balancing Authority Area and supporting Interconnection frequency in real-time. See NAESB Electronic Tagging Functional Specifications, Version 1.8.1.1, at 10.</w:t>
      </w:r>
    </w:p>
  </w:footnote>
  <w:footnote w:id="5">
    <w:p w:rsidR="00BE335C" w:rsidRPr="00A55C7A" w14:paraId="0006E28B" w14:textId="77777777">
      <w:pPr>
        <w:pStyle w:val="FootnoteText"/>
        <w:rPr>
          <w:sz w:val="26"/>
        </w:rPr>
      </w:pPr>
      <w:r w:rsidRPr="007349B5">
        <w:rPr>
          <w:rStyle w:val="FootnoteReference"/>
          <w:sz w:val="26"/>
          <w:vertAlign w:val="superscript"/>
        </w:rPr>
        <w:footnoteRef/>
      </w:r>
      <w:r w:rsidRPr="00A55C7A">
        <w:rPr>
          <w:sz w:val="26"/>
        </w:rPr>
        <w:t xml:space="preserve"> 77 FR 76367 (December 28, 2012).</w:t>
      </w:r>
    </w:p>
  </w:footnote>
  <w:footnote w:id="6">
    <w:p w:rsidR="000043A0" w:rsidRPr="00A55C7A" w:rsidP="007F4234" w14:paraId="232DA1AD" w14:textId="77777777">
      <w:pPr>
        <w:pStyle w:val="FootnoteText"/>
        <w:rPr>
          <w:sz w:val="26"/>
          <w:szCs w:val="26"/>
        </w:rPr>
      </w:pPr>
      <w:r w:rsidRPr="00A55C7A">
        <w:rPr>
          <w:rStyle w:val="FootnoteReference"/>
          <w:sz w:val="26"/>
          <w:szCs w:val="26"/>
          <w:vertAlign w:val="superscript"/>
        </w:rPr>
        <w:footnoteRef/>
      </w:r>
      <w:r w:rsidRPr="00A55C7A">
        <w:rPr>
          <w:sz w:val="26"/>
          <w:szCs w:val="26"/>
        </w:rPr>
        <w:t xml:space="preserve"> Market participants currently treat </w:t>
      </w:r>
      <w:r w:rsidRPr="00A55C7A" w:rsidR="00403824">
        <w:rPr>
          <w:sz w:val="26"/>
          <w:szCs w:val="26"/>
        </w:rPr>
        <w:t>E-Tags</w:t>
      </w:r>
      <w:r w:rsidRPr="00A55C7A">
        <w:rPr>
          <w:sz w:val="26"/>
          <w:szCs w:val="26"/>
        </w:rPr>
        <w:t xml:space="preserve"> as confidential because they contain potentially commercially sensitive information.  </w:t>
      </w:r>
      <w:r w:rsidRPr="00A55C7A">
        <w:rPr>
          <w:i/>
          <w:sz w:val="26"/>
          <w:szCs w:val="26"/>
        </w:rPr>
        <w:t>See</w:t>
      </w:r>
      <w:r w:rsidRPr="00A55C7A">
        <w:rPr>
          <w:sz w:val="26"/>
          <w:szCs w:val="26"/>
        </w:rPr>
        <w:t xml:space="preserve"> NAESB Electronic Tagging Functional Specifications, section 1.4.2.1, Version 1.8.1.1, at 26.</w:t>
      </w:r>
    </w:p>
  </w:footnote>
  <w:footnote w:id="7">
    <w:p w:rsidR="000043A0" w:rsidRPr="00A55C7A" w:rsidP="007F4234" w14:paraId="28A01FA6" w14:textId="77777777">
      <w:pPr>
        <w:pStyle w:val="FootnoteText"/>
        <w:rPr>
          <w:sz w:val="26"/>
          <w:szCs w:val="26"/>
        </w:rPr>
      </w:pPr>
      <w:r w:rsidRPr="00A55C7A">
        <w:rPr>
          <w:rStyle w:val="FootnoteReference"/>
          <w:sz w:val="26"/>
          <w:szCs w:val="26"/>
          <w:vertAlign w:val="superscript"/>
        </w:rPr>
        <w:footnoteRef/>
      </w:r>
      <w:r w:rsidRPr="00A55C7A">
        <w:rPr>
          <w:sz w:val="26"/>
          <w:szCs w:val="26"/>
          <w:vertAlign w:val="superscript"/>
        </w:rPr>
        <w:t xml:space="preserve"> </w:t>
      </w:r>
      <w:r w:rsidRPr="00A55C7A">
        <w:rPr>
          <w:sz w:val="26"/>
          <w:szCs w:val="26"/>
        </w:rPr>
        <w:t xml:space="preserve">The Commission has granted requests for privileged or confidential treatment of similar non-public data.  </w:t>
      </w:r>
      <w:r w:rsidRPr="00A55C7A">
        <w:rPr>
          <w:i/>
          <w:sz w:val="26"/>
          <w:szCs w:val="26"/>
        </w:rPr>
        <w:t>See, e.g., N.Y. Indep. Sys. Operator, Inc.</w:t>
      </w:r>
      <w:r w:rsidRPr="00A55C7A">
        <w:rPr>
          <w:sz w:val="26"/>
          <w:szCs w:val="26"/>
        </w:rPr>
        <w:t xml:space="preserve">, 131 FERC ¶ 61,169, at P 15 (2010) (granting such treatment for data relating to specific generator or other equipment details, transmission system information, bidding strategies, generator reference levels, generator costs, guarantee payments, and the associated relevant time periods); </w:t>
      </w:r>
      <w:r w:rsidRPr="00A55C7A">
        <w:rPr>
          <w:i/>
          <w:sz w:val="26"/>
          <w:szCs w:val="26"/>
        </w:rPr>
        <w:t>see also S. Cal. Edison Co</w:t>
      </w:r>
      <w:r w:rsidRPr="00A55C7A">
        <w:rPr>
          <w:sz w:val="26"/>
          <w:szCs w:val="26"/>
        </w:rPr>
        <w:t xml:space="preserve">., 135 FERC ¶ 61,201, at P 20 (2011); </w:t>
      </w:r>
      <w:r w:rsidRPr="00A55C7A">
        <w:rPr>
          <w:i/>
          <w:sz w:val="26"/>
          <w:szCs w:val="26"/>
        </w:rPr>
        <w:t>Hydrogen Energy Cal. LLC</w:t>
      </w:r>
      <w:r w:rsidRPr="00A55C7A">
        <w:rPr>
          <w:sz w:val="26"/>
          <w:szCs w:val="26"/>
        </w:rPr>
        <w:t xml:space="preserve">, 135 FERC ¶ 61,068, at P 25 (2011); </w:t>
      </w:r>
      <w:r w:rsidRPr="00A55C7A">
        <w:rPr>
          <w:i/>
          <w:sz w:val="26"/>
          <w:szCs w:val="26"/>
        </w:rPr>
        <w:t>N.Y. Indep. Sys. Operator, Inc</w:t>
      </w:r>
      <w:r w:rsidRPr="00A55C7A">
        <w:rPr>
          <w:sz w:val="26"/>
          <w:szCs w:val="26"/>
        </w:rPr>
        <w:t>., 130 FERC ¶ 61,029, at P 3 (2010).</w:t>
      </w:r>
    </w:p>
  </w:footnote>
  <w:footnote w:id="8">
    <w:p w:rsidR="000043A0" w:rsidRPr="00A55C7A" w:rsidP="007F4234" w14:paraId="21EAF474" w14:textId="77777777">
      <w:pPr>
        <w:pStyle w:val="FootnoteText"/>
        <w:rPr>
          <w:sz w:val="26"/>
          <w:szCs w:val="22"/>
        </w:rPr>
      </w:pPr>
      <w:r w:rsidRPr="00A55C7A">
        <w:rPr>
          <w:rStyle w:val="FootnoteReference"/>
          <w:sz w:val="26"/>
          <w:szCs w:val="26"/>
          <w:vertAlign w:val="superscript"/>
        </w:rPr>
        <w:footnoteRef/>
      </w:r>
      <w:r w:rsidRPr="00A55C7A">
        <w:rPr>
          <w:sz w:val="26"/>
          <w:szCs w:val="26"/>
          <w:vertAlign w:val="superscript"/>
        </w:rPr>
        <w:t xml:space="preserve"> </w:t>
      </w:r>
      <w:r w:rsidRPr="00A55C7A">
        <w:rPr>
          <w:sz w:val="26"/>
          <w:szCs w:val="26"/>
        </w:rPr>
        <w:t xml:space="preserve">FOIA exemption 4 protects “trade secrets and commercial or financial information obtained from a person [that is] privileged or confidential.”  5 U.S.C. 552(b)(4) (2006), </w:t>
      </w:r>
      <w:r w:rsidRPr="00A55C7A">
        <w:rPr>
          <w:i/>
          <w:sz w:val="26"/>
          <w:szCs w:val="26"/>
        </w:rPr>
        <w:t>amended by</w:t>
      </w:r>
      <w:r w:rsidRPr="00A55C7A">
        <w:rPr>
          <w:sz w:val="26"/>
          <w:szCs w:val="26"/>
        </w:rPr>
        <w:t xml:space="preserve"> Open Government Act of 2007, Pub. L. No. 110-175, 121 Sta. 2524 (2007); </w:t>
      </w:r>
      <w:r w:rsidRPr="00A55C7A">
        <w:rPr>
          <w:i/>
          <w:sz w:val="26"/>
          <w:szCs w:val="26"/>
        </w:rPr>
        <w:t>accord</w:t>
      </w:r>
      <w:r w:rsidRPr="00A55C7A">
        <w:rPr>
          <w:sz w:val="26"/>
          <w:szCs w:val="26"/>
        </w:rPr>
        <w:t xml:space="preserve"> 18 CFR 338.107(d).</w:t>
      </w:r>
      <w:r w:rsidRPr="00A55C7A">
        <w:rPr>
          <w:sz w:val="26"/>
          <w:szCs w:val="22"/>
        </w:rPr>
        <w:t xml:space="preserve">  </w:t>
      </w:r>
    </w:p>
  </w:footnote>
  <w:footnote w:id="9">
    <w:p w:rsidR="000043A0" w:rsidRPr="00A55C7A" w:rsidP="007F4234" w14:paraId="4DB0D51D" w14:textId="77777777">
      <w:pPr>
        <w:pStyle w:val="FootnoteText"/>
        <w:rPr>
          <w:sz w:val="26"/>
          <w:szCs w:val="26"/>
        </w:rPr>
      </w:pPr>
      <w:r w:rsidRPr="00A55C7A">
        <w:rPr>
          <w:rStyle w:val="FootnoteReference"/>
          <w:sz w:val="26"/>
          <w:szCs w:val="26"/>
          <w:vertAlign w:val="superscript"/>
        </w:rPr>
        <w:footnoteRef/>
      </w:r>
      <w:r w:rsidRPr="00A55C7A">
        <w:rPr>
          <w:sz w:val="26"/>
          <w:szCs w:val="26"/>
        </w:rPr>
        <w:t xml:space="preserve"> </w:t>
      </w:r>
      <w:r w:rsidRPr="00A55C7A">
        <w:rPr>
          <w:i/>
          <w:sz w:val="26"/>
          <w:szCs w:val="26"/>
        </w:rPr>
        <w:t>See Southwest Power Pool, Inc.</w:t>
      </w:r>
      <w:r w:rsidRPr="00A55C7A">
        <w:rPr>
          <w:sz w:val="26"/>
          <w:szCs w:val="26"/>
        </w:rPr>
        <w:t xml:space="preserve">, 129 FERC ¶ 61,163 (2009), </w:t>
      </w:r>
      <w:r w:rsidRPr="00A55C7A">
        <w:rPr>
          <w:i/>
          <w:sz w:val="26"/>
          <w:szCs w:val="26"/>
        </w:rPr>
        <w:t>order on reh’g</w:t>
      </w:r>
      <w:r w:rsidRPr="00A55C7A">
        <w:rPr>
          <w:sz w:val="26"/>
          <w:szCs w:val="26"/>
        </w:rPr>
        <w:t xml:space="preserve">, 137 FERC ¶ 61,046 (2011); </w:t>
      </w:r>
      <w:r w:rsidRPr="00A55C7A">
        <w:rPr>
          <w:i/>
          <w:sz w:val="26"/>
          <w:szCs w:val="26"/>
        </w:rPr>
        <w:t>N. Y. Indep. Sys. Operator, Inc.</w:t>
      </w:r>
      <w:r w:rsidRPr="00A55C7A">
        <w:rPr>
          <w:sz w:val="26"/>
          <w:szCs w:val="26"/>
        </w:rPr>
        <w:t xml:space="preserve">, 136 FERC ¶ 61,116 (2011).  </w:t>
      </w:r>
    </w:p>
  </w:footnote>
  <w:footnote w:id="10">
    <w:p w:rsidR="00D91634" w:rsidRPr="00A55C7A" w:rsidP="00D91634" w14:paraId="13ECA49C" w14:textId="77777777">
      <w:pPr>
        <w:pStyle w:val="FootnoteText"/>
        <w:rPr>
          <w:rFonts w:ascii="Calibri" w:hAnsi="Calibri"/>
          <w:sz w:val="26"/>
          <w:szCs w:val="26"/>
        </w:rPr>
      </w:pPr>
      <w:r w:rsidRPr="00A55C7A">
        <w:rPr>
          <w:rStyle w:val="FootnoteReference"/>
          <w:sz w:val="26"/>
          <w:vertAlign w:val="superscript"/>
        </w:rPr>
        <w:footnoteRef/>
      </w:r>
      <w:r w:rsidRPr="00A55C7A">
        <w:rPr>
          <w:sz w:val="26"/>
          <w:szCs w:val="26"/>
        </w:rPr>
        <w:t xml:space="preserve"> “Burden” is the total time, effort, or financial resources expended by persons to generate, maintain, retain, or disclose or provide information to or for a Federal agency. For further explanation of what is included in the information collection burden, refer to 5 CFR Part 1320.</w:t>
      </w:r>
    </w:p>
  </w:footnote>
  <w:footnote w:id="11">
    <w:p w:rsidR="00D91634" w:rsidRPr="00A55C7A" w:rsidP="00D91634" w14:paraId="7873BDCC" w14:textId="77777777">
      <w:pPr>
        <w:pStyle w:val="FootnoteText"/>
        <w:rPr>
          <w:sz w:val="26"/>
        </w:rPr>
      </w:pPr>
      <w:r w:rsidRPr="004D4AC0">
        <w:rPr>
          <w:rStyle w:val="FootnoteReference"/>
          <w:sz w:val="26"/>
          <w:vertAlign w:val="superscript"/>
        </w:rPr>
        <w:footnoteRef/>
      </w:r>
      <w:r w:rsidRPr="00A55C7A">
        <w:rPr>
          <w:sz w:val="26"/>
        </w:rPr>
        <w:t xml:space="preserve"> The estimated hourly cost (wages plus benefits) provided in this section is based on the figures for June 2022 posted by the Bureau of Labor Statistics for the Utilities sector (available at https://www.bls.gov/oes/current/naics2_22.htm), assuming:</w:t>
      </w:r>
    </w:p>
    <w:p w:rsidR="00D91634" w:rsidRPr="00A55C7A" w:rsidP="00D91634" w14:paraId="0B45461B" w14:textId="77777777">
      <w:pPr>
        <w:pStyle w:val="FootnoteText"/>
        <w:rPr>
          <w:sz w:val="26"/>
        </w:rPr>
      </w:pPr>
    </w:p>
    <w:p w:rsidR="00D91634" w:rsidRPr="00A55C7A" w:rsidP="00D91634" w14:paraId="7B9F2B2F" w14:textId="77777777">
      <w:pPr>
        <w:pStyle w:val="FootnoteText"/>
        <w:numPr>
          <w:ilvl w:val="0"/>
          <w:numId w:val="30"/>
        </w:numPr>
        <w:rPr>
          <w:sz w:val="26"/>
        </w:rPr>
      </w:pPr>
      <w:r w:rsidRPr="00A55C7A">
        <w:rPr>
          <w:sz w:val="26"/>
        </w:rPr>
        <w:t>15 minutes legal (code 23-0000), at $73.09/hour median hourly wage.</w:t>
      </w:r>
    </w:p>
    <w:p w:rsidR="00D91634" w:rsidRPr="00A55C7A" w:rsidP="00D91634" w14:paraId="24489ED1" w14:textId="77777777">
      <w:pPr>
        <w:pStyle w:val="FootnoteText"/>
        <w:numPr>
          <w:ilvl w:val="0"/>
          <w:numId w:val="30"/>
        </w:numPr>
        <w:rPr>
          <w:sz w:val="26"/>
        </w:rPr>
      </w:pPr>
      <w:r w:rsidRPr="00A55C7A">
        <w:rPr>
          <w:sz w:val="26"/>
        </w:rPr>
        <w:t>45 minutes information and record clerk (code 43-4199), at $24.84/hour median hourly wage.</w:t>
      </w:r>
    </w:p>
    <w:p w:rsidR="00D91634" w:rsidRPr="00A55C7A" w:rsidP="00D91634" w14:paraId="11016B68" w14:textId="77777777">
      <w:pPr>
        <w:pStyle w:val="FootnoteText"/>
        <w:numPr>
          <w:ilvl w:val="0"/>
          <w:numId w:val="30"/>
        </w:numPr>
        <w:rPr>
          <w:sz w:val="26"/>
        </w:rPr>
      </w:pPr>
      <w:r w:rsidRPr="00A55C7A">
        <w:rPr>
          <w:sz w:val="26"/>
        </w:rPr>
        <w:t>$36.90 = (15 minutes / 60 minutes) * $73.09/hour median hourly wage for legal + (45 minutes / 60 minutes) * $24.84/hour median hourly wage for information and record clerk.</w:t>
      </w:r>
    </w:p>
    <w:p w:rsidR="00D91634" w:rsidRPr="00A55C7A" w14:paraId="7E822016" w14:textId="77777777">
      <w:pPr>
        <w:pStyle w:val="FootnoteText"/>
        <w:rPr>
          <w:sz w:val="26"/>
        </w:rPr>
      </w:pPr>
    </w:p>
  </w:footnote>
  <w:footnote w:id="12">
    <w:p w:rsidR="00D91634" w:rsidRPr="00A55C7A" w:rsidP="007349B5" w14:paraId="6115EBBE" w14:textId="77777777">
      <w:pPr>
        <w:pStyle w:val="FootnoteText"/>
        <w:rPr>
          <w:sz w:val="26"/>
          <w:szCs w:val="26"/>
        </w:rPr>
      </w:pPr>
      <w:r w:rsidRPr="007349B5">
        <w:rPr>
          <w:rStyle w:val="FootnoteReference"/>
          <w:sz w:val="26"/>
          <w:vertAlign w:val="superscript"/>
        </w:rPr>
        <w:footnoteRef/>
      </w:r>
      <w:r w:rsidRPr="00A55C7A">
        <w:rPr>
          <w:sz w:val="26"/>
          <w:szCs w:val="26"/>
        </w:rPr>
        <w:t xml:space="preserve"> The estimated hourly cost (wages plus benefits) provided in this section is based on the figures for June 2022 posted by the Bureau of Labor Statistics for the Utilities sector (available at https://www.bls.gov/oes/current/naics2_22.htm), assuming:</w:t>
      </w:r>
    </w:p>
    <w:p w:rsidR="00D91634" w:rsidRPr="00A55C7A" w:rsidP="00D91634" w14:paraId="2101CCB0" w14:textId="77777777">
      <w:pPr>
        <w:pStyle w:val="FootnoteText"/>
        <w:widowControl/>
        <w:numPr>
          <w:ilvl w:val="0"/>
          <w:numId w:val="29"/>
        </w:numPr>
        <w:autoSpaceDE/>
        <w:autoSpaceDN/>
        <w:adjustRightInd/>
        <w:rPr>
          <w:sz w:val="26"/>
          <w:szCs w:val="26"/>
        </w:rPr>
      </w:pPr>
      <w:r w:rsidRPr="00A55C7A">
        <w:rPr>
          <w:sz w:val="26"/>
          <w:szCs w:val="26"/>
        </w:rPr>
        <w:t>15 minutes legal (code 23-0000), at $73.09/hour median hourly wage.</w:t>
      </w:r>
    </w:p>
    <w:p w:rsidR="00D91634" w:rsidRPr="00A55C7A" w:rsidP="00D91634" w14:paraId="5D164EA8" w14:textId="77777777">
      <w:pPr>
        <w:pStyle w:val="FootnoteText"/>
        <w:widowControl/>
        <w:numPr>
          <w:ilvl w:val="0"/>
          <w:numId w:val="29"/>
        </w:numPr>
        <w:autoSpaceDE/>
        <w:autoSpaceDN/>
        <w:adjustRightInd/>
        <w:rPr>
          <w:sz w:val="26"/>
          <w:szCs w:val="26"/>
        </w:rPr>
      </w:pPr>
      <w:r w:rsidRPr="00A55C7A">
        <w:rPr>
          <w:sz w:val="26"/>
          <w:szCs w:val="26"/>
        </w:rPr>
        <w:t>45 minutes information and record clerk (code 43-4199), at $24.84/hour median hourly wage.</w:t>
      </w:r>
    </w:p>
    <w:p w:rsidR="00D91634" w:rsidRPr="00A55C7A" w:rsidP="00D91634" w14:paraId="3BD47140" w14:textId="77777777">
      <w:pPr>
        <w:pStyle w:val="FootnoteText"/>
        <w:widowControl/>
        <w:numPr>
          <w:ilvl w:val="0"/>
          <w:numId w:val="29"/>
        </w:numPr>
        <w:autoSpaceDE/>
        <w:autoSpaceDN/>
        <w:adjustRightInd/>
        <w:rPr>
          <w:rFonts w:ascii="Calibri" w:hAnsi="Calibri"/>
          <w:sz w:val="26"/>
          <w:szCs w:val="26"/>
        </w:rPr>
      </w:pPr>
      <w:r w:rsidRPr="00A55C7A">
        <w:rPr>
          <w:sz w:val="26"/>
          <w:szCs w:val="26"/>
        </w:rPr>
        <w:t>$36.90 = (15 minutes / 60 minutes) * $73.09/hour median hourly wage for legal + (45 minutes / 60 minutes) * $24.84/hour median hourly wage for information and record clerk.</w:t>
      </w:r>
    </w:p>
  </w:footnote>
  <w:footnote w:id="13">
    <w:p w:rsidR="0071320C" w:rsidRPr="00A55C7A" w:rsidP="00B46976" w14:paraId="60098581" w14:textId="77777777">
      <w:pPr>
        <w:pStyle w:val="FootnoteText"/>
        <w:rPr>
          <w:sz w:val="26"/>
          <w:szCs w:val="26"/>
        </w:rPr>
      </w:pPr>
      <w:r w:rsidRPr="00A55C7A">
        <w:rPr>
          <w:rStyle w:val="FootnoteReference"/>
          <w:sz w:val="26"/>
          <w:szCs w:val="26"/>
          <w:vertAlign w:val="superscript"/>
        </w:rPr>
        <w:footnoteRef/>
      </w:r>
      <w:r w:rsidRPr="00A55C7A">
        <w:rPr>
          <w:sz w:val="26"/>
          <w:szCs w:val="26"/>
          <w:vertAlign w:val="superscript"/>
        </w:rPr>
        <w:t xml:space="preserve"> </w:t>
      </w:r>
      <w:r w:rsidRPr="00A55C7A">
        <w:rPr>
          <w:sz w:val="26"/>
          <w:szCs w:val="26"/>
        </w:rPr>
        <w:t xml:space="preserve">The estimate uses the FERC’s FY </w:t>
      </w:r>
      <w:r>
        <w:rPr>
          <w:sz w:val="26"/>
          <w:szCs w:val="26"/>
        </w:rPr>
        <w:t>2022</w:t>
      </w:r>
      <w:r w:rsidRPr="00A55C7A">
        <w:rPr>
          <w:sz w:val="26"/>
          <w:szCs w:val="26"/>
        </w:rPr>
        <w:t xml:space="preserve"> average annual salary plus benefits of one FERC FTE (full-time equivalent</w:t>
      </w:r>
      <w:r>
        <w:rPr>
          <w:sz w:val="26"/>
          <w:szCs w:val="26"/>
        </w:rPr>
        <w:t>), i.e., $188,992.</w:t>
      </w:r>
    </w:p>
  </w:footnote>
  <w:footnote w:id="14">
    <w:p w:rsidR="0071320C" w:rsidRPr="00A55C7A" w14:paraId="68539D39" w14:textId="77777777">
      <w:pPr>
        <w:pStyle w:val="FootnoteText"/>
        <w:rPr>
          <w:sz w:val="26"/>
        </w:rPr>
      </w:pPr>
      <w:r w:rsidRPr="00A55C7A">
        <w:rPr>
          <w:rStyle w:val="FootnoteReference"/>
          <w:sz w:val="26"/>
          <w:vertAlign w:val="superscript"/>
        </w:rPr>
        <w:footnoteRef/>
      </w:r>
      <w:r w:rsidRPr="00A55C7A">
        <w:rPr>
          <w:sz w:val="26"/>
          <w:vertAlign w:val="superscript"/>
        </w:rPr>
        <w:t xml:space="preserve"> </w:t>
      </w:r>
      <w:r w:rsidRPr="00A55C7A">
        <w:rPr>
          <w:bCs/>
          <w:sz w:val="26"/>
          <w:szCs w:val="26"/>
        </w:rPr>
        <w:t>Th</w:t>
      </w:r>
      <w:r>
        <w:rPr>
          <w:bCs/>
          <w:sz w:val="26"/>
          <w:szCs w:val="26"/>
        </w:rPr>
        <w:t xml:space="preserve">is estimate </w:t>
      </w:r>
      <w:r w:rsidR="007349B5">
        <w:rPr>
          <w:bCs/>
          <w:sz w:val="26"/>
          <w:szCs w:val="26"/>
        </w:rPr>
        <w:t>accounts for th</w:t>
      </w:r>
      <w:r w:rsidRPr="00A55C7A">
        <w:rPr>
          <w:bCs/>
          <w:sz w:val="26"/>
          <w:szCs w:val="26"/>
        </w:rPr>
        <w:t>e Commission</w:t>
      </w:r>
      <w:r w:rsidR="007349B5">
        <w:rPr>
          <w:bCs/>
          <w:sz w:val="26"/>
          <w:szCs w:val="26"/>
        </w:rPr>
        <w:t xml:space="preserve">’s use of a contract with a commercial vendor to </w:t>
      </w:r>
      <w:r w:rsidRPr="00A55C7A">
        <w:rPr>
          <w:bCs/>
          <w:sz w:val="26"/>
          <w:szCs w:val="26"/>
        </w:rPr>
        <w:t>access the E-Tags</w:t>
      </w:r>
      <w:r w:rsidR="007349B5">
        <w:rPr>
          <w:bCs/>
          <w:sz w:val="26"/>
          <w:szCs w:val="26"/>
        </w:rPr>
        <w:t>.</w:t>
      </w:r>
    </w:p>
  </w:footnote>
  <w:footnote w:id="15">
    <w:p w:rsidR="0071320C" w:rsidRPr="00A55C7A" w:rsidP="00B46976" w14:paraId="6AC37B1B" w14:textId="77777777">
      <w:pPr>
        <w:pStyle w:val="FootnoteText"/>
        <w:rPr>
          <w:sz w:val="26"/>
          <w:szCs w:val="22"/>
        </w:rPr>
      </w:pPr>
      <w:r w:rsidRPr="00A55C7A">
        <w:rPr>
          <w:rStyle w:val="FootnoteReference"/>
          <w:sz w:val="26"/>
          <w:szCs w:val="26"/>
          <w:vertAlign w:val="superscript"/>
        </w:rPr>
        <w:footnoteRef/>
      </w:r>
      <w:r w:rsidRPr="00A55C7A">
        <w:rPr>
          <w:sz w:val="26"/>
          <w:szCs w:val="26"/>
          <w:vertAlign w:val="superscript"/>
        </w:rPr>
        <w:t xml:space="preserve"> </w:t>
      </w:r>
      <w:r w:rsidRPr="00A55C7A">
        <w:rPr>
          <w:sz w:val="26"/>
          <w:szCs w:val="26"/>
        </w:rPr>
        <w:t>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43A0" w14:paraId="47A23169" w14:textId="77777777">
    <w:pPr>
      <w:pStyle w:val="Header"/>
    </w:pPr>
    <w:r>
      <w:t xml:space="preserve">FERC-740 (OMB Control No. 1902-0254)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061F65"/>
    <w:multiLevelType w:val="hybridMultilevel"/>
    <w:tmpl w:val="57BE72F6"/>
    <w:lvl w:ilvl="0">
      <w:start w:val="1"/>
      <w:numFmt w:val="decimal"/>
      <w:lvlText w:val="%1."/>
      <w:lvlJc w:val="left"/>
      <w:pPr>
        <w:tabs>
          <w:tab w:val="num" w:pos="1080"/>
        </w:tabs>
        <w:ind w:left="1080" w:hanging="360"/>
      </w:pPr>
      <w:rPr>
        <w:b w:val="0"/>
        <w:sz w:val="26"/>
        <w:szCs w:val="26"/>
      </w:rPr>
    </w:lvl>
    <w:lvl w:ilvl="1">
      <w:start w:val="1"/>
      <w:numFmt w:val="bullet"/>
      <w:lvlText w:val=""/>
      <w:lvlJc w:val="left"/>
      <w:pPr>
        <w:tabs>
          <w:tab w:val="num" w:pos="1800"/>
        </w:tabs>
        <w:ind w:left="1800" w:hanging="360"/>
      </w:pPr>
      <w:rPr>
        <w:rFonts w:ascii="Symbol" w:hAnsi="Symbol"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9E9539E"/>
    <w:multiLevelType w:val="hybridMultilevel"/>
    <w:tmpl w:val="5C1AB756"/>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6A14F8B"/>
    <w:multiLevelType w:val="hybridMultilevel"/>
    <w:tmpl w:val="8D767A46"/>
    <w:lvl w:ilvl="0">
      <w:start w:val="1"/>
      <w:numFmt w:val="bullet"/>
      <w:lvlText w:val="▪"/>
      <w:lvlJc w:val="left"/>
      <w:pPr>
        <w:tabs>
          <w:tab w:val="num" w:pos="1080"/>
        </w:tabs>
        <w:ind w:left="1080" w:hanging="360"/>
      </w:pPr>
      <w:rPr>
        <w:rFonts w:ascii="Courier New" w:hAnsi="Courier New"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78A4BD3"/>
    <w:multiLevelType w:val="hybridMultilevel"/>
    <w:tmpl w:val="2E5CCFB2"/>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
    <w:nsid w:val="1AAE4A32"/>
    <w:multiLevelType w:val="hybridMultilevel"/>
    <w:tmpl w:val="65B8B748"/>
    <w:lvl w:ilvl="0">
      <w:start w:val="1"/>
      <w:numFmt w:val="bullet"/>
      <w:lvlText w:val="▪"/>
      <w:lvlJc w:val="left"/>
      <w:pPr>
        <w:tabs>
          <w:tab w:val="num" w:pos="1080"/>
        </w:tabs>
        <w:ind w:left="1080" w:hanging="360"/>
      </w:pPr>
      <w:rPr>
        <w:rFonts w:ascii="Courier New" w:hAnsi="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nsid w:val="1CB034AB"/>
    <w:multiLevelType w:val="hybridMultilevel"/>
    <w:tmpl w:val="690EBE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1332DA"/>
    <w:multiLevelType w:val="hybridMultilevel"/>
    <w:tmpl w:val="1E0AD3C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D751CB3"/>
    <w:multiLevelType w:val="hybridMultilevel"/>
    <w:tmpl w:val="45F8A0E2"/>
    <w:lvl w:ilvl="0">
      <w:start w:val="1"/>
      <w:numFmt w:val="bullet"/>
      <w:lvlText w:val=""/>
      <w:lvlJc w:val="left"/>
      <w:pPr>
        <w:tabs>
          <w:tab w:val="num" w:pos="90"/>
        </w:tabs>
        <w:ind w:left="45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2D72084"/>
    <w:multiLevelType w:val="hybridMultilevel"/>
    <w:tmpl w:val="65C47FC4"/>
    <w:lvl w:ilvl="0">
      <w:start w:val="1"/>
      <w:numFmt w:val="bullet"/>
      <w:lvlText w:val=""/>
      <w:lvlJc w:val="left"/>
      <w:pPr>
        <w:tabs>
          <w:tab w:val="num" w:pos="1800"/>
        </w:tabs>
        <w:ind w:left="21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nsid w:val="3B352BE3"/>
    <w:multiLevelType w:val="hybridMultilevel"/>
    <w:tmpl w:val="CB5AF028"/>
    <w:lvl w:ilvl="0">
      <w:start w:val="1"/>
      <w:numFmt w:val="bullet"/>
      <w:lvlText w:val=""/>
      <w:lvlJc w:val="left"/>
      <w:pPr>
        <w:tabs>
          <w:tab w:val="num" w:pos="90"/>
        </w:tabs>
        <w:ind w:left="450" w:hanging="360"/>
      </w:pPr>
      <w:rPr>
        <w:rFonts w:ascii="Wingdings" w:hAnsi="Wingdings" w:hint="default"/>
      </w:rPr>
    </w:lvl>
    <w:lvl w:ilvl="1" w:tentative="1">
      <w:start w:val="1"/>
      <w:numFmt w:val="bullet"/>
      <w:lvlText w:val="o"/>
      <w:lvlJc w:val="left"/>
      <w:pPr>
        <w:tabs>
          <w:tab w:val="num" w:pos="-270"/>
        </w:tabs>
        <w:ind w:left="-270" w:hanging="360"/>
      </w:pPr>
      <w:rPr>
        <w:rFonts w:ascii="Courier New" w:hAnsi="Courier New" w:cs="Courier New" w:hint="default"/>
      </w:rPr>
    </w:lvl>
    <w:lvl w:ilvl="2" w:tentative="1">
      <w:start w:val="1"/>
      <w:numFmt w:val="bullet"/>
      <w:lvlText w:val=""/>
      <w:lvlJc w:val="left"/>
      <w:pPr>
        <w:tabs>
          <w:tab w:val="num" w:pos="450"/>
        </w:tabs>
        <w:ind w:left="450" w:hanging="360"/>
      </w:pPr>
      <w:rPr>
        <w:rFonts w:ascii="Wingdings" w:hAnsi="Wingdings" w:hint="default"/>
      </w:rPr>
    </w:lvl>
    <w:lvl w:ilvl="3" w:tentative="1">
      <w:start w:val="1"/>
      <w:numFmt w:val="bullet"/>
      <w:lvlText w:val=""/>
      <w:lvlJc w:val="left"/>
      <w:pPr>
        <w:tabs>
          <w:tab w:val="num" w:pos="1170"/>
        </w:tabs>
        <w:ind w:left="1170" w:hanging="360"/>
      </w:pPr>
      <w:rPr>
        <w:rFonts w:ascii="Symbol" w:hAnsi="Symbol" w:hint="default"/>
      </w:rPr>
    </w:lvl>
    <w:lvl w:ilvl="4" w:tentative="1">
      <w:start w:val="1"/>
      <w:numFmt w:val="bullet"/>
      <w:lvlText w:val="o"/>
      <w:lvlJc w:val="left"/>
      <w:pPr>
        <w:tabs>
          <w:tab w:val="num" w:pos="1890"/>
        </w:tabs>
        <w:ind w:left="1890" w:hanging="360"/>
      </w:pPr>
      <w:rPr>
        <w:rFonts w:ascii="Courier New" w:hAnsi="Courier New" w:cs="Courier New" w:hint="default"/>
      </w:rPr>
    </w:lvl>
    <w:lvl w:ilvl="5" w:tentative="1">
      <w:start w:val="1"/>
      <w:numFmt w:val="bullet"/>
      <w:lvlText w:val=""/>
      <w:lvlJc w:val="left"/>
      <w:pPr>
        <w:tabs>
          <w:tab w:val="num" w:pos="2610"/>
        </w:tabs>
        <w:ind w:left="2610" w:hanging="360"/>
      </w:pPr>
      <w:rPr>
        <w:rFonts w:ascii="Wingdings" w:hAnsi="Wingdings" w:hint="default"/>
      </w:rPr>
    </w:lvl>
    <w:lvl w:ilvl="6" w:tentative="1">
      <w:start w:val="1"/>
      <w:numFmt w:val="bullet"/>
      <w:lvlText w:val=""/>
      <w:lvlJc w:val="left"/>
      <w:pPr>
        <w:tabs>
          <w:tab w:val="num" w:pos="3330"/>
        </w:tabs>
        <w:ind w:left="3330" w:hanging="360"/>
      </w:pPr>
      <w:rPr>
        <w:rFonts w:ascii="Symbol" w:hAnsi="Symbol" w:hint="default"/>
      </w:rPr>
    </w:lvl>
    <w:lvl w:ilvl="7" w:tentative="1">
      <w:start w:val="1"/>
      <w:numFmt w:val="bullet"/>
      <w:lvlText w:val="o"/>
      <w:lvlJc w:val="left"/>
      <w:pPr>
        <w:tabs>
          <w:tab w:val="num" w:pos="4050"/>
        </w:tabs>
        <w:ind w:left="4050" w:hanging="360"/>
      </w:pPr>
      <w:rPr>
        <w:rFonts w:ascii="Courier New" w:hAnsi="Courier New" w:cs="Courier New" w:hint="default"/>
      </w:rPr>
    </w:lvl>
    <w:lvl w:ilvl="8" w:tentative="1">
      <w:start w:val="1"/>
      <w:numFmt w:val="bullet"/>
      <w:lvlText w:val=""/>
      <w:lvlJc w:val="left"/>
      <w:pPr>
        <w:tabs>
          <w:tab w:val="num" w:pos="4770"/>
        </w:tabs>
        <w:ind w:left="4770" w:hanging="360"/>
      </w:pPr>
      <w:rPr>
        <w:rFonts w:ascii="Wingdings" w:hAnsi="Wingdings" w:hint="default"/>
      </w:rPr>
    </w:lvl>
  </w:abstractNum>
  <w:abstractNum w:abstractNumId="11">
    <w:nsid w:val="436F2B0C"/>
    <w:multiLevelType w:val="hybridMultilevel"/>
    <w:tmpl w:val="509E2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50112D"/>
    <w:multiLevelType w:val="hybridMultilevel"/>
    <w:tmpl w:val="1C0091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026774"/>
    <w:multiLevelType w:val="hybridMultilevel"/>
    <w:tmpl w:val="3F424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E1C53EB"/>
    <w:multiLevelType w:val="hybridMultilevel"/>
    <w:tmpl w:val="344C9B14"/>
    <w:lvl w:ilvl="0">
      <w:start w:val="1"/>
      <w:numFmt w:val="bullet"/>
      <w:lvlText w:val=""/>
      <w:lvlJc w:val="left"/>
      <w:pPr>
        <w:tabs>
          <w:tab w:val="num" w:pos="1800"/>
        </w:tabs>
        <w:ind w:left="2160" w:hanging="360"/>
      </w:pPr>
      <w:rPr>
        <w:rFonts w:ascii="Wingdings" w:hAnsi="Wingdings" w:hint="default"/>
      </w:rPr>
    </w:lvl>
    <w:lvl w:ilvl="1">
      <w:start w:val="1"/>
      <w:numFmt w:val="bullet"/>
      <w:lvlText w:val="o"/>
      <w:lvlJc w:val="left"/>
      <w:pPr>
        <w:tabs>
          <w:tab w:val="num" w:pos="2160"/>
        </w:tabs>
        <w:ind w:left="2160" w:hanging="360"/>
      </w:pPr>
      <w:rPr>
        <w:rFonts w:ascii="Times New Roman" w:hAnsi="Times New Roman" w:cs="Times New Roman"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588A7123"/>
    <w:multiLevelType w:val="hybridMultilevel"/>
    <w:tmpl w:val="CFE6524E"/>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BDD090C"/>
    <w:multiLevelType w:val="hybridMultilevel"/>
    <w:tmpl w:val="96FA9E14"/>
    <w:lvl w:ilvl="0">
      <w:start w:val="1"/>
      <w:numFmt w:val="bullet"/>
      <w:lvlText w:val=""/>
      <w:lvlJc w:val="left"/>
      <w:pPr>
        <w:tabs>
          <w:tab w:val="num" w:pos="720"/>
        </w:tabs>
        <w:ind w:left="108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17">
    <w:nsid w:val="5F9D635E"/>
    <w:multiLevelType w:val="hybridMultilevel"/>
    <w:tmpl w:val="9440D9A0"/>
    <w:lvl w:ilvl="0">
      <w:start w:val="1"/>
      <w:numFmt w:val="bullet"/>
      <w:lvlText w:val="▪"/>
      <w:lvlJc w:val="left"/>
      <w:pPr>
        <w:tabs>
          <w:tab w:val="num" w:pos="360"/>
        </w:tabs>
        <w:ind w:left="360" w:hanging="360"/>
      </w:pPr>
      <w:rPr>
        <w:rFonts w:ascii="Courier New" w:hAnsi="Courier New"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18">
    <w:nsid w:val="613E4FE4"/>
    <w:multiLevelType w:val="hybridMultilevel"/>
    <w:tmpl w:val="42E48C1A"/>
    <w:lvl w:ilvl="0">
      <w:start w:val="1"/>
      <w:numFmt w:val="bullet"/>
      <w:lvlText w:val=""/>
      <w:lvlJc w:val="left"/>
      <w:pPr>
        <w:tabs>
          <w:tab w:val="num" w:pos="90"/>
        </w:tabs>
        <w:ind w:left="45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6F05BA8"/>
    <w:multiLevelType w:val="hybridMultilevel"/>
    <w:tmpl w:val="A7CCBC4A"/>
    <w:lvl w:ilvl="0">
      <w:start w:val="45"/>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69AA7B7C"/>
    <w:multiLevelType w:val="hybridMultilevel"/>
    <w:tmpl w:val="4DB0E378"/>
    <w:lvl w:ilvl="0">
      <w:start w:val="1"/>
      <w:numFmt w:val="bullet"/>
      <w:lvlText w:val=""/>
      <w:lvlJc w:val="left"/>
      <w:pPr>
        <w:tabs>
          <w:tab w:val="num" w:pos="1800"/>
        </w:tabs>
        <w:ind w:left="21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D844255"/>
    <w:multiLevelType w:val="hybridMultilevel"/>
    <w:tmpl w:val="EFDEAA7C"/>
    <w:lvl w:ilvl="0">
      <w:start w:val="1"/>
      <w:numFmt w:val="bullet"/>
      <w:lvlText w:val=""/>
      <w:lvlJc w:val="left"/>
      <w:pPr>
        <w:tabs>
          <w:tab w:val="num" w:pos="0"/>
        </w:tabs>
        <w:ind w:left="360" w:hanging="360"/>
      </w:pPr>
      <w:rPr>
        <w:rFonts w:ascii="Wingdings" w:hAnsi="Wingdings" w:hint="default"/>
      </w:rPr>
    </w:lvl>
    <w:lvl w:ilvl="1" w:tentative="1">
      <w:start w:val="1"/>
      <w:numFmt w:val="bullet"/>
      <w:lvlText w:val="o"/>
      <w:lvlJc w:val="left"/>
      <w:pPr>
        <w:tabs>
          <w:tab w:val="num" w:pos="1350"/>
        </w:tabs>
        <w:ind w:left="1350" w:hanging="360"/>
      </w:pPr>
      <w:rPr>
        <w:rFonts w:ascii="Courier New" w:hAnsi="Courier New" w:cs="Courier New" w:hint="default"/>
      </w:rPr>
    </w:lvl>
    <w:lvl w:ilvl="2" w:tentative="1">
      <w:start w:val="1"/>
      <w:numFmt w:val="bullet"/>
      <w:lvlText w:val=""/>
      <w:lvlJc w:val="left"/>
      <w:pPr>
        <w:tabs>
          <w:tab w:val="num" w:pos="2070"/>
        </w:tabs>
        <w:ind w:left="2070" w:hanging="360"/>
      </w:pPr>
      <w:rPr>
        <w:rFonts w:ascii="Wingdings" w:hAnsi="Wingdings" w:hint="default"/>
      </w:rPr>
    </w:lvl>
    <w:lvl w:ilvl="3" w:tentative="1">
      <w:start w:val="1"/>
      <w:numFmt w:val="bullet"/>
      <w:lvlText w:val=""/>
      <w:lvlJc w:val="left"/>
      <w:pPr>
        <w:tabs>
          <w:tab w:val="num" w:pos="2790"/>
        </w:tabs>
        <w:ind w:left="2790" w:hanging="360"/>
      </w:pPr>
      <w:rPr>
        <w:rFonts w:ascii="Symbol" w:hAnsi="Symbol" w:hint="default"/>
      </w:rPr>
    </w:lvl>
    <w:lvl w:ilvl="4" w:tentative="1">
      <w:start w:val="1"/>
      <w:numFmt w:val="bullet"/>
      <w:lvlText w:val="o"/>
      <w:lvlJc w:val="left"/>
      <w:pPr>
        <w:tabs>
          <w:tab w:val="num" w:pos="3510"/>
        </w:tabs>
        <w:ind w:left="3510" w:hanging="360"/>
      </w:pPr>
      <w:rPr>
        <w:rFonts w:ascii="Courier New" w:hAnsi="Courier New" w:cs="Courier New" w:hint="default"/>
      </w:rPr>
    </w:lvl>
    <w:lvl w:ilvl="5" w:tentative="1">
      <w:start w:val="1"/>
      <w:numFmt w:val="bullet"/>
      <w:lvlText w:val=""/>
      <w:lvlJc w:val="left"/>
      <w:pPr>
        <w:tabs>
          <w:tab w:val="num" w:pos="4230"/>
        </w:tabs>
        <w:ind w:left="4230" w:hanging="360"/>
      </w:pPr>
      <w:rPr>
        <w:rFonts w:ascii="Wingdings" w:hAnsi="Wingdings" w:hint="default"/>
      </w:rPr>
    </w:lvl>
    <w:lvl w:ilvl="6" w:tentative="1">
      <w:start w:val="1"/>
      <w:numFmt w:val="bullet"/>
      <w:lvlText w:val=""/>
      <w:lvlJc w:val="left"/>
      <w:pPr>
        <w:tabs>
          <w:tab w:val="num" w:pos="4950"/>
        </w:tabs>
        <w:ind w:left="4950" w:hanging="360"/>
      </w:pPr>
      <w:rPr>
        <w:rFonts w:ascii="Symbol" w:hAnsi="Symbol" w:hint="default"/>
      </w:rPr>
    </w:lvl>
    <w:lvl w:ilvl="7" w:tentative="1">
      <w:start w:val="1"/>
      <w:numFmt w:val="bullet"/>
      <w:lvlText w:val="o"/>
      <w:lvlJc w:val="left"/>
      <w:pPr>
        <w:tabs>
          <w:tab w:val="num" w:pos="5670"/>
        </w:tabs>
        <w:ind w:left="5670" w:hanging="360"/>
      </w:pPr>
      <w:rPr>
        <w:rFonts w:ascii="Courier New" w:hAnsi="Courier New" w:cs="Courier New" w:hint="default"/>
      </w:rPr>
    </w:lvl>
    <w:lvl w:ilvl="8" w:tentative="1">
      <w:start w:val="1"/>
      <w:numFmt w:val="bullet"/>
      <w:lvlText w:val=""/>
      <w:lvlJc w:val="left"/>
      <w:pPr>
        <w:tabs>
          <w:tab w:val="num" w:pos="6390"/>
        </w:tabs>
        <w:ind w:left="6390" w:hanging="360"/>
      </w:pPr>
      <w:rPr>
        <w:rFonts w:ascii="Wingdings" w:hAnsi="Wingdings" w:hint="default"/>
      </w:rPr>
    </w:lvl>
  </w:abstractNum>
  <w:abstractNum w:abstractNumId="22">
    <w:nsid w:val="6E4068C5"/>
    <w:multiLevelType w:val="hybridMultilevel"/>
    <w:tmpl w:val="58BE061C"/>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25E40E2"/>
    <w:multiLevelType w:val="hybridMultilevel"/>
    <w:tmpl w:val="94307160"/>
    <w:lvl w:ilvl="0">
      <w:start w:val="1"/>
      <w:numFmt w:val="bullet"/>
      <w:lvlText w:val=""/>
      <w:lvlJc w:val="left"/>
      <w:pPr>
        <w:tabs>
          <w:tab w:val="num" w:pos="2520"/>
        </w:tabs>
        <w:ind w:left="2880" w:hanging="360"/>
      </w:pPr>
      <w:rPr>
        <w:rFonts w:ascii="Wingdings" w:hAnsi="Wingdings" w:hint="default"/>
      </w:rPr>
    </w:lvl>
    <w:lvl w:ilvl="1">
      <w:start w:val="1"/>
      <w:numFmt w:val="bullet"/>
      <w:lvlText w:val="o"/>
      <w:lvlJc w:val="left"/>
      <w:pPr>
        <w:tabs>
          <w:tab w:val="num" w:pos="2160"/>
        </w:tabs>
        <w:ind w:left="2160" w:hanging="360"/>
      </w:pPr>
      <w:rPr>
        <w:rFonts w:ascii="Times New Roman" w:hAnsi="Times New Roman" w:cs="Times New Roman"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76F56B40"/>
    <w:multiLevelType w:val="multilevel"/>
    <w:tmpl w:val="94307160"/>
    <w:lvl w:ilvl="0">
      <w:start w:val="1"/>
      <w:numFmt w:val="bullet"/>
      <w:lvlText w:val=""/>
      <w:lvlJc w:val="left"/>
      <w:pPr>
        <w:tabs>
          <w:tab w:val="num" w:pos="2520"/>
        </w:tabs>
        <w:ind w:left="2880" w:hanging="360"/>
      </w:pPr>
      <w:rPr>
        <w:rFonts w:ascii="Wingdings" w:hAnsi="Wingdings" w:hint="default"/>
      </w:rPr>
    </w:lvl>
    <w:lvl w:ilvl="1">
      <w:start w:val="1"/>
      <w:numFmt w:val="bullet"/>
      <w:lvlText w:val="o"/>
      <w:lvlJc w:val="left"/>
      <w:pPr>
        <w:tabs>
          <w:tab w:val="num" w:pos="2160"/>
        </w:tabs>
        <w:ind w:left="2160" w:hanging="360"/>
      </w:pPr>
      <w:rPr>
        <w:rFonts w:ascii="Times New Roman" w:hAnsi="Times New Roman"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7A2816E0"/>
    <w:multiLevelType w:val="hybridMultilevel"/>
    <w:tmpl w:val="AD9825CC"/>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DC40F81"/>
    <w:multiLevelType w:val="hybridMultilevel"/>
    <w:tmpl w:val="E056F190"/>
    <w:lvl w:ilvl="0">
      <w:start w:val="1"/>
      <w:numFmt w:val="bullet"/>
      <w:lvlText w:val=""/>
      <w:lvlJc w:val="left"/>
      <w:pPr>
        <w:tabs>
          <w:tab w:val="num" w:pos="720"/>
        </w:tabs>
        <w:ind w:left="108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abstractNum w:abstractNumId="27">
    <w:nsid w:val="7E4E4DD3"/>
    <w:multiLevelType w:val="hybridMultilevel"/>
    <w:tmpl w:val="F68E5210"/>
    <w:lvl w:ilvl="0">
      <w:start w:val="1"/>
      <w:numFmt w:val="decimal"/>
      <w:pStyle w:val="FERCparanumber"/>
      <w:lvlText w:val="%1."/>
      <w:lvlJc w:val="left"/>
      <w:pPr>
        <w:tabs>
          <w:tab w:val="num" w:pos="720"/>
        </w:tabs>
        <w:ind w:left="0" w:firstLine="0"/>
      </w:pPr>
      <w:rPr>
        <w:rFonts w:ascii="Times New Roman" w:hAnsi="Times New Roman" w:hint="default"/>
        <w:b w:val="0"/>
        <w:i w:val="0"/>
        <w:sz w:val="26"/>
        <w:szCs w:val="26"/>
      </w:rPr>
    </w:lvl>
    <w:lvl w:ilvl="1">
      <w:start w:val="1"/>
      <w:numFmt w:val="upperLetter"/>
      <w:lvlText w:val="%2."/>
      <w:lvlJc w:val="left"/>
      <w:pPr>
        <w:tabs>
          <w:tab w:val="num" w:pos="1440"/>
        </w:tabs>
        <w:ind w:left="1440" w:hanging="360"/>
      </w:pPr>
      <w:rPr>
        <w:rFonts w:hint="default"/>
        <w:u w:val="none"/>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hint="default"/>
        <w:b w:val="0"/>
      </w:rPr>
    </w:lvl>
    <w:lvl w:ilvl="4">
      <w:start w:val="4"/>
      <w:numFmt w:val="lowerLetter"/>
      <w:lvlText w:val="%5."/>
      <w:lvlJc w:val="left"/>
      <w:pPr>
        <w:tabs>
          <w:tab w:val="num" w:pos="3600"/>
        </w:tabs>
        <w:ind w:left="3600" w:hanging="360"/>
      </w:pPr>
      <w:rPr>
        <w:rFonts w:hint="default"/>
        <w:b/>
        <w:u w:val="single"/>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7"/>
  </w:num>
  <w:num w:numId="2">
    <w:abstractNumId w:val="9"/>
  </w:num>
  <w:num w:numId="3">
    <w:abstractNumId w:val="16"/>
  </w:num>
  <w:num w:numId="4">
    <w:abstractNumId w:val="26"/>
  </w:num>
  <w:num w:numId="5">
    <w:abstractNumId w:val="3"/>
  </w:num>
  <w:num w:numId="6">
    <w:abstractNumId w:val="20"/>
  </w:num>
  <w:num w:numId="7">
    <w:abstractNumId w:val="8"/>
  </w:num>
  <w:num w:numId="8">
    <w:abstractNumId w:val="23"/>
  </w:num>
  <w:num w:numId="9">
    <w:abstractNumId w:val="24"/>
  </w:num>
  <w:num w:numId="10">
    <w:abstractNumId w:val="14"/>
  </w:num>
  <w:num w:numId="11">
    <w:abstractNumId w:val="10"/>
  </w:num>
  <w:num w:numId="12">
    <w:abstractNumId w:val="18"/>
  </w:num>
  <w:num w:numId="13">
    <w:abstractNumId w:val="7"/>
  </w:num>
  <w:num w:numId="14">
    <w:abstractNumId w:val="21"/>
  </w:num>
  <w:num w:numId="15">
    <w:abstractNumId w:val="6"/>
  </w:num>
  <w:num w:numId="16">
    <w:abstractNumId w:val="25"/>
  </w:num>
  <w:num w:numId="17">
    <w:abstractNumId w:val="22"/>
  </w:num>
  <w:num w:numId="18">
    <w:abstractNumId w:val="15"/>
  </w:num>
  <w:num w:numId="19">
    <w:abstractNumId w:val="4"/>
  </w:num>
  <w:num w:numId="20">
    <w:abstractNumId w:val="1"/>
  </w:num>
  <w:num w:numId="21">
    <w:abstractNumId w:val="17"/>
  </w:num>
  <w:num w:numId="22">
    <w:abstractNumId w:val="2"/>
  </w:num>
  <w:num w:numId="2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3"/>
  </w:num>
  <w:num w:numId="26">
    <w:abstractNumId w:val="11"/>
  </w:num>
  <w:num w:numId="27">
    <w:abstractNumId w:val="12"/>
  </w:num>
  <w:num w:numId="28">
    <w:abstractNumId w:val="5"/>
  </w:num>
  <w:num w:numId="29">
    <w:abstractNumId w:val="19"/>
    <w:lvlOverride w:ilvl="0"/>
    <w:lvlOverride w:ilvl="1"/>
    <w:lvlOverride w:ilvl="2"/>
    <w:lvlOverride w:ilvl="3"/>
    <w:lvlOverride w:ilvl="4"/>
    <w:lvlOverride w:ilvl="5"/>
    <w:lvlOverride w:ilvl="6"/>
    <w:lvlOverride w:ilvl="7"/>
    <w:lvlOverride w:ilvl="8"/>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E7"/>
    <w:rsid w:val="00002552"/>
    <w:rsid w:val="000043A0"/>
    <w:rsid w:val="00011153"/>
    <w:rsid w:val="000131C6"/>
    <w:rsid w:val="00013DB9"/>
    <w:rsid w:val="00016686"/>
    <w:rsid w:val="000172A3"/>
    <w:rsid w:val="000229F8"/>
    <w:rsid w:val="000248E9"/>
    <w:rsid w:val="00025FC7"/>
    <w:rsid w:val="00026C60"/>
    <w:rsid w:val="00027184"/>
    <w:rsid w:val="00030582"/>
    <w:rsid w:val="00034F92"/>
    <w:rsid w:val="0003507E"/>
    <w:rsid w:val="00035740"/>
    <w:rsid w:val="00040EC0"/>
    <w:rsid w:val="00041B3D"/>
    <w:rsid w:val="000455C6"/>
    <w:rsid w:val="00047A27"/>
    <w:rsid w:val="00047D38"/>
    <w:rsid w:val="0005013B"/>
    <w:rsid w:val="000508B1"/>
    <w:rsid w:val="00050BDD"/>
    <w:rsid w:val="00050DC9"/>
    <w:rsid w:val="00050E81"/>
    <w:rsid w:val="00061E56"/>
    <w:rsid w:val="0006372E"/>
    <w:rsid w:val="000654A3"/>
    <w:rsid w:val="00065BCD"/>
    <w:rsid w:val="00066A19"/>
    <w:rsid w:val="00070ECF"/>
    <w:rsid w:val="00073B5E"/>
    <w:rsid w:val="0007630B"/>
    <w:rsid w:val="0008147F"/>
    <w:rsid w:val="00085956"/>
    <w:rsid w:val="00085E53"/>
    <w:rsid w:val="000861AB"/>
    <w:rsid w:val="00087A4E"/>
    <w:rsid w:val="000918DE"/>
    <w:rsid w:val="00094056"/>
    <w:rsid w:val="00095169"/>
    <w:rsid w:val="00096C99"/>
    <w:rsid w:val="000979D2"/>
    <w:rsid w:val="000A047D"/>
    <w:rsid w:val="000B4978"/>
    <w:rsid w:val="000C088E"/>
    <w:rsid w:val="000C35AC"/>
    <w:rsid w:val="000C3D87"/>
    <w:rsid w:val="000C669D"/>
    <w:rsid w:val="000C717F"/>
    <w:rsid w:val="000D2D81"/>
    <w:rsid w:val="000D7D78"/>
    <w:rsid w:val="000E50C4"/>
    <w:rsid w:val="000E7042"/>
    <w:rsid w:val="000E7600"/>
    <w:rsid w:val="000F4510"/>
    <w:rsid w:val="000F6E3E"/>
    <w:rsid w:val="000F7EFC"/>
    <w:rsid w:val="00100B20"/>
    <w:rsid w:val="001016CA"/>
    <w:rsid w:val="001029F0"/>
    <w:rsid w:val="0010301B"/>
    <w:rsid w:val="00104E7D"/>
    <w:rsid w:val="001054D1"/>
    <w:rsid w:val="00106E68"/>
    <w:rsid w:val="00107CE2"/>
    <w:rsid w:val="00107F3A"/>
    <w:rsid w:val="001104CD"/>
    <w:rsid w:val="001144F6"/>
    <w:rsid w:val="00114A7F"/>
    <w:rsid w:val="00114AEA"/>
    <w:rsid w:val="00114FAD"/>
    <w:rsid w:val="00115923"/>
    <w:rsid w:val="00117D21"/>
    <w:rsid w:val="00120341"/>
    <w:rsid w:val="00122762"/>
    <w:rsid w:val="00126095"/>
    <w:rsid w:val="001263B8"/>
    <w:rsid w:val="001319A2"/>
    <w:rsid w:val="00132AAF"/>
    <w:rsid w:val="00132EC2"/>
    <w:rsid w:val="001376BF"/>
    <w:rsid w:val="00144F92"/>
    <w:rsid w:val="0014672C"/>
    <w:rsid w:val="0016146E"/>
    <w:rsid w:val="00163B2A"/>
    <w:rsid w:val="00171551"/>
    <w:rsid w:val="00173CF2"/>
    <w:rsid w:val="001763A5"/>
    <w:rsid w:val="0018184E"/>
    <w:rsid w:val="0018461A"/>
    <w:rsid w:val="0019041B"/>
    <w:rsid w:val="0019095C"/>
    <w:rsid w:val="00190CE6"/>
    <w:rsid w:val="00194243"/>
    <w:rsid w:val="00196BBA"/>
    <w:rsid w:val="00196D30"/>
    <w:rsid w:val="001A0D6D"/>
    <w:rsid w:val="001A1374"/>
    <w:rsid w:val="001A64CC"/>
    <w:rsid w:val="001A6E33"/>
    <w:rsid w:val="001B5033"/>
    <w:rsid w:val="001B72E7"/>
    <w:rsid w:val="001D1AE8"/>
    <w:rsid w:val="001D52C8"/>
    <w:rsid w:val="001D5BBC"/>
    <w:rsid w:val="001D6332"/>
    <w:rsid w:val="001D7194"/>
    <w:rsid w:val="001E14BF"/>
    <w:rsid w:val="001E1B42"/>
    <w:rsid w:val="001E57BC"/>
    <w:rsid w:val="001E67AF"/>
    <w:rsid w:val="001F33DD"/>
    <w:rsid w:val="001F66A8"/>
    <w:rsid w:val="002005C3"/>
    <w:rsid w:val="00201555"/>
    <w:rsid w:val="0021043B"/>
    <w:rsid w:val="00211E23"/>
    <w:rsid w:val="00213969"/>
    <w:rsid w:val="00216DFE"/>
    <w:rsid w:val="00220E11"/>
    <w:rsid w:val="00221F63"/>
    <w:rsid w:val="00222D99"/>
    <w:rsid w:val="002237C2"/>
    <w:rsid w:val="00224D47"/>
    <w:rsid w:val="002301FD"/>
    <w:rsid w:val="00230EBA"/>
    <w:rsid w:val="0023156F"/>
    <w:rsid w:val="00232867"/>
    <w:rsid w:val="00234EC0"/>
    <w:rsid w:val="002356AE"/>
    <w:rsid w:val="002425A1"/>
    <w:rsid w:val="00242787"/>
    <w:rsid w:val="00251470"/>
    <w:rsid w:val="00251ABA"/>
    <w:rsid w:val="002529C3"/>
    <w:rsid w:val="00254515"/>
    <w:rsid w:val="002546F6"/>
    <w:rsid w:val="00255C6F"/>
    <w:rsid w:val="00261201"/>
    <w:rsid w:val="00261932"/>
    <w:rsid w:val="002652E7"/>
    <w:rsid w:val="002655F0"/>
    <w:rsid w:val="00272916"/>
    <w:rsid w:val="0027369E"/>
    <w:rsid w:val="00277550"/>
    <w:rsid w:val="00280239"/>
    <w:rsid w:val="00281937"/>
    <w:rsid w:val="00286780"/>
    <w:rsid w:val="00287BF2"/>
    <w:rsid w:val="00292B53"/>
    <w:rsid w:val="0029446F"/>
    <w:rsid w:val="00296442"/>
    <w:rsid w:val="00297D1D"/>
    <w:rsid w:val="002A1149"/>
    <w:rsid w:val="002A22AF"/>
    <w:rsid w:val="002A509A"/>
    <w:rsid w:val="002A5EB5"/>
    <w:rsid w:val="002B0C6A"/>
    <w:rsid w:val="002B6798"/>
    <w:rsid w:val="002C241A"/>
    <w:rsid w:val="002C564A"/>
    <w:rsid w:val="002C6363"/>
    <w:rsid w:val="002D2020"/>
    <w:rsid w:val="002D54C5"/>
    <w:rsid w:val="002D679E"/>
    <w:rsid w:val="002D6BA2"/>
    <w:rsid w:val="002D6E03"/>
    <w:rsid w:val="002E2112"/>
    <w:rsid w:val="002E4EA4"/>
    <w:rsid w:val="002E6ED1"/>
    <w:rsid w:val="002E78DE"/>
    <w:rsid w:val="002F2E51"/>
    <w:rsid w:val="002F6E75"/>
    <w:rsid w:val="00301DF2"/>
    <w:rsid w:val="00301EF3"/>
    <w:rsid w:val="00302B50"/>
    <w:rsid w:val="00304106"/>
    <w:rsid w:val="00304E2A"/>
    <w:rsid w:val="00306D90"/>
    <w:rsid w:val="00306EF8"/>
    <w:rsid w:val="0031096C"/>
    <w:rsid w:val="00310B15"/>
    <w:rsid w:val="00310CD1"/>
    <w:rsid w:val="00314327"/>
    <w:rsid w:val="00315827"/>
    <w:rsid w:val="00321898"/>
    <w:rsid w:val="003263BE"/>
    <w:rsid w:val="003276B5"/>
    <w:rsid w:val="00327DFF"/>
    <w:rsid w:val="00332138"/>
    <w:rsid w:val="00337E51"/>
    <w:rsid w:val="00340070"/>
    <w:rsid w:val="003408DB"/>
    <w:rsid w:val="0034248F"/>
    <w:rsid w:val="00342508"/>
    <w:rsid w:val="0034515B"/>
    <w:rsid w:val="003455BB"/>
    <w:rsid w:val="003463EB"/>
    <w:rsid w:val="00355B26"/>
    <w:rsid w:val="00357799"/>
    <w:rsid w:val="003577CA"/>
    <w:rsid w:val="003579B6"/>
    <w:rsid w:val="00363416"/>
    <w:rsid w:val="00363969"/>
    <w:rsid w:val="00364904"/>
    <w:rsid w:val="00364E01"/>
    <w:rsid w:val="00367F69"/>
    <w:rsid w:val="00370C41"/>
    <w:rsid w:val="003717EC"/>
    <w:rsid w:val="00373739"/>
    <w:rsid w:val="00376CD6"/>
    <w:rsid w:val="00384791"/>
    <w:rsid w:val="00385F86"/>
    <w:rsid w:val="00390F6E"/>
    <w:rsid w:val="0039375D"/>
    <w:rsid w:val="0039493A"/>
    <w:rsid w:val="003949C3"/>
    <w:rsid w:val="00397A0D"/>
    <w:rsid w:val="00397C10"/>
    <w:rsid w:val="003A18A7"/>
    <w:rsid w:val="003A3391"/>
    <w:rsid w:val="003A5954"/>
    <w:rsid w:val="003B0C54"/>
    <w:rsid w:val="003B16D6"/>
    <w:rsid w:val="003B1C3F"/>
    <w:rsid w:val="003B1CA5"/>
    <w:rsid w:val="003B4278"/>
    <w:rsid w:val="003B5D25"/>
    <w:rsid w:val="003B602A"/>
    <w:rsid w:val="003C0BEE"/>
    <w:rsid w:val="003C4235"/>
    <w:rsid w:val="003D0D54"/>
    <w:rsid w:val="003D1138"/>
    <w:rsid w:val="003D1A39"/>
    <w:rsid w:val="003D57C5"/>
    <w:rsid w:val="003D7266"/>
    <w:rsid w:val="003D7C93"/>
    <w:rsid w:val="003E10DE"/>
    <w:rsid w:val="003E2093"/>
    <w:rsid w:val="003F5F42"/>
    <w:rsid w:val="0040027F"/>
    <w:rsid w:val="00402148"/>
    <w:rsid w:val="00403824"/>
    <w:rsid w:val="004067CF"/>
    <w:rsid w:val="004101F6"/>
    <w:rsid w:val="004128F2"/>
    <w:rsid w:val="00413DBC"/>
    <w:rsid w:val="004141D4"/>
    <w:rsid w:val="004150D5"/>
    <w:rsid w:val="00416D56"/>
    <w:rsid w:val="0042081E"/>
    <w:rsid w:val="00425A34"/>
    <w:rsid w:val="00427339"/>
    <w:rsid w:val="00427B60"/>
    <w:rsid w:val="00432C10"/>
    <w:rsid w:val="00434059"/>
    <w:rsid w:val="00435CAB"/>
    <w:rsid w:val="00436EDE"/>
    <w:rsid w:val="004378DB"/>
    <w:rsid w:val="004405D3"/>
    <w:rsid w:val="00440B9B"/>
    <w:rsid w:val="004428DB"/>
    <w:rsid w:val="00443BA6"/>
    <w:rsid w:val="00446F54"/>
    <w:rsid w:val="004509BB"/>
    <w:rsid w:val="004520A0"/>
    <w:rsid w:val="00452B5A"/>
    <w:rsid w:val="00453505"/>
    <w:rsid w:val="004611F2"/>
    <w:rsid w:val="0046160D"/>
    <w:rsid w:val="00466F51"/>
    <w:rsid w:val="0046717C"/>
    <w:rsid w:val="0047175A"/>
    <w:rsid w:val="00472436"/>
    <w:rsid w:val="004727FC"/>
    <w:rsid w:val="00475364"/>
    <w:rsid w:val="00476FA9"/>
    <w:rsid w:val="00481C2C"/>
    <w:rsid w:val="00485007"/>
    <w:rsid w:val="00485447"/>
    <w:rsid w:val="00486A50"/>
    <w:rsid w:val="004873F0"/>
    <w:rsid w:val="004874F5"/>
    <w:rsid w:val="00487E1B"/>
    <w:rsid w:val="00490F93"/>
    <w:rsid w:val="00492171"/>
    <w:rsid w:val="004A0A7C"/>
    <w:rsid w:val="004A2533"/>
    <w:rsid w:val="004A64E7"/>
    <w:rsid w:val="004A7219"/>
    <w:rsid w:val="004B0F76"/>
    <w:rsid w:val="004B2322"/>
    <w:rsid w:val="004B63E2"/>
    <w:rsid w:val="004C16AE"/>
    <w:rsid w:val="004C2513"/>
    <w:rsid w:val="004C27CA"/>
    <w:rsid w:val="004C4678"/>
    <w:rsid w:val="004C5162"/>
    <w:rsid w:val="004D32ED"/>
    <w:rsid w:val="004D4AC0"/>
    <w:rsid w:val="004D7061"/>
    <w:rsid w:val="004E0A87"/>
    <w:rsid w:val="004E282B"/>
    <w:rsid w:val="004E3CBA"/>
    <w:rsid w:val="004E46DB"/>
    <w:rsid w:val="004E65F0"/>
    <w:rsid w:val="004E6F7E"/>
    <w:rsid w:val="004E6F98"/>
    <w:rsid w:val="004E71CC"/>
    <w:rsid w:val="004F0284"/>
    <w:rsid w:val="004F1FE0"/>
    <w:rsid w:val="004F41FD"/>
    <w:rsid w:val="004F699B"/>
    <w:rsid w:val="0050727A"/>
    <w:rsid w:val="00507BED"/>
    <w:rsid w:val="00516168"/>
    <w:rsid w:val="00520D07"/>
    <w:rsid w:val="00521210"/>
    <w:rsid w:val="00527305"/>
    <w:rsid w:val="00527601"/>
    <w:rsid w:val="005303C6"/>
    <w:rsid w:val="00532751"/>
    <w:rsid w:val="00542077"/>
    <w:rsid w:val="005425FD"/>
    <w:rsid w:val="0054795A"/>
    <w:rsid w:val="00550446"/>
    <w:rsid w:val="0056295F"/>
    <w:rsid w:val="0056496A"/>
    <w:rsid w:val="00564C04"/>
    <w:rsid w:val="00565D98"/>
    <w:rsid w:val="00570C97"/>
    <w:rsid w:val="00572328"/>
    <w:rsid w:val="005734E3"/>
    <w:rsid w:val="00575698"/>
    <w:rsid w:val="00575CBC"/>
    <w:rsid w:val="005765FD"/>
    <w:rsid w:val="0057705C"/>
    <w:rsid w:val="00577229"/>
    <w:rsid w:val="005804A4"/>
    <w:rsid w:val="0058143F"/>
    <w:rsid w:val="00581622"/>
    <w:rsid w:val="005863C9"/>
    <w:rsid w:val="005911D8"/>
    <w:rsid w:val="0059242E"/>
    <w:rsid w:val="00592C52"/>
    <w:rsid w:val="00596756"/>
    <w:rsid w:val="005A15AC"/>
    <w:rsid w:val="005A7DB0"/>
    <w:rsid w:val="005B06C3"/>
    <w:rsid w:val="005B2369"/>
    <w:rsid w:val="005B572E"/>
    <w:rsid w:val="005B5DD9"/>
    <w:rsid w:val="005B7DBA"/>
    <w:rsid w:val="005C1319"/>
    <w:rsid w:val="005C47EA"/>
    <w:rsid w:val="005D0A8F"/>
    <w:rsid w:val="005D1453"/>
    <w:rsid w:val="005D2E54"/>
    <w:rsid w:val="005D500A"/>
    <w:rsid w:val="005D6020"/>
    <w:rsid w:val="005E21CA"/>
    <w:rsid w:val="005E3630"/>
    <w:rsid w:val="005E3A7C"/>
    <w:rsid w:val="005E5135"/>
    <w:rsid w:val="005E57CF"/>
    <w:rsid w:val="005E6CE0"/>
    <w:rsid w:val="005E7ADD"/>
    <w:rsid w:val="005F14DB"/>
    <w:rsid w:val="005F28BD"/>
    <w:rsid w:val="005F68D0"/>
    <w:rsid w:val="005F7DA7"/>
    <w:rsid w:val="005F7FE2"/>
    <w:rsid w:val="006002E7"/>
    <w:rsid w:val="00600665"/>
    <w:rsid w:val="00600E1F"/>
    <w:rsid w:val="00601CA3"/>
    <w:rsid w:val="00603207"/>
    <w:rsid w:val="00605897"/>
    <w:rsid w:val="006101E7"/>
    <w:rsid w:val="006131ED"/>
    <w:rsid w:val="006208CF"/>
    <w:rsid w:val="00624811"/>
    <w:rsid w:val="006264DE"/>
    <w:rsid w:val="006347AB"/>
    <w:rsid w:val="00635789"/>
    <w:rsid w:val="006401F4"/>
    <w:rsid w:val="00640AB3"/>
    <w:rsid w:val="00641DB7"/>
    <w:rsid w:val="00645A62"/>
    <w:rsid w:val="006522DB"/>
    <w:rsid w:val="00655518"/>
    <w:rsid w:val="00657673"/>
    <w:rsid w:val="0066111B"/>
    <w:rsid w:val="00661379"/>
    <w:rsid w:val="0066542F"/>
    <w:rsid w:val="006714D0"/>
    <w:rsid w:val="006747EC"/>
    <w:rsid w:val="00676725"/>
    <w:rsid w:val="006814AC"/>
    <w:rsid w:val="00684401"/>
    <w:rsid w:val="006865D8"/>
    <w:rsid w:val="00686C90"/>
    <w:rsid w:val="00686FEB"/>
    <w:rsid w:val="00690A34"/>
    <w:rsid w:val="00690DD2"/>
    <w:rsid w:val="006937CE"/>
    <w:rsid w:val="006A0CEE"/>
    <w:rsid w:val="006A16CD"/>
    <w:rsid w:val="006A4CE6"/>
    <w:rsid w:val="006B0A06"/>
    <w:rsid w:val="006B190C"/>
    <w:rsid w:val="006B400C"/>
    <w:rsid w:val="006B6CB0"/>
    <w:rsid w:val="006B7AF8"/>
    <w:rsid w:val="006C15D9"/>
    <w:rsid w:val="006C3775"/>
    <w:rsid w:val="006C511C"/>
    <w:rsid w:val="006C62D5"/>
    <w:rsid w:val="006C721F"/>
    <w:rsid w:val="006D1711"/>
    <w:rsid w:val="006D22EE"/>
    <w:rsid w:val="006E0ADD"/>
    <w:rsid w:val="006E14BD"/>
    <w:rsid w:val="006E1651"/>
    <w:rsid w:val="006E40DA"/>
    <w:rsid w:val="006F06B7"/>
    <w:rsid w:val="006F56A5"/>
    <w:rsid w:val="006F6C3C"/>
    <w:rsid w:val="006F6C69"/>
    <w:rsid w:val="006F6E03"/>
    <w:rsid w:val="006F767C"/>
    <w:rsid w:val="006F7D56"/>
    <w:rsid w:val="00703046"/>
    <w:rsid w:val="007032FA"/>
    <w:rsid w:val="007054B7"/>
    <w:rsid w:val="00710506"/>
    <w:rsid w:val="00710681"/>
    <w:rsid w:val="00710686"/>
    <w:rsid w:val="0071320C"/>
    <w:rsid w:val="007139B6"/>
    <w:rsid w:val="007157FA"/>
    <w:rsid w:val="00715F63"/>
    <w:rsid w:val="007162A9"/>
    <w:rsid w:val="00721C95"/>
    <w:rsid w:val="00721EC2"/>
    <w:rsid w:val="00725F8B"/>
    <w:rsid w:val="00727A89"/>
    <w:rsid w:val="007349B5"/>
    <w:rsid w:val="0074137E"/>
    <w:rsid w:val="0074173F"/>
    <w:rsid w:val="00743C6F"/>
    <w:rsid w:val="00747174"/>
    <w:rsid w:val="00752375"/>
    <w:rsid w:val="00756A57"/>
    <w:rsid w:val="00757278"/>
    <w:rsid w:val="0075784F"/>
    <w:rsid w:val="007612D5"/>
    <w:rsid w:val="00766B95"/>
    <w:rsid w:val="0077109B"/>
    <w:rsid w:val="00780E38"/>
    <w:rsid w:val="0078104F"/>
    <w:rsid w:val="0078155C"/>
    <w:rsid w:val="00782FC4"/>
    <w:rsid w:val="0078315C"/>
    <w:rsid w:val="00784267"/>
    <w:rsid w:val="00784632"/>
    <w:rsid w:val="0078504D"/>
    <w:rsid w:val="0079159E"/>
    <w:rsid w:val="007916A9"/>
    <w:rsid w:val="007916C4"/>
    <w:rsid w:val="007925D1"/>
    <w:rsid w:val="00794039"/>
    <w:rsid w:val="00794CF6"/>
    <w:rsid w:val="00797985"/>
    <w:rsid w:val="007A4832"/>
    <w:rsid w:val="007A764E"/>
    <w:rsid w:val="007A7CC3"/>
    <w:rsid w:val="007B0120"/>
    <w:rsid w:val="007B05D5"/>
    <w:rsid w:val="007B1371"/>
    <w:rsid w:val="007B2D80"/>
    <w:rsid w:val="007C1F71"/>
    <w:rsid w:val="007C35EA"/>
    <w:rsid w:val="007C3D2F"/>
    <w:rsid w:val="007C6A52"/>
    <w:rsid w:val="007C7990"/>
    <w:rsid w:val="007D2140"/>
    <w:rsid w:val="007D301E"/>
    <w:rsid w:val="007D6954"/>
    <w:rsid w:val="007E6A42"/>
    <w:rsid w:val="007E7040"/>
    <w:rsid w:val="007F16FA"/>
    <w:rsid w:val="007F1E60"/>
    <w:rsid w:val="007F26CE"/>
    <w:rsid w:val="007F4234"/>
    <w:rsid w:val="007F4945"/>
    <w:rsid w:val="007F7CCC"/>
    <w:rsid w:val="00802A17"/>
    <w:rsid w:val="008034F4"/>
    <w:rsid w:val="00805870"/>
    <w:rsid w:val="00806671"/>
    <w:rsid w:val="0081026A"/>
    <w:rsid w:val="00811826"/>
    <w:rsid w:val="0082078D"/>
    <w:rsid w:val="00823E1B"/>
    <w:rsid w:val="00824CC2"/>
    <w:rsid w:val="00826974"/>
    <w:rsid w:val="008271A1"/>
    <w:rsid w:val="008279A3"/>
    <w:rsid w:val="00827EFC"/>
    <w:rsid w:val="008307FF"/>
    <w:rsid w:val="0083302A"/>
    <w:rsid w:val="00834B4F"/>
    <w:rsid w:val="008351F0"/>
    <w:rsid w:val="008352FD"/>
    <w:rsid w:val="008363BE"/>
    <w:rsid w:val="00837D0D"/>
    <w:rsid w:val="00850FF0"/>
    <w:rsid w:val="00851366"/>
    <w:rsid w:val="00852D14"/>
    <w:rsid w:val="00855581"/>
    <w:rsid w:val="00857B21"/>
    <w:rsid w:val="00861B6F"/>
    <w:rsid w:val="00861CAC"/>
    <w:rsid w:val="00861D12"/>
    <w:rsid w:val="00864078"/>
    <w:rsid w:val="008659EC"/>
    <w:rsid w:val="00866868"/>
    <w:rsid w:val="00880BC3"/>
    <w:rsid w:val="0088492E"/>
    <w:rsid w:val="0088663F"/>
    <w:rsid w:val="00886765"/>
    <w:rsid w:val="008875E0"/>
    <w:rsid w:val="00887736"/>
    <w:rsid w:val="00887A0B"/>
    <w:rsid w:val="00887A4D"/>
    <w:rsid w:val="00894329"/>
    <w:rsid w:val="00894CA3"/>
    <w:rsid w:val="00895937"/>
    <w:rsid w:val="008A0337"/>
    <w:rsid w:val="008A04AC"/>
    <w:rsid w:val="008A0829"/>
    <w:rsid w:val="008A1CA9"/>
    <w:rsid w:val="008A32F1"/>
    <w:rsid w:val="008A4253"/>
    <w:rsid w:val="008C1F04"/>
    <w:rsid w:val="008C232E"/>
    <w:rsid w:val="008C2A94"/>
    <w:rsid w:val="008C405D"/>
    <w:rsid w:val="008C61F1"/>
    <w:rsid w:val="008C7B35"/>
    <w:rsid w:val="008D0AA3"/>
    <w:rsid w:val="008D10DB"/>
    <w:rsid w:val="008D10DC"/>
    <w:rsid w:val="008D4661"/>
    <w:rsid w:val="008D470A"/>
    <w:rsid w:val="008D48CA"/>
    <w:rsid w:val="008D66F8"/>
    <w:rsid w:val="008D6963"/>
    <w:rsid w:val="008E198E"/>
    <w:rsid w:val="008E263C"/>
    <w:rsid w:val="008E2FF1"/>
    <w:rsid w:val="008F0F8E"/>
    <w:rsid w:val="008F3A83"/>
    <w:rsid w:val="008F442F"/>
    <w:rsid w:val="008F54B4"/>
    <w:rsid w:val="008F604C"/>
    <w:rsid w:val="008F764E"/>
    <w:rsid w:val="008F7EBA"/>
    <w:rsid w:val="00903C37"/>
    <w:rsid w:val="00916E72"/>
    <w:rsid w:val="00920262"/>
    <w:rsid w:val="00923893"/>
    <w:rsid w:val="00927C53"/>
    <w:rsid w:val="009305EE"/>
    <w:rsid w:val="00930835"/>
    <w:rsid w:val="00930C4C"/>
    <w:rsid w:val="00931899"/>
    <w:rsid w:val="00934A86"/>
    <w:rsid w:val="00935C1C"/>
    <w:rsid w:val="009366AD"/>
    <w:rsid w:val="00937812"/>
    <w:rsid w:val="00940EE5"/>
    <w:rsid w:val="009443F5"/>
    <w:rsid w:val="00945379"/>
    <w:rsid w:val="0094556C"/>
    <w:rsid w:val="0095135E"/>
    <w:rsid w:val="00955DF5"/>
    <w:rsid w:val="00955FD7"/>
    <w:rsid w:val="00956D77"/>
    <w:rsid w:val="009570DB"/>
    <w:rsid w:val="0096087A"/>
    <w:rsid w:val="009702C5"/>
    <w:rsid w:val="009716C1"/>
    <w:rsid w:val="00974DD8"/>
    <w:rsid w:val="00980A90"/>
    <w:rsid w:val="0098121E"/>
    <w:rsid w:val="00984DEC"/>
    <w:rsid w:val="009935C2"/>
    <w:rsid w:val="009A26D3"/>
    <w:rsid w:val="009A3075"/>
    <w:rsid w:val="009A5664"/>
    <w:rsid w:val="009A5ED8"/>
    <w:rsid w:val="009A7F78"/>
    <w:rsid w:val="009B0A55"/>
    <w:rsid w:val="009B26A2"/>
    <w:rsid w:val="009B65FF"/>
    <w:rsid w:val="009B6E4C"/>
    <w:rsid w:val="009C07DC"/>
    <w:rsid w:val="009C1B44"/>
    <w:rsid w:val="009C28E3"/>
    <w:rsid w:val="009C32F8"/>
    <w:rsid w:val="009C3691"/>
    <w:rsid w:val="009C50E8"/>
    <w:rsid w:val="009C6BCA"/>
    <w:rsid w:val="009D4460"/>
    <w:rsid w:val="009E215B"/>
    <w:rsid w:val="009E5D66"/>
    <w:rsid w:val="009F000C"/>
    <w:rsid w:val="009F0BFA"/>
    <w:rsid w:val="009F5863"/>
    <w:rsid w:val="009F6257"/>
    <w:rsid w:val="009F6F07"/>
    <w:rsid w:val="00A00C1C"/>
    <w:rsid w:val="00A07587"/>
    <w:rsid w:val="00A12F73"/>
    <w:rsid w:val="00A1510F"/>
    <w:rsid w:val="00A20740"/>
    <w:rsid w:val="00A20F4B"/>
    <w:rsid w:val="00A22797"/>
    <w:rsid w:val="00A22ACD"/>
    <w:rsid w:val="00A2438B"/>
    <w:rsid w:val="00A247F4"/>
    <w:rsid w:val="00A24D57"/>
    <w:rsid w:val="00A273EE"/>
    <w:rsid w:val="00A311B4"/>
    <w:rsid w:val="00A31391"/>
    <w:rsid w:val="00A34358"/>
    <w:rsid w:val="00A34D2D"/>
    <w:rsid w:val="00A35AE2"/>
    <w:rsid w:val="00A36AB5"/>
    <w:rsid w:val="00A4200D"/>
    <w:rsid w:val="00A422DE"/>
    <w:rsid w:val="00A44B71"/>
    <w:rsid w:val="00A46244"/>
    <w:rsid w:val="00A5141B"/>
    <w:rsid w:val="00A52469"/>
    <w:rsid w:val="00A54509"/>
    <w:rsid w:val="00A55618"/>
    <w:rsid w:val="00A559C9"/>
    <w:rsid w:val="00A55C7A"/>
    <w:rsid w:val="00A60A78"/>
    <w:rsid w:val="00A66647"/>
    <w:rsid w:val="00A712AC"/>
    <w:rsid w:val="00A72753"/>
    <w:rsid w:val="00A83CA5"/>
    <w:rsid w:val="00A84F20"/>
    <w:rsid w:val="00A85784"/>
    <w:rsid w:val="00A9241F"/>
    <w:rsid w:val="00A92A3F"/>
    <w:rsid w:val="00A95A7A"/>
    <w:rsid w:val="00AA0F74"/>
    <w:rsid w:val="00AA37DC"/>
    <w:rsid w:val="00AA698E"/>
    <w:rsid w:val="00AB27CD"/>
    <w:rsid w:val="00AB31AD"/>
    <w:rsid w:val="00AB4099"/>
    <w:rsid w:val="00AB46C4"/>
    <w:rsid w:val="00AB4777"/>
    <w:rsid w:val="00AC1BFD"/>
    <w:rsid w:val="00AC5EDF"/>
    <w:rsid w:val="00AD047E"/>
    <w:rsid w:val="00AD085C"/>
    <w:rsid w:val="00AE2FB0"/>
    <w:rsid w:val="00AE3F0C"/>
    <w:rsid w:val="00AF01FE"/>
    <w:rsid w:val="00AF0D23"/>
    <w:rsid w:val="00AF18D5"/>
    <w:rsid w:val="00AF536B"/>
    <w:rsid w:val="00AF5989"/>
    <w:rsid w:val="00AF6357"/>
    <w:rsid w:val="00AF7A33"/>
    <w:rsid w:val="00B01EF6"/>
    <w:rsid w:val="00B064DF"/>
    <w:rsid w:val="00B06A2C"/>
    <w:rsid w:val="00B06B37"/>
    <w:rsid w:val="00B125DB"/>
    <w:rsid w:val="00B14B5E"/>
    <w:rsid w:val="00B22611"/>
    <w:rsid w:val="00B22787"/>
    <w:rsid w:val="00B22D96"/>
    <w:rsid w:val="00B24394"/>
    <w:rsid w:val="00B25A28"/>
    <w:rsid w:val="00B305E5"/>
    <w:rsid w:val="00B308BA"/>
    <w:rsid w:val="00B35795"/>
    <w:rsid w:val="00B406BE"/>
    <w:rsid w:val="00B46976"/>
    <w:rsid w:val="00B558A3"/>
    <w:rsid w:val="00B55A89"/>
    <w:rsid w:val="00B56727"/>
    <w:rsid w:val="00B6474C"/>
    <w:rsid w:val="00B64A68"/>
    <w:rsid w:val="00B6771C"/>
    <w:rsid w:val="00B71B4F"/>
    <w:rsid w:val="00B7265C"/>
    <w:rsid w:val="00B73779"/>
    <w:rsid w:val="00B76651"/>
    <w:rsid w:val="00B776DA"/>
    <w:rsid w:val="00B829B3"/>
    <w:rsid w:val="00B8512D"/>
    <w:rsid w:val="00B90B22"/>
    <w:rsid w:val="00BA1472"/>
    <w:rsid w:val="00BA30AE"/>
    <w:rsid w:val="00BA4B43"/>
    <w:rsid w:val="00BA5522"/>
    <w:rsid w:val="00BA665B"/>
    <w:rsid w:val="00BA6E74"/>
    <w:rsid w:val="00BB37A0"/>
    <w:rsid w:val="00BB488F"/>
    <w:rsid w:val="00BC032B"/>
    <w:rsid w:val="00BC36A1"/>
    <w:rsid w:val="00BC52DD"/>
    <w:rsid w:val="00BC6EA0"/>
    <w:rsid w:val="00BC72CF"/>
    <w:rsid w:val="00BD2B99"/>
    <w:rsid w:val="00BD31AB"/>
    <w:rsid w:val="00BD40D7"/>
    <w:rsid w:val="00BD7BDC"/>
    <w:rsid w:val="00BE1204"/>
    <w:rsid w:val="00BE2C05"/>
    <w:rsid w:val="00BE3069"/>
    <w:rsid w:val="00BE335C"/>
    <w:rsid w:val="00BE3BA8"/>
    <w:rsid w:val="00BE4B7C"/>
    <w:rsid w:val="00BE7412"/>
    <w:rsid w:val="00BE7CD5"/>
    <w:rsid w:val="00BF009E"/>
    <w:rsid w:val="00BF011B"/>
    <w:rsid w:val="00BF0C67"/>
    <w:rsid w:val="00BF2CE2"/>
    <w:rsid w:val="00BF3009"/>
    <w:rsid w:val="00BF47C3"/>
    <w:rsid w:val="00C0383F"/>
    <w:rsid w:val="00C05B74"/>
    <w:rsid w:val="00C07B0A"/>
    <w:rsid w:val="00C10E02"/>
    <w:rsid w:val="00C16A9E"/>
    <w:rsid w:val="00C20F4B"/>
    <w:rsid w:val="00C2325B"/>
    <w:rsid w:val="00C24576"/>
    <w:rsid w:val="00C26BAF"/>
    <w:rsid w:val="00C31E5C"/>
    <w:rsid w:val="00C34BED"/>
    <w:rsid w:val="00C35979"/>
    <w:rsid w:val="00C37262"/>
    <w:rsid w:val="00C413B9"/>
    <w:rsid w:val="00C419C5"/>
    <w:rsid w:val="00C42375"/>
    <w:rsid w:val="00C45F7A"/>
    <w:rsid w:val="00C51C19"/>
    <w:rsid w:val="00C524E3"/>
    <w:rsid w:val="00C5347C"/>
    <w:rsid w:val="00C541F3"/>
    <w:rsid w:val="00C54274"/>
    <w:rsid w:val="00C54D43"/>
    <w:rsid w:val="00C5569B"/>
    <w:rsid w:val="00C577FA"/>
    <w:rsid w:val="00C602FA"/>
    <w:rsid w:val="00C623C7"/>
    <w:rsid w:val="00C63A10"/>
    <w:rsid w:val="00C63A90"/>
    <w:rsid w:val="00C64DA1"/>
    <w:rsid w:val="00C66AE1"/>
    <w:rsid w:val="00C6702A"/>
    <w:rsid w:val="00C72ED0"/>
    <w:rsid w:val="00C730CB"/>
    <w:rsid w:val="00C7662B"/>
    <w:rsid w:val="00C85085"/>
    <w:rsid w:val="00C863C5"/>
    <w:rsid w:val="00C90CCD"/>
    <w:rsid w:val="00C91F1A"/>
    <w:rsid w:val="00C940B5"/>
    <w:rsid w:val="00C946F9"/>
    <w:rsid w:val="00CB1161"/>
    <w:rsid w:val="00CB258C"/>
    <w:rsid w:val="00CC28B5"/>
    <w:rsid w:val="00CC3BBC"/>
    <w:rsid w:val="00CC712C"/>
    <w:rsid w:val="00CD3F5B"/>
    <w:rsid w:val="00CD4136"/>
    <w:rsid w:val="00CD53E6"/>
    <w:rsid w:val="00CE1EFE"/>
    <w:rsid w:val="00CE2990"/>
    <w:rsid w:val="00CE5B83"/>
    <w:rsid w:val="00CE7DB9"/>
    <w:rsid w:val="00CF1D6F"/>
    <w:rsid w:val="00CF28D4"/>
    <w:rsid w:val="00CF2E40"/>
    <w:rsid w:val="00CF5768"/>
    <w:rsid w:val="00CF7A80"/>
    <w:rsid w:val="00D002FC"/>
    <w:rsid w:val="00D00A42"/>
    <w:rsid w:val="00D026F5"/>
    <w:rsid w:val="00D044EF"/>
    <w:rsid w:val="00D109FA"/>
    <w:rsid w:val="00D10C3C"/>
    <w:rsid w:val="00D228D2"/>
    <w:rsid w:val="00D2304F"/>
    <w:rsid w:val="00D2479D"/>
    <w:rsid w:val="00D26C43"/>
    <w:rsid w:val="00D3374C"/>
    <w:rsid w:val="00D3647D"/>
    <w:rsid w:val="00D36BBE"/>
    <w:rsid w:val="00D36D10"/>
    <w:rsid w:val="00D41156"/>
    <w:rsid w:val="00D42DF2"/>
    <w:rsid w:val="00D4350A"/>
    <w:rsid w:val="00D4573C"/>
    <w:rsid w:val="00D47828"/>
    <w:rsid w:val="00D5063E"/>
    <w:rsid w:val="00D506BC"/>
    <w:rsid w:val="00D6116D"/>
    <w:rsid w:val="00D62683"/>
    <w:rsid w:val="00D626B1"/>
    <w:rsid w:val="00D632FE"/>
    <w:rsid w:val="00D7002B"/>
    <w:rsid w:val="00D73940"/>
    <w:rsid w:val="00D74029"/>
    <w:rsid w:val="00D7461B"/>
    <w:rsid w:val="00D821A4"/>
    <w:rsid w:val="00D85085"/>
    <w:rsid w:val="00D91634"/>
    <w:rsid w:val="00D91EA3"/>
    <w:rsid w:val="00D93BAF"/>
    <w:rsid w:val="00D96034"/>
    <w:rsid w:val="00D971AC"/>
    <w:rsid w:val="00D97A7F"/>
    <w:rsid w:val="00DA2550"/>
    <w:rsid w:val="00DA3089"/>
    <w:rsid w:val="00DA3989"/>
    <w:rsid w:val="00DA3B5C"/>
    <w:rsid w:val="00DA75F4"/>
    <w:rsid w:val="00DA7C72"/>
    <w:rsid w:val="00DB3DDB"/>
    <w:rsid w:val="00DC0830"/>
    <w:rsid w:val="00DC2738"/>
    <w:rsid w:val="00DC3062"/>
    <w:rsid w:val="00DC32BD"/>
    <w:rsid w:val="00DC3AC5"/>
    <w:rsid w:val="00DC5AF5"/>
    <w:rsid w:val="00DD1855"/>
    <w:rsid w:val="00DD3027"/>
    <w:rsid w:val="00DD4461"/>
    <w:rsid w:val="00DE2A30"/>
    <w:rsid w:val="00DF69DC"/>
    <w:rsid w:val="00E00B74"/>
    <w:rsid w:val="00E00D00"/>
    <w:rsid w:val="00E01934"/>
    <w:rsid w:val="00E0327F"/>
    <w:rsid w:val="00E03984"/>
    <w:rsid w:val="00E03E03"/>
    <w:rsid w:val="00E05BF0"/>
    <w:rsid w:val="00E07620"/>
    <w:rsid w:val="00E24B7D"/>
    <w:rsid w:val="00E27B6D"/>
    <w:rsid w:val="00E31580"/>
    <w:rsid w:val="00E3215D"/>
    <w:rsid w:val="00E33E6D"/>
    <w:rsid w:val="00E40493"/>
    <w:rsid w:val="00E50708"/>
    <w:rsid w:val="00E52D87"/>
    <w:rsid w:val="00E54DAB"/>
    <w:rsid w:val="00E57B88"/>
    <w:rsid w:val="00E6004F"/>
    <w:rsid w:val="00E601C7"/>
    <w:rsid w:val="00E745E2"/>
    <w:rsid w:val="00E74B19"/>
    <w:rsid w:val="00E75B27"/>
    <w:rsid w:val="00E802F5"/>
    <w:rsid w:val="00E80715"/>
    <w:rsid w:val="00E82E7D"/>
    <w:rsid w:val="00E837D2"/>
    <w:rsid w:val="00E874DC"/>
    <w:rsid w:val="00E905B3"/>
    <w:rsid w:val="00E91128"/>
    <w:rsid w:val="00EA22E7"/>
    <w:rsid w:val="00EA3D94"/>
    <w:rsid w:val="00EA4E62"/>
    <w:rsid w:val="00EA640F"/>
    <w:rsid w:val="00EC421E"/>
    <w:rsid w:val="00ED10DA"/>
    <w:rsid w:val="00ED1388"/>
    <w:rsid w:val="00ED17C7"/>
    <w:rsid w:val="00ED31BE"/>
    <w:rsid w:val="00EE3B5C"/>
    <w:rsid w:val="00EE64D9"/>
    <w:rsid w:val="00EF4DEF"/>
    <w:rsid w:val="00EF7EE4"/>
    <w:rsid w:val="00F00919"/>
    <w:rsid w:val="00F06CC6"/>
    <w:rsid w:val="00F109C0"/>
    <w:rsid w:val="00F11351"/>
    <w:rsid w:val="00F1218A"/>
    <w:rsid w:val="00F1435B"/>
    <w:rsid w:val="00F268EB"/>
    <w:rsid w:val="00F275DE"/>
    <w:rsid w:val="00F30EB0"/>
    <w:rsid w:val="00F3202F"/>
    <w:rsid w:val="00F32C60"/>
    <w:rsid w:val="00F34E8E"/>
    <w:rsid w:val="00F3539E"/>
    <w:rsid w:val="00F4144F"/>
    <w:rsid w:val="00F41BCE"/>
    <w:rsid w:val="00F42256"/>
    <w:rsid w:val="00F4232D"/>
    <w:rsid w:val="00F44AA2"/>
    <w:rsid w:val="00F450E4"/>
    <w:rsid w:val="00F461FC"/>
    <w:rsid w:val="00F50326"/>
    <w:rsid w:val="00F51414"/>
    <w:rsid w:val="00F64377"/>
    <w:rsid w:val="00F702BC"/>
    <w:rsid w:val="00F7711E"/>
    <w:rsid w:val="00F77A55"/>
    <w:rsid w:val="00F800F5"/>
    <w:rsid w:val="00F818CE"/>
    <w:rsid w:val="00F90D03"/>
    <w:rsid w:val="00F96501"/>
    <w:rsid w:val="00F97879"/>
    <w:rsid w:val="00FA0FBE"/>
    <w:rsid w:val="00FA1B87"/>
    <w:rsid w:val="00FA302B"/>
    <w:rsid w:val="00FA4F72"/>
    <w:rsid w:val="00FA5238"/>
    <w:rsid w:val="00FA7E78"/>
    <w:rsid w:val="00FB15CF"/>
    <w:rsid w:val="00FB1966"/>
    <w:rsid w:val="00FB1985"/>
    <w:rsid w:val="00FB4503"/>
    <w:rsid w:val="00FB487C"/>
    <w:rsid w:val="00FC4F42"/>
    <w:rsid w:val="00FD252A"/>
    <w:rsid w:val="00FD4D61"/>
    <w:rsid w:val="00FE22E4"/>
    <w:rsid w:val="00FE3F6B"/>
    <w:rsid w:val="00FE5564"/>
    <w:rsid w:val="00FE59DB"/>
    <w:rsid w:val="00FF20E0"/>
    <w:rsid w:val="00FF428B"/>
    <w:rsid w:val="00FF75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8EC7409"/>
  <w15:chartTrackingRefBased/>
  <w15:docId w15:val="{02502238-30A7-4049-9E5A-7E3EDFCC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2">
    <w:name w:val="heading 2"/>
    <w:basedOn w:val="Normal"/>
    <w:next w:val="Normal"/>
    <w:qFormat/>
    <w:rsid w:val="00041B3D"/>
    <w:pPr>
      <w:keepNext/>
      <w:spacing w:before="240" w:after="60"/>
      <w:outlineLvl w:val="1"/>
    </w:pPr>
    <w:rPr>
      <w:rFonts w:ascii="Arial" w:hAnsi="Arial" w:cs="Arial"/>
      <w:b/>
      <w:bCs/>
      <w:i/>
      <w:iCs/>
      <w:sz w:val="28"/>
      <w:szCs w:val="28"/>
    </w:rPr>
  </w:style>
  <w:style w:type="paragraph" w:styleId="Heading5">
    <w:name w:val="heading 5"/>
    <w:basedOn w:val="Normal"/>
    <w:qFormat/>
    <w:rsid w:val="00230EBA"/>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aliases w:val="(NECG) Footnote Reference,Styl,Style 11,Style 12,Style 13,Style 15,Style 16,Style 17,Style 18,Style 19,Style 20,Style 28,Style 7,Style 8,Style 9,fr,fr1,fr2,fr3,o,o1,o2,o3"/>
    <w:qFormat/>
  </w:style>
  <w:style w:type="paragraph" w:styleId="Header">
    <w:name w:val="header"/>
    <w:basedOn w:val="Normal"/>
    <w:rsid w:val="00527305"/>
    <w:pPr>
      <w:tabs>
        <w:tab w:val="center" w:pos="4320"/>
        <w:tab w:val="right" w:pos="8640"/>
      </w:tabs>
    </w:pPr>
  </w:style>
  <w:style w:type="paragraph" w:styleId="Footer">
    <w:name w:val="footer"/>
    <w:basedOn w:val="Normal"/>
    <w:link w:val="FooterChar"/>
    <w:uiPriority w:val="99"/>
    <w:rsid w:val="00527305"/>
    <w:pPr>
      <w:tabs>
        <w:tab w:val="center" w:pos="4320"/>
        <w:tab w:val="right" w:pos="8640"/>
      </w:tabs>
    </w:pPr>
  </w:style>
  <w:style w:type="table" w:styleId="TableGrid">
    <w:name w:val="Table Grid"/>
    <w:basedOn w:val="TableNormal"/>
    <w:rsid w:val="00F34E8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ootnote Text Char Char,Footnote Text Char Char Char,Footnote Text Char1,Footnote Text Char1 Char,Footnote Text Char1 Char Char,Footnote Text Char1 Char1,Footnote Text Char2 Char,Footnote Text Char3,Footnote Text MRP,fn"/>
    <w:basedOn w:val="Normal"/>
    <w:link w:val="FootnoteTextChar2"/>
    <w:uiPriority w:val="99"/>
    <w:qFormat/>
    <w:rsid w:val="00934A86"/>
    <w:rPr>
      <w:sz w:val="20"/>
      <w:szCs w:val="20"/>
    </w:rPr>
  </w:style>
  <w:style w:type="character" w:styleId="Hyperlink">
    <w:name w:val="Hyperlink"/>
    <w:rsid w:val="0029446F"/>
    <w:rPr>
      <w:color w:val="0000FF"/>
      <w:u w:val="single"/>
    </w:rPr>
  </w:style>
  <w:style w:type="character" w:styleId="PageNumber">
    <w:name w:val="page number"/>
    <w:basedOn w:val="DefaultParagraphFont"/>
    <w:rsid w:val="004C5162"/>
  </w:style>
  <w:style w:type="paragraph" w:customStyle="1" w:styleId="FERCparanumber">
    <w:name w:val="FERC paranumber"/>
    <w:basedOn w:val="Normal"/>
    <w:link w:val="FERCparanumberChar"/>
    <w:rsid w:val="00481C2C"/>
    <w:pPr>
      <w:numPr>
        <w:numId w:val="1"/>
      </w:numPr>
      <w:spacing w:line="480" w:lineRule="auto"/>
    </w:pPr>
    <w:rPr>
      <w:sz w:val="26"/>
    </w:rPr>
  </w:style>
  <w:style w:type="character" w:customStyle="1" w:styleId="FERCparanumberChar">
    <w:name w:val="FERC paranumber Char"/>
    <w:link w:val="FERCparanumber"/>
    <w:rsid w:val="00481C2C"/>
    <w:rPr>
      <w:sz w:val="26"/>
      <w:szCs w:val="24"/>
      <w:lang w:val="en-US" w:eastAsia="en-US" w:bidi="ar-SA"/>
    </w:rPr>
  </w:style>
  <w:style w:type="character" w:customStyle="1" w:styleId="FootnoteTextChar2">
    <w:name w:val="Footnote Text Char2"/>
    <w:aliases w:val="Char Char,Footnote Text Char Char Char Char,Footnote Text Char Char Char1,Footnote Text Char Char1,Footnote Text Char1 Char Char Char,Footnote Text Char1 Char Char1,Footnote Text Char1 Char2,Footnote Text MRP Char,fn Char,ft Char"/>
    <w:link w:val="FootnoteText"/>
    <w:uiPriority w:val="99"/>
    <w:rsid w:val="004A0A7C"/>
    <w:rPr>
      <w:lang w:val="en-US" w:eastAsia="en-US" w:bidi="ar-SA"/>
    </w:rPr>
  </w:style>
  <w:style w:type="paragraph" w:styleId="ListContinue">
    <w:name w:val="List Continue"/>
    <w:basedOn w:val="Normal"/>
    <w:rsid w:val="004A0A7C"/>
    <w:pPr>
      <w:widowControl/>
      <w:numPr>
        <w:numId w:val="2"/>
      </w:numPr>
      <w:autoSpaceDE/>
      <w:autoSpaceDN/>
      <w:adjustRightInd/>
      <w:spacing w:after="120" w:line="480" w:lineRule="auto"/>
    </w:pPr>
    <w:rPr>
      <w:sz w:val="26"/>
    </w:rPr>
  </w:style>
  <w:style w:type="paragraph" w:customStyle="1" w:styleId="LegalFormat">
    <w:name w:val="Legal Format"/>
    <w:basedOn w:val="ListContinue"/>
    <w:rsid w:val="004A0A7C"/>
    <w:pPr>
      <w:spacing w:after="0"/>
      <w:ind w:left="0"/>
    </w:pPr>
    <w:rPr>
      <w:u w:val="single"/>
    </w:rPr>
  </w:style>
  <w:style w:type="paragraph" w:customStyle="1" w:styleId="Style13ptBoldLeft1">
    <w:name w:val="Style 13 pt Bold Left:  1&quot;"/>
    <w:basedOn w:val="Normal"/>
    <w:rsid w:val="003B0C54"/>
    <w:pPr>
      <w:widowControl/>
      <w:autoSpaceDE/>
      <w:autoSpaceDN/>
      <w:adjustRightInd/>
      <w:spacing w:line="480" w:lineRule="auto"/>
      <w:ind w:left="1440"/>
    </w:pPr>
    <w:rPr>
      <w:b/>
      <w:bCs/>
      <w:sz w:val="26"/>
      <w:szCs w:val="20"/>
    </w:rPr>
  </w:style>
  <w:style w:type="paragraph" w:styleId="HTMLTopofForm">
    <w:name w:val="HTML Top of Form"/>
    <w:basedOn w:val="Normal"/>
    <w:next w:val="Normal"/>
    <w:hidden/>
    <w:rsid w:val="00002552"/>
    <w:pPr>
      <w:widowControl/>
      <w:pBdr>
        <w:bottom w:val="single" w:sz="6" w:space="1" w:color="auto"/>
      </w:pBdr>
      <w:autoSpaceDE/>
      <w:autoSpaceDN/>
      <w:adjustRightInd/>
      <w:jc w:val="center"/>
    </w:pPr>
    <w:rPr>
      <w:rFonts w:ascii="Arial" w:hAnsi="Arial" w:cs="Arial"/>
      <w:vanish/>
      <w:sz w:val="16"/>
      <w:szCs w:val="16"/>
    </w:rPr>
  </w:style>
  <w:style w:type="paragraph" w:styleId="HTMLBottomofForm">
    <w:name w:val="HTML Bottom of Form"/>
    <w:basedOn w:val="Normal"/>
    <w:next w:val="Normal"/>
    <w:hidden/>
    <w:rsid w:val="00002552"/>
    <w:pPr>
      <w:widowControl/>
      <w:pBdr>
        <w:top w:val="single" w:sz="6" w:space="1" w:color="auto"/>
      </w:pBdr>
      <w:autoSpaceDE/>
      <w:autoSpaceDN/>
      <w:adjustRightInd/>
      <w:jc w:val="center"/>
    </w:pPr>
    <w:rPr>
      <w:rFonts w:ascii="Arial" w:hAnsi="Arial" w:cs="Arial"/>
      <w:vanish/>
      <w:sz w:val="16"/>
      <w:szCs w:val="16"/>
    </w:rPr>
  </w:style>
  <w:style w:type="character" w:styleId="FollowedHyperlink">
    <w:name w:val="FollowedHyperlink"/>
    <w:rsid w:val="00E3215D"/>
    <w:rPr>
      <w:color w:val="800080"/>
      <w:u w:val="single"/>
    </w:rPr>
  </w:style>
  <w:style w:type="paragraph" w:styleId="NormalWeb">
    <w:name w:val="Normal (Web)"/>
    <w:basedOn w:val="Normal"/>
    <w:rsid w:val="00230EBA"/>
    <w:pPr>
      <w:widowControl/>
      <w:autoSpaceDE/>
      <w:autoSpaceDN/>
      <w:adjustRightInd/>
      <w:spacing w:before="100" w:beforeAutospacing="1" w:after="100" w:afterAutospacing="1"/>
    </w:pPr>
  </w:style>
  <w:style w:type="character" w:customStyle="1" w:styleId="updatebodytest1">
    <w:name w:val="updatebodytest1"/>
    <w:rsid w:val="00230EBA"/>
    <w:rPr>
      <w:rFonts w:ascii="Arial" w:hAnsi="Arial" w:cs="Arial" w:hint="default"/>
      <w:b w:val="0"/>
      <w:bCs w:val="0"/>
      <w:i w:val="0"/>
      <w:iCs w:val="0"/>
      <w:smallCaps w:val="0"/>
      <w:sz w:val="18"/>
      <w:szCs w:val="18"/>
    </w:rPr>
  </w:style>
  <w:style w:type="character" w:customStyle="1" w:styleId="mainheader1">
    <w:name w:val="mainheader1"/>
    <w:rsid w:val="00230EBA"/>
    <w:rPr>
      <w:b/>
      <w:bCs/>
      <w:sz w:val="31"/>
      <w:szCs w:val="31"/>
    </w:rPr>
  </w:style>
  <w:style w:type="character" w:customStyle="1" w:styleId="ptext-2">
    <w:name w:val="ptext-2"/>
    <w:rsid w:val="00041B3D"/>
    <w:rPr>
      <w:b w:val="0"/>
      <w:bCs w:val="0"/>
    </w:rPr>
  </w:style>
  <w:style w:type="character" w:customStyle="1" w:styleId="ptext-3">
    <w:name w:val="ptext-3"/>
    <w:rsid w:val="00041B3D"/>
    <w:rPr>
      <w:b w:val="0"/>
      <w:bCs w:val="0"/>
    </w:rPr>
  </w:style>
  <w:style w:type="character" w:customStyle="1" w:styleId="ptext-4">
    <w:name w:val="ptext-4"/>
    <w:rsid w:val="00041B3D"/>
    <w:rPr>
      <w:b w:val="0"/>
      <w:bCs w:val="0"/>
    </w:rPr>
  </w:style>
  <w:style w:type="character" w:customStyle="1" w:styleId="enumbell">
    <w:name w:val="enumbell"/>
    <w:rsid w:val="00041B3D"/>
    <w:rPr>
      <w:b/>
      <w:bCs/>
    </w:rPr>
  </w:style>
  <w:style w:type="character" w:styleId="CommentReference">
    <w:name w:val="annotation reference"/>
    <w:semiHidden/>
    <w:rsid w:val="00261932"/>
    <w:rPr>
      <w:sz w:val="16"/>
      <w:szCs w:val="16"/>
    </w:rPr>
  </w:style>
  <w:style w:type="paragraph" w:styleId="CommentText">
    <w:name w:val="annotation text"/>
    <w:basedOn w:val="Normal"/>
    <w:semiHidden/>
    <w:rsid w:val="00261932"/>
    <w:rPr>
      <w:sz w:val="20"/>
      <w:szCs w:val="20"/>
    </w:rPr>
  </w:style>
  <w:style w:type="paragraph" w:styleId="CommentSubject">
    <w:name w:val="annotation subject"/>
    <w:basedOn w:val="CommentText"/>
    <w:next w:val="CommentText"/>
    <w:semiHidden/>
    <w:rsid w:val="00261932"/>
    <w:rPr>
      <w:b/>
      <w:bCs/>
    </w:rPr>
  </w:style>
  <w:style w:type="paragraph" w:styleId="BalloonText">
    <w:name w:val="Balloon Text"/>
    <w:basedOn w:val="Normal"/>
    <w:semiHidden/>
    <w:rsid w:val="00261932"/>
    <w:rPr>
      <w:rFonts w:ascii="Tahoma" w:hAnsi="Tahoma" w:cs="Tahoma"/>
      <w:sz w:val="16"/>
      <w:szCs w:val="16"/>
    </w:rPr>
  </w:style>
  <w:style w:type="paragraph" w:styleId="PlainText">
    <w:name w:val="Plain Text"/>
    <w:basedOn w:val="Normal"/>
    <w:rsid w:val="004E46DB"/>
    <w:pPr>
      <w:widowControl/>
      <w:autoSpaceDE/>
      <w:autoSpaceDN/>
      <w:adjustRightInd/>
    </w:pPr>
    <w:rPr>
      <w:rFonts w:ascii="Courier New" w:hAnsi="Courier New" w:cs="Courier New"/>
      <w:sz w:val="20"/>
      <w:szCs w:val="20"/>
    </w:rPr>
  </w:style>
  <w:style w:type="paragraph" w:customStyle="1" w:styleId="Default">
    <w:name w:val="Default"/>
    <w:rsid w:val="00927C53"/>
    <w:pPr>
      <w:autoSpaceDE w:val="0"/>
      <w:autoSpaceDN w:val="0"/>
      <w:adjustRightInd w:val="0"/>
    </w:pPr>
    <w:rPr>
      <w:rFonts w:ascii="OMODMN+ArialNarrow" w:hAnsi="OMODMN+ArialNarrow" w:cs="OMODMN+ArialNarrow"/>
      <w:color w:val="000000"/>
      <w:sz w:val="24"/>
      <w:szCs w:val="24"/>
    </w:rPr>
  </w:style>
  <w:style w:type="paragraph" w:customStyle="1" w:styleId="CM1">
    <w:name w:val="CM1"/>
    <w:basedOn w:val="Default"/>
    <w:next w:val="Default"/>
    <w:rsid w:val="00927C53"/>
    <w:rPr>
      <w:rFonts w:cs="Times New Roman"/>
      <w:color w:val="auto"/>
    </w:rPr>
  </w:style>
  <w:style w:type="character" w:styleId="Strong">
    <w:name w:val="Strong"/>
    <w:qFormat/>
    <w:rsid w:val="005F7FE2"/>
    <w:rPr>
      <w:b/>
      <w:bCs/>
    </w:rPr>
  </w:style>
  <w:style w:type="character" w:customStyle="1" w:styleId="EllenBrown">
    <w:name w:val="Ellen Brown"/>
    <w:semiHidden/>
    <w:rsid w:val="00715F63"/>
    <w:rPr>
      <w:rFonts w:ascii="Arial" w:hAnsi="Arial" w:cs="Arial"/>
      <w:color w:val="000080"/>
      <w:sz w:val="20"/>
      <w:szCs w:val="20"/>
    </w:rPr>
  </w:style>
  <w:style w:type="character" w:styleId="HTMLCite">
    <w:name w:val="HTML Cite"/>
    <w:rsid w:val="00B22D96"/>
    <w:rPr>
      <w:i/>
      <w:iCs/>
    </w:rPr>
  </w:style>
  <w:style w:type="character" w:customStyle="1" w:styleId="FooterChar">
    <w:name w:val="Footer Char"/>
    <w:link w:val="Footer"/>
    <w:uiPriority w:val="99"/>
    <w:rsid w:val="0034515B"/>
    <w:rPr>
      <w:sz w:val="24"/>
      <w:szCs w:val="24"/>
    </w:rPr>
  </w:style>
  <w:style w:type="paragraph" w:styleId="Revision">
    <w:name w:val="Revision"/>
    <w:hidden/>
    <w:uiPriority w:val="99"/>
    <w:semiHidden/>
    <w:rsid w:val="008A04AC"/>
    <w:rPr>
      <w:sz w:val="24"/>
      <w:szCs w:val="24"/>
    </w:rPr>
  </w:style>
  <w:style w:type="character" w:styleId="UnresolvedMention">
    <w:name w:val="Unresolved Mention"/>
    <w:uiPriority w:val="99"/>
    <w:semiHidden/>
    <w:unhideWhenUsed/>
    <w:rsid w:val="00734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sites/default/files/2022-09/Information-Collections-8-31-2022.xls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9" ma:contentTypeDescription="Create a new document." ma:contentTypeScope="" ma:versionID="e430665f981a2197dc6ce0c1053d7a37">
  <xsd:schema xmlns:xsd="http://www.w3.org/2001/XMLSchema" xmlns:xs="http://www.w3.org/2001/XMLSchema" xmlns:p="http://schemas.microsoft.com/office/2006/metadata/properties" xmlns:ns3="087c83cf-0993-4cd6-bfdc-b1c6ea4d56ce" xmlns:ns4="696a22aa-0bfd-4d45-865b-849e5ab8d6c4" targetNamespace="http://schemas.microsoft.com/office/2006/metadata/properties" ma:root="true" ma:fieldsID="4842f7efaaca643349b33a59fa9eef18" ns3:_="" ns4:_="">
    <xsd:import namespace="087c83cf-0993-4cd6-bfdc-b1c6ea4d56ce"/>
    <xsd:import namespace="696a22aa-0bfd-4d45-865b-849e5ab8d6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6a22aa-0bfd-4d45-865b-849e5ab8d6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6F80F-1EDE-44E1-B413-E342A2B63CB4}">
  <ds:schemaRefs>
    <ds:schemaRef ds:uri="http://schemas.openxmlformats.org/officeDocument/2006/bibliography"/>
  </ds:schemaRefs>
</ds:datastoreItem>
</file>

<file path=customXml/itemProps2.xml><?xml version="1.0" encoding="utf-8"?>
<ds:datastoreItem xmlns:ds="http://schemas.openxmlformats.org/officeDocument/2006/customXml" ds:itemID="{CEABE23B-66C6-45BB-AC87-6B6835A2A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696a22aa-0bfd-4d45-865b-849e5ab8d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A6BE4-230B-4B01-9903-FB5507F06FD3}">
  <ds:schemaRefs>
    <ds:schemaRef ds:uri="http://schemas.microsoft.com/office/2006/metadata/longProperties"/>
  </ds:schemaRefs>
</ds:datastoreItem>
</file>

<file path=customXml/itemProps4.xml><?xml version="1.0" encoding="utf-8"?>
<ds:datastoreItem xmlns:ds="http://schemas.openxmlformats.org/officeDocument/2006/customXml" ds:itemID="{9E35CEEB-04A1-4F80-BB82-FE075986AA41}">
  <ds:schemaRefs>
    <ds:schemaRef ds:uri="http://schemas.microsoft.com/sharepoint/v3/contenttype/forms"/>
  </ds:schemaRefs>
</ds:datastoreItem>
</file>

<file path=customXml/itemProps5.xml><?xml version="1.0" encoding="utf-8"?>
<ds:datastoreItem xmlns:ds="http://schemas.openxmlformats.org/officeDocument/2006/customXml" ds:itemID="{F1B63E89-428E-422B-B2E7-948C57B492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Miller</dc:creator>
  <cp:lastModifiedBy>Jean Sonneman</cp:lastModifiedBy>
  <cp:revision>2</cp:revision>
  <cp:lastPrinted>2011-01-21T20:02:00Z</cp:lastPrinted>
  <dcterms:created xsi:type="dcterms:W3CDTF">2022-10-07T19:49:00Z</dcterms:created>
  <dcterms:modified xsi:type="dcterms:W3CDTF">2022-10-07T19:49:00Z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 Collection Number">
    <vt:lpwstr>740</vt:lpwstr>
  </property>
  <property fmtid="{D5CDD505-2E9C-101B-9397-08002B2CF9AE}" pid="3" name="1. Docket Number">
    <vt:lpwstr>IC19-18</vt:lpwstr>
  </property>
  <property fmtid="{D5CDD505-2E9C-101B-9397-08002B2CF9AE}" pid="4" name="2. Collection Number">
    <vt:lpwstr/>
  </property>
  <property fmtid="{D5CDD505-2E9C-101B-9397-08002B2CF9AE}" pid="5" name="2. Docket Number">
    <vt:lpwstr/>
  </property>
  <property fmtid="{D5CDD505-2E9C-101B-9397-08002B2CF9AE}" pid="6" name="3. Collection Number">
    <vt:lpwstr/>
  </property>
  <property fmtid="{D5CDD505-2E9C-101B-9397-08002B2CF9AE}" pid="7" name="3. Docket Number">
    <vt:lpwstr/>
  </property>
  <property fmtid="{D5CDD505-2E9C-101B-9397-08002B2CF9AE}" pid="8" name="ContentTypeId">
    <vt:lpwstr>0x0101003EEAC7F601CD76438313764BE493CC4F</vt:lpwstr>
  </property>
  <property fmtid="{D5CDD505-2E9C-101B-9397-08002B2CF9AE}" pid="9" name="Date">
    <vt:lpwstr>2019-05-22T00:00:00Z</vt:lpwstr>
  </property>
  <property fmtid="{D5CDD505-2E9C-101B-9397-08002B2CF9AE}" pid="10" name="MSIP_Label_6155a89b-0f08-4a93-8ea2-8a916d6643b5_ActionId">
    <vt:lpwstr>34f327cf-e26c-4cab-9168-c2c61868577c</vt:lpwstr>
  </property>
  <property fmtid="{D5CDD505-2E9C-101B-9397-08002B2CF9AE}" pid="11" name="MSIP_Label_6155a89b-0f08-4a93-8ea2-8a916d6643b5_ContentBits">
    <vt:lpwstr>0</vt:lpwstr>
  </property>
  <property fmtid="{D5CDD505-2E9C-101B-9397-08002B2CF9AE}" pid="12" name="MSIP_Label_6155a89b-0f08-4a93-8ea2-8a916d6643b5_Enabled">
    <vt:lpwstr>true</vt:lpwstr>
  </property>
  <property fmtid="{D5CDD505-2E9C-101B-9397-08002B2CF9AE}" pid="13" name="MSIP_Label_6155a89b-0f08-4a93-8ea2-8a916d6643b5_Method">
    <vt:lpwstr>Privileged</vt:lpwstr>
  </property>
  <property fmtid="{D5CDD505-2E9C-101B-9397-08002B2CF9AE}" pid="14" name="MSIP_Label_6155a89b-0f08-4a93-8ea2-8a916d6643b5_Name">
    <vt:lpwstr>6155a89b-0f08-4a93-8ea2-8a916d6643b5</vt:lpwstr>
  </property>
  <property fmtid="{D5CDD505-2E9C-101B-9397-08002B2CF9AE}" pid="15" name="MSIP_Label_6155a89b-0f08-4a93-8ea2-8a916d6643b5_SetDate">
    <vt:lpwstr>2022-09-30T20:41:48Z</vt:lpwstr>
  </property>
  <property fmtid="{D5CDD505-2E9C-101B-9397-08002B2CF9AE}" pid="16" name="MSIP_Label_6155a89b-0f08-4a93-8ea2-8a916d6643b5_SiteId">
    <vt:lpwstr>19caa9e9-04ff-43fa-885f-d77fac387903</vt:lpwstr>
  </property>
  <property fmtid="{D5CDD505-2E9C-101B-9397-08002B2CF9AE}" pid="17" name="Renewal Document Type">
    <vt:lpwstr>OMB Supporting Statement</vt:lpwstr>
  </property>
  <property fmtid="{D5CDD505-2E9C-101B-9397-08002B2CF9AE}" pid="18" name="Rulemaking Document Type">
    <vt:lpwstr>None</vt:lpwstr>
  </property>
  <property fmtid="{D5CDD505-2E9C-101B-9397-08002B2CF9AE}" pid="19" name="Status">
    <vt:lpwstr>Draft</vt:lpwstr>
  </property>
  <property fmtid="{D5CDD505-2E9C-101B-9397-08002B2CF9AE}" pid="20" name="_NewReviewCycle">
    <vt:lpwstr/>
  </property>
</Properties>
</file>