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1730" w:rsidRDefault="000A1E34" w14:paraId="189E3DD0" w14:textId="77777777">
      <w:pPr>
        <w:spacing w:after="0" w:line="259" w:lineRule="auto"/>
        <w:ind w:left="1" w:firstLine="0"/>
      </w:pPr>
      <w:r>
        <w:rPr>
          <w:sz w:val="24"/>
        </w:rPr>
        <w:t xml:space="preserve">  </w:t>
      </w:r>
    </w:p>
    <w:p w:rsidR="00F91730" w:rsidRDefault="000A1E34" w14:paraId="09B606D8" w14:textId="77777777">
      <w:pPr>
        <w:spacing w:after="0" w:line="259" w:lineRule="auto"/>
        <w:ind w:left="1" w:firstLine="0"/>
      </w:pPr>
      <w:r>
        <w:rPr>
          <w:sz w:val="24"/>
        </w:rPr>
        <w:t xml:space="preserve"> </w:t>
      </w:r>
    </w:p>
    <w:p w:rsidR="0012093C" w:rsidRDefault="0012093C" w14:paraId="173B6330" w14:textId="77777777">
      <w:pPr>
        <w:spacing w:after="0" w:line="259" w:lineRule="auto"/>
        <w:ind w:left="1" w:firstLine="0"/>
        <w:rPr>
          <w:sz w:val="24"/>
        </w:rPr>
      </w:pPr>
    </w:p>
    <w:p w:rsidR="0012093C" w:rsidRDefault="0012093C" w14:paraId="5BB9867C" w14:textId="77777777">
      <w:pPr>
        <w:spacing w:after="0" w:line="259" w:lineRule="auto"/>
        <w:ind w:left="1" w:firstLine="0"/>
        <w:rPr>
          <w:sz w:val="24"/>
        </w:rPr>
      </w:pPr>
    </w:p>
    <w:p w:rsidRPr="00C7413B" w:rsidR="00F91730" w:rsidP="0012093C" w:rsidRDefault="0012093C" w14:paraId="27313B60" w14:textId="77692114">
      <w:pPr>
        <w:spacing w:after="0" w:line="259" w:lineRule="auto"/>
        <w:ind w:left="1" w:firstLine="0"/>
        <w:jc w:val="center"/>
        <w:rPr>
          <w:b/>
          <w:bCs/>
          <w:sz w:val="28"/>
          <w:szCs w:val="28"/>
        </w:rPr>
      </w:pPr>
      <w:r w:rsidRPr="00C7413B">
        <w:rPr>
          <w:b/>
          <w:bCs/>
          <w:sz w:val="28"/>
          <w:szCs w:val="28"/>
        </w:rPr>
        <w:t xml:space="preserve">SUPPORTING STATEMENT </w:t>
      </w:r>
      <w:proofErr w:type="gramStart"/>
      <w:r w:rsidRPr="00C7413B">
        <w:rPr>
          <w:b/>
          <w:bCs/>
          <w:sz w:val="28"/>
          <w:szCs w:val="28"/>
        </w:rPr>
        <w:t>PART</w:t>
      </w:r>
      <w:proofErr w:type="gramEnd"/>
      <w:r w:rsidRPr="00C7413B">
        <w:rPr>
          <w:b/>
          <w:bCs/>
          <w:sz w:val="28"/>
          <w:szCs w:val="28"/>
        </w:rPr>
        <w:t xml:space="preserve"> A:</w:t>
      </w:r>
    </w:p>
    <w:p w:rsidRPr="00C7413B" w:rsidR="0012093C" w:rsidP="0012093C" w:rsidRDefault="0012093C" w14:paraId="1DB1DCE2" w14:textId="0132612A">
      <w:pPr>
        <w:spacing w:after="0" w:line="259" w:lineRule="auto"/>
        <w:ind w:left="1" w:firstLine="0"/>
        <w:jc w:val="center"/>
        <w:rPr>
          <w:b/>
          <w:bCs/>
          <w:sz w:val="28"/>
          <w:szCs w:val="28"/>
        </w:rPr>
      </w:pPr>
      <w:r w:rsidRPr="00C7413B">
        <w:rPr>
          <w:b/>
          <w:bCs/>
          <w:sz w:val="28"/>
          <w:szCs w:val="28"/>
        </w:rPr>
        <w:t>INFORMATION COLLECTION REQUEST FOR</w:t>
      </w:r>
    </w:p>
    <w:p w:rsidRPr="00C7413B" w:rsidR="0012093C" w:rsidP="0012093C" w:rsidRDefault="0012093C" w14:paraId="04C62C9A" w14:textId="4C7A5C6C">
      <w:pPr>
        <w:spacing w:after="0" w:line="259" w:lineRule="auto"/>
        <w:ind w:left="1" w:firstLine="0"/>
        <w:jc w:val="center"/>
        <w:rPr>
          <w:b/>
          <w:bCs/>
          <w:sz w:val="28"/>
          <w:szCs w:val="28"/>
        </w:rPr>
      </w:pPr>
      <w:r w:rsidRPr="00C7413B">
        <w:rPr>
          <w:b/>
          <w:bCs/>
          <w:sz w:val="28"/>
          <w:szCs w:val="28"/>
        </w:rPr>
        <w:t xml:space="preserve">EPA PROGRAM INFORMATION ON </w:t>
      </w:r>
      <w:r w:rsidRPr="00C7413B">
        <w:rPr>
          <w:b/>
          <w:bCs/>
          <w:sz w:val="28"/>
          <w:szCs w:val="28"/>
        </w:rPr>
        <w:br/>
        <w:t>SOURCE WATER PROTECTION</w:t>
      </w:r>
    </w:p>
    <w:p w:rsidRPr="00C7413B" w:rsidR="00F91730" w:rsidP="0012093C" w:rsidRDefault="00F91730" w14:paraId="26BFA07A" w14:textId="4967BC4C">
      <w:pPr>
        <w:spacing w:after="14" w:line="259" w:lineRule="auto"/>
        <w:ind w:left="1" w:firstLine="0"/>
        <w:jc w:val="center"/>
      </w:pPr>
    </w:p>
    <w:p w:rsidRPr="00C7413B" w:rsidR="00F91730" w:rsidRDefault="00F91730" w14:paraId="1BF9FD07" w14:textId="61F7C8BA">
      <w:pPr>
        <w:spacing w:after="0" w:line="259" w:lineRule="auto"/>
        <w:ind w:left="57" w:firstLine="0"/>
        <w:jc w:val="center"/>
      </w:pPr>
    </w:p>
    <w:p w:rsidRPr="00C7413B" w:rsidR="00F91730" w:rsidRDefault="000A1E34" w14:paraId="606CC21E" w14:textId="77777777">
      <w:pPr>
        <w:spacing w:after="0" w:line="259" w:lineRule="auto"/>
        <w:ind w:left="57" w:firstLine="0"/>
        <w:jc w:val="center"/>
      </w:pPr>
      <w:r w:rsidRPr="00C7413B">
        <w:rPr>
          <w:b/>
          <w:sz w:val="24"/>
        </w:rPr>
        <w:t xml:space="preserve"> </w:t>
      </w:r>
    </w:p>
    <w:p w:rsidRPr="00C7413B" w:rsidR="00F91730" w:rsidRDefault="000A1E34" w14:paraId="475FEB2A" w14:textId="0777EB9D">
      <w:pPr>
        <w:spacing w:after="0" w:line="259" w:lineRule="auto"/>
        <w:ind w:left="10" w:right="5"/>
        <w:jc w:val="center"/>
        <w:rPr>
          <w:b/>
          <w:bCs/>
        </w:rPr>
      </w:pPr>
      <w:r w:rsidRPr="00C7413B">
        <w:rPr>
          <w:b/>
          <w:sz w:val="24"/>
        </w:rPr>
        <w:t>OMB Control No.</w:t>
      </w:r>
      <w:r w:rsidRPr="00C7413B">
        <w:rPr>
          <w:b/>
          <w:bCs/>
          <w:sz w:val="24"/>
        </w:rPr>
        <w:t xml:space="preserve"> </w:t>
      </w:r>
      <w:r w:rsidRPr="00C7413B" w:rsidR="00C65AED">
        <w:rPr>
          <w:b/>
          <w:bCs/>
          <w:color w:val="333333"/>
          <w:sz w:val="24"/>
          <w:szCs w:val="24"/>
        </w:rPr>
        <w:t>2040-0197</w:t>
      </w:r>
    </w:p>
    <w:p w:rsidRPr="00C7413B" w:rsidR="00EE681C" w:rsidP="00EE681C" w:rsidRDefault="00EE681C" w14:paraId="6614A93C" w14:textId="6E97B6E3">
      <w:pPr>
        <w:spacing w:after="0" w:line="259" w:lineRule="auto"/>
        <w:ind w:left="10" w:right="7"/>
        <w:jc w:val="center"/>
        <w:rPr>
          <w:b/>
          <w:bCs/>
        </w:rPr>
      </w:pPr>
      <w:r w:rsidRPr="00C7413B">
        <w:rPr>
          <w:b/>
          <w:sz w:val="24"/>
        </w:rPr>
        <w:t xml:space="preserve">EPA ICR No. </w:t>
      </w:r>
      <w:r w:rsidRPr="00C7413B" w:rsidR="00C65AED">
        <w:rPr>
          <w:b/>
          <w:bCs/>
          <w:color w:val="333333"/>
          <w:sz w:val="24"/>
          <w:szCs w:val="24"/>
        </w:rPr>
        <w:t>1816.08</w:t>
      </w:r>
    </w:p>
    <w:p w:rsidRPr="00C7413B" w:rsidR="00F91730" w:rsidRDefault="00F91730" w14:paraId="58A52364" w14:textId="331BE4EA">
      <w:pPr>
        <w:spacing w:after="0" w:line="259" w:lineRule="auto"/>
        <w:ind w:left="57" w:firstLine="0"/>
        <w:jc w:val="center"/>
      </w:pPr>
    </w:p>
    <w:p w:rsidRPr="00C7413B" w:rsidR="00F91730" w:rsidRDefault="000A1E34" w14:paraId="524BA871" w14:textId="77777777">
      <w:pPr>
        <w:spacing w:after="0" w:line="259" w:lineRule="auto"/>
        <w:ind w:left="57" w:firstLine="0"/>
        <w:jc w:val="center"/>
      </w:pPr>
      <w:r w:rsidRPr="00C7413B">
        <w:rPr>
          <w:b/>
          <w:sz w:val="24"/>
        </w:rPr>
        <w:t xml:space="preserve"> </w:t>
      </w:r>
    </w:p>
    <w:p w:rsidRPr="00C7413B" w:rsidR="00F91730" w:rsidRDefault="000A1E34" w14:paraId="3B89CD38" w14:textId="77777777">
      <w:pPr>
        <w:spacing w:after="0" w:line="259" w:lineRule="auto"/>
        <w:ind w:left="57" w:firstLine="0"/>
        <w:jc w:val="center"/>
      </w:pPr>
      <w:r w:rsidRPr="00C7413B">
        <w:rPr>
          <w:b/>
          <w:sz w:val="24"/>
        </w:rPr>
        <w:t xml:space="preserve"> </w:t>
      </w:r>
    </w:p>
    <w:p w:rsidRPr="00C7413B" w:rsidR="00F91730" w:rsidRDefault="000A1E34" w14:paraId="3092B2D7" w14:textId="77777777">
      <w:pPr>
        <w:spacing w:after="0" w:line="259" w:lineRule="auto"/>
        <w:ind w:left="57" w:firstLine="0"/>
        <w:jc w:val="center"/>
      </w:pPr>
      <w:r w:rsidRPr="00C7413B">
        <w:rPr>
          <w:b/>
          <w:sz w:val="24"/>
        </w:rPr>
        <w:t xml:space="preserve"> </w:t>
      </w:r>
    </w:p>
    <w:p w:rsidRPr="00C7413B" w:rsidR="00F91730" w:rsidP="00A14AA2" w:rsidRDefault="00FD656F" w14:paraId="06E39F40" w14:textId="7D25723B">
      <w:pPr>
        <w:spacing w:after="0" w:line="259" w:lineRule="auto"/>
        <w:ind w:left="10" w:right="5"/>
        <w:jc w:val="center"/>
      </w:pPr>
      <w:r w:rsidRPr="00C7413B">
        <w:rPr>
          <w:b/>
          <w:sz w:val="24"/>
        </w:rPr>
        <w:t>March</w:t>
      </w:r>
      <w:r w:rsidRPr="00C7413B" w:rsidR="00EE681C">
        <w:rPr>
          <w:b/>
          <w:sz w:val="24"/>
        </w:rPr>
        <w:t xml:space="preserve"> </w:t>
      </w:r>
      <w:r w:rsidRPr="00C7413B" w:rsidR="003A4480">
        <w:rPr>
          <w:b/>
          <w:sz w:val="24"/>
        </w:rPr>
        <w:t>202</w:t>
      </w:r>
      <w:r w:rsidRPr="00C7413B">
        <w:rPr>
          <w:b/>
          <w:sz w:val="24"/>
        </w:rPr>
        <w:t>2</w:t>
      </w:r>
    </w:p>
    <w:p w:rsidRPr="00C7413B" w:rsidR="00F91730" w:rsidRDefault="000A1E34" w14:paraId="6561161E" w14:textId="77777777">
      <w:pPr>
        <w:spacing w:after="0" w:line="259" w:lineRule="auto"/>
        <w:ind w:left="57" w:firstLine="0"/>
        <w:jc w:val="center"/>
      </w:pPr>
      <w:r w:rsidRPr="00C7413B">
        <w:rPr>
          <w:b/>
          <w:sz w:val="24"/>
        </w:rPr>
        <w:t xml:space="preserve"> </w:t>
      </w:r>
    </w:p>
    <w:p w:rsidRPr="00C7413B" w:rsidR="00F91730" w:rsidRDefault="000A1E34" w14:paraId="589A5BC2" w14:textId="77777777">
      <w:pPr>
        <w:spacing w:after="0" w:line="259" w:lineRule="auto"/>
        <w:ind w:left="57" w:firstLine="0"/>
        <w:jc w:val="center"/>
      </w:pPr>
      <w:r w:rsidRPr="00C7413B">
        <w:rPr>
          <w:b/>
          <w:sz w:val="24"/>
        </w:rPr>
        <w:t xml:space="preserve"> </w:t>
      </w:r>
    </w:p>
    <w:p w:rsidRPr="00C7413B" w:rsidR="00F91730" w:rsidRDefault="000A1E34" w14:paraId="34BEF9AB" w14:textId="77777777">
      <w:pPr>
        <w:spacing w:after="0" w:line="259" w:lineRule="auto"/>
        <w:ind w:left="57" w:firstLine="0"/>
        <w:jc w:val="center"/>
      </w:pPr>
      <w:r w:rsidRPr="00C7413B">
        <w:rPr>
          <w:b/>
          <w:sz w:val="24"/>
        </w:rPr>
        <w:t xml:space="preserve"> </w:t>
      </w:r>
    </w:p>
    <w:p w:rsidRPr="00C7413B" w:rsidR="00F91730" w:rsidRDefault="000A1E34" w14:paraId="1D7CE6F2" w14:textId="77777777">
      <w:pPr>
        <w:spacing w:after="0" w:line="259" w:lineRule="auto"/>
        <w:ind w:left="57" w:firstLine="0"/>
        <w:jc w:val="center"/>
      </w:pPr>
      <w:r w:rsidRPr="00C7413B">
        <w:rPr>
          <w:b/>
          <w:sz w:val="24"/>
        </w:rPr>
        <w:t xml:space="preserve"> </w:t>
      </w:r>
    </w:p>
    <w:p w:rsidRPr="00C7413B" w:rsidR="00F91730" w:rsidRDefault="000A1E34" w14:paraId="5BB492E0" w14:textId="77777777">
      <w:pPr>
        <w:spacing w:after="0" w:line="259" w:lineRule="auto"/>
        <w:ind w:left="57" w:firstLine="0"/>
        <w:jc w:val="center"/>
      </w:pPr>
      <w:r w:rsidRPr="00C7413B">
        <w:rPr>
          <w:b/>
          <w:sz w:val="24"/>
        </w:rPr>
        <w:t xml:space="preserve"> </w:t>
      </w:r>
    </w:p>
    <w:p w:rsidRPr="00C7413B" w:rsidR="00F91730" w:rsidRDefault="000A1E34" w14:paraId="397387B9" w14:textId="77777777">
      <w:pPr>
        <w:spacing w:after="0" w:line="259" w:lineRule="auto"/>
        <w:ind w:left="57" w:firstLine="0"/>
        <w:jc w:val="center"/>
      </w:pPr>
      <w:r w:rsidRPr="00C7413B">
        <w:rPr>
          <w:b/>
          <w:sz w:val="24"/>
        </w:rPr>
        <w:t xml:space="preserve"> </w:t>
      </w:r>
    </w:p>
    <w:p w:rsidRPr="00C7413B" w:rsidR="00F91730" w:rsidRDefault="000A1E34" w14:paraId="202A90B6" w14:textId="77777777">
      <w:pPr>
        <w:spacing w:after="0" w:line="259" w:lineRule="auto"/>
        <w:ind w:left="57" w:firstLine="0"/>
        <w:jc w:val="center"/>
      </w:pPr>
      <w:r w:rsidRPr="00C7413B">
        <w:rPr>
          <w:b/>
          <w:sz w:val="24"/>
        </w:rPr>
        <w:t xml:space="preserve"> </w:t>
      </w:r>
    </w:p>
    <w:p w:rsidRPr="00C7413B" w:rsidR="000B738E" w:rsidRDefault="000A1E34" w14:paraId="1BFE5B0E" w14:textId="77777777">
      <w:pPr>
        <w:spacing w:after="0" w:line="259" w:lineRule="auto"/>
        <w:ind w:left="1" w:firstLine="0"/>
        <w:rPr>
          <w:b/>
          <w:color w:val="FF0000"/>
          <w:sz w:val="24"/>
        </w:rPr>
      </w:pPr>
      <w:r w:rsidRPr="00C7413B">
        <w:rPr>
          <w:b/>
          <w:color w:val="FF0000"/>
          <w:sz w:val="24"/>
        </w:rPr>
        <w:t xml:space="preserve"> </w:t>
      </w:r>
    </w:p>
    <w:p w:rsidRPr="00C7413B" w:rsidR="000B738E" w:rsidRDefault="000B738E" w14:paraId="07F7DFC3" w14:textId="77777777">
      <w:pPr>
        <w:spacing w:after="160" w:line="259" w:lineRule="auto"/>
        <w:ind w:left="0" w:firstLine="0"/>
        <w:rPr>
          <w:b/>
          <w:color w:val="FF0000"/>
          <w:sz w:val="24"/>
        </w:rPr>
      </w:pPr>
      <w:r w:rsidRPr="00C7413B">
        <w:rPr>
          <w:b/>
          <w:color w:val="FF0000"/>
          <w:sz w:val="24"/>
        </w:rPr>
        <w:br w:type="page"/>
      </w:r>
    </w:p>
    <w:p w:rsidRPr="00C7413B" w:rsidR="000A056E" w:rsidRDefault="000A056E" w14:paraId="4B4FEDBE" w14:textId="77777777">
      <w:pPr>
        <w:spacing w:after="160" w:line="259" w:lineRule="auto"/>
        <w:ind w:left="0" w:firstLine="0"/>
        <w:rPr>
          <w:b/>
          <w:color w:val="FF0000"/>
          <w:sz w:val="24"/>
        </w:rPr>
      </w:pPr>
    </w:p>
    <w:p w:rsidRPr="00C7413B" w:rsidR="00F91730" w:rsidP="000A056E" w:rsidRDefault="000A1E34" w14:paraId="54606AD0" w14:textId="77777777">
      <w:pPr>
        <w:pStyle w:val="Heading1"/>
        <w:ind w:left="360" w:hanging="360"/>
      </w:pPr>
      <w:r w:rsidRPr="00C7413B">
        <w:t xml:space="preserve">Identification of the Information Collection </w:t>
      </w:r>
    </w:p>
    <w:p w:rsidRPr="00C7413B" w:rsidR="00DE4C17" w:rsidP="00DE4C17" w:rsidRDefault="000A1E34" w14:paraId="11EE90C5" w14:textId="77777777">
      <w:pPr>
        <w:spacing w:after="33" w:line="259" w:lineRule="auto"/>
        <w:ind w:left="1" w:firstLine="0"/>
      </w:pPr>
      <w:r w:rsidRPr="00C7413B">
        <w:rPr>
          <w:sz w:val="24"/>
        </w:rPr>
        <w:t xml:space="preserve"> </w:t>
      </w:r>
    </w:p>
    <w:p w:rsidRPr="00C7413B" w:rsidR="00F91730" w:rsidP="00DE4C17" w:rsidRDefault="00DE4C17" w14:paraId="08349BEE" w14:textId="77777777">
      <w:pPr>
        <w:spacing w:after="33" w:line="259" w:lineRule="auto"/>
        <w:ind w:left="1" w:firstLine="705"/>
        <w:rPr>
          <w:b/>
          <w:sz w:val="26"/>
        </w:rPr>
      </w:pPr>
      <w:r w:rsidRPr="00C7413B">
        <w:rPr>
          <w:b/>
          <w:sz w:val="26"/>
        </w:rPr>
        <w:t>1(a)</w:t>
      </w:r>
      <w:r w:rsidRPr="00C7413B">
        <w:rPr>
          <w:b/>
          <w:sz w:val="26"/>
        </w:rPr>
        <w:tab/>
      </w:r>
      <w:r w:rsidRPr="00C7413B" w:rsidR="000A1E34">
        <w:rPr>
          <w:b/>
          <w:sz w:val="26"/>
        </w:rPr>
        <w:t xml:space="preserve">Title of the Information Collection </w:t>
      </w:r>
    </w:p>
    <w:p w:rsidRPr="00C7413B" w:rsidR="00F91730" w:rsidRDefault="000A1E34" w14:paraId="654E9C13" w14:textId="77777777">
      <w:pPr>
        <w:spacing w:after="0" w:line="259" w:lineRule="auto"/>
        <w:ind w:left="1" w:firstLine="0"/>
      </w:pPr>
      <w:r w:rsidRPr="00C7413B">
        <w:rPr>
          <w:sz w:val="24"/>
        </w:rPr>
        <w:t xml:space="preserve"> </w:t>
      </w:r>
    </w:p>
    <w:p w:rsidRPr="00C7413B" w:rsidR="00F91730" w:rsidRDefault="004E181C" w14:paraId="13C681F6" w14:textId="275B744D">
      <w:pPr>
        <w:spacing w:after="3" w:line="249" w:lineRule="auto"/>
        <w:ind w:left="731" w:right="1"/>
        <w:rPr>
          <w:sz w:val="24"/>
        </w:rPr>
      </w:pPr>
      <w:r w:rsidRPr="00C7413B">
        <w:rPr>
          <w:sz w:val="24"/>
        </w:rPr>
        <w:t xml:space="preserve">EPA Program </w:t>
      </w:r>
      <w:r w:rsidRPr="00C7413B" w:rsidR="000A1E34">
        <w:rPr>
          <w:sz w:val="24"/>
        </w:rPr>
        <w:t>Information on Source Water Protection</w:t>
      </w:r>
      <w:r w:rsidRPr="00C7413B" w:rsidR="002C438F">
        <w:rPr>
          <w:sz w:val="24"/>
        </w:rPr>
        <w:t xml:space="preserve"> (Renewal)</w:t>
      </w:r>
    </w:p>
    <w:p w:rsidRPr="00C7413B" w:rsidR="00DE4C17" w:rsidP="00C65AED" w:rsidRDefault="00C65AED" w14:paraId="417473EA" w14:textId="7CD54516">
      <w:pPr>
        <w:spacing w:after="0" w:line="259" w:lineRule="auto"/>
        <w:ind w:left="10" w:right="7"/>
        <w:rPr>
          <w:lang w:val="es-US"/>
        </w:rPr>
      </w:pPr>
      <w:r w:rsidRPr="00C7413B">
        <w:rPr>
          <w:lang w:val="es-US"/>
        </w:rPr>
        <w:t xml:space="preserve">             </w:t>
      </w:r>
      <w:r w:rsidRPr="00C7413B" w:rsidR="00617EC7">
        <w:rPr>
          <w:lang w:val="es-US"/>
        </w:rPr>
        <w:t>(</w:t>
      </w:r>
      <w:r w:rsidRPr="00C7413B" w:rsidR="00DE4C17">
        <w:rPr>
          <w:lang w:val="es-US"/>
        </w:rPr>
        <w:t xml:space="preserve">OMB Control No. </w:t>
      </w:r>
      <w:r w:rsidRPr="00C7413B">
        <w:rPr>
          <w:color w:val="333333"/>
          <w:sz w:val="24"/>
          <w:szCs w:val="24"/>
        </w:rPr>
        <w:t>2040-0197</w:t>
      </w:r>
      <w:r w:rsidRPr="00C7413B" w:rsidR="00DE4C17">
        <w:rPr>
          <w:lang w:val="es-US"/>
        </w:rPr>
        <w:t>/ EPA ICR No.</w:t>
      </w:r>
      <w:r w:rsidRPr="00C7413B">
        <w:rPr>
          <w:lang w:val="es-US"/>
        </w:rPr>
        <w:t xml:space="preserve"> </w:t>
      </w:r>
      <w:r w:rsidRPr="00C7413B">
        <w:rPr>
          <w:color w:val="333333"/>
          <w:sz w:val="24"/>
          <w:szCs w:val="24"/>
        </w:rPr>
        <w:t>1816.08</w:t>
      </w:r>
      <w:r w:rsidRPr="00C7413B" w:rsidR="00617EC7">
        <w:rPr>
          <w:lang w:val="es-US"/>
        </w:rPr>
        <w:t>)</w:t>
      </w:r>
    </w:p>
    <w:p w:rsidRPr="00C7413B" w:rsidR="00DE4C17" w:rsidP="00DE4C17" w:rsidRDefault="000A1E34" w14:paraId="2B8F9EAB" w14:textId="77777777">
      <w:pPr>
        <w:spacing w:after="31" w:line="259" w:lineRule="auto"/>
        <w:ind w:left="1" w:firstLine="0"/>
        <w:rPr>
          <w:sz w:val="24"/>
          <w:lang w:val="es-US"/>
        </w:rPr>
      </w:pPr>
      <w:r w:rsidRPr="00C7413B">
        <w:rPr>
          <w:sz w:val="24"/>
          <w:lang w:val="es-US"/>
        </w:rPr>
        <w:t xml:space="preserve"> </w:t>
      </w:r>
    </w:p>
    <w:p w:rsidRPr="00C7413B" w:rsidR="00F91730" w:rsidP="00DE4C17" w:rsidRDefault="00DE4C17" w14:paraId="3FC6C49D" w14:textId="77777777">
      <w:pPr>
        <w:spacing w:after="31" w:line="259" w:lineRule="auto"/>
        <w:ind w:left="1" w:firstLine="705"/>
        <w:rPr>
          <w:b/>
          <w:sz w:val="26"/>
          <w:szCs w:val="26"/>
        </w:rPr>
      </w:pPr>
      <w:r w:rsidRPr="00C7413B">
        <w:rPr>
          <w:b/>
          <w:sz w:val="26"/>
          <w:szCs w:val="26"/>
        </w:rPr>
        <w:t>1(b)</w:t>
      </w:r>
      <w:r w:rsidRPr="00C7413B">
        <w:rPr>
          <w:b/>
          <w:sz w:val="26"/>
          <w:szCs w:val="26"/>
        </w:rPr>
        <w:tab/>
      </w:r>
      <w:r w:rsidRPr="00C7413B" w:rsidR="000A1E34">
        <w:rPr>
          <w:b/>
          <w:sz w:val="26"/>
          <w:szCs w:val="26"/>
        </w:rPr>
        <w:t xml:space="preserve">Short Characterization/Abstract </w:t>
      </w:r>
    </w:p>
    <w:p w:rsidRPr="00C7413B" w:rsidR="00F91730" w:rsidRDefault="000A1E34" w14:paraId="4771813E" w14:textId="77777777">
      <w:pPr>
        <w:spacing w:after="0" w:line="259" w:lineRule="auto"/>
        <w:ind w:left="1" w:firstLine="0"/>
      </w:pPr>
      <w:r w:rsidRPr="00C7413B">
        <w:rPr>
          <w:sz w:val="24"/>
        </w:rPr>
        <w:t xml:space="preserve"> </w:t>
      </w:r>
    </w:p>
    <w:p w:rsidRPr="00C7413B" w:rsidR="00F91730" w:rsidRDefault="000A1E34" w14:paraId="687808EE" w14:textId="6BF1FE1A">
      <w:pPr>
        <w:spacing w:after="3" w:line="249" w:lineRule="auto"/>
        <w:ind w:left="-14" w:right="1" w:firstLine="720"/>
      </w:pPr>
      <w:r w:rsidRPr="00C7413B">
        <w:rPr>
          <w:sz w:val="24"/>
        </w:rPr>
        <w:t xml:space="preserve">Section 1453 (a)(3) of the Safe Drinking Water Act (SDWA) required states to submit a Source Water </w:t>
      </w:r>
      <w:r w:rsidRPr="00C7413B" w:rsidR="00FD656F">
        <w:rPr>
          <w:sz w:val="24"/>
        </w:rPr>
        <w:t>Assessment</w:t>
      </w:r>
      <w:r w:rsidRPr="00C7413B">
        <w:rPr>
          <w:sz w:val="24"/>
        </w:rPr>
        <w:t xml:space="preserve"> within 18 months after the U.S. Environmental Protection Agency (EPA</w:t>
      </w:r>
      <w:r w:rsidRPr="00C7413B" w:rsidR="00DA73DB">
        <w:rPr>
          <w:sz w:val="24"/>
        </w:rPr>
        <w:t xml:space="preserve"> or the Agency)</w:t>
      </w:r>
      <w:r w:rsidRPr="00C7413B">
        <w:rPr>
          <w:sz w:val="24"/>
        </w:rPr>
        <w:t xml:space="preserve"> published its State Source Water Assessment and Protection Programs Guidance:  Final Guidance. Upon EPA approval of their programs in the late 1990s, states conducted source water assessments of their public water systems. State assessments were required to be completed three and a half years after approval of a state’s program; the assessment program is therefore complete relative to the SDWA requirements. The burden and cost associated with the assessment process was accounted for in previous information collection requests (ICRs). While Section 1453 (a)(3) of the SDWA does not authorize implementation of source water protection, states are encouraged to use the data collected in the source water assessments to develop protection plans for source water areas. Drinking Water State Revolving Fund monies authorized in Section 1452(g)(2)(B) may be used for activities to support efforts in source water protection.   </w:t>
      </w:r>
    </w:p>
    <w:p w:rsidRPr="00C7413B" w:rsidR="00F91730" w:rsidRDefault="000A1E34" w14:paraId="5FFB7165" w14:textId="77777777">
      <w:pPr>
        <w:spacing w:line="259" w:lineRule="auto"/>
        <w:ind w:left="1" w:firstLine="0"/>
      </w:pPr>
      <w:r w:rsidRPr="00C7413B">
        <w:rPr>
          <w:sz w:val="24"/>
        </w:rPr>
        <w:t xml:space="preserve"> </w:t>
      </w:r>
    </w:p>
    <w:p w:rsidRPr="00C7413B" w:rsidR="007D42D1" w:rsidP="00AD616B" w:rsidRDefault="000A1E34" w14:paraId="4D462D7D" w14:textId="51120975">
      <w:pPr>
        <w:spacing w:after="3" w:line="249" w:lineRule="auto"/>
        <w:ind w:left="-4" w:right="1"/>
        <w:rPr>
          <w:color w:val="auto"/>
          <w:sz w:val="24"/>
          <w:szCs w:val="24"/>
        </w:rPr>
      </w:pPr>
      <w:r w:rsidRPr="00C7413B">
        <w:rPr>
          <w:sz w:val="24"/>
        </w:rPr>
        <w:t xml:space="preserve"> </w:t>
      </w:r>
      <w:r w:rsidRPr="00C7413B">
        <w:rPr>
          <w:sz w:val="24"/>
        </w:rPr>
        <w:tab/>
      </w:r>
      <w:r w:rsidRPr="00C7413B" w:rsidR="00E90E77">
        <w:rPr>
          <w:sz w:val="24"/>
          <w:szCs w:val="24"/>
        </w:rPr>
        <w:t>EPA</w:t>
      </w:r>
      <w:r w:rsidRPr="00C7413B" w:rsidR="004F5BA7">
        <w:rPr>
          <w:sz w:val="24"/>
          <w:szCs w:val="24"/>
        </w:rPr>
        <w:t>’s Source Water Protection program</w:t>
      </w:r>
      <w:r w:rsidRPr="00C7413B" w:rsidR="00E90E77">
        <w:rPr>
          <w:sz w:val="24"/>
          <w:szCs w:val="24"/>
        </w:rPr>
        <w:t xml:space="preserve"> strives to protect sources of drinking water by developing tools and supporting voluntary partnerships and approaches that can prevent contamination of sources of drinking water. </w:t>
      </w:r>
      <w:r w:rsidRPr="00C7413B" w:rsidR="004F5BA7">
        <w:rPr>
          <w:sz w:val="24"/>
          <w:szCs w:val="24"/>
        </w:rPr>
        <w:t>The program</w:t>
      </w:r>
      <w:r w:rsidRPr="00C7413B" w:rsidR="00E90E77">
        <w:rPr>
          <w:sz w:val="24"/>
          <w:szCs w:val="24"/>
        </w:rPr>
        <w:t xml:space="preserve"> is primarily voluntary for state and local governments and other stakeholders; with help from a wide array of partners, EPA has made considerable strides. </w:t>
      </w:r>
      <w:r w:rsidRPr="00C7413B">
        <w:rPr>
          <w:sz w:val="24"/>
          <w:szCs w:val="24"/>
        </w:rPr>
        <w:t>EPA’s goal is to increase the number of community water systems (CWSs) with minimized risk to public health through development and implementation of source water protection (SWP) strategies for source water areas. Information on progress toward this goal is reported by the states via the following measure: Percent of community water systems where risk to public health is minimized through source water</w:t>
      </w:r>
      <w:r w:rsidRPr="00C7413B" w:rsidR="002A07A4">
        <w:rPr>
          <w:sz w:val="24"/>
          <w:szCs w:val="24"/>
        </w:rPr>
        <w:t xml:space="preserve"> protection. Source water protection data that states submit directly to the Source Water Protection Information System (SDWIS) is accessible to the public via the EPA website. Availability of this information, together with source water and demographic </w:t>
      </w:r>
      <w:r w:rsidRPr="00C7413B" w:rsidR="002A07A4">
        <w:rPr>
          <w:color w:val="auto"/>
          <w:sz w:val="24"/>
          <w:szCs w:val="24"/>
        </w:rPr>
        <w:t xml:space="preserve">indicators available via </w:t>
      </w:r>
      <w:r w:rsidRPr="00C7413B" w:rsidR="00685249">
        <w:rPr>
          <w:color w:val="auto"/>
          <w:sz w:val="24"/>
          <w:szCs w:val="24"/>
        </w:rPr>
        <w:t xml:space="preserve">EPA’s </w:t>
      </w:r>
      <w:r w:rsidRPr="00C7413B" w:rsidR="002A07A4">
        <w:rPr>
          <w:color w:val="auto"/>
          <w:sz w:val="24"/>
          <w:szCs w:val="24"/>
        </w:rPr>
        <w:t>Drinking Water Mapping Application to Protect Source Waters</w:t>
      </w:r>
      <w:r w:rsidRPr="00C7413B" w:rsidR="00685249">
        <w:rPr>
          <w:color w:val="auto"/>
          <w:sz w:val="24"/>
          <w:szCs w:val="24"/>
        </w:rPr>
        <w:t xml:space="preserve"> (DWMAPS)</w:t>
      </w:r>
      <w:r w:rsidRPr="00C7413B" w:rsidR="002A07A4">
        <w:rPr>
          <w:color w:val="auto"/>
          <w:sz w:val="24"/>
          <w:szCs w:val="24"/>
        </w:rPr>
        <w:t>, promotes equity by empowering communities to include these considerations in their own analyses and outreach efforts.  </w:t>
      </w:r>
    </w:p>
    <w:p w:rsidRPr="00C7413B" w:rsidR="001768AA" w:rsidP="00AD616B" w:rsidRDefault="001768AA" w14:paraId="3C01AE29" w14:textId="77777777">
      <w:pPr>
        <w:spacing w:after="3" w:line="249" w:lineRule="auto"/>
        <w:ind w:left="-4" w:right="1"/>
        <w:rPr>
          <w:sz w:val="24"/>
          <w:szCs w:val="24"/>
        </w:rPr>
      </w:pPr>
    </w:p>
    <w:p w:rsidRPr="00C7413B" w:rsidR="00F91730" w:rsidRDefault="000A1E34" w14:paraId="626ECEE4" w14:textId="77CB6B59">
      <w:pPr>
        <w:spacing w:after="3" w:line="249" w:lineRule="auto"/>
        <w:ind w:left="-14" w:right="1" w:firstLine="720"/>
        <w:rPr>
          <w:sz w:val="24"/>
          <w:szCs w:val="24"/>
        </w:rPr>
      </w:pPr>
      <w:r w:rsidRPr="00C7413B">
        <w:rPr>
          <w:sz w:val="24"/>
          <w:szCs w:val="24"/>
        </w:rPr>
        <w:t>EPA is collecting, on a voluntary basis, data from the states on their progress toward substantial implementation of source water protection strategies for all CWSs.</w:t>
      </w:r>
      <w:r w:rsidRPr="00C7413B">
        <w:rPr>
          <w:sz w:val="24"/>
          <w:szCs w:val="24"/>
          <w:vertAlign w:val="superscript"/>
        </w:rPr>
        <w:footnoteReference w:id="1"/>
      </w:r>
      <w:r w:rsidRPr="00C7413B">
        <w:rPr>
          <w:sz w:val="24"/>
          <w:szCs w:val="24"/>
        </w:rPr>
        <w:t xml:space="preserve"> EPA estimates </w:t>
      </w:r>
      <w:r w:rsidRPr="00C7413B">
        <w:rPr>
          <w:sz w:val="24"/>
          <w:szCs w:val="24"/>
        </w:rPr>
        <w:lastRenderedPageBreak/>
        <w:t xml:space="preserve">that the annual total non-Agency respondent burden associated with this voluntary reporting will be </w:t>
      </w:r>
      <w:r w:rsidRPr="00C7413B" w:rsidR="000C619A">
        <w:rPr>
          <w:sz w:val="24"/>
          <w:szCs w:val="24"/>
        </w:rPr>
        <w:t>288</w:t>
      </w:r>
      <w:r w:rsidRPr="00C7413B" w:rsidR="00D70020">
        <w:rPr>
          <w:sz w:val="24"/>
          <w:szCs w:val="24"/>
        </w:rPr>
        <w:t xml:space="preserve"> </w:t>
      </w:r>
      <w:r w:rsidRPr="00C7413B">
        <w:rPr>
          <w:sz w:val="24"/>
          <w:szCs w:val="24"/>
        </w:rPr>
        <w:t>hours</w:t>
      </w:r>
      <w:r w:rsidRPr="00C7413B" w:rsidR="008C7B26">
        <w:rPr>
          <w:sz w:val="24"/>
          <w:szCs w:val="24"/>
        </w:rPr>
        <w:t>,</w:t>
      </w:r>
      <w:r w:rsidRPr="00C7413B">
        <w:rPr>
          <w:sz w:val="24"/>
          <w:szCs w:val="24"/>
        </w:rPr>
        <w:t xml:space="preserve"> and the cost to respondents of the information collection will be $</w:t>
      </w:r>
      <w:r w:rsidRPr="00C7413B" w:rsidR="00706804">
        <w:rPr>
          <w:sz w:val="24"/>
          <w:szCs w:val="24"/>
        </w:rPr>
        <w:t>17,074</w:t>
      </w:r>
      <w:r w:rsidRPr="00C7413B">
        <w:rPr>
          <w:sz w:val="24"/>
          <w:szCs w:val="24"/>
        </w:rPr>
        <w:t xml:space="preserve">. </w:t>
      </w:r>
      <w:r w:rsidRPr="00C7413B" w:rsidR="00801D87">
        <w:rPr>
          <w:sz w:val="24"/>
          <w:szCs w:val="24"/>
        </w:rPr>
        <w:br/>
      </w:r>
    </w:p>
    <w:p w:rsidRPr="00C7413B" w:rsidR="00F91730" w:rsidP="000A056E" w:rsidRDefault="000A1E34" w14:paraId="3BA5C17E" w14:textId="77777777">
      <w:pPr>
        <w:pStyle w:val="Heading1"/>
        <w:ind w:left="360" w:hanging="360"/>
      </w:pPr>
      <w:r w:rsidRPr="00C7413B">
        <w:t xml:space="preserve">Need for and Use of the Collection </w:t>
      </w:r>
    </w:p>
    <w:p w:rsidRPr="00C7413B" w:rsidR="00F91730" w:rsidRDefault="000A1E34" w14:paraId="60FCE31A" w14:textId="77777777">
      <w:pPr>
        <w:spacing w:after="33" w:line="259" w:lineRule="auto"/>
        <w:ind w:left="1" w:firstLine="0"/>
      </w:pPr>
      <w:r w:rsidRPr="00C7413B">
        <w:rPr>
          <w:sz w:val="24"/>
        </w:rPr>
        <w:t xml:space="preserve"> </w:t>
      </w:r>
    </w:p>
    <w:p w:rsidRPr="00C7413B" w:rsidR="00F91730" w:rsidRDefault="000A1E34" w14:paraId="60A13E9A" w14:textId="77777777">
      <w:pPr>
        <w:pStyle w:val="Heading2"/>
        <w:tabs>
          <w:tab w:val="center" w:pos="937"/>
          <w:tab w:val="center" w:pos="3306"/>
        </w:tabs>
        <w:ind w:left="0" w:firstLine="0"/>
      </w:pPr>
      <w:r w:rsidRPr="00C7413B">
        <w:rPr>
          <w:rFonts w:ascii="Calibri" w:hAnsi="Calibri" w:eastAsia="Calibri" w:cs="Calibri"/>
          <w:b w:val="0"/>
          <w:sz w:val="22"/>
        </w:rPr>
        <w:tab/>
      </w:r>
      <w:r w:rsidRPr="00C7413B">
        <w:t xml:space="preserve">2(a) </w:t>
      </w:r>
      <w:r w:rsidRPr="00C7413B">
        <w:tab/>
        <w:t xml:space="preserve">Need/Authority for the Collection </w:t>
      </w:r>
    </w:p>
    <w:p w:rsidRPr="00C7413B" w:rsidR="00F91730" w:rsidRDefault="000A1E34" w14:paraId="24EB71D7" w14:textId="77777777">
      <w:pPr>
        <w:spacing w:line="259" w:lineRule="auto"/>
        <w:ind w:left="1" w:firstLine="0"/>
      </w:pPr>
      <w:r w:rsidRPr="00C7413B">
        <w:rPr>
          <w:sz w:val="24"/>
        </w:rPr>
        <w:t xml:space="preserve"> </w:t>
      </w:r>
    </w:p>
    <w:p w:rsidRPr="00C7413B" w:rsidR="00F91730" w:rsidRDefault="000A1E34" w14:paraId="777AFB0D" w14:textId="4B802F1E">
      <w:pPr>
        <w:spacing w:after="3" w:line="249" w:lineRule="auto"/>
        <w:ind w:left="-4" w:right="1"/>
      </w:pPr>
      <w:r w:rsidRPr="00C7413B">
        <w:rPr>
          <w:sz w:val="24"/>
        </w:rPr>
        <w:t xml:space="preserve"> </w:t>
      </w:r>
      <w:r w:rsidRPr="00C7413B">
        <w:rPr>
          <w:sz w:val="24"/>
        </w:rPr>
        <w:tab/>
        <w:t xml:space="preserve">The information to be collected will help states and EPA understand the progress toward </w:t>
      </w:r>
      <w:r w:rsidRPr="00C7413B" w:rsidR="003A4480">
        <w:rPr>
          <w:sz w:val="24"/>
        </w:rPr>
        <w:t>increasing</w:t>
      </w:r>
      <w:r w:rsidRPr="00C7413B">
        <w:rPr>
          <w:sz w:val="24"/>
        </w:rPr>
        <w:t xml:space="preserve"> the number of CWSs with minimized risk to public health through development and implementation of SWP strategies for source water areas. </w:t>
      </w:r>
    </w:p>
    <w:p w:rsidRPr="00C7413B" w:rsidR="00F91730" w:rsidRDefault="000A1E34" w14:paraId="43FE1988" w14:textId="77777777">
      <w:pPr>
        <w:spacing w:line="259" w:lineRule="auto"/>
        <w:ind w:left="1" w:firstLine="0"/>
      </w:pPr>
      <w:r w:rsidRPr="00C7413B">
        <w:rPr>
          <w:sz w:val="24"/>
        </w:rPr>
        <w:t xml:space="preserve"> </w:t>
      </w:r>
    </w:p>
    <w:p w:rsidRPr="00C7413B" w:rsidR="00F91730" w:rsidRDefault="000A1E34" w14:paraId="06266155" w14:textId="7083284A">
      <w:pPr>
        <w:spacing w:after="3" w:line="249" w:lineRule="auto"/>
        <w:ind w:left="-4" w:right="1"/>
      </w:pPr>
      <w:r w:rsidRPr="00C7413B">
        <w:rPr>
          <w:sz w:val="24"/>
        </w:rPr>
        <w:t xml:space="preserve"> </w:t>
      </w:r>
      <w:r w:rsidRPr="00C7413B">
        <w:rPr>
          <w:sz w:val="24"/>
        </w:rPr>
        <w:tab/>
        <w:t xml:space="preserve">EPA wants to understand whether protection efforts are working to reduce risks to water quality and thereby reducing risks to public health. Measures and other information at the state, regional, and national levels provide guideposts for judging the success of the program actions. They also provide key information for targeting actions and resources to prevent contamination from the most serious threats to drinking water. State-wide, </w:t>
      </w:r>
      <w:proofErr w:type="gramStart"/>
      <w:r w:rsidRPr="00C7413B">
        <w:rPr>
          <w:sz w:val="24"/>
        </w:rPr>
        <w:t>regional</w:t>
      </w:r>
      <w:proofErr w:type="gramEnd"/>
      <w:r w:rsidRPr="00C7413B">
        <w:rPr>
          <w:sz w:val="24"/>
        </w:rPr>
        <w:t xml:space="preserve"> and national information also provides accountability to legislative bodies (state legislatures and Congress) for SDWA implementation and demonstrates that tax dollars are being well spent. The information reported will help to demonstrate the results achieved from categorical grants and Performance Partnership Grants. In addition, EPA will be able to measure its own program outputs and whether they are leading toward contamination prevention and risk reduction, and provide feedback and opportunities for national, regional, </w:t>
      </w:r>
      <w:proofErr w:type="gramStart"/>
      <w:r w:rsidRPr="00C7413B">
        <w:rPr>
          <w:sz w:val="24"/>
        </w:rPr>
        <w:t>state</w:t>
      </w:r>
      <w:proofErr w:type="gramEnd"/>
      <w:r w:rsidRPr="00C7413B">
        <w:rPr>
          <w:sz w:val="24"/>
        </w:rPr>
        <w:t xml:space="preserve"> and local program refinement and improvement. </w:t>
      </w:r>
    </w:p>
    <w:p w:rsidRPr="00C7413B" w:rsidR="00F91730" w:rsidRDefault="000A1E34" w14:paraId="0970B513" w14:textId="77777777">
      <w:pPr>
        <w:spacing w:line="259" w:lineRule="auto"/>
        <w:ind w:left="1" w:firstLine="0"/>
      </w:pPr>
      <w:r w:rsidRPr="00C7413B">
        <w:rPr>
          <w:sz w:val="24"/>
        </w:rPr>
        <w:t xml:space="preserve"> </w:t>
      </w:r>
    </w:p>
    <w:p w:rsidRPr="00C7413B" w:rsidR="00F91730" w:rsidRDefault="000A1E34" w14:paraId="43DF6069" w14:textId="72AD956B">
      <w:pPr>
        <w:spacing w:after="3" w:line="249" w:lineRule="auto"/>
        <w:ind w:left="-4" w:right="1"/>
      </w:pPr>
      <w:r w:rsidRPr="00C7413B">
        <w:rPr>
          <w:sz w:val="24"/>
        </w:rPr>
        <w:t xml:space="preserve"> </w:t>
      </w:r>
      <w:r w:rsidRPr="00C7413B">
        <w:rPr>
          <w:sz w:val="24"/>
        </w:rPr>
        <w:tab/>
        <w:t xml:space="preserve">EPA is collecting, on a voluntary basis, data from the states related to the progress toward substantial implementation of source water protection strategies for all CWS. Section 1453 (a)(3) of the SDWA (see Appendix A) required states to complete source water assessments of potential contamination for source water areas. The information collected in the source water assessments may be used to implement source water protection programs. While implementing a source water protection program is not required under Section 1453, Drinking Water State Revolving Fund monies authorized in Section 1452(g)(2)(B) (Appendix B) may be used for activities to support these efforts.   </w:t>
      </w:r>
    </w:p>
    <w:p w:rsidRPr="00C7413B" w:rsidR="00F91730" w:rsidRDefault="000A1E34" w14:paraId="6B82730F" w14:textId="77777777">
      <w:pPr>
        <w:spacing w:after="33" w:line="259" w:lineRule="auto"/>
        <w:ind w:left="1" w:firstLine="0"/>
      </w:pPr>
      <w:r w:rsidRPr="00C7413B">
        <w:rPr>
          <w:sz w:val="24"/>
        </w:rPr>
        <w:t xml:space="preserve"> </w:t>
      </w:r>
    </w:p>
    <w:p w:rsidRPr="00C7413B" w:rsidR="00F91730" w:rsidRDefault="000A1E34" w14:paraId="0684FB44" w14:textId="77777777">
      <w:pPr>
        <w:pStyle w:val="Heading2"/>
        <w:tabs>
          <w:tab w:val="center" w:pos="944"/>
          <w:tab w:val="center" w:pos="3317"/>
        </w:tabs>
        <w:ind w:left="0" w:firstLine="0"/>
      </w:pPr>
      <w:r w:rsidRPr="00C7413B">
        <w:rPr>
          <w:rFonts w:ascii="Calibri" w:hAnsi="Calibri" w:eastAsia="Calibri" w:cs="Calibri"/>
          <w:b w:val="0"/>
          <w:sz w:val="22"/>
        </w:rPr>
        <w:tab/>
      </w:r>
      <w:r w:rsidRPr="00C7413B">
        <w:t xml:space="preserve">2(b) </w:t>
      </w:r>
      <w:r w:rsidRPr="00C7413B">
        <w:tab/>
        <w:t xml:space="preserve">Practical Utility/Users of the Data </w:t>
      </w:r>
    </w:p>
    <w:p w:rsidRPr="00C7413B" w:rsidR="00F91730" w:rsidRDefault="000A1E34" w14:paraId="36A81A13" w14:textId="77777777">
      <w:pPr>
        <w:spacing w:line="259" w:lineRule="auto"/>
        <w:ind w:left="1" w:firstLine="0"/>
      </w:pPr>
      <w:r w:rsidRPr="00C7413B">
        <w:rPr>
          <w:sz w:val="24"/>
        </w:rPr>
        <w:t xml:space="preserve"> </w:t>
      </w:r>
    </w:p>
    <w:p w:rsidRPr="00C7413B" w:rsidR="00F91730" w:rsidRDefault="000A1E34" w14:paraId="69FD117C" w14:textId="77777777">
      <w:pPr>
        <w:spacing w:after="3" w:line="249" w:lineRule="auto"/>
        <w:ind w:left="-4" w:right="1"/>
      </w:pPr>
      <w:r w:rsidRPr="00C7413B">
        <w:rPr>
          <w:sz w:val="24"/>
        </w:rPr>
        <w:t xml:space="preserve"> </w:t>
      </w:r>
      <w:r w:rsidRPr="00C7413B">
        <w:rPr>
          <w:sz w:val="24"/>
        </w:rPr>
        <w:tab/>
        <w:t xml:space="preserve">EPA has developed a set of measures to assess the degree to which states are attaining source water contamination prevention goals and to demonstrate that reducing risks to public health through source water protection is being attained. The SWP measures have evolved over time and some of the original performance measures data are no longer collected. The measures attempt to answer four key questions about the SWP Program. </w:t>
      </w:r>
    </w:p>
    <w:p w:rsidRPr="00C7413B" w:rsidR="00F91730" w:rsidRDefault="000A1E34" w14:paraId="2C949FEF" w14:textId="77777777">
      <w:pPr>
        <w:spacing w:after="0" w:line="259" w:lineRule="auto"/>
        <w:ind w:left="1" w:firstLine="0"/>
      </w:pPr>
      <w:r w:rsidRPr="00C7413B">
        <w:rPr>
          <w:sz w:val="24"/>
        </w:rPr>
        <w:t xml:space="preserve"> </w:t>
      </w:r>
    </w:p>
    <w:p w:rsidRPr="00C7413B" w:rsidR="00F91730" w:rsidRDefault="000A1E34" w14:paraId="5CC85E27" w14:textId="77777777">
      <w:pPr>
        <w:numPr>
          <w:ilvl w:val="0"/>
          <w:numId w:val="1"/>
        </w:numPr>
        <w:spacing w:after="3" w:line="249" w:lineRule="auto"/>
        <w:ind w:right="1" w:hanging="360"/>
      </w:pPr>
      <w:r w:rsidRPr="00C7413B">
        <w:rPr>
          <w:sz w:val="24"/>
        </w:rPr>
        <w:t xml:space="preserve">Are the state and tribal source water assessments being completed? </w:t>
      </w:r>
    </w:p>
    <w:p w:rsidRPr="00C7413B" w:rsidR="00F91730" w:rsidRDefault="000A1E34" w14:paraId="0DD0DF34" w14:textId="77777777">
      <w:pPr>
        <w:numPr>
          <w:ilvl w:val="0"/>
          <w:numId w:val="1"/>
        </w:numPr>
        <w:spacing w:after="3" w:line="249" w:lineRule="auto"/>
        <w:ind w:right="1" w:hanging="360"/>
      </w:pPr>
      <w:r w:rsidRPr="00C7413B">
        <w:rPr>
          <w:sz w:val="24"/>
        </w:rPr>
        <w:t xml:space="preserve">What threats to sources of drinking water are being found in assessment results? </w:t>
      </w:r>
    </w:p>
    <w:p w:rsidRPr="00C7413B" w:rsidR="00F91730" w:rsidRDefault="000A1E34" w14:paraId="210F89FC" w14:textId="77777777">
      <w:pPr>
        <w:numPr>
          <w:ilvl w:val="0"/>
          <w:numId w:val="1"/>
        </w:numPr>
        <w:spacing w:after="3" w:line="249" w:lineRule="auto"/>
        <w:ind w:right="1" w:hanging="360"/>
      </w:pPr>
      <w:r w:rsidRPr="00C7413B">
        <w:rPr>
          <w:sz w:val="24"/>
        </w:rPr>
        <w:t xml:space="preserve">How are current and future drinking water supplies being protected? </w:t>
      </w:r>
    </w:p>
    <w:p w:rsidRPr="00C7413B" w:rsidR="00F91730" w:rsidRDefault="000A1E34" w14:paraId="6C2D55F2" w14:textId="77777777">
      <w:pPr>
        <w:numPr>
          <w:ilvl w:val="0"/>
          <w:numId w:val="1"/>
        </w:numPr>
        <w:spacing w:after="3" w:line="249" w:lineRule="auto"/>
        <w:ind w:right="1" w:hanging="360"/>
      </w:pPr>
      <w:r w:rsidRPr="00C7413B">
        <w:rPr>
          <w:sz w:val="24"/>
        </w:rPr>
        <w:lastRenderedPageBreak/>
        <w:t xml:space="preserve">Are source water protection actions decreasing public health risks by preventing contamination of drinking water supplies? </w:t>
      </w:r>
    </w:p>
    <w:p w:rsidRPr="00C7413B" w:rsidR="00F91730" w:rsidRDefault="000A1E34" w14:paraId="2247171B" w14:textId="77777777">
      <w:pPr>
        <w:spacing w:line="259" w:lineRule="auto"/>
        <w:ind w:left="1" w:firstLine="0"/>
      </w:pPr>
      <w:r w:rsidRPr="00C7413B">
        <w:rPr>
          <w:sz w:val="24"/>
        </w:rPr>
        <w:t xml:space="preserve"> </w:t>
      </w:r>
    </w:p>
    <w:p w:rsidRPr="00C7413B" w:rsidR="00F91730" w:rsidRDefault="000A1E34" w14:paraId="1C4E39C2" w14:textId="77777777">
      <w:pPr>
        <w:spacing w:after="3" w:line="249" w:lineRule="auto"/>
        <w:ind w:left="-4" w:right="1"/>
      </w:pPr>
      <w:r w:rsidRPr="00C7413B">
        <w:rPr>
          <w:sz w:val="24"/>
        </w:rPr>
        <w:t xml:space="preserve"> </w:t>
      </w:r>
      <w:r w:rsidRPr="00C7413B">
        <w:rPr>
          <w:sz w:val="24"/>
        </w:rPr>
        <w:tab/>
        <w:t xml:space="preserve">Data collected under earlier ICRs answered the first two questions. EPA is now focusing on gauging progress toward addressing threats identified during the source water assessment process. States and the federal government will use the answers to these key questions to understand whether protection program actions are reducing risks from source waters; these reductions are presumed to increase public health protection. This information will also help SWP program managers better manage resources and reduce risks from the most threatening sources of contamination and protect the most threatened source waters. Lastly, the collected data will be used to inform state and federal managers and legislators regarding the success of prevention program actions to reduce the risks to source waters. </w:t>
      </w:r>
    </w:p>
    <w:p w:rsidRPr="00C7413B" w:rsidR="00F91730" w:rsidRDefault="000A1E34" w14:paraId="000A7DE1" w14:textId="77777777">
      <w:pPr>
        <w:spacing w:line="259" w:lineRule="auto"/>
        <w:ind w:left="1" w:firstLine="0"/>
      </w:pPr>
      <w:r w:rsidRPr="00C7413B">
        <w:rPr>
          <w:sz w:val="24"/>
        </w:rPr>
        <w:t xml:space="preserve"> </w:t>
      </w:r>
    </w:p>
    <w:p w:rsidRPr="00C7413B" w:rsidR="00F91730" w:rsidRDefault="000A1E34" w14:paraId="2D8BCF45" w14:textId="77777777">
      <w:pPr>
        <w:spacing w:after="3" w:line="249" w:lineRule="auto"/>
        <w:ind w:left="-4" w:right="1"/>
      </w:pPr>
      <w:r w:rsidRPr="00C7413B">
        <w:rPr>
          <w:sz w:val="24"/>
        </w:rPr>
        <w:t xml:space="preserve"> </w:t>
      </w:r>
      <w:r w:rsidRPr="00C7413B">
        <w:rPr>
          <w:sz w:val="24"/>
        </w:rPr>
        <w:tab/>
        <w:t>This information will also promote the integration of source water contamination prevention policies into other programs. This data is linked with work done under the Public Water System Supervision (PWSS) program and the Underground Injection Control (UIC) program. Some of this information will increase the public’s awareness of issues related to protecting drinking water sources and, hopefully, their involvement in protection activities. EPA anticipates that these measures will provide states, regions, and the federal government with a focus for prevention efforts with local communities implementing actions in a timely and cost</w:t>
      </w:r>
      <w:r w:rsidRPr="00C7413B" w:rsidR="00DA39D4">
        <w:rPr>
          <w:sz w:val="24"/>
        </w:rPr>
        <w:t>-e</w:t>
      </w:r>
      <w:r w:rsidRPr="00C7413B">
        <w:rPr>
          <w:sz w:val="24"/>
        </w:rPr>
        <w:t xml:space="preserve">ffective manner. </w:t>
      </w:r>
    </w:p>
    <w:p w:rsidRPr="00C7413B" w:rsidR="00F91730" w:rsidRDefault="00F91730" w14:paraId="679B5C30" w14:textId="77777777">
      <w:pPr>
        <w:spacing w:after="28" w:line="259" w:lineRule="auto"/>
        <w:ind w:left="1" w:firstLine="0"/>
        <w:rPr>
          <w:sz w:val="24"/>
        </w:rPr>
      </w:pPr>
    </w:p>
    <w:p w:rsidRPr="00C7413B" w:rsidR="001C1C07" w:rsidRDefault="001C1C07" w14:paraId="4E2C87E9" w14:textId="77777777">
      <w:pPr>
        <w:spacing w:after="28" w:line="259" w:lineRule="auto"/>
        <w:ind w:left="1" w:firstLine="0"/>
      </w:pPr>
    </w:p>
    <w:p w:rsidRPr="00C7413B" w:rsidR="00F91730" w:rsidP="001C1C07" w:rsidRDefault="000A1E34" w14:paraId="1D66D3C2" w14:textId="77777777">
      <w:pPr>
        <w:pStyle w:val="Heading1"/>
        <w:ind w:left="360" w:hanging="360"/>
      </w:pPr>
      <w:r w:rsidRPr="00C7413B">
        <w:t xml:space="preserve">Non-duplication, Consultations, and Other Collection Criteria </w:t>
      </w:r>
    </w:p>
    <w:p w:rsidRPr="00C7413B" w:rsidR="00F91730" w:rsidRDefault="000A1E34" w14:paraId="0CD6725A" w14:textId="77777777">
      <w:pPr>
        <w:spacing w:after="0" w:line="259" w:lineRule="auto"/>
        <w:ind w:left="1" w:firstLine="0"/>
      </w:pPr>
      <w:r w:rsidRPr="00C7413B">
        <w:rPr>
          <w:sz w:val="28"/>
        </w:rPr>
        <w:t xml:space="preserve"> </w:t>
      </w:r>
    </w:p>
    <w:p w:rsidRPr="00C7413B" w:rsidR="00F91730" w:rsidRDefault="000A1E34" w14:paraId="19ED9501" w14:textId="77777777">
      <w:pPr>
        <w:pStyle w:val="Heading2"/>
        <w:tabs>
          <w:tab w:val="center" w:pos="937"/>
          <w:tab w:val="center" w:pos="2343"/>
        </w:tabs>
        <w:ind w:left="0" w:firstLine="0"/>
      </w:pPr>
      <w:r w:rsidRPr="00C7413B">
        <w:rPr>
          <w:rFonts w:ascii="Calibri" w:hAnsi="Calibri" w:eastAsia="Calibri" w:cs="Calibri"/>
          <w:b w:val="0"/>
          <w:sz w:val="22"/>
        </w:rPr>
        <w:tab/>
      </w:r>
      <w:r w:rsidRPr="00C7413B">
        <w:t xml:space="preserve">3(a) </w:t>
      </w:r>
      <w:r w:rsidRPr="00C7413B">
        <w:tab/>
        <w:t xml:space="preserve">Non-duplication </w:t>
      </w:r>
    </w:p>
    <w:p w:rsidRPr="00C7413B" w:rsidR="00F91730" w:rsidRDefault="000A1E34" w14:paraId="4A7A0494" w14:textId="77777777">
      <w:pPr>
        <w:spacing w:line="259" w:lineRule="auto"/>
        <w:ind w:left="1" w:firstLine="0"/>
      </w:pPr>
      <w:r w:rsidRPr="00C7413B">
        <w:rPr>
          <w:sz w:val="24"/>
        </w:rPr>
        <w:t xml:space="preserve"> </w:t>
      </w:r>
    </w:p>
    <w:p w:rsidRPr="00C7413B" w:rsidR="00F91730" w:rsidRDefault="000A1E34" w14:paraId="460E8AF7" w14:textId="77777777">
      <w:pPr>
        <w:spacing w:after="3" w:line="249" w:lineRule="auto"/>
        <w:ind w:left="-4" w:right="1"/>
      </w:pPr>
      <w:r w:rsidRPr="00C7413B">
        <w:rPr>
          <w:sz w:val="24"/>
        </w:rPr>
        <w:t xml:space="preserve"> </w:t>
      </w:r>
      <w:r w:rsidRPr="00C7413B">
        <w:rPr>
          <w:sz w:val="24"/>
        </w:rPr>
        <w:tab/>
        <w:t xml:space="preserve">EPA is not aware of any similar reporting activities related to the status of source water protection efforts within the states. States are encouraged to track the requested information using databases. This approach should allow state reporters to take advantage of existing information and not duplicate other efforts. </w:t>
      </w:r>
    </w:p>
    <w:p w:rsidRPr="00C7413B" w:rsidR="00F91730" w:rsidRDefault="000A1E34" w14:paraId="36F60078" w14:textId="77777777">
      <w:pPr>
        <w:spacing w:line="259" w:lineRule="auto"/>
        <w:ind w:left="1" w:firstLine="0"/>
      </w:pPr>
      <w:r w:rsidRPr="00C7413B">
        <w:rPr>
          <w:sz w:val="24"/>
        </w:rPr>
        <w:t xml:space="preserve"> </w:t>
      </w:r>
    </w:p>
    <w:p w:rsidRPr="00C7413B" w:rsidR="00F91730" w:rsidP="005F6619" w:rsidRDefault="000A1E34" w14:paraId="4DE3F732" w14:textId="6CCFC72A">
      <w:pPr>
        <w:spacing w:after="3" w:line="249" w:lineRule="auto"/>
        <w:ind w:left="-4" w:right="1"/>
      </w:pPr>
      <w:r w:rsidRPr="00C7413B">
        <w:rPr>
          <w:sz w:val="24"/>
        </w:rPr>
        <w:t xml:space="preserve"> </w:t>
      </w:r>
      <w:r w:rsidRPr="00C7413B">
        <w:rPr>
          <w:sz w:val="24"/>
        </w:rPr>
        <w:tab/>
        <w:t xml:space="preserve">States can use appropriate existing resources. These resources include sanitary surveys of local CWS, state source water protection programs, state wellhead protection programs, state pesticide management programs, state watershed approaches including efforts under the Surface Water Treatment Rule, monitoring waiver programs, or the Federal Water Pollution Control Act (Clean Water Act).  </w:t>
      </w:r>
    </w:p>
    <w:p w:rsidRPr="00C7413B" w:rsidR="00F91730" w:rsidP="00EE4C75" w:rsidRDefault="000A1E34" w14:paraId="33C7CB52" w14:textId="0AC52639">
      <w:pPr>
        <w:pStyle w:val="Heading2"/>
        <w:tabs>
          <w:tab w:val="left" w:pos="720"/>
          <w:tab w:val="left" w:pos="1440"/>
        </w:tabs>
        <w:ind w:left="0" w:firstLine="0"/>
      </w:pPr>
      <w:r w:rsidRPr="00C7413B">
        <w:rPr>
          <w:sz w:val="24"/>
        </w:rPr>
        <w:t xml:space="preserve"> </w:t>
      </w:r>
      <w:r w:rsidRPr="00C7413B" w:rsidR="00845433">
        <w:rPr>
          <w:rFonts w:ascii="Calibri" w:hAnsi="Calibri" w:eastAsia="Calibri" w:cs="Calibri"/>
          <w:b w:val="0"/>
          <w:sz w:val="22"/>
        </w:rPr>
        <w:tab/>
      </w:r>
      <w:r w:rsidRPr="00C7413B" w:rsidR="00AA3F63">
        <w:rPr>
          <w:sz w:val="24"/>
        </w:rPr>
        <w:br/>
      </w:r>
    </w:p>
    <w:p w:rsidRPr="00C7413B" w:rsidR="00F91730" w:rsidP="00845433" w:rsidRDefault="000A1E34" w14:paraId="12CFEA0D" w14:textId="4857FE2C">
      <w:pPr>
        <w:pStyle w:val="Heading2"/>
        <w:tabs>
          <w:tab w:val="center" w:pos="944"/>
          <w:tab w:val="center" w:pos="2343"/>
        </w:tabs>
        <w:ind w:left="0" w:firstLine="0"/>
      </w:pPr>
      <w:r w:rsidRPr="00C7413B">
        <w:rPr>
          <w:rFonts w:ascii="Calibri" w:hAnsi="Calibri" w:eastAsia="Calibri" w:cs="Calibri"/>
          <w:b w:val="0"/>
          <w:sz w:val="22"/>
        </w:rPr>
        <w:tab/>
      </w:r>
      <w:r w:rsidRPr="00C7413B" w:rsidR="00845433">
        <w:t>3(</w:t>
      </w:r>
      <w:r w:rsidRPr="00C7413B" w:rsidR="00DB25ED">
        <w:t>b</w:t>
      </w:r>
      <w:r w:rsidRPr="00C7413B" w:rsidR="00845433">
        <w:t xml:space="preserve">) </w:t>
      </w:r>
      <w:r w:rsidRPr="00C7413B" w:rsidR="00845433">
        <w:tab/>
        <w:t>Consultations</w:t>
      </w:r>
      <w:r w:rsidRPr="00C7413B" w:rsidR="00A255B9">
        <w:tab/>
      </w:r>
    </w:p>
    <w:p w:rsidRPr="00C7413B" w:rsidR="00F91730" w:rsidRDefault="000A1E34" w14:paraId="4D529F5B" w14:textId="77777777">
      <w:pPr>
        <w:spacing w:line="259" w:lineRule="auto"/>
        <w:ind w:left="1" w:firstLine="0"/>
      </w:pPr>
      <w:r w:rsidRPr="00C7413B">
        <w:rPr>
          <w:sz w:val="24"/>
        </w:rPr>
        <w:t xml:space="preserve"> </w:t>
      </w:r>
    </w:p>
    <w:p w:rsidRPr="00C7413B" w:rsidR="00E95C55" w:rsidP="003A65C3" w:rsidRDefault="000A1E34" w14:paraId="75B84D75" w14:textId="77777777">
      <w:pPr>
        <w:tabs>
          <w:tab w:val="center" w:pos="0"/>
        </w:tabs>
        <w:spacing w:after="3" w:line="249" w:lineRule="auto"/>
        <w:ind w:left="-14" w:firstLine="734"/>
        <w:rPr>
          <w:sz w:val="24"/>
        </w:rPr>
      </w:pPr>
      <w:r w:rsidRPr="00C7413B">
        <w:rPr>
          <w:sz w:val="24"/>
        </w:rPr>
        <w:t xml:space="preserve">State agency staff provided input on the hourly burden and cost associated with compiling data and reporting on the status of substantially implementing prevention plans in their states. The burden and cost estimates in this ICR reflect these estimates. </w:t>
      </w:r>
    </w:p>
    <w:p w:rsidRPr="00C7413B" w:rsidR="00F91730" w:rsidRDefault="000A1E34" w14:paraId="4213ACF7" w14:textId="1925E3ED">
      <w:pPr>
        <w:pStyle w:val="Heading2"/>
        <w:tabs>
          <w:tab w:val="center" w:pos="929"/>
          <w:tab w:val="center" w:pos="3382"/>
        </w:tabs>
        <w:ind w:left="0" w:firstLine="0"/>
      </w:pPr>
      <w:r w:rsidRPr="00C7413B">
        <w:rPr>
          <w:rFonts w:ascii="Calibri" w:hAnsi="Calibri" w:eastAsia="Calibri" w:cs="Calibri"/>
          <w:b w:val="0"/>
          <w:sz w:val="22"/>
        </w:rPr>
        <w:lastRenderedPageBreak/>
        <w:tab/>
      </w:r>
      <w:r w:rsidRPr="00C7413B">
        <w:t>3(</w:t>
      </w:r>
      <w:r w:rsidRPr="00C7413B" w:rsidR="0091674D">
        <w:t>d</w:t>
      </w:r>
      <w:r w:rsidRPr="00C7413B">
        <w:t xml:space="preserve">) </w:t>
      </w:r>
      <w:r w:rsidRPr="00C7413B">
        <w:tab/>
        <w:t xml:space="preserve">Effects of </w:t>
      </w:r>
      <w:r w:rsidRPr="00C7413B" w:rsidR="00657DA8">
        <w:t xml:space="preserve">Less </w:t>
      </w:r>
      <w:r w:rsidRPr="00C7413B">
        <w:t xml:space="preserve">Frequent Collection </w:t>
      </w:r>
    </w:p>
    <w:p w:rsidRPr="00C7413B" w:rsidR="00F91730" w:rsidRDefault="000A1E34" w14:paraId="07DF4B69" w14:textId="77777777">
      <w:pPr>
        <w:spacing w:after="0" w:line="259" w:lineRule="auto"/>
        <w:ind w:left="1" w:firstLine="0"/>
      </w:pPr>
      <w:r w:rsidRPr="00C7413B">
        <w:rPr>
          <w:sz w:val="24"/>
        </w:rPr>
        <w:t xml:space="preserve"> </w:t>
      </w:r>
    </w:p>
    <w:p w:rsidRPr="00C7413B" w:rsidR="00F91730" w:rsidRDefault="000A1E34" w14:paraId="1C5CC028" w14:textId="50485EDD">
      <w:pPr>
        <w:spacing w:after="3" w:line="249" w:lineRule="auto"/>
        <w:ind w:left="-4" w:right="1"/>
      </w:pPr>
      <w:r w:rsidRPr="00C7413B">
        <w:rPr>
          <w:sz w:val="24"/>
        </w:rPr>
        <w:t xml:space="preserve"> </w:t>
      </w:r>
      <w:r w:rsidRPr="00C7413B">
        <w:rPr>
          <w:sz w:val="24"/>
        </w:rPr>
        <w:tab/>
        <w:t xml:space="preserve">EPA is requesting that states voluntarily report </w:t>
      </w:r>
      <w:r w:rsidRPr="00C7413B" w:rsidR="004317F3">
        <w:rPr>
          <w:sz w:val="24"/>
        </w:rPr>
        <w:t xml:space="preserve">annual </w:t>
      </w:r>
      <w:r w:rsidRPr="00C7413B">
        <w:rPr>
          <w:sz w:val="24"/>
        </w:rPr>
        <w:t xml:space="preserve">data on the status of the source water protection measure. </w:t>
      </w:r>
      <w:r w:rsidRPr="00C7413B" w:rsidR="00657DA8">
        <w:t xml:space="preserve">EPA </w:t>
      </w:r>
      <w:r w:rsidRPr="00C7413B" w:rsidR="008B1EBA">
        <w:t xml:space="preserve">continues to emphasize </w:t>
      </w:r>
      <w:r w:rsidRPr="00C7413B" w:rsidR="00657DA8">
        <w:t>the importance of using this measure to gauge program success</w:t>
      </w:r>
      <w:r w:rsidRPr="00C7413B" w:rsidR="004317F3">
        <w:t xml:space="preserve">. </w:t>
      </w:r>
      <w:r w:rsidRPr="00C7413B" w:rsidR="00657DA8">
        <w:t xml:space="preserve">and improvement. After considering </w:t>
      </w:r>
      <w:r w:rsidRPr="00C7413B" w:rsidR="004317F3">
        <w:t xml:space="preserve">quarterly </w:t>
      </w:r>
      <w:r w:rsidRPr="00C7413B" w:rsidR="008B1EBA">
        <w:t xml:space="preserve">voluntary reporting, the Agency determined that </w:t>
      </w:r>
      <w:r w:rsidRPr="00C7413B" w:rsidR="004317F3">
        <w:t xml:space="preserve">annual </w:t>
      </w:r>
      <w:r w:rsidRPr="00C7413B" w:rsidR="008B1EBA">
        <w:t xml:space="preserve">reporting would be less burdensome. </w:t>
      </w:r>
      <w:r w:rsidRPr="00C7413B">
        <w:rPr>
          <w:sz w:val="24"/>
        </w:rPr>
        <w:t xml:space="preserve">While states are not obligated to provide information for these measures, EPA is strongly encouraging states to provide such information. </w:t>
      </w:r>
    </w:p>
    <w:p w:rsidRPr="00C7413B" w:rsidR="00F91730" w:rsidRDefault="000A1E34" w14:paraId="2D447D2C" w14:textId="77777777">
      <w:pPr>
        <w:spacing w:after="33" w:line="259" w:lineRule="auto"/>
        <w:ind w:left="1" w:firstLine="0"/>
      </w:pPr>
      <w:r w:rsidRPr="00C7413B">
        <w:rPr>
          <w:sz w:val="24"/>
        </w:rPr>
        <w:t xml:space="preserve"> </w:t>
      </w:r>
    </w:p>
    <w:p w:rsidRPr="00C7413B" w:rsidR="00F91730" w:rsidRDefault="000A1E34" w14:paraId="3782D521" w14:textId="77777777">
      <w:pPr>
        <w:pStyle w:val="Heading2"/>
        <w:tabs>
          <w:tab w:val="center" w:pos="944"/>
          <w:tab w:val="center" w:pos="2512"/>
        </w:tabs>
        <w:ind w:left="0" w:firstLine="0"/>
      </w:pPr>
      <w:r w:rsidRPr="00C7413B">
        <w:rPr>
          <w:rFonts w:ascii="Calibri" w:hAnsi="Calibri" w:eastAsia="Calibri" w:cs="Calibri"/>
          <w:b w:val="0"/>
          <w:sz w:val="22"/>
        </w:rPr>
        <w:tab/>
      </w:r>
      <w:r w:rsidRPr="00C7413B">
        <w:t>3(</w:t>
      </w:r>
      <w:r w:rsidRPr="00C7413B" w:rsidR="0091674D">
        <w:t>e</w:t>
      </w:r>
      <w:r w:rsidRPr="00C7413B">
        <w:t xml:space="preserve">) </w:t>
      </w:r>
      <w:r w:rsidRPr="00C7413B">
        <w:tab/>
        <w:t xml:space="preserve">General Guidelines </w:t>
      </w:r>
    </w:p>
    <w:p w:rsidRPr="00C7413B" w:rsidR="00F91730" w:rsidRDefault="000A1E34" w14:paraId="31372C27" w14:textId="77777777">
      <w:pPr>
        <w:spacing w:after="3" w:line="259" w:lineRule="auto"/>
        <w:ind w:left="1" w:firstLine="0"/>
      </w:pPr>
      <w:r w:rsidRPr="00C7413B">
        <w:rPr>
          <w:sz w:val="24"/>
        </w:rPr>
        <w:t xml:space="preserve"> </w:t>
      </w:r>
    </w:p>
    <w:p w:rsidRPr="00C7413B" w:rsidR="00F91730" w:rsidRDefault="000A1E34" w14:paraId="2CA5B3DA" w14:textId="77777777">
      <w:pPr>
        <w:spacing w:after="3" w:line="249" w:lineRule="auto"/>
        <w:ind w:left="-4" w:right="1"/>
      </w:pPr>
      <w:r w:rsidRPr="00C7413B">
        <w:rPr>
          <w:sz w:val="24"/>
        </w:rPr>
        <w:t xml:space="preserve"> </w:t>
      </w:r>
      <w:r w:rsidRPr="00C7413B">
        <w:rPr>
          <w:sz w:val="24"/>
        </w:rPr>
        <w:tab/>
        <w:t>All data collections covered by this ICR comply with the Office of Management and Budget’s (OMB’s) general guidelines for information collections</w:t>
      </w:r>
      <w:r w:rsidRPr="00C7413B" w:rsidR="00536BEC">
        <w:rPr>
          <w:sz w:val="24"/>
        </w:rPr>
        <w:t xml:space="preserve"> </w:t>
      </w:r>
      <w:r w:rsidRPr="00C7413B" w:rsidR="0012229C">
        <w:rPr>
          <w:sz w:val="24"/>
        </w:rPr>
        <w:t xml:space="preserve">in </w:t>
      </w:r>
      <w:r w:rsidRPr="00C7413B" w:rsidR="00536BEC">
        <w:rPr>
          <w:sz w:val="24"/>
        </w:rPr>
        <w:t>5 CFR 1320.5(d)(2).</w:t>
      </w:r>
    </w:p>
    <w:p w:rsidRPr="00C7413B" w:rsidR="00F91730" w:rsidRDefault="000A1E34" w14:paraId="6BF18A4F" w14:textId="77777777">
      <w:pPr>
        <w:spacing w:after="33" w:line="259" w:lineRule="auto"/>
        <w:ind w:left="1" w:firstLine="0"/>
      </w:pPr>
      <w:r w:rsidRPr="00C7413B">
        <w:rPr>
          <w:sz w:val="24"/>
        </w:rPr>
        <w:t xml:space="preserve"> </w:t>
      </w:r>
      <w:r w:rsidRPr="00C7413B" w:rsidR="0012229C">
        <w:rPr>
          <w:sz w:val="24"/>
        </w:rPr>
        <w:t xml:space="preserve"> </w:t>
      </w:r>
    </w:p>
    <w:p w:rsidRPr="00C7413B" w:rsidR="00F91730" w:rsidRDefault="000A1E34" w14:paraId="2C53E9EB" w14:textId="77777777">
      <w:pPr>
        <w:tabs>
          <w:tab w:val="center" w:pos="929"/>
          <w:tab w:val="center" w:pos="2277"/>
        </w:tabs>
        <w:spacing w:after="0" w:line="259" w:lineRule="auto"/>
        <w:ind w:left="0" w:firstLine="0"/>
      </w:pPr>
      <w:r w:rsidRPr="00C7413B">
        <w:rPr>
          <w:rFonts w:ascii="Calibri" w:hAnsi="Calibri" w:eastAsia="Calibri" w:cs="Calibri"/>
        </w:rPr>
        <w:tab/>
      </w:r>
      <w:r w:rsidRPr="00C7413B">
        <w:rPr>
          <w:b/>
          <w:sz w:val="26"/>
        </w:rPr>
        <w:t>3(</w:t>
      </w:r>
      <w:r w:rsidRPr="00C7413B" w:rsidR="0091674D">
        <w:rPr>
          <w:b/>
          <w:sz w:val="26"/>
        </w:rPr>
        <w:t>f</w:t>
      </w:r>
      <w:r w:rsidRPr="00C7413B">
        <w:rPr>
          <w:b/>
          <w:sz w:val="26"/>
        </w:rPr>
        <w:t xml:space="preserve">) </w:t>
      </w:r>
      <w:r w:rsidRPr="00C7413B">
        <w:rPr>
          <w:b/>
          <w:sz w:val="26"/>
        </w:rPr>
        <w:tab/>
        <w:t xml:space="preserve">Confidentiality </w:t>
      </w:r>
    </w:p>
    <w:p w:rsidRPr="00C7413B" w:rsidR="00F91730" w:rsidRDefault="000A1E34" w14:paraId="2A41A188" w14:textId="77777777">
      <w:pPr>
        <w:spacing w:line="259" w:lineRule="auto"/>
        <w:ind w:left="1" w:firstLine="0"/>
      </w:pPr>
      <w:r w:rsidRPr="00C7413B">
        <w:rPr>
          <w:sz w:val="24"/>
        </w:rPr>
        <w:t xml:space="preserve"> </w:t>
      </w:r>
    </w:p>
    <w:p w:rsidRPr="00C7413B" w:rsidR="00F91730" w:rsidRDefault="000A1E34" w14:paraId="32DEAAFC" w14:textId="77777777">
      <w:pPr>
        <w:tabs>
          <w:tab w:val="center" w:pos="2303"/>
        </w:tabs>
        <w:spacing w:after="3" w:line="249" w:lineRule="auto"/>
        <w:ind w:left="-14" w:firstLine="0"/>
      </w:pPr>
      <w:r w:rsidRPr="00C7413B">
        <w:rPr>
          <w:sz w:val="24"/>
        </w:rPr>
        <w:t xml:space="preserve"> </w:t>
      </w:r>
      <w:r w:rsidRPr="00C7413B">
        <w:rPr>
          <w:sz w:val="24"/>
        </w:rPr>
        <w:tab/>
        <w:t xml:space="preserve">No confidential data is collected. </w:t>
      </w:r>
    </w:p>
    <w:p w:rsidRPr="00C7413B" w:rsidR="00F91730" w:rsidRDefault="000A1E34" w14:paraId="23525174" w14:textId="77777777">
      <w:pPr>
        <w:spacing w:after="33" w:line="259" w:lineRule="auto"/>
        <w:ind w:left="1" w:firstLine="0"/>
      </w:pPr>
      <w:r w:rsidRPr="00C7413B">
        <w:rPr>
          <w:sz w:val="24"/>
        </w:rPr>
        <w:t xml:space="preserve"> </w:t>
      </w:r>
    </w:p>
    <w:p w:rsidRPr="00C7413B" w:rsidR="00F91730" w:rsidRDefault="000A1E34" w14:paraId="280B82B1" w14:textId="77777777">
      <w:pPr>
        <w:tabs>
          <w:tab w:val="center" w:pos="915"/>
          <w:tab w:val="center" w:pos="2512"/>
        </w:tabs>
        <w:spacing w:after="0" w:line="259" w:lineRule="auto"/>
        <w:ind w:left="0" w:firstLine="0"/>
      </w:pPr>
      <w:r w:rsidRPr="00C7413B">
        <w:rPr>
          <w:rFonts w:ascii="Calibri" w:hAnsi="Calibri" w:eastAsia="Calibri" w:cs="Calibri"/>
        </w:rPr>
        <w:tab/>
      </w:r>
      <w:r w:rsidRPr="00C7413B">
        <w:rPr>
          <w:b/>
          <w:sz w:val="26"/>
        </w:rPr>
        <w:t>3(</w:t>
      </w:r>
      <w:r w:rsidRPr="00C7413B" w:rsidR="0091674D">
        <w:rPr>
          <w:b/>
          <w:sz w:val="26"/>
        </w:rPr>
        <w:t>g</w:t>
      </w:r>
      <w:r w:rsidRPr="00C7413B">
        <w:rPr>
          <w:b/>
          <w:sz w:val="26"/>
        </w:rPr>
        <w:t xml:space="preserve">) </w:t>
      </w:r>
      <w:r w:rsidRPr="00C7413B">
        <w:rPr>
          <w:b/>
          <w:sz w:val="26"/>
        </w:rPr>
        <w:tab/>
        <w:t xml:space="preserve">Sensitive Questions </w:t>
      </w:r>
    </w:p>
    <w:p w:rsidRPr="00C7413B" w:rsidR="00F91730" w:rsidRDefault="000A1E34" w14:paraId="5CA198F1" w14:textId="77777777">
      <w:pPr>
        <w:spacing w:line="259" w:lineRule="auto"/>
        <w:ind w:left="1" w:firstLine="0"/>
      </w:pPr>
      <w:r w:rsidRPr="00C7413B">
        <w:rPr>
          <w:sz w:val="24"/>
        </w:rPr>
        <w:t xml:space="preserve"> </w:t>
      </w:r>
    </w:p>
    <w:p w:rsidRPr="00C7413B" w:rsidR="00175873" w:rsidP="00636326" w:rsidRDefault="00636326" w14:paraId="3E752AD2" w14:textId="77777777">
      <w:pPr>
        <w:tabs>
          <w:tab w:val="center" w:pos="1"/>
          <w:tab w:val="left" w:pos="720"/>
        </w:tabs>
        <w:spacing w:after="3" w:line="249" w:lineRule="auto"/>
        <w:rPr>
          <w:sz w:val="24"/>
        </w:rPr>
      </w:pPr>
      <w:r w:rsidRPr="00C7413B">
        <w:rPr>
          <w:sz w:val="24"/>
        </w:rPr>
        <w:tab/>
      </w:r>
      <w:r w:rsidRPr="00C7413B">
        <w:rPr>
          <w:sz w:val="24"/>
        </w:rPr>
        <w:tab/>
      </w:r>
      <w:r w:rsidRPr="00C7413B" w:rsidR="00C301DF">
        <w:rPr>
          <w:sz w:val="24"/>
        </w:rPr>
        <w:t>No questions concerning sexual behavior or attitudes, religious beliefs, or other matters usually considered private are included in this information collection.</w:t>
      </w:r>
    </w:p>
    <w:p w:rsidRPr="00C7413B" w:rsidR="00175873" w:rsidRDefault="00175873" w14:paraId="2FF888E4" w14:textId="77777777">
      <w:pPr>
        <w:tabs>
          <w:tab w:val="center" w:pos="3363"/>
        </w:tabs>
        <w:spacing w:after="3" w:line="249" w:lineRule="auto"/>
        <w:ind w:left="-14" w:firstLine="0"/>
      </w:pPr>
    </w:p>
    <w:p w:rsidRPr="00C7413B" w:rsidR="001C1C07" w:rsidRDefault="001C1C07" w14:paraId="6CA85B0E" w14:textId="77777777">
      <w:pPr>
        <w:tabs>
          <w:tab w:val="center" w:pos="3363"/>
        </w:tabs>
        <w:spacing w:after="3" w:line="249" w:lineRule="auto"/>
        <w:ind w:left="-14" w:firstLine="0"/>
      </w:pPr>
    </w:p>
    <w:p w:rsidRPr="00C7413B" w:rsidR="00F91730" w:rsidP="001C1C07" w:rsidRDefault="000A1E34" w14:paraId="11BA2C30" w14:textId="77777777">
      <w:pPr>
        <w:pStyle w:val="Heading1"/>
        <w:ind w:left="360" w:hanging="360"/>
      </w:pPr>
      <w:r w:rsidRPr="00C7413B">
        <w:t xml:space="preserve">The Respondents and the Information Requested </w:t>
      </w:r>
    </w:p>
    <w:p w:rsidRPr="00C7413B" w:rsidR="00F91730" w:rsidRDefault="000A1E34" w14:paraId="2E3DE9E8" w14:textId="77777777">
      <w:pPr>
        <w:spacing w:after="0" w:line="259" w:lineRule="auto"/>
        <w:ind w:left="1" w:firstLine="0"/>
      </w:pPr>
      <w:r w:rsidRPr="00C7413B">
        <w:rPr>
          <w:sz w:val="24"/>
        </w:rPr>
        <w:t xml:space="preserve"> </w:t>
      </w:r>
    </w:p>
    <w:p w:rsidRPr="00C7413B" w:rsidR="00F91730" w:rsidRDefault="000A1E34" w14:paraId="1843332A" w14:textId="77777777">
      <w:pPr>
        <w:pStyle w:val="Heading2"/>
        <w:ind w:left="716"/>
      </w:pPr>
      <w:r w:rsidRPr="00C7413B">
        <w:t>4(a)</w:t>
      </w:r>
      <w:r w:rsidRPr="00C7413B" w:rsidR="00DE4C17">
        <w:tab/>
      </w:r>
      <w:r w:rsidRPr="00C7413B">
        <w:t xml:space="preserve">Respondents/SIC Codes </w:t>
      </w:r>
    </w:p>
    <w:p w:rsidRPr="00C7413B" w:rsidR="00F91730" w:rsidRDefault="000A1E34" w14:paraId="650E897A" w14:textId="77777777">
      <w:pPr>
        <w:spacing w:line="259" w:lineRule="auto"/>
        <w:ind w:left="1" w:firstLine="0"/>
      </w:pPr>
      <w:r w:rsidRPr="00C7413B">
        <w:rPr>
          <w:sz w:val="24"/>
        </w:rPr>
        <w:t xml:space="preserve"> </w:t>
      </w:r>
    </w:p>
    <w:p w:rsidRPr="00C7413B" w:rsidR="00F91730" w:rsidRDefault="000A1E34" w14:paraId="79BD0880" w14:textId="77777777">
      <w:pPr>
        <w:spacing w:after="3" w:line="249" w:lineRule="auto"/>
        <w:ind w:left="-4" w:right="1"/>
      </w:pPr>
      <w:r w:rsidRPr="00C7413B">
        <w:rPr>
          <w:sz w:val="24"/>
        </w:rPr>
        <w:t xml:space="preserve"> </w:t>
      </w:r>
      <w:r w:rsidRPr="00C7413B">
        <w:rPr>
          <w:sz w:val="24"/>
        </w:rPr>
        <w:tab/>
        <w:t xml:space="preserve">The respondents for this information collection are state environmental and health agencies. The Standard Industrial Classification (SIC) code for state respondents is 9511 (Air and Water Resource and Solid Waste Management); the North American Industry Classification System (NAICS) code is 92411, Administration of Air and Water Resource and Solid Waste Management Programs. </w:t>
      </w:r>
    </w:p>
    <w:p w:rsidRPr="00C7413B" w:rsidR="00F91730" w:rsidRDefault="000A1E34" w14:paraId="63FC0804" w14:textId="77777777">
      <w:pPr>
        <w:spacing w:after="31" w:line="259" w:lineRule="auto"/>
        <w:ind w:left="1" w:firstLine="0"/>
      </w:pPr>
      <w:r w:rsidRPr="00C7413B">
        <w:rPr>
          <w:sz w:val="24"/>
        </w:rPr>
        <w:t xml:space="preserve"> </w:t>
      </w:r>
    </w:p>
    <w:p w:rsidRPr="00C7413B" w:rsidR="00F91730" w:rsidRDefault="000A1E34" w14:paraId="56CC627C" w14:textId="77777777">
      <w:pPr>
        <w:pStyle w:val="Heading2"/>
        <w:tabs>
          <w:tab w:val="center" w:pos="944"/>
          <w:tab w:val="center" w:pos="2729"/>
        </w:tabs>
        <w:ind w:left="0" w:firstLine="0"/>
      </w:pPr>
      <w:r w:rsidRPr="00C7413B">
        <w:rPr>
          <w:rFonts w:ascii="Calibri" w:hAnsi="Calibri" w:eastAsia="Calibri" w:cs="Calibri"/>
          <w:b w:val="0"/>
          <w:sz w:val="22"/>
        </w:rPr>
        <w:tab/>
      </w:r>
      <w:r w:rsidRPr="00C7413B">
        <w:t xml:space="preserve">4(b) </w:t>
      </w:r>
      <w:r w:rsidRPr="00C7413B">
        <w:tab/>
        <w:t xml:space="preserve">Information Requested </w:t>
      </w:r>
    </w:p>
    <w:p w:rsidRPr="00C7413B" w:rsidR="00F91730" w:rsidRDefault="000A1E34" w14:paraId="79EB1180" w14:textId="77777777">
      <w:pPr>
        <w:spacing w:line="259" w:lineRule="auto"/>
        <w:ind w:left="1" w:firstLine="0"/>
      </w:pPr>
      <w:r w:rsidRPr="00C7413B">
        <w:rPr>
          <w:sz w:val="24"/>
        </w:rPr>
        <w:t xml:space="preserve"> </w:t>
      </w:r>
    </w:p>
    <w:p w:rsidRPr="00C7413B" w:rsidR="00F91730" w:rsidRDefault="000A1E34" w14:paraId="4A0B4F44" w14:textId="77777777">
      <w:pPr>
        <w:tabs>
          <w:tab w:val="center" w:pos="3209"/>
        </w:tabs>
        <w:spacing w:after="0" w:line="259" w:lineRule="auto"/>
        <w:ind w:left="-14" w:firstLine="0"/>
      </w:pPr>
      <w:r w:rsidRPr="00C7413B">
        <w:rPr>
          <w:sz w:val="24"/>
        </w:rPr>
        <w:t xml:space="preserve"> </w:t>
      </w:r>
      <w:r w:rsidRPr="00C7413B">
        <w:rPr>
          <w:sz w:val="24"/>
        </w:rPr>
        <w:tab/>
      </w:r>
      <w:r w:rsidRPr="00C7413B">
        <w:rPr>
          <w:i/>
          <w:sz w:val="24"/>
        </w:rPr>
        <w:t xml:space="preserve">Data Items, Including Recordkeeping Requirements </w:t>
      </w:r>
    </w:p>
    <w:p w:rsidRPr="00C7413B" w:rsidR="00F91730" w:rsidRDefault="000A1E34" w14:paraId="2EECAF9B" w14:textId="77777777">
      <w:pPr>
        <w:spacing w:after="0" w:line="259" w:lineRule="auto"/>
        <w:ind w:left="1" w:firstLine="0"/>
      </w:pPr>
      <w:r w:rsidRPr="00C7413B">
        <w:rPr>
          <w:sz w:val="24"/>
        </w:rPr>
        <w:t xml:space="preserve"> </w:t>
      </w:r>
    </w:p>
    <w:p w:rsidRPr="00C7413B" w:rsidR="00F91730" w:rsidRDefault="000A1E34" w14:paraId="4919A739" w14:textId="68D1C082">
      <w:pPr>
        <w:spacing w:after="3" w:line="249" w:lineRule="auto"/>
        <w:ind w:left="-14" w:right="1" w:firstLine="720"/>
      </w:pPr>
      <w:r w:rsidRPr="00C7413B">
        <w:rPr>
          <w:sz w:val="24"/>
        </w:rPr>
        <w:t xml:space="preserve">Under this collection, state respondents submit two data items </w:t>
      </w:r>
      <w:r w:rsidRPr="00C7413B" w:rsidR="004317F3">
        <w:rPr>
          <w:sz w:val="24"/>
        </w:rPr>
        <w:t xml:space="preserve">annually </w:t>
      </w:r>
      <w:r w:rsidRPr="00C7413B">
        <w:rPr>
          <w:sz w:val="24"/>
        </w:rPr>
        <w:t xml:space="preserve">to their EPA Regions. States are asked to report the following information: </w:t>
      </w:r>
    </w:p>
    <w:p w:rsidRPr="00C7413B" w:rsidR="00F91730" w:rsidRDefault="000A1E34" w14:paraId="78310E58" w14:textId="77777777">
      <w:pPr>
        <w:spacing w:line="259" w:lineRule="auto"/>
        <w:ind w:left="721" w:firstLine="0"/>
      </w:pPr>
      <w:r w:rsidRPr="00C7413B">
        <w:rPr>
          <w:sz w:val="24"/>
        </w:rPr>
        <w:t xml:space="preserve"> </w:t>
      </w:r>
    </w:p>
    <w:p w:rsidRPr="00C7413B" w:rsidR="00F91730" w:rsidRDefault="000A1E34" w14:paraId="0D00419B" w14:textId="77777777">
      <w:pPr>
        <w:numPr>
          <w:ilvl w:val="0"/>
          <w:numId w:val="2"/>
        </w:numPr>
        <w:spacing w:after="3" w:line="249" w:lineRule="auto"/>
        <w:ind w:right="1" w:hanging="360"/>
      </w:pPr>
      <w:r w:rsidRPr="00C7413B">
        <w:rPr>
          <w:sz w:val="24"/>
        </w:rPr>
        <w:t xml:space="preserve">Number of CWSs with source water protection strategies in place and substantially implemented (states are requested to submit their definition of “substantial implementation” only if it has changed); and </w:t>
      </w:r>
    </w:p>
    <w:p w:rsidRPr="00C7413B" w:rsidR="00F91730" w:rsidRDefault="000A1E34" w14:paraId="5DE17FB2" w14:textId="77777777">
      <w:pPr>
        <w:spacing w:line="259" w:lineRule="auto"/>
        <w:ind w:left="1081" w:firstLine="0"/>
      </w:pPr>
      <w:r w:rsidRPr="00C7413B">
        <w:rPr>
          <w:sz w:val="24"/>
        </w:rPr>
        <w:t xml:space="preserve"> </w:t>
      </w:r>
    </w:p>
    <w:p w:rsidRPr="00C7413B" w:rsidR="00F91730" w:rsidRDefault="000A1E34" w14:paraId="2EECA5D5" w14:textId="77777777">
      <w:pPr>
        <w:numPr>
          <w:ilvl w:val="0"/>
          <w:numId w:val="2"/>
        </w:numPr>
        <w:spacing w:after="3" w:line="249" w:lineRule="auto"/>
        <w:ind w:right="1" w:hanging="360"/>
      </w:pPr>
      <w:r w:rsidRPr="00C7413B">
        <w:rPr>
          <w:sz w:val="24"/>
        </w:rPr>
        <w:lastRenderedPageBreak/>
        <w:t xml:space="preserve">The population served by those CWSs. </w:t>
      </w:r>
    </w:p>
    <w:p w:rsidRPr="00C7413B" w:rsidR="00F91730" w:rsidRDefault="000A1E34" w14:paraId="47A2B1DF" w14:textId="77777777">
      <w:pPr>
        <w:spacing w:after="0" w:line="259" w:lineRule="auto"/>
        <w:ind w:left="1" w:firstLine="0"/>
      </w:pPr>
      <w:r w:rsidRPr="00C7413B">
        <w:rPr>
          <w:sz w:val="24"/>
        </w:rPr>
        <w:t xml:space="preserve"> </w:t>
      </w:r>
    </w:p>
    <w:p w:rsidRPr="00C7413B" w:rsidR="00F91730" w:rsidRDefault="00F91730" w14:paraId="44F0F92F" w14:textId="5549E2EB">
      <w:pPr>
        <w:spacing w:line="259" w:lineRule="auto"/>
        <w:ind w:left="1" w:firstLine="0"/>
      </w:pPr>
    </w:p>
    <w:p w:rsidRPr="00C7413B" w:rsidR="00F91730" w:rsidRDefault="000A1E34" w14:paraId="6B945EEE" w14:textId="77777777">
      <w:pPr>
        <w:tabs>
          <w:tab w:val="center" w:pos="1756"/>
        </w:tabs>
        <w:spacing w:after="0" w:line="259" w:lineRule="auto"/>
        <w:ind w:left="-14" w:firstLine="0"/>
      </w:pPr>
      <w:r w:rsidRPr="00C7413B">
        <w:rPr>
          <w:sz w:val="24"/>
        </w:rPr>
        <w:t xml:space="preserve"> </w:t>
      </w:r>
      <w:r w:rsidRPr="00C7413B">
        <w:rPr>
          <w:sz w:val="24"/>
        </w:rPr>
        <w:tab/>
      </w:r>
      <w:r w:rsidRPr="00C7413B">
        <w:rPr>
          <w:i/>
          <w:sz w:val="24"/>
        </w:rPr>
        <w:t xml:space="preserve">Respondent Activities </w:t>
      </w:r>
    </w:p>
    <w:p w:rsidRPr="00C7413B" w:rsidR="00F91730" w:rsidRDefault="000A1E34" w14:paraId="360ACF04" w14:textId="77777777">
      <w:pPr>
        <w:spacing w:line="259" w:lineRule="auto"/>
        <w:ind w:left="1" w:firstLine="0"/>
      </w:pPr>
      <w:r w:rsidRPr="00C7413B">
        <w:rPr>
          <w:sz w:val="24"/>
        </w:rPr>
        <w:t xml:space="preserve"> </w:t>
      </w:r>
    </w:p>
    <w:p w:rsidRPr="00C7413B" w:rsidR="00F91730" w:rsidRDefault="000A1E34" w14:paraId="57B49E59" w14:textId="2A461032">
      <w:pPr>
        <w:spacing w:after="3" w:line="249" w:lineRule="auto"/>
        <w:ind w:left="-4" w:right="1"/>
      </w:pPr>
      <w:r w:rsidRPr="00C7413B">
        <w:rPr>
          <w:sz w:val="24"/>
        </w:rPr>
        <w:t xml:space="preserve"> </w:t>
      </w:r>
      <w:r w:rsidRPr="00C7413B">
        <w:rPr>
          <w:sz w:val="24"/>
        </w:rPr>
        <w:tab/>
        <w:t xml:space="preserve">For this voluntary information collection, states can submit the information via e-mail. States are assumed to have already developed databases to collect, compile and store this information. States can also provide the information via </w:t>
      </w:r>
      <w:r w:rsidRPr="00C7413B" w:rsidR="00782E7F">
        <w:rPr>
          <w:sz w:val="24"/>
        </w:rPr>
        <w:t>SDWIS</w:t>
      </w:r>
      <w:r w:rsidRPr="00C7413B">
        <w:rPr>
          <w:sz w:val="24"/>
        </w:rPr>
        <w:t xml:space="preserve">.  </w:t>
      </w:r>
    </w:p>
    <w:p w:rsidRPr="00C7413B" w:rsidR="00F91730" w:rsidRDefault="000A1E34" w14:paraId="472BAAA0" w14:textId="77777777">
      <w:pPr>
        <w:spacing w:line="259" w:lineRule="auto"/>
        <w:ind w:left="1" w:firstLine="0"/>
      </w:pPr>
      <w:r w:rsidRPr="00C7413B">
        <w:rPr>
          <w:sz w:val="24"/>
        </w:rPr>
        <w:t xml:space="preserve"> </w:t>
      </w:r>
    </w:p>
    <w:p w:rsidRPr="00C7413B" w:rsidR="00F91730" w:rsidRDefault="000A1E34" w14:paraId="713DA459" w14:textId="77777777">
      <w:pPr>
        <w:spacing w:after="3" w:line="249" w:lineRule="auto"/>
        <w:ind w:left="-4" w:right="1"/>
        <w:rPr>
          <w:sz w:val="24"/>
        </w:rPr>
      </w:pPr>
      <w:r w:rsidRPr="00C7413B">
        <w:rPr>
          <w:sz w:val="24"/>
        </w:rPr>
        <w:t xml:space="preserve"> </w:t>
      </w:r>
      <w:r w:rsidRPr="00C7413B">
        <w:rPr>
          <w:sz w:val="24"/>
        </w:rPr>
        <w:tab/>
        <w:t xml:space="preserve">There are no recordkeeping requirements associated with this information collection. However, EPA anticipates that states will maintain or have access to the data used to compile the summary of substantial SWP implementation and will provide the data to interested stakeholders on request. </w:t>
      </w:r>
    </w:p>
    <w:p w:rsidRPr="00C7413B" w:rsidR="003842B1" w:rsidRDefault="003842B1" w14:paraId="64D6DD92" w14:textId="77777777">
      <w:pPr>
        <w:spacing w:after="3" w:line="249" w:lineRule="auto"/>
        <w:ind w:left="-4" w:right="1"/>
        <w:rPr>
          <w:sz w:val="24"/>
          <w:szCs w:val="24"/>
        </w:rPr>
      </w:pPr>
    </w:p>
    <w:p w:rsidRPr="00C7413B" w:rsidR="001C1C07" w:rsidRDefault="001C1C07" w14:paraId="21FF11F7" w14:textId="77777777">
      <w:pPr>
        <w:spacing w:after="3" w:line="249" w:lineRule="auto"/>
        <w:ind w:left="-4" w:right="1"/>
        <w:rPr>
          <w:sz w:val="24"/>
          <w:szCs w:val="24"/>
        </w:rPr>
      </w:pPr>
    </w:p>
    <w:p w:rsidRPr="00C7413B" w:rsidR="00F91730" w:rsidP="001C1C07" w:rsidRDefault="000A1E34" w14:paraId="51610819" w14:textId="77777777">
      <w:pPr>
        <w:pStyle w:val="Heading1"/>
        <w:spacing w:after="282"/>
        <w:ind w:left="360" w:hanging="360"/>
      </w:pPr>
      <w:r w:rsidRPr="00C7413B">
        <w:t xml:space="preserve">The Information Collected – Agency Activities, Collection Methodology, and Information Management </w:t>
      </w:r>
    </w:p>
    <w:p w:rsidRPr="00C7413B" w:rsidR="00F91730" w:rsidRDefault="000A1E34" w14:paraId="128078FB" w14:textId="77777777">
      <w:pPr>
        <w:pStyle w:val="Heading2"/>
        <w:tabs>
          <w:tab w:val="center" w:pos="937"/>
          <w:tab w:val="center" w:pos="2403"/>
        </w:tabs>
        <w:ind w:left="0" w:firstLine="0"/>
      </w:pPr>
      <w:r w:rsidRPr="00C7413B">
        <w:rPr>
          <w:rFonts w:ascii="Calibri" w:hAnsi="Calibri" w:eastAsia="Calibri" w:cs="Calibri"/>
          <w:b w:val="0"/>
          <w:sz w:val="22"/>
        </w:rPr>
        <w:tab/>
      </w:r>
      <w:r w:rsidRPr="00C7413B">
        <w:t xml:space="preserve">5(a) </w:t>
      </w:r>
      <w:r w:rsidRPr="00C7413B">
        <w:tab/>
        <w:t xml:space="preserve">Agency Activities </w:t>
      </w:r>
    </w:p>
    <w:p w:rsidRPr="00C7413B" w:rsidR="00F91730" w:rsidP="00EE4C75" w:rsidRDefault="000A1E34" w14:paraId="5ED429C2" w14:textId="0E21D48D">
      <w:pPr>
        <w:spacing w:after="3" w:line="249" w:lineRule="auto"/>
        <w:ind w:left="-4" w:right="1"/>
      </w:pPr>
      <w:r w:rsidRPr="00C7413B">
        <w:rPr>
          <w:sz w:val="24"/>
        </w:rPr>
        <w:t xml:space="preserve">  </w:t>
      </w:r>
      <w:r w:rsidRPr="00C7413B">
        <w:rPr>
          <w:sz w:val="24"/>
        </w:rPr>
        <w:tab/>
        <w:t xml:space="preserve">EPA Regions will compile data submitted by states on the numbers of CWSs that have substantially implemented SWP programs and the populations served by these systems. Based on the data submitted by the Regions and data from the SDWIS, for each state and Region, the Regions calculate the percentages of CWSs and population served that have substantially implemented SWP programs. The data is as </w:t>
      </w:r>
      <w:r w:rsidRPr="00C7413B">
        <w:rPr>
          <w:color w:val="auto"/>
          <w:sz w:val="24"/>
        </w:rPr>
        <w:t xml:space="preserve">of </w:t>
      </w:r>
      <w:r w:rsidRPr="00C7413B" w:rsidR="00032D22">
        <w:rPr>
          <w:color w:val="auto"/>
          <w:sz w:val="24"/>
        </w:rPr>
        <w:t>December 31</w:t>
      </w:r>
      <w:r w:rsidRPr="00C7413B">
        <w:rPr>
          <w:color w:val="auto"/>
          <w:sz w:val="24"/>
        </w:rPr>
        <w:t xml:space="preserve"> </w:t>
      </w:r>
      <w:r w:rsidRPr="00C7413B">
        <w:rPr>
          <w:sz w:val="24"/>
        </w:rPr>
        <w:t xml:space="preserve">of each year. </w:t>
      </w:r>
      <w:r w:rsidRPr="00C7413B">
        <w:rPr>
          <w:color w:val="auto"/>
          <w:sz w:val="24"/>
        </w:rPr>
        <w:t>The</w:t>
      </w:r>
      <w:r w:rsidRPr="00C7413B">
        <w:rPr>
          <w:sz w:val="24"/>
        </w:rPr>
        <w:t xml:space="preserve"> Regions include this information on the State Grant Performance Measure template. </w:t>
      </w:r>
    </w:p>
    <w:p w:rsidRPr="00C7413B" w:rsidR="00F91730" w:rsidRDefault="000A1E34" w14:paraId="0C52EAB8" w14:textId="77777777">
      <w:pPr>
        <w:spacing w:after="0" w:line="259" w:lineRule="auto"/>
        <w:ind w:left="1" w:firstLine="0"/>
      </w:pPr>
      <w:r w:rsidRPr="00C7413B">
        <w:rPr>
          <w:sz w:val="24"/>
        </w:rPr>
        <w:t xml:space="preserve"> </w:t>
      </w:r>
    </w:p>
    <w:p w:rsidRPr="00C7413B" w:rsidR="00F91730" w:rsidRDefault="000A1E34" w14:paraId="64035641" w14:textId="3F0BA34A">
      <w:pPr>
        <w:spacing w:after="3" w:line="249" w:lineRule="auto"/>
        <w:ind w:left="-14" w:right="1" w:firstLine="720"/>
      </w:pPr>
      <w:r w:rsidRPr="00C7413B">
        <w:rPr>
          <w:sz w:val="24"/>
        </w:rPr>
        <w:t xml:space="preserve">EPA Headquarters will use data from the states </w:t>
      </w:r>
      <w:r w:rsidRPr="00C7413B" w:rsidR="004317F3">
        <w:rPr>
          <w:sz w:val="24"/>
        </w:rPr>
        <w:t>to</w:t>
      </w:r>
      <w:r w:rsidRPr="00C7413B">
        <w:rPr>
          <w:sz w:val="24"/>
        </w:rPr>
        <w:t xml:space="preserve"> respond to inquiries from and communicates with state managers, the public and Congress on progress being made toward protection activities that minimize risks to source waters and public health. </w:t>
      </w:r>
    </w:p>
    <w:p w:rsidRPr="00C7413B" w:rsidR="00F91730" w:rsidRDefault="000A1E34" w14:paraId="6F10EB67" w14:textId="77777777">
      <w:pPr>
        <w:spacing w:line="259" w:lineRule="auto"/>
        <w:ind w:left="1" w:firstLine="0"/>
      </w:pPr>
      <w:r w:rsidRPr="00C7413B">
        <w:rPr>
          <w:sz w:val="24"/>
        </w:rPr>
        <w:t xml:space="preserve"> </w:t>
      </w:r>
    </w:p>
    <w:p w:rsidRPr="00C7413B" w:rsidR="00F91730" w:rsidRDefault="000A1E34" w14:paraId="7723CEEB" w14:textId="77777777">
      <w:pPr>
        <w:spacing w:after="3" w:line="249" w:lineRule="auto"/>
        <w:ind w:left="-4" w:right="1"/>
      </w:pPr>
      <w:r w:rsidRPr="00C7413B">
        <w:rPr>
          <w:sz w:val="24"/>
        </w:rPr>
        <w:t xml:space="preserve"> </w:t>
      </w:r>
      <w:r w:rsidRPr="00C7413B">
        <w:rPr>
          <w:sz w:val="24"/>
        </w:rPr>
        <w:tab/>
        <w:t xml:space="preserve">EPA is committed to successful source water protection activities. EPA </w:t>
      </w:r>
      <w:proofErr w:type="gramStart"/>
      <w:r w:rsidRPr="00C7413B">
        <w:rPr>
          <w:sz w:val="24"/>
        </w:rPr>
        <w:t>provides assistance to</w:t>
      </w:r>
      <w:proofErr w:type="gramEnd"/>
      <w:r w:rsidRPr="00C7413B">
        <w:rPr>
          <w:sz w:val="24"/>
        </w:rPr>
        <w:t xml:space="preserve"> the states in the form of the Drinking Water State Revolving Fund, the Clean Water Act Section 106 funds, Clean Water Act Section 319 funds, and PWSS monies designed to aid state and local staff in substantially implementing source water protection strategies, facilitating information exchange and encouraging involvement of all capable participants and contributors at state, local and regional levels. </w:t>
      </w:r>
    </w:p>
    <w:p w:rsidRPr="00C7413B" w:rsidR="00F91730" w:rsidRDefault="000A1E34" w14:paraId="33C5FAFE" w14:textId="77777777">
      <w:pPr>
        <w:spacing w:after="31" w:line="259" w:lineRule="auto"/>
        <w:ind w:left="1" w:firstLine="0"/>
      </w:pPr>
      <w:r w:rsidRPr="00C7413B">
        <w:rPr>
          <w:sz w:val="24"/>
        </w:rPr>
        <w:t xml:space="preserve"> </w:t>
      </w:r>
    </w:p>
    <w:p w:rsidRPr="00C7413B" w:rsidR="00F91730" w:rsidRDefault="000A1E34" w14:paraId="4D3AB239" w14:textId="77777777">
      <w:pPr>
        <w:pStyle w:val="Heading2"/>
        <w:tabs>
          <w:tab w:val="center" w:pos="944"/>
          <w:tab w:val="center" w:pos="3768"/>
        </w:tabs>
        <w:ind w:left="0" w:firstLine="0"/>
      </w:pPr>
      <w:r w:rsidRPr="00C7413B">
        <w:rPr>
          <w:rFonts w:ascii="Calibri" w:hAnsi="Calibri" w:eastAsia="Calibri" w:cs="Calibri"/>
          <w:b w:val="0"/>
          <w:sz w:val="22"/>
        </w:rPr>
        <w:tab/>
      </w:r>
      <w:bookmarkStart w:name="_Hlk83195493" w:id="0"/>
      <w:r w:rsidRPr="00C7413B">
        <w:t xml:space="preserve">5(b) </w:t>
      </w:r>
      <w:r w:rsidRPr="00C7413B">
        <w:tab/>
        <w:t xml:space="preserve">Collection Methodology and Management </w:t>
      </w:r>
    </w:p>
    <w:p w:rsidRPr="00C7413B" w:rsidR="00F91730" w:rsidRDefault="000A1E34" w14:paraId="5FD40747" w14:textId="77777777">
      <w:pPr>
        <w:spacing w:line="259" w:lineRule="auto"/>
        <w:ind w:left="1" w:firstLine="0"/>
      </w:pPr>
      <w:r w:rsidRPr="00C7413B">
        <w:rPr>
          <w:sz w:val="24"/>
        </w:rPr>
        <w:t xml:space="preserve"> </w:t>
      </w:r>
    </w:p>
    <w:p w:rsidRPr="00C7413B" w:rsidR="00F91730" w:rsidRDefault="000A1E34" w14:paraId="64280F13" w14:textId="77777777">
      <w:pPr>
        <w:spacing w:after="3" w:line="249" w:lineRule="auto"/>
        <w:ind w:left="-4" w:right="1"/>
      </w:pPr>
      <w:r w:rsidRPr="00C7413B">
        <w:rPr>
          <w:sz w:val="24"/>
        </w:rPr>
        <w:t xml:space="preserve"> </w:t>
      </w:r>
      <w:r w:rsidRPr="00C7413B">
        <w:rPr>
          <w:sz w:val="24"/>
        </w:rPr>
        <w:tab/>
        <w:t xml:space="preserve">EPA anticipates that states may use a variety of methods to maintain the relevant data and report to EPA on the status of contamination prevention efforts.  </w:t>
      </w:r>
    </w:p>
    <w:p w:rsidRPr="00C7413B" w:rsidR="00F91730" w:rsidRDefault="000A1E34" w14:paraId="6FD73566" w14:textId="77777777">
      <w:pPr>
        <w:spacing w:after="1" w:line="259" w:lineRule="auto"/>
        <w:ind w:left="1" w:firstLine="0"/>
      </w:pPr>
      <w:r w:rsidRPr="00C7413B">
        <w:rPr>
          <w:sz w:val="24"/>
        </w:rPr>
        <w:t xml:space="preserve"> </w:t>
      </w:r>
    </w:p>
    <w:p w:rsidRPr="00C7413B" w:rsidR="00F91730" w:rsidRDefault="000A1E34" w14:paraId="2E2880AB" w14:textId="77777777">
      <w:pPr>
        <w:numPr>
          <w:ilvl w:val="0"/>
          <w:numId w:val="3"/>
        </w:numPr>
        <w:spacing w:after="3" w:line="249" w:lineRule="auto"/>
        <w:ind w:right="1" w:hanging="360"/>
      </w:pPr>
      <w:r w:rsidRPr="00C7413B">
        <w:rPr>
          <w:sz w:val="24"/>
        </w:rPr>
        <w:t xml:space="preserve">Some states will collect and store the data on each CWS or source water assessment in a state database. When EPA requests information each </w:t>
      </w:r>
      <w:r w:rsidRPr="00C7413B" w:rsidR="00FE2AD0">
        <w:rPr>
          <w:sz w:val="24"/>
        </w:rPr>
        <w:t>quarter</w:t>
      </w:r>
      <w:r w:rsidRPr="00C7413B">
        <w:rPr>
          <w:sz w:val="24"/>
        </w:rPr>
        <w:t xml:space="preserve"> on the status of SWP efforts, </w:t>
      </w:r>
      <w:r w:rsidRPr="00C7413B">
        <w:rPr>
          <w:sz w:val="24"/>
        </w:rPr>
        <w:lastRenderedPageBreak/>
        <w:t xml:space="preserve">these states will report the number of CWSs with SWP strategies and associated population served to each state’s EPA regional contact via e-mail. </w:t>
      </w:r>
    </w:p>
    <w:p w:rsidRPr="00C7413B" w:rsidR="00F91730" w:rsidRDefault="000A1E34" w14:paraId="62DCE846" w14:textId="77777777">
      <w:pPr>
        <w:spacing w:after="1" w:line="259" w:lineRule="auto"/>
        <w:ind w:left="1" w:firstLine="0"/>
      </w:pPr>
      <w:r w:rsidRPr="00C7413B">
        <w:rPr>
          <w:sz w:val="24"/>
        </w:rPr>
        <w:t xml:space="preserve"> </w:t>
      </w:r>
    </w:p>
    <w:p w:rsidRPr="00C7413B" w:rsidR="00F91730" w:rsidRDefault="000A1E34" w14:paraId="4FC7C28F" w14:textId="77777777">
      <w:pPr>
        <w:numPr>
          <w:ilvl w:val="0"/>
          <w:numId w:val="3"/>
        </w:numPr>
        <w:spacing w:after="3" w:line="249" w:lineRule="auto"/>
        <w:ind w:right="1" w:hanging="360"/>
      </w:pPr>
      <w:r w:rsidRPr="00C7413B">
        <w:rPr>
          <w:sz w:val="24"/>
        </w:rPr>
        <w:t xml:space="preserve">Other states will report via SDWIS. Beginning in 2010, states have had the option of including information about SWP activities in SDWIS. (To report this way, states must have at least FedRep 3.1 and SDWIS/State 2.2 versions of the SDWIS software). State staff that enter SWP-related information about their CWSs into SDWIS and notify EPA of their intention to report SP-4 using SDWIS are not required to reply to EPA’s request for information on the status of SWP efforts. Instead, EPA will draw this information directly from SDWIS. </w:t>
      </w:r>
    </w:p>
    <w:p w:rsidRPr="00C7413B" w:rsidR="00F91730" w:rsidP="006A3E41" w:rsidRDefault="000A1E34" w14:paraId="3D7FCED4" w14:textId="77777777">
      <w:pPr>
        <w:spacing w:line="259" w:lineRule="auto"/>
        <w:ind w:left="1" w:firstLine="0"/>
      </w:pPr>
      <w:r w:rsidRPr="00C7413B">
        <w:rPr>
          <w:sz w:val="24"/>
        </w:rPr>
        <w:t xml:space="preserve">  </w:t>
      </w:r>
      <w:r w:rsidRPr="00C7413B">
        <w:rPr>
          <w:sz w:val="24"/>
        </w:rPr>
        <w:tab/>
        <w:t xml:space="preserve"> </w:t>
      </w:r>
    </w:p>
    <w:bookmarkEnd w:id="0"/>
    <w:p w:rsidRPr="00C7413B" w:rsidR="00F91730" w:rsidRDefault="000A1E34" w14:paraId="6B2E5D8D" w14:textId="77777777">
      <w:pPr>
        <w:pStyle w:val="Heading2"/>
        <w:tabs>
          <w:tab w:val="center" w:pos="929"/>
          <w:tab w:val="center" w:pos="2733"/>
        </w:tabs>
        <w:ind w:left="0" w:firstLine="0"/>
      </w:pPr>
      <w:r w:rsidRPr="00C7413B">
        <w:rPr>
          <w:rFonts w:ascii="Calibri" w:hAnsi="Calibri" w:eastAsia="Calibri" w:cs="Calibri"/>
          <w:b w:val="0"/>
          <w:sz w:val="22"/>
        </w:rPr>
        <w:tab/>
      </w:r>
      <w:r w:rsidRPr="00C7413B">
        <w:t xml:space="preserve">5(c) </w:t>
      </w:r>
      <w:r w:rsidRPr="00C7413B">
        <w:tab/>
        <w:t xml:space="preserve">Small Entity Flexibility </w:t>
      </w:r>
    </w:p>
    <w:p w:rsidRPr="00C7413B" w:rsidR="00F91730" w:rsidRDefault="000A1E34" w14:paraId="6CC7CF73" w14:textId="77777777">
      <w:pPr>
        <w:spacing w:after="0" w:line="259" w:lineRule="auto"/>
        <w:ind w:left="1" w:firstLine="0"/>
      </w:pPr>
      <w:r w:rsidRPr="00C7413B">
        <w:rPr>
          <w:sz w:val="24"/>
        </w:rPr>
        <w:t xml:space="preserve"> </w:t>
      </w:r>
    </w:p>
    <w:p w:rsidRPr="00C7413B" w:rsidR="00F91730" w:rsidRDefault="000A1E34" w14:paraId="486E57E7" w14:textId="77777777">
      <w:pPr>
        <w:spacing w:after="3" w:line="249" w:lineRule="auto"/>
        <w:ind w:left="-14" w:right="1" w:firstLine="720"/>
      </w:pPr>
      <w:r w:rsidRPr="00C7413B">
        <w:rPr>
          <w:sz w:val="24"/>
        </w:rPr>
        <w:t xml:space="preserve">The Regulatory Flexibility Act, 5 U.S.C. 602 et seq., requires the Agency to explicitly consider the effects of regulations on small entities and to develop (under certain circumstances) a Regulatory Flexibility Analysis describing these impacts. The respondents for this information collection are state environmental and health agencies, which are not small businesses or organizations, as defined in the Regulatory Flexibility Act. </w:t>
      </w:r>
    </w:p>
    <w:p w:rsidRPr="00C7413B" w:rsidR="00F91730" w:rsidRDefault="000A1E34" w14:paraId="4C2F0CC3" w14:textId="77777777">
      <w:pPr>
        <w:spacing w:after="0" w:line="259" w:lineRule="auto"/>
        <w:ind w:left="1" w:firstLine="0"/>
      </w:pPr>
      <w:r w:rsidRPr="00C7413B">
        <w:rPr>
          <w:sz w:val="24"/>
        </w:rPr>
        <w:t xml:space="preserve"> </w:t>
      </w:r>
    </w:p>
    <w:p w:rsidRPr="00C7413B" w:rsidR="00C56429" w:rsidRDefault="00C56429" w14:paraId="4409787F" w14:textId="77777777">
      <w:pPr>
        <w:pStyle w:val="Heading2"/>
        <w:ind w:left="716"/>
      </w:pPr>
    </w:p>
    <w:p w:rsidRPr="00C7413B" w:rsidR="00F91730" w:rsidRDefault="000A1E34" w14:paraId="3A6069F1" w14:textId="77777777">
      <w:pPr>
        <w:pStyle w:val="Heading2"/>
        <w:ind w:left="716"/>
      </w:pPr>
      <w:r w:rsidRPr="00C7413B">
        <w:t>5(d)</w:t>
      </w:r>
      <w:r w:rsidRPr="00C7413B" w:rsidR="001C1C07">
        <w:tab/>
      </w:r>
      <w:r w:rsidRPr="00C7413B">
        <w:t xml:space="preserve">Collection Schedule </w:t>
      </w:r>
    </w:p>
    <w:p w:rsidRPr="00C7413B" w:rsidR="00F91730" w:rsidRDefault="000A1E34" w14:paraId="1FCD192C" w14:textId="77777777">
      <w:pPr>
        <w:spacing w:line="259" w:lineRule="auto"/>
        <w:ind w:left="1" w:firstLine="0"/>
      </w:pPr>
      <w:r w:rsidRPr="00C7413B">
        <w:rPr>
          <w:sz w:val="24"/>
        </w:rPr>
        <w:t xml:space="preserve"> </w:t>
      </w:r>
    </w:p>
    <w:p w:rsidRPr="00C7413B" w:rsidR="00EA0F03" w:rsidRDefault="000A1E34" w14:paraId="1A4B5F90" w14:textId="39D3819C">
      <w:pPr>
        <w:spacing w:after="3" w:line="249" w:lineRule="auto"/>
        <w:ind w:left="-4" w:right="1"/>
        <w:rPr>
          <w:color w:val="auto"/>
          <w:sz w:val="24"/>
        </w:rPr>
      </w:pPr>
      <w:r w:rsidRPr="00C7413B">
        <w:rPr>
          <w:sz w:val="24"/>
        </w:rPr>
        <w:t xml:space="preserve"> </w:t>
      </w:r>
      <w:r w:rsidRPr="00C7413B">
        <w:rPr>
          <w:sz w:val="24"/>
        </w:rPr>
        <w:tab/>
        <w:t xml:space="preserve">EPA is collecting measures data from the states on </w:t>
      </w:r>
      <w:r w:rsidRPr="00C7413B" w:rsidR="003550B8">
        <w:rPr>
          <w:color w:val="auto"/>
          <w:sz w:val="24"/>
        </w:rPr>
        <w:t>a</w:t>
      </w:r>
      <w:r w:rsidRPr="00C7413B" w:rsidR="004317F3">
        <w:rPr>
          <w:color w:val="auto"/>
          <w:sz w:val="24"/>
        </w:rPr>
        <w:t>n annual</w:t>
      </w:r>
      <w:r w:rsidRPr="00C7413B" w:rsidR="00EE4E80">
        <w:rPr>
          <w:color w:val="auto"/>
          <w:sz w:val="24"/>
        </w:rPr>
        <w:t xml:space="preserve"> </w:t>
      </w:r>
      <w:r w:rsidRPr="00C7413B" w:rsidR="003550B8">
        <w:rPr>
          <w:color w:val="auto"/>
          <w:sz w:val="24"/>
        </w:rPr>
        <w:t>basis.</w:t>
      </w:r>
    </w:p>
    <w:p w:rsidRPr="00C7413B" w:rsidR="00356410" w:rsidRDefault="00356410" w14:paraId="6036ACAC" w14:textId="77777777">
      <w:pPr>
        <w:spacing w:after="3" w:line="249" w:lineRule="auto"/>
        <w:ind w:left="-4" w:right="1"/>
        <w:rPr>
          <w:color w:val="auto"/>
          <w:sz w:val="24"/>
        </w:rPr>
      </w:pPr>
    </w:p>
    <w:p w:rsidRPr="00C7413B" w:rsidR="00042A8F" w:rsidP="00042A8F" w:rsidRDefault="00042A8F" w14:paraId="589DE217" w14:textId="77777777"/>
    <w:p w:rsidRPr="00C7413B" w:rsidR="00042A8F" w:rsidP="00042A8F" w:rsidRDefault="00042A8F" w14:paraId="3BF770D6" w14:textId="77777777">
      <w:pPr>
        <w:pStyle w:val="Heading1"/>
        <w:ind w:left="360" w:hanging="360"/>
      </w:pPr>
      <w:r w:rsidRPr="00C7413B">
        <w:t xml:space="preserve">Estimating the Burden and Cost of the Collection </w:t>
      </w:r>
    </w:p>
    <w:p w:rsidRPr="00C7413B" w:rsidR="00042A8F" w:rsidP="00042A8F" w:rsidRDefault="00042A8F" w14:paraId="1EB08B79" w14:textId="77777777">
      <w:pPr>
        <w:spacing w:after="0" w:line="259" w:lineRule="auto"/>
        <w:ind w:left="0" w:firstLine="0"/>
        <w:rPr>
          <w:sz w:val="24"/>
        </w:rPr>
      </w:pPr>
    </w:p>
    <w:p w:rsidRPr="00C7413B" w:rsidR="00042A8F" w:rsidP="00042A8F" w:rsidRDefault="00042A8F" w14:paraId="3163C75F" w14:textId="46E9BD23">
      <w:pPr>
        <w:spacing w:line="259" w:lineRule="auto"/>
        <w:ind w:left="1" w:firstLine="0"/>
      </w:pPr>
      <w:r w:rsidRPr="00C7413B">
        <w:rPr>
          <w:sz w:val="24"/>
        </w:rPr>
        <w:t xml:space="preserve">  </w:t>
      </w:r>
      <w:r w:rsidRPr="00C7413B">
        <w:rPr>
          <w:sz w:val="24"/>
        </w:rPr>
        <w:tab/>
        <w:t>EPA is collecting</w:t>
      </w:r>
      <w:r w:rsidRPr="00C7413B" w:rsidR="00E36F2B">
        <w:rPr>
          <w:sz w:val="24"/>
        </w:rPr>
        <w:t>,</w:t>
      </w:r>
      <w:r w:rsidRPr="00C7413B">
        <w:rPr>
          <w:sz w:val="24"/>
        </w:rPr>
        <w:t xml:space="preserve"> on a voluntary basis</w:t>
      </w:r>
      <w:r w:rsidRPr="00C7413B" w:rsidR="00E36F2B">
        <w:rPr>
          <w:sz w:val="24"/>
        </w:rPr>
        <w:t>,</w:t>
      </w:r>
      <w:r w:rsidRPr="00C7413B">
        <w:rPr>
          <w:sz w:val="24"/>
        </w:rPr>
        <w:t xml:space="preserve"> data from the states and Regions related to progress toward substantial implementation of prevention strategies for all CWSs. EPA estimates that over time many of the approximately 50,000 CWSs in the nation will develop and substantially implement voluntary contamination prevention strategies for drinking water supplies. The burden and cost associated with these individual plans is not included in this ICR, as there is no associated federal reporting or record keeping requirement. </w:t>
      </w:r>
    </w:p>
    <w:p w:rsidRPr="00C7413B" w:rsidR="00042A8F" w:rsidP="00042A8F" w:rsidRDefault="00042A8F" w14:paraId="5BE45210" w14:textId="77777777">
      <w:pPr>
        <w:spacing w:line="259" w:lineRule="auto"/>
        <w:ind w:left="1" w:firstLine="0"/>
      </w:pPr>
      <w:r w:rsidRPr="00C7413B">
        <w:rPr>
          <w:sz w:val="24"/>
        </w:rPr>
        <w:t xml:space="preserve"> </w:t>
      </w:r>
    </w:p>
    <w:p w:rsidRPr="00C7413B" w:rsidR="00042A8F" w:rsidP="00042A8F" w:rsidRDefault="00042A8F" w14:paraId="612D25BF" w14:textId="5FF51603">
      <w:pPr>
        <w:spacing w:after="3" w:line="249" w:lineRule="auto"/>
        <w:ind w:left="-4" w:right="1"/>
      </w:pPr>
      <w:r w:rsidRPr="00C7413B">
        <w:rPr>
          <w:sz w:val="24"/>
        </w:rPr>
        <w:t xml:space="preserve"> </w:t>
      </w:r>
      <w:r w:rsidRPr="00C7413B">
        <w:rPr>
          <w:sz w:val="24"/>
        </w:rPr>
        <w:tab/>
        <w:t xml:space="preserve">EPA estimates that, over the three years covered by this request, the total respondent burden associated with this reporting will average </w:t>
      </w:r>
      <w:r w:rsidRPr="00C7413B" w:rsidR="008C7B26">
        <w:rPr>
          <w:sz w:val="24"/>
        </w:rPr>
        <w:t>288</w:t>
      </w:r>
      <w:r w:rsidRPr="00C7413B" w:rsidR="00DC4AA9">
        <w:rPr>
          <w:sz w:val="24"/>
        </w:rPr>
        <w:t xml:space="preserve"> </w:t>
      </w:r>
      <w:r w:rsidRPr="00C7413B">
        <w:rPr>
          <w:sz w:val="24"/>
        </w:rPr>
        <w:t>hours per year and the cost to respondents of the information collection will average $</w:t>
      </w:r>
      <w:r w:rsidRPr="00C7413B" w:rsidR="00DC4AA9">
        <w:rPr>
          <w:sz w:val="24"/>
        </w:rPr>
        <w:t>1</w:t>
      </w:r>
      <w:r w:rsidRPr="00C7413B" w:rsidR="006B5F37">
        <w:rPr>
          <w:sz w:val="24"/>
        </w:rPr>
        <w:t>7</w:t>
      </w:r>
      <w:r w:rsidRPr="00C7413B" w:rsidR="00753AB1">
        <w:rPr>
          <w:sz w:val="24"/>
        </w:rPr>
        <w:t>,074</w:t>
      </w:r>
      <w:r w:rsidRPr="00C7413B" w:rsidR="006B5F37">
        <w:rPr>
          <w:sz w:val="24"/>
        </w:rPr>
        <w:t xml:space="preserve"> </w:t>
      </w:r>
      <w:r w:rsidRPr="00C7413B">
        <w:rPr>
          <w:sz w:val="24"/>
        </w:rPr>
        <w:t xml:space="preserve">per year. The total burden and cost, presented in Section 6(e), are the product of the annual burden and cost per response, presented in Sections 6(a) and 6(b), respectively, and the number of responses, which are presented in Section 6(d).  Section 6(c) presents the burden and cost to EPA; Section 6(f) discusses the change in the burden and cost estimates between the last information collection request (EPA ICR No. 1816.06) and this ICR. </w:t>
      </w:r>
    </w:p>
    <w:p w:rsidRPr="00C7413B" w:rsidR="00042A8F" w:rsidP="00042A8F" w:rsidRDefault="00042A8F" w14:paraId="1C0E0CD8" w14:textId="77777777">
      <w:pPr>
        <w:spacing w:after="31" w:line="259" w:lineRule="auto"/>
        <w:ind w:left="1" w:firstLine="0"/>
      </w:pPr>
      <w:r w:rsidRPr="00C7413B">
        <w:rPr>
          <w:sz w:val="24"/>
        </w:rPr>
        <w:t xml:space="preserve"> </w:t>
      </w:r>
    </w:p>
    <w:p w:rsidRPr="00C7413B" w:rsidR="00042A8F" w:rsidP="00042A8F" w:rsidRDefault="00042A8F" w14:paraId="620F88FE" w14:textId="77777777">
      <w:pPr>
        <w:pStyle w:val="Heading2"/>
        <w:tabs>
          <w:tab w:val="center" w:pos="937"/>
          <w:tab w:val="center" w:pos="3188"/>
        </w:tabs>
        <w:ind w:left="0" w:firstLine="0"/>
      </w:pPr>
      <w:r w:rsidRPr="00C7413B">
        <w:rPr>
          <w:rFonts w:ascii="Calibri" w:hAnsi="Calibri" w:eastAsia="Calibri" w:cs="Calibri"/>
          <w:b w:val="0"/>
          <w:sz w:val="22"/>
        </w:rPr>
        <w:lastRenderedPageBreak/>
        <w:tab/>
      </w:r>
      <w:r w:rsidRPr="00C7413B">
        <w:t xml:space="preserve">6(a) </w:t>
      </w:r>
      <w:r w:rsidRPr="00C7413B">
        <w:tab/>
        <w:t xml:space="preserve">Estimating Respondent Burden </w:t>
      </w:r>
    </w:p>
    <w:p w:rsidRPr="00C7413B" w:rsidR="00042A8F" w:rsidP="00042A8F" w:rsidRDefault="00042A8F" w14:paraId="09075FE7" w14:textId="77777777">
      <w:pPr>
        <w:spacing w:line="259" w:lineRule="auto"/>
        <w:ind w:left="1" w:firstLine="0"/>
      </w:pPr>
      <w:r w:rsidRPr="00C7413B">
        <w:rPr>
          <w:sz w:val="24"/>
        </w:rPr>
        <w:t xml:space="preserve"> </w:t>
      </w:r>
    </w:p>
    <w:p w:rsidRPr="00C7413B" w:rsidR="00042A8F" w:rsidP="00042A8F" w:rsidRDefault="00042A8F" w14:paraId="7AF6DC68" w14:textId="77777777">
      <w:pPr>
        <w:spacing w:after="3" w:line="249" w:lineRule="auto"/>
        <w:ind w:left="-4" w:right="1"/>
      </w:pPr>
      <w:r w:rsidRPr="00C7413B">
        <w:rPr>
          <w:sz w:val="24"/>
        </w:rPr>
        <w:t xml:space="preserve"> </w:t>
      </w:r>
      <w:r w:rsidRPr="00C7413B">
        <w:rPr>
          <w:sz w:val="24"/>
        </w:rPr>
        <w:tab/>
        <w:t xml:space="preserve">Respondent burden estimates associated with progress toward developing and substantially implementing prevention strategies for all CWSs are presented in Exhibit 6-1.  Column A of Exhibit 6-1 presents the annual unit burden to states for each activity. </w:t>
      </w:r>
    </w:p>
    <w:p w:rsidRPr="00C7413B" w:rsidR="00042A8F" w:rsidP="00042A8F" w:rsidRDefault="00042A8F" w14:paraId="6B728A86" w14:textId="77777777">
      <w:pPr>
        <w:spacing w:after="1" w:line="259" w:lineRule="auto"/>
        <w:ind w:left="1" w:firstLine="0"/>
      </w:pPr>
      <w:r w:rsidRPr="00C7413B">
        <w:rPr>
          <w:sz w:val="24"/>
        </w:rPr>
        <w:t xml:space="preserve"> </w:t>
      </w:r>
    </w:p>
    <w:p w:rsidRPr="00C7413B" w:rsidR="00042A8F" w:rsidP="00042A8F" w:rsidRDefault="00042A8F" w14:paraId="2439238D" w14:textId="6C0D4024">
      <w:pPr>
        <w:numPr>
          <w:ilvl w:val="0"/>
          <w:numId w:val="4"/>
        </w:numPr>
        <w:spacing w:after="3" w:line="249" w:lineRule="auto"/>
        <w:ind w:right="1" w:hanging="360"/>
      </w:pPr>
      <w:r w:rsidRPr="00C7413B">
        <w:rPr>
          <w:sz w:val="24"/>
        </w:rPr>
        <w:t xml:space="preserve">EPA estimates that states reporting SWP measures data to the Regions will devote an average of </w:t>
      </w:r>
      <w:r w:rsidRPr="00C7413B" w:rsidR="009266D7">
        <w:rPr>
          <w:sz w:val="24"/>
        </w:rPr>
        <w:t>8</w:t>
      </w:r>
      <w:r w:rsidRPr="00C7413B" w:rsidR="00634D51">
        <w:rPr>
          <w:sz w:val="24"/>
        </w:rPr>
        <w:t xml:space="preserve"> </w:t>
      </w:r>
      <w:r w:rsidRPr="00C7413B">
        <w:rPr>
          <w:sz w:val="24"/>
        </w:rPr>
        <w:t xml:space="preserve">hours annually (over the next three years) to collecting the requested data, discussing the status of SWP efforts with EPA staff, and reporting this information to EPA. This estimate reflects the fact that some states (e.g., states with fewer systems or with definitions of source water protection that require less rigor to track) will be able to complete the reporting in less than </w:t>
      </w:r>
      <w:r w:rsidRPr="00C7413B" w:rsidR="00634D51">
        <w:rPr>
          <w:sz w:val="24"/>
        </w:rPr>
        <w:t xml:space="preserve">8 </w:t>
      </w:r>
      <w:r w:rsidRPr="00C7413B">
        <w:rPr>
          <w:sz w:val="24"/>
        </w:rPr>
        <w:t xml:space="preserve">hours, while other states with more complex reporting issues may take more time, i.e., up to </w:t>
      </w:r>
      <w:r w:rsidRPr="00C7413B" w:rsidR="00634D51">
        <w:rPr>
          <w:sz w:val="24"/>
        </w:rPr>
        <w:t>20 hours</w:t>
      </w:r>
      <w:r w:rsidRPr="00C7413B">
        <w:rPr>
          <w:sz w:val="24"/>
        </w:rPr>
        <w:t>, for reporting activities. EPA assumes that, to compile the reports, states will use databases that track the implementation status of prevention strategies for each CWS in their state. EPA anticipates that state staff will report to the EPA regions via email.</w:t>
      </w:r>
    </w:p>
    <w:p w:rsidRPr="00C7413B" w:rsidR="00042A8F" w:rsidP="00042A8F" w:rsidRDefault="00042A8F" w14:paraId="3F15AF37" w14:textId="77777777">
      <w:pPr>
        <w:spacing w:after="1" w:line="259" w:lineRule="auto"/>
        <w:ind w:left="1" w:firstLine="0"/>
      </w:pPr>
      <w:r w:rsidRPr="00C7413B">
        <w:rPr>
          <w:sz w:val="24"/>
        </w:rPr>
        <w:t xml:space="preserve"> </w:t>
      </w:r>
    </w:p>
    <w:p w:rsidRPr="00C7413B" w:rsidR="00042A8F" w:rsidP="00C86B0F" w:rsidRDefault="00042A8F" w14:paraId="2DCF7398" w14:textId="08ED3E2F">
      <w:pPr>
        <w:numPr>
          <w:ilvl w:val="0"/>
          <w:numId w:val="4"/>
        </w:numPr>
        <w:spacing w:after="3" w:line="249" w:lineRule="auto"/>
        <w:ind w:right="1" w:hanging="360"/>
      </w:pPr>
      <w:r w:rsidRPr="00C7413B">
        <w:rPr>
          <w:sz w:val="24"/>
        </w:rPr>
        <w:t xml:space="preserve">EPA estimates that states reporting via SDWIS will spend an average of </w:t>
      </w:r>
      <w:r w:rsidRPr="00C7413B" w:rsidR="009266D7">
        <w:rPr>
          <w:sz w:val="24"/>
        </w:rPr>
        <w:t>2</w:t>
      </w:r>
      <w:r w:rsidRPr="00C7413B" w:rsidR="006E02C8">
        <w:rPr>
          <w:sz w:val="24"/>
        </w:rPr>
        <w:t xml:space="preserve"> </w:t>
      </w:r>
      <w:r w:rsidRPr="00C7413B">
        <w:rPr>
          <w:sz w:val="24"/>
        </w:rPr>
        <w:t xml:space="preserve">hours annually reporting this information to EPA. EPA assumes that this burden will involve states performing quality checks of the data.  </w:t>
      </w:r>
    </w:p>
    <w:p w:rsidRPr="00C7413B" w:rsidR="004D2814" w:rsidP="004D2814" w:rsidRDefault="004D2814" w14:paraId="5D02D8B6" w14:textId="77777777">
      <w:pPr>
        <w:spacing w:after="3" w:line="249" w:lineRule="auto"/>
        <w:ind w:left="0" w:right="1" w:firstLine="0"/>
      </w:pPr>
    </w:p>
    <w:p w:rsidRPr="00C7413B" w:rsidR="00042A8F" w:rsidP="00042A8F" w:rsidRDefault="00042A8F" w14:paraId="0A924E36" w14:textId="77777777">
      <w:pPr>
        <w:spacing w:after="0" w:line="259" w:lineRule="auto"/>
        <w:ind w:left="1" w:firstLine="0"/>
      </w:pPr>
      <w:r w:rsidRPr="00C7413B">
        <w:rPr>
          <w:sz w:val="24"/>
        </w:rPr>
        <w:t xml:space="preserve"> </w:t>
      </w:r>
    </w:p>
    <w:p w:rsidRPr="00C7413B" w:rsidR="00042A8F" w:rsidP="00042A8F" w:rsidRDefault="00042A8F" w14:paraId="29CF25BD" w14:textId="1D97821A">
      <w:pPr>
        <w:spacing w:after="0" w:line="259" w:lineRule="auto"/>
        <w:ind w:left="729"/>
        <w:jc w:val="center"/>
      </w:pPr>
      <w:r w:rsidRPr="00C7413B">
        <w:rPr>
          <w:rFonts w:ascii="Arial" w:hAnsi="Arial" w:eastAsia="Arial" w:cs="Arial"/>
          <w:b/>
          <w:sz w:val="24"/>
        </w:rPr>
        <w:t>Exhibit 6</w:t>
      </w:r>
      <w:r w:rsidRPr="00C7413B" w:rsidR="00CF08D6">
        <w:rPr>
          <w:rFonts w:ascii="Arial" w:hAnsi="Arial" w:eastAsia="Arial" w:cs="Arial"/>
          <w:b/>
          <w:sz w:val="24"/>
        </w:rPr>
        <w:t>-</w:t>
      </w:r>
      <w:r w:rsidRPr="00C7413B">
        <w:rPr>
          <w:rFonts w:ascii="Arial" w:hAnsi="Arial" w:eastAsia="Arial" w:cs="Arial"/>
          <w:b/>
          <w:sz w:val="24"/>
        </w:rPr>
        <w:t xml:space="preserve">1 </w:t>
      </w:r>
    </w:p>
    <w:p w:rsidRPr="00C7413B" w:rsidR="00042A8F" w:rsidP="00042A8F" w:rsidRDefault="00042A8F" w14:paraId="0AE79F60" w14:textId="77777777">
      <w:pPr>
        <w:spacing w:after="0" w:line="259" w:lineRule="auto"/>
        <w:ind w:left="729" w:right="1"/>
        <w:jc w:val="center"/>
      </w:pPr>
      <w:r w:rsidRPr="00C7413B">
        <w:rPr>
          <w:rFonts w:ascii="Arial" w:hAnsi="Arial" w:eastAsia="Arial" w:cs="Arial"/>
          <w:b/>
          <w:sz w:val="24"/>
        </w:rPr>
        <w:t xml:space="preserve">Annual Respondent Burden and Cost </w:t>
      </w:r>
    </w:p>
    <w:p w:rsidRPr="00C7413B" w:rsidR="00042A8F" w:rsidP="00042A8F" w:rsidRDefault="00042A8F" w14:paraId="72D9E5F0" w14:textId="77777777">
      <w:pPr>
        <w:pStyle w:val="SectionHeading2"/>
      </w:pPr>
    </w:p>
    <w:tbl>
      <w:tblPr>
        <w:tblW w:w="9445" w:type="dxa"/>
        <w:jc w:val="center"/>
        <w:tblLook w:val="04A0" w:firstRow="1" w:lastRow="0" w:firstColumn="1" w:lastColumn="0" w:noHBand="0" w:noVBand="1"/>
      </w:tblPr>
      <w:tblGrid>
        <w:gridCol w:w="1606"/>
        <w:gridCol w:w="1201"/>
        <w:gridCol w:w="1325"/>
        <w:gridCol w:w="1180"/>
        <w:gridCol w:w="1566"/>
        <w:gridCol w:w="1138"/>
        <w:gridCol w:w="1464"/>
      </w:tblGrid>
      <w:tr w:rsidRPr="00C7413B" w:rsidR="00255572" w:rsidTr="00EE4C75" w14:paraId="1E466F57" w14:textId="77777777">
        <w:trPr>
          <w:trHeight w:val="300"/>
          <w:jc w:val="center"/>
        </w:trPr>
        <w:tc>
          <w:tcPr>
            <w:tcW w:w="1606" w:type="dxa"/>
            <w:tcBorders>
              <w:top w:val="nil"/>
              <w:left w:val="single" w:color="000000" w:sz="4" w:space="0"/>
              <w:bottom w:val="single" w:color="000000" w:sz="4" w:space="0"/>
              <w:right w:val="nil"/>
            </w:tcBorders>
            <w:shd w:val="clear" w:color="000000" w:fill="000000"/>
            <w:noWrap/>
            <w:vAlign w:val="bottom"/>
            <w:hideMark/>
          </w:tcPr>
          <w:p w:rsidRPr="00C7413B" w:rsidR="00042A8F" w:rsidP="00255572" w:rsidRDefault="00042A8F" w14:paraId="22B32452" w14:textId="77777777">
            <w:pPr>
              <w:jc w:val="center"/>
              <w:rPr>
                <w:rFonts w:ascii="Arial" w:hAnsi="Arial" w:cs="Arial"/>
                <w:b/>
                <w:bCs/>
                <w:color w:val="FFFFFF"/>
                <w:sz w:val="20"/>
              </w:rPr>
            </w:pPr>
            <w:r w:rsidRPr="00C7413B">
              <w:rPr>
                <w:rFonts w:ascii="Arial" w:hAnsi="Arial" w:cs="Arial"/>
                <w:b/>
                <w:bCs/>
                <w:color w:val="FFFFFF"/>
                <w:sz w:val="20"/>
              </w:rPr>
              <w:t> </w:t>
            </w:r>
          </w:p>
        </w:tc>
        <w:tc>
          <w:tcPr>
            <w:tcW w:w="1201" w:type="dxa"/>
            <w:tcBorders>
              <w:top w:val="nil"/>
              <w:left w:val="single" w:color="000000" w:sz="4" w:space="0"/>
              <w:bottom w:val="single" w:color="000000" w:sz="4" w:space="0"/>
              <w:right w:val="nil"/>
            </w:tcBorders>
            <w:shd w:val="clear" w:color="000000" w:fill="000000"/>
            <w:noWrap/>
            <w:vAlign w:val="bottom"/>
            <w:hideMark/>
          </w:tcPr>
          <w:p w:rsidRPr="00C7413B" w:rsidR="00042A8F" w:rsidP="00255572" w:rsidRDefault="00042A8F" w14:paraId="4D852C2A" w14:textId="77777777">
            <w:pPr>
              <w:jc w:val="center"/>
              <w:rPr>
                <w:rFonts w:ascii="Arial" w:hAnsi="Arial" w:cs="Arial"/>
                <w:b/>
                <w:bCs/>
                <w:color w:val="FFFFFF"/>
                <w:sz w:val="20"/>
              </w:rPr>
            </w:pPr>
            <w:r w:rsidRPr="00C7413B">
              <w:rPr>
                <w:rFonts w:ascii="Arial" w:hAnsi="Arial" w:cs="Arial"/>
                <w:b/>
                <w:bCs/>
                <w:color w:val="FFFFFF"/>
                <w:sz w:val="20"/>
              </w:rPr>
              <w:t>A</w:t>
            </w:r>
          </w:p>
        </w:tc>
        <w:tc>
          <w:tcPr>
            <w:tcW w:w="1325" w:type="dxa"/>
            <w:tcBorders>
              <w:top w:val="nil"/>
              <w:left w:val="single" w:color="000000" w:sz="4" w:space="0"/>
              <w:bottom w:val="single" w:color="000000" w:sz="4" w:space="0"/>
              <w:right w:val="nil"/>
            </w:tcBorders>
            <w:shd w:val="clear" w:color="000000" w:fill="000000"/>
            <w:noWrap/>
            <w:vAlign w:val="bottom"/>
            <w:hideMark/>
          </w:tcPr>
          <w:p w:rsidRPr="00C7413B" w:rsidR="00042A8F" w:rsidP="00255572" w:rsidRDefault="00042A8F" w14:paraId="08FC20F3" w14:textId="77777777">
            <w:pPr>
              <w:jc w:val="center"/>
              <w:rPr>
                <w:rFonts w:ascii="Arial" w:hAnsi="Arial" w:cs="Arial"/>
                <w:b/>
                <w:bCs/>
                <w:color w:val="FFFFFF"/>
                <w:sz w:val="20"/>
              </w:rPr>
            </w:pPr>
            <w:r w:rsidRPr="00C7413B">
              <w:rPr>
                <w:rFonts w:ascii="Arial" w:hAnsi="Arial" w:cs="Arial"/>
                <w:b/>
                <w:bCs/>
                <w:color w:val="FFFFFF"/>
                <w:sz w:val="20"/>
              </w:rPr>
              <w:t>B</w:t>
            </w:r>
          </w:p>
        </w:tc>
        <w:tc>
          <w:tcPr>
            <w:tcW w:w="1180" w:type="dxa"/>
            <w:tcBorders>
              <w:top w:val="nil"/>
              <w:left w:val="single" w:color="000000" w:sz="4" w:space="0"/>
              <w:bottom w:val="single" w:color="000000" w:sz="4" w:space="0"/>
              <w:right w:val="nil"/>
            </w:tcBorders>
            <w:shd w:val="clear" w:color="000000" w:fill="000000"/>
            <w:noWrap/>
            <w:vAlign w:val="bottom"/>
            <w:hideMark/>
          </w:tcPr>
          <w:p w:rsidRPr="00C7413B" w:rsidR="00042A8F" w:rsidP="00255572" w:rsidRDefault="00042A8F" w14:paraId="4B88CE03" w14:textId="77777777">
            <w:pPr>
              <w:jc w:val="center"/>
              <w:rPr>
                <w:rFonts w:ascii="Arial" w:hAnsi="Arial" w:cs="Arial"/>
                <w:b/>
                <w:bCs/>
                <w:color w:val="FFFFFF"/>
                <w:sz w:val="20"/>
              </w:rPr>
            </w:pPr>
            <w:r w:rsidRPr="00C7413B">
              <w:rPr>
                <w:rFonts w:ascii="Arial" w:hAnsi="Arial" w:cs="Arial"/>
                <w:b/>
                <w:bCs/>
                <w:color w:val="FFFFFF"/>
                <w:sz w:val="20"/>
              </w:rPr>
              <w:t>C</w:t>
            </w:r>
          </w:p>
        </w:tc>
        <w:tc>
          <w:tcPr>
            <w:tcW w:w="1566" w:type="dxa"/>
            <w:tcBorders>
              <w:top w:val="nil"/>
              <w:left w:val="single" w:color="000000" w:sz="4" w:space="0"/>
              <w:bottom w:val="single" w:color="000000" w:sz="4" w:space="0"/>
              <w:right w:val="nil"/>
            </w:tcBorders>
            <w:shd w:val="clear" w:color="000000" w:fill="000000"/>
            <w:noWrap/>
            <w:vAlign w:val="bottom"/>
            <w:hideMark/>
          </w:tcPr>
          <w:p w:rsidRPr="00C7413B" w:rsidR="00042A8F" w:rsidP="00255572" w:rsidRDefault="00042A8F" w14:paraId="5A542AB8" w14:textId="77777777">
            <w:pPr>
              <w:jc w:val="center"/>
              <w:rPr>
                <w:rFonts w:ascii="Arial" w:hAnsi="Arial" w:cs="Arial"/>
                <w:b/>
                <w:bCs/>
                <w:color w:val="FFFFFF"/>
                <w:sz w:val="20"/>
              </w:rPr>
            </w:pPr>
            <w:r w:rsidRPr="00C7413B">
              <w:rPr>
                <w:rFonts w:ascii="Arial" w:hAnsi="Arial" w:cs="Arial"/>
                <w:b/>
                <w:bCs/>
                <w:color w:val="FFFFFF"/>
                <w:sz w:val="20"/>
              </w:rPr>
              <w:t>D</w:t>
            </w:r>
          </w:p>
        </w:tc>
        <w:tc>
          <w:tcPr>
            <w:tcW w:w="1103" w:type="dxa"/>
            <w:tcBorders>
              <w:top w:val="nil"/>
              <w:left w:val="single" w:color="000000" w:sz="4" w:space="0"/>
              <w:bottom w:val="single" w:color="000000" w:sz="4" w:space="0"/>
              <w:right w:val="nil"/>
            </w:tcBorders>
            <w:shd w:val="clear" w:color="000000" w:fill="000000"/>
            <w:noWrap/>
            <w:vAlign w:val="bottom"/>
            <w:hideMark/>
          </w:tcPr>
          <w:p w:rsidRPr="00C7413B" w:rsidR="00042A8F" w:rsidP="00255572" w:rsidRDefault="00042A8F" w14:paraId="69F7C8AE" w14:textId="77777777">
            <w:pPr>
              <w:jc w:val="center"/>
              <w:rPr>
                <w:rFonts w:ascii="Arial" w:hAnsi="Arial" w:cs="Arial"/>
                <w:b/>
                <w:bCs/>
                <w:color w:val="FFFFFF"/>
                <w:sz w:val="20"/>
              </w:rPr>
            </w:pPr>
            <w:r w:rsidRPr="00C7413B">
              <w:rPr>
                <w:rFonts w:ascii="Arial" w:hAnsi="Arial" w:cs="Arial"/>
                <w:b/>
                <w:bCs/>
                <w:color w:val="FFFFFF"/>
                <w:sz w:val="20"/>
              </w:rPr>
              <w:t>E</w:t>
            </w:r>
          </w:p>
        </w:tc>
        <w:tc>
          <w:tcPr>
            <w:tcW w:w="1464" w:type="dxa"/>
            <w:tcBorders>
              <w:top w:val="nil"/>
              <w:left w:val="single" w:color="000000" w:sz="4" w:space="0"/>
              <w:bottom w:val="single" w:color="000000" w:sz="4" w:space="0"/>
              <w:right w:val="nil"/>
            </w:tcBorders>
            <w:shd w:val="clear" w:color="000000" w:fill="000000"/>
            <w:noWrap/>
            <w:vAlign w:val="bottom"/>
            <w:hideMark/>
          </w:tcPr>
          <w:p w:rsidRPr="00C7413B" w:rsidR="00042A8F" w:rsidP="00255572" w:rsidRDefault="00042A8F" w14:paraId="61DAB45E" w14:textId="77777777">
            <w:pPr>
              <w:jc w:val="center"/>
              <w:rPr>
                <w:rFonts w:ascii="Arial" w:hAnsi="Arial" w:cs="Arial"/>
                <w:b/>
                <w:bCs/>
                <w:color w:val="FFFFFF"/>
                <w:sz w:val="20"/>
              </w:rPr>
            </w:pPr>
            <w:r w:rsidRPr="00C7413B">
              <w:rPr>
                <w:rFonts w:ascii="Arial" w:hAnsi="Arial" w:cs="Arial"/>
                <w:b/>
                <w:bCs/>
                <w:color w:val="FFFFFF"/>
                <w:sz w:val="20"/>
              </w:rPr>
              <w:t>F</w:t>
            </w:r>
          </w:p>
        </w:tc>
      </w:tr>
      <w:tr w:rsidRPr="00C7413B" w:rsidR="00042A8F" w:rsidTr="00EE4C75" w14:paraId="4CFCBCEE" w14:textId="77777777">
        <w:trPr>
          <w:trHeight w:val="269"/>
          <w:jc w:val="center"/>
        </w:trPr>
        <w:tc>
          <w:tcPr>
            <w:tcW w:w="1606" w:type="dxa"/>
            <w:tcBorders>
              <w:top w:val="single" w:color="000000" w:sz="4" w:space="0"/>
              <w:left w:val="single" w:color="000000" w:sz="4" w:space="0"/>
              <w:bottom w:val="single" w:color="000000" w:sz="4" w:space="0"/>
            </w:tcBorders>
            <w:shd w:val="clear" w:color="auto" w:fill="auto"/>
            <w:noWrap/>
            <w:vAlign w:val="center"/>
            <w:hideMark/>
          </w:tcPr>
          <w:p w:rsidRPr="00C7413B" w:rsidR="00042A8F" w:rsidP="00255572" w:rsidRDefault="00042A8F" w14:paraId="0F2A1362" w14:textId="77777777">
            <w:pPr>
              <w:jc w:val="center"/>
              <w:rPr>
                <w:rFonts w:ascii="Arial" w:hAnsi="Arial" w:cs="Arial"/>
                <w:iCs/>
                <w:sz w:val="20"/>
              </w:rPr>
            </w:pPr>
          </w:p>
        </w:tc>
        <w:tc>
          <w:tcPr>
            <w:tcW w:w="3706" w:type="dxa"/>
            <w:gridSpan w:val="3"/>
            <w:tcBorders>
              <w:top w:val="single" w:color="000000" w:sz="4" w:space="0"/>
              <w:left w:val="single" w:color="000000" w:sz="4" w:space="0"/>
              <w:bottom w:val="single" w:color="000000" w:sz="4" w:space="0"/>
            </w:tcBorders>
            <w:shd w:val="clear" w:color="auto" w:fill="auto"/>
            <w:vAlign w:val="center"/>
          </w:tcPr>
          <w:p w:rsidRPr="00C7413B" w:rsidR="00042A8F" w:rsidP="00255572" w:rsidRDefault="00042A8F" w14:paraId="5C36419C" w14:textId="77777777">
            <w:pPr>
              <w:jc w:val="center"/>
              <w:rPr>
                <w:rFonts w:ascii="Arial" w:hAnsi="Arial" w:cs="Arial"/>
                <w:iCs/>
                <w:sz w:val="20"/>
              </w:rPr>
            </w:pPr>
            <w:r w:rsidRPr="00C7413B">
              <w:rPr>
                <w:rFonts w:ascii="Arial" w:hAnsi="Arial" w:cs="Arial"/>
                <w:iCs/>
                <w:sz w:val="20"/>
              </w:rPr>
              <w:t>Hours and Cost Per Response</w:t>
            </w:r>
          </w:p>
        </w:tc>
        <w:tc>
          <w:tcPr>
            <w:tcW w:w="4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sidRPr="00C7413B" w:rsidR="00042A8F" w:rsidP="00255572" w:rsidRDefault="00042A8F" w14:paraId="287FE18E" w14:textId="77777777">
            <w:pPr>
              <w:jc w:val="center"/>
              <w:rPr>
                <w:rFonts w:ascii="Arial" w:hAnsi="Arial" w:cs="Arial"/>
                <w:iCs/>
                <w:sz w:val="20"/>
              </w:rPr>
            </w:pPr>
            <w:r w:rsidRPr="00C7413B">
              <w:rPr>
                <w:rFonts w:ascii="Arial" w:hAnsi="Arial" w:cs="Arial"/>
                <w:iCs/>
                <w:sz w:val="20"/>
              </w:rPr>
              <w:t>Total Hour and Cost</w:t>
            </w:r>
          </w:p>
        </w:tc>
      </w:tr>
      <w:tr w:rsidRPr="00C7413B" w:rsidR="00255572" w:rsidTr="00EE4C75" w14:paraId="3AB2E24C" w14:textId="77777777">
        <w:trPr>
          <w:trHeight w:val="312"/>
          <w:jc w:val="center"/>
        </w:trPr>
        <w:tc>
          <w:tcPr>
            <w:tcW w:w="1606" w:type="dxa"/>
            <w:tcBorders>
              <w:top w:val="single" w:color="000000" w:sz="4" w:space="0"/>
              <w:left w:val="single" w:color="000000" w:sz="4" w:space="0"/>
              <w:bottom w:val="nil"/>
              <w:right w:val="single" w:color="000000" w:sz="4" w:space="0"/>
            </w:tcBorders>
            <w:shd w:val="clear" w:color="auto" w:fill="auto"/>
            <w:noWrap/>
            <w:vAlign w:val="center"/>
            <w:hideMark/>
          </w:tcPr>
          <w:p w:rsidRPr="00C7413B" w:rsidR="00042A8F" w:rsidP="00255572" w:rsidRDefault="00042A8F" w14:paraId="16E8E715" w14:textId="77777777">
            <w:pPr>
              <w:rPr>
                <w:rFonts w:ascii="Arial" w:hAnsi="Arial" w:cs="Arial"/>
                <w:iCs/>
                <w:sz w:val="18"/>
                <w:szCs w:val="18"/>
              </w:rPr>
            </w:pPr>
            <w:r w:rsidRPr="00C7413B">
              <w:rPr>
                <w:rFonts w:ascii="Arial" w:hAnsi="Arial" w:cs="Arial"/>
                <w:iCs/>
                <w:sz w:val="18"/>
                <w:szCs w:val="18"/>
              </w:rPr>
              <w:t>Information Collection Activity </w:t>
            </w:r>
          </w:p>
        </w:tc>
        <w:tc>
          <w:tcPr>
            <w:tcW w:w="1201" w:type="dxa"/>
            <w:tcBorders>
              <w:top w:val="single" w:color="000000" w:sz="4" w:space="0"/>
              <w:left w:val="single" w:color="000000" w:sz="4" w:space="0"/>
              <w:bottom w:val="nil"/>
              <w:right w:val="single" w:color="000000" w:sz="4" w:space="0"/>
            </w:tcBorders>
            <w:shd w:val="clear" w:color="auto" w:fill="auto"/>
            <w:noWrap/>
            <w:vAlign w:val="center"/>
            <w:hideMark/>
          </w:tcPr>
          <w:p w:rsidRPr="00C7413B" w:rsidR="00042A8F" w:rsidP="00255572" w:rsidRDefault="00042A8F" w14:paraId="7FF5C453" w14:textId="6ACC5D86">
            <w:pPr>
              <w:jc w:val="center"/>
              <w:rPr>
                <w:rFonts w:ascii="Arial" w:hAnsi="Arial" w:cs="Arial"/>
                <w:sz w:val="18"/>
                <w:szCs w:val="18"/>
              </w:rPr>
            </w:pPr>
            <w:r w:rsidRPr="00C7413B">
              <w:rPr>
                <w:rFonts w:ascii="Arial" w:hAnsi="Arial" w:cs="Arial"/>
                <w:sz w:val="18"/>
                <w:szCs w:val="18"/>
              </w:rPr>
              <w:t>Respondent Hours</w:t>
            </w:r>
          </w:p>
        </w:tc>
        <w:tc>
          <w:tcPr>
            <w:tcW w:w="1325" w:type="dxa"/>
            <w:tcBorders>
              <w:top w:val="single" w:color="000000" w:sz="4" w:space="0"/>
              <w:left w:val="nil"/>
              <w:bottom w:val="nil"/>
              <w:right w:val="single" w:color="000000" w:sz="4" w:space="0"/>
            </w:tcBorders>
            <w:shd w:val="clear" w:color="auto" w:fill="auto"/>
            <w:noWrap/>
            <w:vAlign w:val="center"/>
            <w:hideMark/>
          </w:tcPr>
          <w:p w:rsidRPr="00C7413B" w:rsidR="00042A8F" w:rsidP="00255572" w:rsidRDefault="00042A8F" w14:paraId="1279B118" w14:textId="3D2CDACF">
            <w:pPr>
              <w:jc w:val="center"/>
              <w:rPr>
                <w:rFonts w:ascii="Arial" w:hAnsi="Arial" w:cs="Arial"/>
                <w:sz w:val="18"/>
                <w:szCs w:val="18"/>
              </w:rPr>
            </w:pPr>
            <w:r w:rsidRPr="00C7413B">
              <w:rPr>
                <w:rFonts w:ascii="Arial" w:hAnsi="Arial" w:cs="Arial"/>
                <w:sz w:val="18"/>
                <w:szCs w:val="18"/>
              </w:rPr>
              <w:t>Labor Cost</w:t>
            </w:r>
          </w:p>
        </w:tc>
        <w:tc>
          <w:tcPr>
            <w:tcW w:w="1180" w:type="dxa"/>
            <w:tcBorders>
              <w:top w:val="single" w:color="000000" w:sz="4" w:space="0"/>
              <w:left w:val="nil"/>
              <w:bottom w:val="nil"/>
              <w:right w:val="single" w:color="000000" w:sz="4" w:space="0"/>
            </w:tcBorders>
            <w:shd w:val="clear" w:color="auto" w:fill="auto"/>
            <w:noWrap/>
            <w:vAlign w:val="center"/>
            <w:hideMark/>
          </w:tcPr>
          <w:p w:rsidRPr="00C7413B" w:rsidR="00042A8F" w:rsidP="00255572" w:rsidRDefault="00042A8F" w14:paraId="618BB2D1" w14:textId="7CD31E39">
            <w:pPr>
              <w:jc w:val="center"/>
              <w:rPr>
                <w:rFonts w:ascii="Arial" w:hAnsi="Arial" w:cs="Arial"/>
                <w:sz w:val="18"/>
                <w:szCs w:val="18"/>
              </w:rPr>
            </w:pPr>
            <w:r w:rsidRPr="00C7413B">
              <w:rPr>
                <w:rFonts w:ascii="Arial" w:hAnsi="Arial" w:cs="Arial"/>
                <w:sz w:val="18"/>
                <w:szCs w:val="18"/>
              </w:rPr>
              <w:t>Non-labor Cost</w:t>
            </w:r>
          </w:p>
        </w:tc>
        <w:tc>
          <w:tcPr>
            <w:tcW w:w="1566" w:type="dxa"/>
            <w:tcBorders>
              <w:top w:val="single" w:color="000000" w:sz="4" w:space="0"/>
              <w:left w:val="nil"/>
              <w:bottom w:val="nil"/>
              <w:right w:val="single" w:color="000000" w:sz="4" w:space="0"/>
            </w:tcBorders>
            <w:shd w:val="clear" w:color="auto" w:fill="auto"/>
            <w:noWrap/>
            <w:vAlign w:val="center"/>
            <w:hideMark/>
          </w:tcPr>
          <w:p w:rsidRPr="00C7413B" w:rsidR="00042A8F" w:rsidP="00255572" w:rsidRDefault="00042A8F" w14:paraId="4757F89B" w14:textId="4A3B678B">
            <w:pPr>
              <w:jc w:val="center"/>
              <w:rPr>
                <w:rFonts w:ascii="Arial" w:hAnsi="Arial" w:cs="Arial"/>
                <w:sz w:val="18"/>
                <w:szCs w:val="18"/>
              </w:rPr>
            </w:pPr>
            <w:r w:rsidRPr="00C7413B">
              <w:rPr>
                <w:rFonts w:ascii="Arial" w:hAnsi="Arial" w:cs="Arial"/>
                <w:sz w:val="18"/>
                <w:szCs w:val="18"/>
              </w:rPr>
              <w:t>Responses</w:t>
            </w:r>
            <w:r w:rsidRPr="00C7413B" w:rsidR="00255572">
              <w:rPr>
                <w:rFonts w:ascii="Arial" w:hAnsi="Arial" w:cs="Arial"/>
                <w:sz w:val="18"/>
                <w:szCs w:val="18"/>
              </w:rPr>
              <w:t>/Year</w:t>
            </w:r>
          </w:p>
        </w:tc>
        <w:tc>
          <w:tcPr>
            <w:tcW w:w="1103" w:type="dxa"/>
            <w:tcBorders>
              <w:top w:val="single" w:color="000000" w:sz="4" w:space="0"/>
              <w:left w:val="nil"/>
              <w:bottom w:val="nil"/>
              <w:right w:val="single" w:color="000000" w:sz="4" w:space="0"/>
            </w:tcBorders>
            <w:shd w:val="clear" w:color="auto" w:fill="auto"/>
            <w:noWrap/>
            <w:vAlign w:val="center"/>
            <w:hideMark/>
          </w:tcPr>
          <w:p w:rsidRPr="00C7413B" w:rsidR="00042A8F" w:rsidP="00255572" w:rsidRDefault="00042A8F" w14:paraId="14E935BE" w14:textId="77777777">
            <w:pPr>
              <w:jc w:val="center"/>
              <w:rPr>
                <w:rFonts w:ascii="Arial" w:hAnsi="Arial" w:cs="Arial"/>
                <w:sz w:val="18"/>
                <w:szCs w:val="18"/>
              </w:rPr>
            </w:pPr>
            <w:r w:rsidRPr="00C7413B">
              <w:rPr>
                <w:rFonts w:ascii="Arial" w:hAnsi="Arial" w:cs="Arial"/>
                <w:sz w:val="18"/>
                <w:szCs w:val="18"/>
              </w:rPr>
              <w:t>Total Hours/Year (A * D)</w:t>
            </w:r>
          </w:p>
        </w:tc>
        <w:tc>
          <w:tcPr>
            <w:tcW w:w="1464" w:type="dxa"/>
            <w:tcBorders>
              <w:top w:val="single" w:color="000000" w:sz="4" w:space="0"/>
              <w:left w:val="nil"/>
              <w:bottom w:val="nil"/>
              <w:right w:val="single" w:color="000000" w:sz="4" w:space="0"/>
            </w:tcBorders>
            <w:shd w:val="clear" w:color="auto" w:fill="auto"/>
            <w:noWrap/>
            <w:vAlign w:val="center"/>
            <w:hideMark/>
          </w:tcPr>
          <w:p w:rsidRPr="00C7413B" w:rsidR="00042A8F" w:rsidP="00255572" w:rsidRDefault="00042A8F" w14:paraId="51BF6EEC" w14:textId="77777777">
            <w:pPr>
              <w:jc w:val="center"/>
              <w:rPr>
                <w:rFonts w:ascii="Arial" w:hAnsi="Arial" w:cs="Arial"/>
                <w:sz w:val="18"/>
                <w:szCs w:val="18"/>
              </w:rPr>
            </w:pPr>
            <w:r w:rsidRPr="00C7413B">
              <w:rPr>
                <w:rFonts w:ascii="Arial" w:hAnsi="Arial" w:cs="Arial"/>
                <w:sz w:val="18"/>
                <w:szCs w:val="18"/>
              </w:rPr>
              <w:t>Total Cost/ Year</w:t>
            </w:r>
          </w:p>
          <w:p w:rsidRPr="00C7413B" w:rsidR="00042A8F" w:rsidP="00255572" w:rsidRDefault="00042A8F" w14:paraId="380F36B7" w14:textId="77777777">
            <w:pPr>
              <w:jc w:val="center"/>
              <w:rPr>
                <w:rFonts w:ascii="Arial" w:hAnsi="Arial" w:cs="Arial"/>
                <w:sz w:val="18"/>
                <w:szCs w:val="18"/>
              </w:rPr>
            </w:pPr>
            <w:r w:rsidRPr="00C7413B">
              <w:rPr>
                <w:rFonts w:ascii="Arial" w:hAnsi="Arial" w:cs="Arial"/>
                <w:sz w:val="18"/>
                <w:szCs w:val="18"/>
              </w:rPr>
              <w:t>(B+C) * D</w:t>
            </w:r>
          </w:p>
        </w:tc>
      </w:tr>
      <w:tr w:rsidRPr="00C7413B" w:rsidR="00255572" w:rsidTr="00EE4C75" w14:paraId="1D4C75AD" w14:textId="77777777">
        <w:trPr>
          <w:trHeight w:val="312"/>
          <w:jc w:val="center"/>
        </w:trPr>
        <w:tc>
          <w:tcPr>
            <w:tcW w:w="1606" w:type="dxa"/>
            <w:tcBorders>
              <w:top w:val="single" w:color="000000" w:sz="4" w:space="0"/>
              <w:left w:val="single" w:color="000000" w:sz="4" w:space="0"/>
              <w:bottom w:val="single" w:color="000000" w:sz="4" w:space="0"/>
              <w:right w:val="nil"/>
            </w:tcBorders>
            <w:shd w:val="clear" w:color="000000" w:fill="C0C0C0"/>
            <w:noWrap/>
            <w:vAlign w:val="center"/>
            <w:hideMark/>
          </w:tcPr>
          <w:p w:rsidRPr="00C7413B" w:rsidR="00042A8F" w:rsidP="00255572" w:rsidRDefault="00042A8F" w14:paraId="7BA052F3" w14:textId="77777777">
            <w:pPr>
              <w:rPr>
                <w:rFonts w:ascii="Arial" w:hAnsi="Arial" w:cs="Arial"/>
                <w:b/>
                <w:bCs/>
                <w:i/>
                <w:iCs/>
                <w:sz w:val="20"/>
              </w:rPr>
            </w:pPr>
            <w:r w:rsidRPr="00C7413B">
              <w:rPr>
                <w:rFonts w:ascii="Arial" w:hAnsi="Arial" w:cs="Arial"/>
                <w:b/>
                <w:bCs/>
                <w:i/>
                <w:iCs/>
                <w:sz w:val="20"/>
              </w:rPr>
              <w:t>State activities</w:t>
            </w:r>
          </w:p>
        </w:tc>
        <w:tc>
          <w:tcPr>
            <w:tcW w:w="1201" w:type="dxa"/>
            <w:tcBorders>
              <w:top w:val="single" w:color="000000" w:sz="4" w:space="0"/>
              <w:left w:val="nil"/>
              <w:bottom w:val="single" w:color="000000" w:sz="4" w:space="0"/>
              <w:right w:val="nil"/>
            </w:tcBorders>
            <w:shd w:val="clear" w:color="000000" w:fill="C0C0C0"/>
            <w:vAlign w:val="center"/>
            <w:hideMark/>
          </w:tcPr>
          <w:p w:rsidRPr="00C7413B" w:rsidR="00042A8F" w:rsidP="00255572" w:rsidRDefault="00042A8F" w14:paraId="509B3035" w14:textId="77777777">
            <w:pPr>
              <w:rPr>
                <w:rFonts w:ascii="Arial" w:hAnsi="Arial" w:cs="Arial"/>
                <w:b/>
                <w:bCs/>
                <w:i/>
                <w:iCs/>
                <w:sz w:val="20"/>
              </w:rPr>
            </w:pPr>
            <w:r w:rsidRPr="00C7413B">
              <w:rPr>
                <w:rFonts w:ascii="Arial" w:hAnsi="Arial" w:cs="Arial"/>
                <w:b/>
                <w:bCs/>
                <w:i/>
                <w:iCs/>
                <w:sz w:val="20"/>
              </w:rPr>
              <w:t> </w:t>
            </w:r>
          </w:p>
        </w:tc>
        <w:tc>
          <w:tcPr>
            <w:tcW w:w="1325" w:type="dxa"/>
            <w:tcBorders>
              <w:top w:val="single" w:color="000000" w:sz="4" w:space="0"/>
              <w:left w:val="nil"/>
              <w:bottom w:val="single" w:color="000000" w:sz="4" w:space="0"/>
              <w:right w:val="nil"/>
            </w:tcBorders>
            <w:shd w:val="clear" w:color="000000" w:fill="C0C0C0"/>
            <w:vAlign w:val="bottom"/>
            <w:hideMark/>
          </w:tcPr>
          <w:p w:rsidRPr="00C7413B" w:rsidR="00042A8F" w:rsidP="00255572" w:rsidRDefault="00042A8F" w14:paraId="6C954BE0" w14:textId="77777777">
            <w:pPr>
              <w:rPr>
                <w:rFonts w:ascii="Arial" w:hAnsi="Arial" w:cs="Arial"/>
                <w:b/>
                <w:bCs/>
                <w:i/>
                <w:iCs/>
                <w:sz w:val="20"/>
              </w:rPr>
            </w:pPr>
            <w:r w:rsidRPr="00C7413B">
              <w:rPr>
                <w:rFonts w:ascii="Arial" w:hAnsi="Arial" w:cs="Arial"/>
                <w:b/>
                <w:bCs/>
                <w:i/>
                <w:iCs/>
                <w:sz w:val="20"/>
              </w:rPr>
              <w:t> </w:t>
            </w:r>
          </w:p>
        </w:tc>
        <w:tc>
          <w:tcPr>
            <w:tcW w:w="1180" w:type="dxa"/>
            <w:tcBorders>
              <w:top w:val="single" w:color="000000" w:sz="4" w:space="0"/>
              <w:left w:val="nil"/>
              <w:bottom w:val="single" w:color="000000" w:sz="4" w:space="0"/>
              <w:right w:val="nil"/>
            </w:tcBorders>
            <w:shd w:val="clear" w:color="000000" w:fill="C0C0C0"/>
            <w:vAlign w:val="bottom"/>
            <w:hideMark/>
          </w:tcPr>
          <w:p w:rsidRPr="00C7413B" w:rsidR="00042A8F" w:rsidP="00255572" w:rsidRDefault="00042A8F" w14:paraId="368CBC6C" w14:textId="77777777">
            <w:pPr>
              <w:rPr>
                <w:rFonts w:ascii="Arial" w:hAnsi="Arial" w:cs="Arial"/>
                <w:b/>
                <w:bCs/>
                <w:i/>
                <w:iCs/>
                <w:sz w:val="20"/>
              </w:rPr>
            </w:pPr>
            <w:r w:rsidRPr="00C7413B">
              <w:rPr>
                <w:rFonts w:ascii="Arial" w:hAnsi="Arial" w:cs="Arial"/>
                <w:b/>
                <w:bCs/>
                <w:i/>
                <w:iCs/>
                <w:sz w:val="20"/>
              </w:rPr>
              <w:t> </w:t>
            </w:r>
          </w:p>
        </w:tc>
        <w:tc>
          <w:tcPr>
            <w:tcW w:w="1566" w:type="dxa"/>
            <w:tcBorders>
              <w:top w:val="single" w:color="000000" w:sz="4" w:space="0"/>
              <w:left w:val="nil"/>
              <w:bottom w:val="single" w:color="000000" w:sz="4" w:space="0"/>
              <w:right w:val="nil"/>
            </w:tcBorders>
            <w:shd w:val="clear" w:color="000000" w:fill="C0C0C0"/>
            <w:vAlign w:val="bottom"/>
            <w:hideMark/>
          </w:tcPr>
          <w:p w:rsidRPr="00C7413B" w:rsidR="00042A8F" w:rsidP="00255572" w:rsidRDefault="00042A8F" w14:paraId="50255260" w14:textId="77777777">
            <w:pPr>
              <w:rPr>
                <w:rFonts w:ascii="Arial" w:hAnsi="Arial" w:cs="Arial"/>
                <w:sz w:val="20"/>
              </w:rPr>
            </w:pPr>
            <w:r w:rsidRPr="00C7413B">
              <w:rPr>
                <w:rFonts w:ascii="Arial" w:hAnsi="Arial" w:cs="Arial"/>
                <w:sz w:val="20"/>
              </w:rPr>
              <w:t> </w:t>
            </w:r>
          </w:p>
        </w:tc>
        <w:tc>
          <w:tcPr>
            <w:tcW w:w="1103" w:type="dxa"/>
            <w:tcBorders>
              <w:top w:val="single" w:color="000000" w:sz="4" w:space="0"/>
              <w:left w:val="nil"/>
              <w:bottom w:val="single" w:color="000000" w:sz="4" w:space="0"/>
              <w:right w:val="nil"/>
            </w:tcBorders>
            <w:shd w:val="clear" w:color="000000" w:fill="C0C0C0"/>
            <w:vAlign w:val="bottom"/>
            <w:hideMark/>
          </w:tcPr>
          <w:p w:rsidRPr="00C7413B" w:rsidR="00042A8F" w:rsidP="00255572" w:rsidRDefault="00042A8F" w14:paraId="42D6103B" w14:textId="77777777">
            <w:pPr>
              <w:rPr>
                <w:rFonts w:ascii="Arial" w:hAnsi="Arial" w:cs="Arial"/>
                <w:sz w:val="20"/>
              </w:rPr>
            </w:pPr>
            <w:r w:rsidRPr="00C7413B">
              <w:rPr>
                <w:rFonts w:ascii="Arial" w:hAnsi="Arial" w:cs="Arial"/>
                <w:sz w:val="20"/>
              </w:rPr>
              <w:t> </w:t>
            </w:r>
          </w:p>
        </w:tc>
        <w:tc>
          <w:tcPr>
            <w:tcW w:w="1464" w:type="dxa"/>
            <w:tcBorders>
              <w:top w:val="single" w:color="000000" w:sz="4" w:space="0"/>
              <w:left w:val="nil"/>
              <w:bottom w:val="single" w:color="000000" w:sz="4" w:space="0"/>
              <w:right w:val="single" w:color="000000" w:sz="4" w:space="0"/>
            </w:tcBorders>
            <w:shd w:val="clear" w:color="000000" w:fill="C0C0C0"/>
            <w:vAlign w:val="bottom"/>
            <w:hideMark/>
          </w:tcPr>
          <w:p w:rsidRPr="00C7413B" w:rsidR="00042A8F" w:rsidP="00255572" w:rsidRDefault="00042A8F" w14:paraId="29397BBB" w14:textId="77777777">
            <w:pPr>
              <w:rPr>
                <w:rFonts w:ascii="Arial" w:hAnsi="Arial" w:cs="Arial"/>
                <w:sz w:val="20"/>
              </w:rPr>
            </w:pPr>
            <w:r w:rsidRPr="00C7413B">
              <w:rPr>
                <w:rFonts w:ascii="Arial" w:hAnsi="Arial" w:cs="Arial"/>
                <w:sz w:val="20"/>
              </w:rPr>
              <w:t> </w:t>
            </w:r>
          </w:p>
        </w:tc>
      </w:tr>
      <w:tr w:rsidRPr="00C7413B" w:rsidR="00255572" w:rsidTr="00EE4C75" w14:paraId="358DC00C" w14:textId="77777777">
        <w:trPr>
          <w:trHeight w:val="600"/>
          <w:jc w:val="center"/>
        </w:trPr>
        <w:tc>
          <w:tcPr>
            <w:tcW w:w="1606" w:type="dxa"/>
            <w:tcBorders>
              <w:top w:val="nil"/>
              <w:left w:val="single" w:color="000000" w:sz="4" w:space="0"/>
              <w:bottom w:val="single" w:color="000000" w:sz="4" w:space="0"/>
              <w:right w:val="single" w:color="000000" w:sz="4" w:space="0"/>
            </w:tcBorders>
            <w:shd w:val="clear" w:color="auto" w:fill="auto"/>
            <w:vAlign w:val="bottom"/>
            <w:hideMark/>
          </w:tcPr>
          <w:p w:rsidRPr="00C7413B" w:rsidR="00042A8F" w:rsidP="00255572" w:rsidRDefault="00042A8F" w14:paraId="194B1EEE" w14:textId="77777777">
            <w:pPr>
              <w:rPr>
                <w:rFonts w:ascii="Arial" w:hAnsi="Arial" w:cs="Arial"/>
                <w:sz w:val="18"/>
                <w:szCs w:val="18"/>
              </w:rPr>
            </w:pPr>
            <w:r w:rsidRPr="00C7413B">
              <w:rPr>
                <w:rFonts w:ascii="Arial" w:hAnsi="Arial" w:cs="Arial"/>
                <w:sz w:val="18"/>
                <w:szCs w:val="18"/>
              </w:rPr>
              <w:t>Report progress to EPA via email</w:t>
            </w:r>
          </w:p>
        </w:tc>
        <w:tc>
          <w:tcPr>
            <w:tcW w:w="1201" w:type="dxa"/>
            <w:tcBorders>
              <w:top w:val="nil"/>
              <w:left w:val="nil"/>
              <w:bottom w:val="single" w:color="000000" w:sz="4" w:space="0"/>
              <w:right w:val="single" w:color="000000" w:sz="4" w:space="0"/>
            </w:tcBorders>
            <w:shd w:val="clear" w:color="auto" w:fill="auto"/>
            <w:noWrap/>
            <w:vAlign w:val="bottom"/>
            <w:hideMark/>
          </w:tcPr>
          <w:p w:rsidRPr="00C7413B" w:rsidR="00042A8F" w:rsidP="00255572" w:rsidRDefault="00FB6868" w14:paraId="71EE42F6" w14:textId="1B087FB3">
            <w:pPr>
              <w:jc w:val="right"/>
              <w:rPr>
                <w:rFonts w:ascii="Arial" w:hAnsi="Arial" w:cs="Arial"/>
                <w:sz w:val="18"/>
                <w:szCs w:val="18"/>
              </w:rPr>
            </w:pPr>
            <w:r w:rsidRPr="00C7413B">
              <w:rPr>
                <w:rFonts w:ascii="Arial" w:hAnsi="Arial" w:cs="Arial"/>
                <w:sz w:val="18"/>
                <w:szCs w:val="18"/>
              </w:rPr>
              <w:t>8</w:t>
            </w:r>
          </w:p>
        </w:tc>
        <w:tc>
          <w:tcPr>
            <w:tcW w:w="1325" w:type="dxa"/>
            <w:tcBorders>
              <w:top w:val="nil"/>
              <w:left w:val="nil"/>
              <w:bottom w:val="single" w:color="000000" w:sz="4" w:space="0"/>
              <w:right w:val="single" w:color="000000" w:sz="4" w:space="0"/>
            </w:tcBorders>
            <w:shd w:val="clear" w:color="auto" w:fill="auto"/>
            <w:noWrap/>
            <w:vAlign w:val="bottom"/>
          </w:tcPr>
          <w:p w:rsidRPr="00C7413B" w:rsidR="00042A8F" w:rsidP="00255572" w:rsidRDefault="00042A8F" w14:paraId="5C8BC18A" w14:textId="6D91889E">
            <w:pPr>
              <w:jc w:val="right"/>
              <w:rPr>
                <w:rFonts w:ascii="Arial" w:hAnsi="Arial" w:cs="Arial"/>
                <w:sz w:val="18"/>
                <w:szCs w:val="18"/>
              </w:rPr>
            </w:pPr>
            <w:r w:rsidRPr="00C7413B">
              <w:rPr>
                <w:rFonts w:ascii="Arial" w:hAnsi="Arial" w:cs="Arial"/>
                <w:sz w:val="18"/>
                <w:szCs w:val="18"/>
              </w:rPr>
              <w:t>$</w:t>
            </w:r>
            <w:r w:rsidRPr="00C7413B" w:rsidR="00DB76AC">
              <w:rPr>
                <w:rFonts w:ascii="Arial" w:hAnsi="Arial" w:cs="Arial"/>
                <w:sz w:val="18"/>
                <w:szCs w:val="18"/>
              </w:rPr>
              <w:t>4</w:t>
            </w:r>
            <w:r w:rsidRPr="00C7413B" w:rsidR="00FB60A5">
              <w:rPr>
                <w:rFonts w:ascii="Arial" w:hAnsi="Arial" w:cs="Arial"/>
                <w:sz w:val="18"/>
                <w:szCs w:val="18"/>
              </w:rPr>
              <w:t>74</w:t>
            </w:r>
          </w:p>
        </w:tc>
        <w:tc>
          <w:tcPr>
            <w:tcW w:w="1180" w:type="dxa"/>
            <w:tcBorders>
              <w:top w:val="nil"/>
              <w:left w:val="nil"/>
              <w:bottom w:val="single" w:color="000000" w:sz="4" w:space="0"/>
              <w:right w:val="single" w:color="000000" w:sz="4" w:space="0"/>
            </w:tcBorders>
            <w:shd w:val="clear" w:color="auto" w:fill="auto"/>
            <w:noWrap/>
            <w:vAlign w:val="bottom"/>
            <w:hideMark/>
          </w:tcPr>
          <w:p w:rsidRPr="00C7413B" w:rsidR="00042A8F" w:rsidP="00255572" w:rsidRDefault="00042A8F" w14:paraId="788CB3CE" w14:textId="77777777">
            <w:pPr>
              <w:jc w:val="right"/>
              <w:rPr>
                <w:rFonts w:ascii="Arial" w:hAnsi="Arial" w:cs="Arial"/>
                <w:sz w:val="18"/>
                <w:szCs w:val="18"/>
              </w:rPr>
            </w:pPr>
            <w:r w:rsidRPr="00C7413B">
              <w:rPr>
                <w:rFonts w:ascii="Arial" w:hAnsi="Arial" w:cs="Arial"/>
                <w:sz w:val="18"/>
                <w:szCs w:val="18"/>
              </w:rPr>
              <w:t xml:space="preserve">$0 </w:t>
            </w:r>
          </w:p>
        </w:tc>
        <w:tc>
          <w:tcPr>
            <w:tcW w:w="1566" w:type="dxa"/>
            <w:tcBorders>
              <w:top w:val="nil"/>
              <w:left w:val="nil"/>
              <w:bottom w:val="single" w:color="000000" w:sz="4" w:space="0"/>
              <w:right w:val="single" w:color="000000" w:sz="4" w:space="0"/>
            </w:tcBorders>
            <w:shd w:val="clear" w:color="auto" w:fill="auto"/>
            <w:noWrap/>
            <w:vAlign w:val="bottom"/>
            <w:hideMark/>
          </w:tcPr>
          <w:p w:rsidRPr="00C7413B" w:rsidR="00042A8F" w:rsidP="00255572" w:rsidRDefault="00935BC0" w14:paraId="48DADC86" w14:textId="1B5AB729">
            <w:pPr>
              <w:jc w:val="right"/>
              <w:rPr>
                <w:rFonts w:ascii="Arial" w:hAnsi="Arial" w:cs="Arial"/>
                <w:sz w:val="18"/>
                <w:szCs w:val="18"/>
              </w:rPr>
            </w:pPr>
            <w:r w:rsidRPr="00C7413B">
              <w:rPr>
                <w:rFonts w:ascii="Arial" w:hAnsi="Arial" w:cs="Arial"/>
                <w:sz w:val="18"/>
                <w:szCs w:val="18"/>
              </w:rPr>
              <w:t>3</w:t>
            </w:r>
            <w:r w:rsidRPr="00C7413B" w:rsidR="002D5EC8">
              <w:rPr>
                <w:rFonts w:ascii="Arial" w:hAnsi="Arial" w:cs="Arial"/>
                <w:sz w:val="18"/>
                <w:szCs w:val="18"/>
              </w:rPr>
              <w:t>1</w:t>
            </w:r>
            <w:r w:rsidRPr="00C7413B">
              <w:rPr>
                <w:rFonts w:ascii="Arial" w:hAnsi="Arial" w:cs="Arial"/>
                <w:sz w:val="18"/>
                <w:szCs w:val="18"/>
              </w:rPr>
              <w:t xml:space="preserve"> </w:t>
            </w:r>
          </w:p>
        </w:tc>
        <w:tc>
          <w:tcPr>
            <w:tcW w:w="1103" w:type="dxa"/>
            <w:tcBorders>
              <w:top w:val="nil"/>
              <w:left w:val="nil"/>
              <w:bottom w:val="single" w:color="000000" w:sz="4" w:space="0"/>
              <w:right w:val="single" w:color="000000" w:sz="4" w:space="0"/>
            </w:tcBorders>
            <w:shd w:val="clear" w:color="auto" w:fill="auto"/>
            <w:noWrap/>
            <w:vAlign w:val="bottom"/>
            <w:hideMark/>
          </w:tcPr>
          <w:p w:rsidRPr="00C7413B" w:rsidR="00042A8F" w:rsidP="00255572" w:rsidRDefault="002D5EC8" w14:paraId="0F4ACFBB" w14:textId="023165E2">
            <w:pPr>
              <w:jc w:val="right"/>
              <w:rPr>
                <w:rFonts w:ascii="Arial" w:hAnsi="Arial" w:cs="Arial"/>
                <w:sz w:val="18"/>
                <w:szCs w:val="18"/>
              </w:rPr>
            </w:pPr>
            <w:r w:rsidRPr="00C7413B">
              <w:rPr>
                <w:rFonts w:ascii="Arial" w:hAnsi="Arial" w:cs="Arial"/>
                <w:sz w:val="18"/>
                <w:szCs w:val="18"/>
              </w:rPr>
              <w:t>248</w:t>
            </w:r>
          </w:p>
        </w:tc>
        <w:tc>
          <w:tcPr>
            <w:tcW w:w="1464" w:type="dxa"/>
            <w:tcBorders>
              <w:top w:val="nil"/>
              <w:left w:val="nil"/>
              <w:bottom w:val="single" w:color="000000" w:sz="4" w:space="0"/>
              <w:right w:val="single" w:color="000000" w:sz="4" w:space="0"/>
            </w:tcBorders>
            <w:shd w:val="clear" w:color="auto" w:fill="auto"/>
            <w:noWrap/>
            <w:vAlign w:val="bottom"/>
            <w:hideMark/>
          </w:tcPr>
          <w:p w:rsidRPr="00C7413B" w:rsidR="00042A8F" w:rsidP="00255572" w:rsidRDefault="00042A8F" w14:paraId="4410049C" w14:textId="37B411C7">
            <w:pPr>
              <w:jc w:val="right"/>
              <w:rPr>
                <w:rFonts w:ascii="Arial" w:hAnsi="Arial" w:cs="Arial"/>
                <w:sz w:val="18"/>
                <w:szCs w:val="18"/>
              </w:rPr>
            </w:pPr>
            <w:r w:rsidRPr="00C7413B">
              <w:rPr>
                <w:rFonts w:ascii="Arial" w:hAnsi="Arial" w:cs="Arial"/>
                <w:sz w:val="18"/>
                <w:szCs w:val="18"/>
              </w:rPr>
              <w:t>$</w:t>
            </w:r>
            <w:r w:rsidRPr="00C7413B" w:rsidR="002D5EC8">
              <w:rPr>
                <w:rFonts w:ascii="Arial" w:hAnsi="Arial" w:cs="Arial"/>
                <w:sz w:val="18"/>
                <w:szCs w:val="18"/>
              </w:rPr>
              <w:t>14,</w:t>
            </w:r>
            <w:r w:rsidRPr="00C7413B" w:rsidR="00AE290B">
              <w:rPr>
                <w:rFonts w:ascii="Arial" w:hAnsi="Arial" w:cs="Arial"/>
                <w:sz w:val="18"/>
                <w:szCs w:val="18"/>
              </w:rPr>
              <w:t>694</w:t>
            </w:r>
          </w:p>
        </w:tc>
      </w:tr>
      <w:tr w:rsidRPr="00C7413B" w:rsidR="00255572" w:rsidTr="00EE4C75" w14:paraId="74D91980" w14:textId="77777777">
        <w:trPr>
          <w:trHeight w:val="600"/>
          <w:jc w:val="center"/>
        </w:trPr>
        <w:tc>
          <w:tcPr>
            <w:tcW w:w="1606" w:type="dxa"/>
            <w:tcBorders>
              <w:top w:val="nil"/>
              <w:left w:val="single" w:color="000000" w:sz="4" w:space="0"/>
              <w:right w:val="single" w:color="000000" w:sz="4" w:space="0"/>
            </w:tcBorders>
            <w:shd w:val="clear" w:color="auto" w:fill="auto"/>
            <w:vAlign w:val="bottom"/>
            <w:hideMark/>
          </w:tcPr>
          <w:p w:rsidRPr="00C7413B" w:rsidR="00042A8F" w:rsidP="00255572" w:rsidRDefault="00042A8F" w14:paraId="1A0D4B01" w14:textId="77777777">
            <w:pPr>
              <w:rPr>
                <w:rFonts w:ascii="Arial" w:hAnsi="Arial" w:cs="Arial"/>
                <w:sz w:val="18"/>
                <w:szCs w:val="18"/>
              </w:rPr>
            </w:pPr>
            <w:r w:rsidRPr="00C7413B">
              <w:rPr>
                <w:rFonts w:ascii="Arial" w:hAnsi="Arial" w:cs="Arial"/>
                <w:sz w:val="18"/>
                <w:szCs w:val="18"/>
              </w:rPr>
              <w:t>Report progress to EPA via SDWIS</w:t>
            </w:r>
          </w:p>
        </w:tc>
        <w:tc>
          <w:tcPr>
            <w:tcW w:w="1201" w:type="dxa"/>
            <w:tcBorders>
              <w:top w:val="nil"/>
              <w:left w:val="nil"/>
              <w:bottom w:val="single" w:color="000000" w:sz="4" w:space="0"/>
              <w:right w:val="single" w:color="000000" w:sz="4" w:space="0"/>
            </w:tcBorders>
            <w:shd w:val="clear" w:color="auto" w:fill="auto"/>
            <w:noWrap/>
            <w:vAlign w:val="bottom"/>
            <w:hideMark/>
          </w:tcPr>
          <w:p w:rsidRPr="00C7413B" w:rsidR="00042A8F" w:rsidP="00255572" w:rsidRDefault="00FB6868" w14:paraId="0B031326" w14:textId="44348D8B">
            <w:pPr>
              <w:jc w:val="right"/>
              <w:rPr>
                <w:rFonts w:ascii="Arial" w:hAnsi="Arial" w:cs="Arial"/>
                <w:sz w:val="18"/>
                <w:szCs w:val="18"/>
              </w:rPr>
            </w:pPr>
            <w:r w:rsidRPr="00C7413B">
              <w:rPr>
                <w:rFonts w:ascii="Arial" w:hAnsi="Arial" w:cs="Arial"/>
                <w:sz w:val="18"/>
                <w:szCs w:val="18"/>
              </w:rPr>
              <w:t>2</w:t>
            </w:r>
          </w:p>
        </w:tc>
        <w:tc>
          <w:tcPr>
            <w:tcW w:w="1325" w:type="dxa"/>
            <w:tcBorders>
              <w:top w:val="nil"/>
              <w:left w:val="nil"/>
              <w:bottom w:val="single" w:color="000000" w:sz="4" w:space="0"/>
              <w:right w:val="single" w:color="000000" w:sz="4" w:space="0"/>
            </w:tcBorders>
            <w:shd w:val="clear" w:color="auto" w:fill="auto"/>
            <w:noWrap/>
            <w:vAlign w:val="bottom"/>
          </w:tcPr>
          <w:p w:rsidRPr="00C7413B" w:rsidR="00042A8F" w:rsidP="00255572" w:rsidRDefault="00042A8F" w14:paraId="10024B9C" w14:textId="56442F8F">
            <w:pPr>
              <w:jc w:val="right"/>
              <w:rPr>
                <w:rFonts w:ascii="Arial" w:hAnsi="Arial" w:cs="Arial"/>
                <w:sz w:val="18"/>
                <w:szCs w:val="18"/>
              </w:rPr>
            </w:pPr>
            <w:r w:rsidRPr="00C7413B">
              <w:rPr>
                <w:rFonts w:ascii="Arial" w:hAnsi="Arial" w:cs="Arial"/>
                <w:sz w:val="18"/>
                <w:szCs w:val="18"/>
              </w:rPr>
              <w:t xml:space="preserve">$ </w:t>
            </w:r>
            <w:r w:rsidRPr="00C7413B" w:rsidR="00DB76AC">
              <w:rPr>
                <w:rFonts w:ascii="Arial" w:hAnsi="Arial" w:cs="Arial"/>
                <w:sz w:val="18"/>
                <w:szCs w:val="18"/>
              </w:rPr>
              <w:t>11</w:t>
            </w:r>
            <w:r w:rsidRPr="00C7413B" w:rsidR="00FB60A5">
              <w:rPr>
                <w:rFonts w:ascii="Arial" w:hAnsi="Arial" w:cs="Arial"/>
                <w:sz w:val="18"/>
                <w:szCs w:val="18"/>
              </w:rPr>
              <w:t>9</w:t>
            </w:r>
            <w:r w:rsidRPr="00C7413B" w:rsidR="00DB76AC">
              <w:rPr>
                <w:rFonts w:ascii="Arial" w:hAnsi="Arial" w:cs="Arial"/>
                <w:sz w:val="18"/>
                <w:szCs w:val="18"/>
              </w:rPr>
              <w:t xml:space="preserve"> </w:t>
            </w:r>
          </w:p>
        </w:tc>
        <w:tc>
          <w:tcPr>
            <w:tcW w:w="1180" w:type="dxa"/>
            <w:tcBorders>
              <w:top w:val="nil"/>
              <w:left w:val="nil"/>
              <w:bottom w:val="single" w:color="000000" w:sz="4" w:space="0"/>
              <w:right w:val="single" w:color="000000" w:sz="4" w:space="0"/>
            </w:tcBorders>
            <w:shd w:val="clear" w:color="auto" w:fill="auto"/>
            <w:noWrap/>
            <w:vAlign w:val="bottom"/>
            <w:hideMark/>
          </w:tcPr>
          <w:p w:rsidRPr="00C7413B" w:rsidR="00042A8F" w:rsidP="00255572" w:rsidRDefault="00042A8F" w14:paraId="431B58FE" w14:textId="77777777">
            <w:pPr>
              <w:jc w:val="right"/>
              <w:rPr>
                <w:rFonts w:ascii="Arial" w:hAnsi="Arial" w:cs="Arial"/>
                <w:sz w:val="18"/>
                <w:szCs w:val="18"/>
              </w:rPr>
            </w:pPr>
            <w:r w:rsidRPr="00C7413B">
              <w:rPr>
                <w:rFonts w:ascii="Arial" w:hAnsi="Arial" w:cs="Arial"/>
                <w:sz w:val="18"/>
                <w:szCs w:val="18"/>
              </w:rPr>
              <w:t xml:space="preserve">$0 </w:t>
            </w:r>
          </w:p>
        </w:tc>
        <w:tc>
          <w:tcPr>
            <w:tcW w:w="1566" w:type="dxa"/>
            <w:tcBorders>
              <w:top w:val="nil"/>
              <w:left w:val="nil"/>
              <w:bottom w:val="single" w:color="000000" w:sz="4" w:space="0"/>
              <w:right w:val="single" w:color="000000" w:sz="4" w:space="0"/>
            </w:tcBorders>
            <w:shd w:val="clear" w:color="auto" w:fill="auto"/>
            <w:noWrap/>
            <w:vAlign w:val="bottom"/>
            <w:hideMark/>
          </w:tcPr>
          <w:p w:rsidRPr="00C7413B" w:rsidR="00042A8F" w:rsidP="00255572" w:rsidRDefault="00935BC0" w14:paraId="0B31E065" w14:textId="0CD2C4B5">
            <w:pPr>
              <w:jc w:val="right"/>
              <w:rPr>
                <w:rFonts w:ascii="Arial" w:hAnsi="Arial" w:cs="Arial"/>
                <w:sz w:val="18"/>
                <w:szCs w:val="18"/>
              </w:rPr>
            </w:pPr>
            <w:r w:rsidRPr="00C7413B">
              <w:rPr>
                <w:rFonts w:ascii="Arial" w:hAnsi="Arial" w:cs="Arial"/>
                <w:sz w:val="18"/>
                <w:szCs w:val="18"/>
              </w:rPr>
              <w:t>20</w:t>
            </w:r>
          </w:p>
        </w:tc>
        <w:tc>
          <w:tcPr>
            <w:tcW w:w="1103" w:type="dxa"/>
            <w:tcBorders>
              <w:top w:val="nil"/>
              <w:left w:val="nil"/>
              <w:bottom w:val="single" w:color="000000" w:sz="4" w:space="0"/>
              <w:right w:val="single" w:color="000000" w:sz="4" w:space="0"/>
            </w:tcBorders>
            <w:shd w:val="clear" w:color="auto" w:fill="auto"/>
            <w:noWrap/>
            <w:vAlign w:val="bottom"/>
            <w:hideMark/>
          </w:tcPr>
          <w:p w:rsidRPr="00C7413B" w:rsidR="00042A8F" w:rsidP="00255572" w:rsidRDefault="002D5EC8" w14:paraId="137A272F" w14:textId="0CD113E6">
            <w:pPr>
              <w:jc w:val="right"/>
              <w:rPr>
                <w:rFonts w:ascii="Arial" w:hAnsi="Arial" w:cs="Arial"/>
                <w:sz w:val="18"/>
                <w:szCs w:val="18"/>
              </w:rPr>
            </w:pPr>
            <w:r w:rsidRPr="00C7413B">
              <w:rPr>
                <w:rFonts w:ascii="Arial" w:hAnsi="Arial" w:cs="Arial"/>
                <w:sz w:val="18"/>
                <w:szCs w:val="18"/>
              </w:rPr>
              <w:t>40</w:t>
            </w:r>
          </w:p>
        </w:tc>
        <w:tc>
          <w:tcPr>
            <w:tcW w:w="1464" w:type="dxa"/>
            <w:tcBorders>
              <w:top w:val="nil"/>
              <w:left w:val="nil"/>
              <w:bottom w:val="single" w:color="000000" w:sz="4" w:space="0"/>
              <w:right w:val="single" w:color="000000" w:sz="4" w:space="0"/>
            </w:tcBorders>
            <w:shd w:val="clear" w:color="auto" w:fill="auto"/>
            <w:noWrap/>
            <w:vAlign w:val="bottom"/>
            <w:hideMark/>
          </w:tcPr>
          <w:p w:rsidRPr="00C7413B" w:rsidR="00042A8F" w:rsidP="00255572" w:rsidRDefault="00042A8F" w14:paraId="503DFB28" w14:textId="4093EB99">
            <w:pPr>
              <w:jc w:val="right"/>
              <w:rPr>
                <w:rFonts w:ascii="Arial" w:hAnsi="Arial" w:cs="Arial"/>
                <w:sz w:val="18"/>
                <w:szCs w:val="18"/>
              </w:rPr>
            </w:pPr>
            <w:r w:rsidRPr="00C7413B">
              <w:rPr>
                <w:rFonts w:ascii="Arial" w:hAnsi="Arial" w:cs="Arial"/>
                <w:sz w:val="18"/>
                <w:szCs w:val="18"/>
              </w:rPr>
              <w:t>$</w:t>
            </w:r>
            <w:r w:rsidRPr="00C7413B" w:rsidR="002D5EC8">
              <w:rPr>
                <w:rFonts w:ascii="Arial" w:hAnsi="Arial" w:cs="Arial"/>
                <w:sz w:val="18"/>
                <w:szCs w:val="18"/>
              </w:rPr>
              <w:t>2,3</w:t>
            </w:r>
            <w:r w:rsidRPr="00C7413B" w:rsidR="00AE290B">
              <w:rPr>
                <w:rFonts w:ascii="Arial" w:hAnsi="Arial" w:cs="Arial"/>
                <w:sz w:val="18"/>
                <w:szCs w:val="18"/>
              </w:rPr>
              <w:t>80</w:t>
            </w:r>
          </w:p>
        </w:tc>
      </w:tr>
      <w:tr w:rsidRPr="00C7413B" w:rsidR="00255572" w:rsidTr="00EE4C75" w14:paraId="219BAA1E" w14:textId="77777777">
        <w:trPr>
          <w:trHeight w:val="120"/>
          <w:jc w:val="center"/>
        </w:trPr>
        <w:tc>
          <w:tcPr>
            <w:tcW w:w="1606" w:type="dxa"/>
            <w:tcBorders>
              <w:top w:val="nil"/>
              <w:left w:val="single" w:color="auto" w:sz="4" w:space="0"/>
              <w:bottom w:val="nil"/>
              <w:right w:val="nil"/>
            </w:tcBorders>
            <w:shd w:val="clear" w:color="000000" w:fill="000000"/>
            <w:noWrap/>
            <w:vAlign w:val="bottom"/>
            <w:hideMark/>
          </w:tcPr>
          <w:p w:rsidRPr="00C7413B" w:rsidR="00042A8F" w:rsidP="00255572" w:rsidRDefault="00042A8F" w14:paraId="47B439E3" w14:textId="77777777">
            <w:pPr>
              <w:rPr>
                <w:rFonts w:ascii="Arial" w:hAnsi="Arial" w:cs="Arial"/>
                <w:sz w:val="18"/>
                <w:szCs w:val="18"/>
              </w:rPr>
            </w:pPr>
            <w:r w:rsidRPr="00C7413B">
              <w:rPr>
                <w:rFonts w:ascii="Arial" w:hAnsi="Arial" w:cs="Arial"/>
                <w:sz w:val="18"/>
                <w:szCs w:val="18"/>
              </w:rPr>
              <w:t> </w:t>
            </w:r>
          </w:p>
        </w:tc>
        <w:tc>
          <w:tcPr>
            <w:tcW w:w="1201" w:type="dxa"/>
            <w:tcBorders>
              <w:top w:val="nil"/>
              <w:left w:val="nil"/>
              <w:bottom w:val="nil"/>
              <w:right w:val="nil"/>
            </w:tcBorders>
            <w:shd w:val="clear" w:color="000000" w:fill="000000"/>
            <w:noWrap/>
            <w:vAlign w:val="bottom"/>
            <w:hideMark/>
          </w:tcPr>
          <w:p w:rsidRPr="00C7413B" w:rsidR="00042A8F" w:rsidP="00255572" w:rsidRDefault="00042A8F" w14:paraId="681D9301" w14:textId="77777777">
            <w:pPr>
              <w:rPr>
                <w:rFonts w:ascii="Arial" w:hAnsi="Arial" w:cs="Arial"/>
                <w:sz w:val="18"/>
                <w:szCs w:val="18"/>
              </w:rPr>
            </w:pPr>
            <w:r w:rsidRPr="00C7413B">
              <w:rPr>
                <w:rFonts w:ascii="Arial" w:hAnsi="Arial" w:cs="Arial"/>
                <w:sz w:val="18"/>
                <w:szCs w:val="18"/>
              </w:rPr>
              <w:t> </w:t>
            </w:r>
          </w:p>
        </w:tc>
        <w:tc>
          <w:tcPr>
            <w:tcW w:w="1325" w:type="dxa"/>
            <w:tcBorders>
              <w:top w:val="nil"/>
              <w:left w:val="nil"/>
              <w:bottom w:val="nil"/>
              <w:right w:val="nil"/>
            </w:tcBorders>
            <w:shd w:val="clear" w:color="000000" w:fill="000000"/>
            <w:noWrap/>
            <w:vAlign w:val="bottom"/>
            <w:hideMark/>
          </w:tcPr>
          <w:p w:rsidRPr="00C7413B" w:rsidR="00042A8F" w:rsidP="00255572" w:rsidRDefault="00042A8F" w14:paraId="519D6986" w14:textId="77777777">
            <w:pPr>
              <w:rPr>
                <w:rFonts w:ascii="Arial" w:hAnsi="Arial" w:cs="Arial"/>
                <w:sz w:val="18"/>
                <w:szCs w:val="18"/>
              </w:rPr>
            </w:pPr>
            <w:r w:rsidRPr="00C7413B">
              <w:rPr>
                <w:rFonts w:ascii="Arial" w:hAnsi="Arial" w:cs="Arial"/>
                <w:sz w:val="18"/>
                <w:szCs w:val="18"/>
              </w:rPr>
              <w:t> </w:t>
            </w:r>
          </w:p>
        </w:tc>
        <w:tc>
          <w:tcPr>
            <w:tcW w:w="1180" w:type="dxa"/>
            <w:tcBorders>
              <w:top w:val="nil"/>
              <w:left w:val="nil"/>
              <w:bottom w:val="nil"/>
              <w:right w:val="nil"/>
            </w:tcBorders>
            <w:shd w:val="clear" w:color="000000" w:fill="000000"/>
            <w:noWrap/>
            <w:vAlign w:val="bottom"/>
            <w:hideMark/>
          </w:tcPr>
          <w:p w:rsidRPr="00C7413B" w:rsidR="00042A8F" w:rsidP="00255572" w:rsidRDefault="00042A8F" w14:paraId="1EE6238E" w14:textId="77777777">
            <w:pPr>
              <w:rPr>
                <w:rFonts w:ascii="Arial" w:hAnsi="Arial" w:cs="Arial"/>
                <w:sz w:val="18"/>
                <w:szCs w:val="18"/>
              </w:rPr>
            </w:pPr>
            <w:r w:rsidRPr="00C7413B">
              <w:rPr>
                <w:rFonts w:ascii="Arial" w:hAnsi="Arial" w:cs="Arial"/>
                <w:sz w:val="18"/>
                <w:szCs w:val="18"/>
              </w:rPr>
              <w:t> </w:t>
            </w:r>
          </w:p>
        </w:tc>
        <w:tc>
          <w:tcPr>
            <w:tcW w:w="1566" w:type="dxa"/>
            <w:tcBorders>
              <w:top w:val="nil"/>
              <w:left w:val="nil"/>
              <w:bottom w:val="nil"/>
              <w:right w:val="nil"/>
            </w:tcBorders>
            <w:shd w:val="clear" w:color="000000" w:fill="000000"/>
            <w:noWrap/>
            <w:vAlign w:val="bottom"/>
            <w:hideMark/>
          </w:tcPr>
          <w:p w:rsidRPr="00C7413B" w:rsidR="00042A8F" w:rsidP="00255572" w:rsidRDefault="00042A8F" w14:paraId="7DEECB4F" w14:textId="77777777">
            <w:pPr>
              <w:rPr>
                <w:rFonts w:ascii="Arial" w:hAnsi="Arial" w:cs="Arial"/>
                <w:sz w:val="18"/>
                <w:szCs w:val="18"/>
              </w:rPr>
            </w:pPr>
            <w:r w:rsidRPr="00C7413B">
              <w:rPr>
                <w:rFonts w:ascii="Arial" w:hAnsi="Arial" w:cs="Arial"/>
                <w:sz w:val="18"/>
                <w:szCs w:val="18"/>
              </w:rPr>
              <w:t> </w:t>
            </w:r>
          </w:p>
        </w:tc>
        <w:tc>
          <w:tcPr>
            <w:tcW w:w="1103" w:type="dxa"/>
            <w:tcBorders>
              <w:top w:val="nil"/>
              <w:left w:val="nil"/>
              <w:bottom w:val="nil"/>
              <w:right w:val="nil"/>
            </w:tcBorders>
            <w:shd w:val="clear" w:color="000000" w:fill="000000"/>
            <w:noWrap/>
            <w:vAlign w:val="bottom"/>
            <w:hideMark/>
          </w:tcPr>
          <w:p w:rsidRPr="00C7413B" w:rsidR="00042A8F" w:rsidP="00255572" w:rsidRDefault="00042A8F" w14:paraId="4CFA95E7" w14:textId="77777777">
            <w:pPr>
              <w:rPr>
                <w:rFonts w:ascii="Arial" w:hAnsi="Arial" w:cs="Arial"/>
                <w:sz w:val="18"/>
                <w:szCs w:val="18"/>
              </w:rPr>
            </w:pPr>
            <w:r w:rsidRPr="00C7413B">
              <w:rPr>
                <w:rFonts w:ascii="Arial" w:hAnsi="Arial" w:cs="Arial"/>
                <w:sz w:val="18"/>
                <w:szCs w:val="18"/>
              </w:rPr>
              <w:t> </w:t>
            </w:r>
          </w:p>
        </w:tc>
        <w:tc>
          <w:tcPr>
            <w:tcW w:w="1464" w:type="dxa"/>
            <w:tcBorders>
              <w:top w:val="nil"/>
              <w:left w:val="nil"/>
              <w:bottom w:val="nil"/>
              <w:right w:val="nil"/>
            </w:tcBorders>
            <w:shd w:val="clear" w:color="000000" w:fill="000000"/>
            <w:noWrap/>
            <w:vAlign w:val="bottom"/>
            <w:hideMark/>
          </w:tcPr>
          <w:p w:rsidRPr="00C7413B" w:rsidR="00042A8F" w:rsidP="00255572" w:rsidRDefault="00042A8F" w14:paraId="445590AA" w14:textId="77777777">
            <w:pPr>
              <w:rPr>
                <w:rFonts w:ascii="Arial" w:hAnsi="Arial" w:cs="Arial"/>
                <w:sz w:val="18"/>
                <w:szCs w:val="18"/>
              </w:rPr>
            </w:pPr>
            <w:r w:rsidRPr="00C7413B">
              <w:rPr>
                <w:rFonts w:ascii="Arial" w:hAnsi="Arial" w:cs="Arial"/>
                <w:sz w:val="18"/>
                <w:szCs w:val="18"/>
              </w:rPr>
              <w:t> </w:t>
            </w:r>
          </w:p>
        </w:tc>
      </w:tr>
      <w:tr w:rsidRPr="00C7413B" w:rsidR="00255572" w:rsidTr="00EE4C75" w14:paraId="11B8D810" w14:textId="77777777">
        <w:trPr>
          <w:trHeight w:val="467"/>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bottom"/>
            <w:hideMark/>
          </w:tcPr>
          <w:p w:rsidRPr="00C7413B" w:rsidR="00042A8F" w:rsidP="00255572" w:rsidRDefault="00042A8F" w14:paraId="6BDA0B00" w14:textId="77777777">
            <w:pPr>
              <w:jc w:val="right"/>
              <w:rPr>
                <w:rFonts w:ascii="Arial" w:hAnsi="Arial" w:cs="Arial"/>
                <w:sz w:val="18"/>
                <w:szCs w:val="18"/>
              </w:rPr>
            </w:pPr>
            <w:r w:rsidRPr="00C7413B">
              <w:rPr>
                <w:rFonts w:ascii="Arial" w:hAnsi="Arial" w:cs="Arial"/>
                <w:b/>
                <w:bCs/>
                <w:sz w:val="18"/>
                <w:szCs w:val="18"/>
              </w:rPr>
              <w:t>TOTAL</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C7413B" w:rsidR="00042A8F" w:rsidP="00255572" w:rsidRDefault="00042A8F" w14:paraId="26E4F17E" w14:textId="77777777">
            <w:pPr>
              <w:jc w:val="right"/>
              <w:rPr>
                <w:rFonts w:ascii="Arial" w:hAnsi="Arial" w:cs="Arial"/>
                <w:sz w:val="18"/>
                <w:szCs w:val="18"/>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C7413B" w:rsidR="00042A8F" w:rsidP="00EE4C75" w:rsidRDefault="003876BE" w14:paraId="3811373B" w14:textId="132ED753">
            <w:pPr>
              <w:ind w:left="0" w:firstLine="0"/>
              <w:jc w:val="right"/>
              <w:rPr>
                <w:rFonts w:ascii="Arial" w:hAnsi="Arial" w:cs="Arial"/>
                <w:sz w:val="18"/>
                <w:szCs w:val="18"/>
              </w:rPr>
            </w:pPr>
            <w:r w:rsidRPr="00C7413B">
              <w:rPr>
                <w:rFonts w:ascii="Arial" w:hAnsi="Arial" w:cs="Arial"/>
                <w:sz w:val="18"/>
                <w:szCs w:val="18"/>
              </w:rPr>
              <w:t>$</w:t>
            </w:r>
            <w:r w:rsidRPr="00C7413B" w:rsidR="00AF1D91">
              <w:rPr>
                <w:rFonts w:ascii="Arial" w:hAnsi="Arial" w:cs="Arial"/>
                <w:sz w:val="18"/>
                <w:szCs w:val="18"/>
              </w:rPr>
              <w:t>5</w:t>
            </w:r>
            <w:r w:rsidRPr="00C7413B" w:rsidR="00FB60A5">
              <w:rPr>
                <w:rFonts w:ascii="Arial" w:hAnsi="Arial" w:cs="Arial"/>
                <w:sz w:val="18"/>
                <w:szCs w:val="18"/>
              </w:rPr>
              <w:t>93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C7413B" w:rsidR="00042A8F" w:rsidP="00255572" w:rsidRDefault="00042A8F" w14:paraId="07809EB7" w14:textId="6E14B7DE">
            <w:pPr>
              <w:jc w:val="right"/>
              <w:rPr>
                <w:rFonts w:ascii="Arial" w:hAnsi="Arial" w:cs="Arial"/>
                <w:sz w:val="18"/>
                <w:szCs w:val="18"/>
              </w:rPr>
            </w:pPr>
          </w:p>
        </w:tc>
        <w:tc>
          <w:tcPr>
            <w:tcW w:w="1566" w:type="dxa"/>
            <w:tcBorders>
              <w:top w:val="single" w:color="000000" w:sz="4" w:space="0"/>
              <w:left w:val="nil"/>
              <w:bottom w:val="single" w:color="000000" w:sz="4" w:space="0"/>
              <w:right w:val="single" w:color="000000" w:sz="4" w:space="0"/>
            </w:tcBorders>
            <w:shd w:val="clear" w:color="auto" w:fill="auto"/>
            <w:noWrap/>
            <w:vAlign w:val="bottom"/>
            <w:hideMark/>
          </w:tcPr>
          <w:p w:rsidRPr="00C7413B" w:rsidR="00042A8F" w:rsidP="00255572" w:rsidRDefault="00042A8F" w14:paraId="6C558282" w14:textId="77777777">
            <w:pPr>
              <w:jc w:val="right"/>
              <w:rPr>
                <w:rFonts w:ascii="Arial" w:hAnsi="Arial" w:cs="Arial"/>
                <w:sz w:val="18"/>
                <w:szCs w:val="18"/>
              </w:rPr>
            </w:pPr>
            <w:r w:rsidRPr="00C7413B">
              <w:rPr>
                <w:rFonts w:ascii="Arial" w:hAnsi="Arial" w:cs="Arial"/>
                <w:sz w:val="18"/>
                <w:szCs w:val="18"/>
              </w:rPr>
              <w:t xml:space="preserve">51 </w:t>
            </w:r>
          </w:p>
        </w:tc>
        <w:tc>
          <w:tcPr>
            <w:tcW w:w="1103" w:type="dxa"/>
            <w:tcBorders>
              <w:top w:val="single" w:color="000000" w:sz="4" w:space="0"/>
              <w:left w:val="nil"/>
              <w:bottom w:val="single" w:color="000000" w:sz="4" w:space="0"/>
              <w:right w:val="single" w:color="000000" w:sz="4" w:space="0"/>
            </w:tcBorders>
            <w:shd w:val="clear" w:color="auto" w:fill="auto"/>
            <w:noWrap/>
            <w:vAlign w:val="bottom"/>
            <w:hideMark/>
          </w:tcPr>
          <w:p w:rsidRPr="00C7413B" w:rsidR="00042A8F" w:rsidP="00255572" w:rsidRDefault="00005CAF" w14:paraId="277C9FA0" w14:textId="70217D25">
            <w:pPr>
              <w:jc w:val="right"/>
              <w:rPr>
                <w:rFonts w:ascii="Arial" w:hAnsi="Arial" w:cs="Arial"/>
                <w:sz w:val="18"/>
                <w:szCs w:val="18"/>
              </w:rPr>
            </w:pPr>
            <w:r w:rsidRPr="00C7413B">
              <w:rPr>
                <w:rFonts w:ascii="Arial" w:hAnsi="Arial" w:cs="Arial"/>
                <w:sz w:val="18"/>
                <w:szCs w:val="18"/>
              </w:rPr>
              <w:t>288</w:t>
            </w:r>
          </w:p>
        </w:tc>
        <w:tc>
          <w:tcPr>
            <w:tcW w:w="1464" w:type="dxa"/>
            <w:tcBorders>
              <w:top w:val="single" w:color="000000" w:sz="4" w:space="0"/>
              <w:left w:val="nil"/>
              <w:bottom w:val="single" w:color="000000" w:sz="4" w:space="0"/>
              <w:right w:val="single" w:color="000000" w:sz="4" w:space="0"/>
            </w:tcBorders>
            <w:shd w:val="clear" w:color="auto" w:fill="auto"/>
            <w:noWrap/>
            <w:vAlign w:val="bottom"/>
            <w:hideMark/>
          </w:tcPr>
          <w:p w:rsidRPr="00C7413B" w:rsidR="00042A8F" w:rsidP="00255572" w:rsidRDefault="00042A8F" w14:paraId="73049444" w14:textId="63933510">
            <w:pPr>
              <w:jc w:val="right"/>
              <w:rPr>
                <w:rFonts w:ascii="Arial" w:hAnsi="Arial" w:cs="Arial"/>
                <w:sz w:val="18"/>
                <w:szCs w:val="18"/>
              </w:rPr>
            </w:pPr>
            <w:r w:rsidRPr="00C7413B">
              <w:rPr>
                <w:rFonts w:ascii="Arial" w:hAnsi="Arial" w:cs="Arial"/>
                <w:sz w:val="18"/>
                <w:szCs w:val="18"/>
              </w:rPr>
              <w:t>$</w:t>
            </w:r>
            <w:r w:rsidRPr="00C7413B" w:rsidR="00AE290B">
              <w:rPr>
                <w:rFonts w:ascii="Arial" w:hAnsi="Arial" w:cs="Arial"/>
                <w:sz w:val="18"/>
                <w:szCs w:val="18"/>
              </w:rPr>
              <w:t>17,074</w:t>
            </w:r>
          </w:p>
        </w:tc>
      </w:tr>
    </w:tbl>
    <w:p w:rsidRPr="00C7413B" w:rsidR="00042A8F" w:rsidP="004D2814" w:rsidRDefault="00042A8F" w14:paraId="7B458BE4" w14:textId="7DBBB143">
      <w:pPr>
        <w:pStyle w:val="SectionHeading2"/>
        <w:ind w:left="0"/>
      </w:pPr>
    </w:p>
    <w:p w:rsidRPr="00C7413B" w:rsidR="004D2814" w:rsidP="004D2814" w:rsidRDefault="004D2814" w14:paraId="248C567F" w14:textId="77777777">
      <w:pPr>
        <w:pStyle w:val="SectionHeading2"/>
        <w:ind w:left="0"/>
      </w:pPr>
    </w:p>
    <w:p w:rsidRPr="00C7413B" w:rsidR="00042A8F" w:rsidP="00042A8F" w:rsidRDefault="00042A8F" w14:paraId="36149EDE" w14:textId="77777777">
      <w:pPr>
        <w:pStyle w:val="SectionHeading2"/>
      </w:pPr>
      <w:r w:rsidRPr="00C7413B">
        <w:t>6(b)</w:t>
      </w:r>
      <w:r w:rsidRPr="00C7413B">
        <w:tab/>
        <w:t>Estimating Respondent Costs</w:t>
      </w:r>
    </w:p>
    <w:p w:rsidRPr="00C7413B" w:rsidR="00042A8F" w:rsidP="00042A8F" w:rsidRDefault="00042A8F" w14:paraId="501F79FF" w14:textId="77777777">
      <w:pPr>
        <w:rPr>
          <w:szCs w:val="24"/>
        </w:rPr>
      </w:pPr>
    </w:p>
    <w:p w:rsidRPr="00C7413B" w:rsidR="00042A8F" w:rsidP="005878FD" w:rsidRDefault="00042A8F" w14:paraId="62981330" w14:textId="651ADD4F">
      <w:pPr>
        <w:pStyle w:val="Default"/>
      </w:pPr>
      <w:r w:rsidRPr="00C7413B">
        <w:tab/>
        <w:t>EPA estimates that, over the next three years, the total annual labor cost per state associated with this information collection is $</w:t>
      </w:r>
      <w:r w:rsidRPr="00C7413B" w:rsidR="00AF1D91">
        <w:t>5</w:t>
      </w:r>
      <w:r w:rsidRPr="00C7413B" w:rsidR="00246DA1">
        <w:t>93</w:t>
      </w:r>
      <w:r w:rsidRPr="00C7413B" w:rsidR="00AF1D91">
        <w:t xml:space="preserve"> </w:t>
      </w:r>
      <w:r w:rsidRPr="00C7413B">
        <w:t>(see Column B of Exhibit 6-1). For this ICR, EPA assumed that the average hourly labor rate for a state employee is $</w:t>
      </w:r>
      <w:r w:rsidRPr="00C7413B" w:rsidR="00B64E3B">
        <w:t>59.34</w:t>
      </w:r>
      <w:r w:rsidRPr="00C7413B">
        <w:t xml:space="preserve">. This estimate is </w:t>
      </w:r>
      <w:r w:rsidRPr="00C7413B">
        <w:lastRenderedPageBreak/>
        <w:t>based on a federal GS12, Step 5 on the Office of Personnel Management’s “</w:t>
      </w:r>
      <w:r w:rsidRPr="00C7413B" w:rsidR="00FB6868">
        <w:t>Salary Table 202</w:t>
      </w:r>
      <w:r w:rsidRPr="00C7413B" w:rsidR="00B64E3B">
        <w:t>2</w:t>
      </w:r>
      <w:r w:rsidRPr="00C7413B" w:rsidR="00FB6868">
        <w:t xml:space="preserve">-GS Incorporating the </w:t>
      </w:r>
      <w:r w:rsidRPr="00C7413B" w:rsidR="00B64E3B">
        <w:t>2.2</w:t>
      </w:r>
      <w:r w:rsidRPr="00C7413B" w:rsidR="00FB6868">
        <w:t>% General Schedule Increase Effective January 202</w:t>
      </w:r>
      <w:r w:rsidRPr="00C7413B" w:rsidR="00B64E3B">
        <w:t>2</w:t>
      </w:r>
      <w:r w:rsidRPr="00C7413B" w:rsidR="00FB6868">
        <w:t>,”</w:t>
      </w:r>
      <w:r w:rsidRPr="00C7413B">
        <w:t xml:space="preserve"> ($</w:t>
      </w:r>
      <w:r w:rsidRPr="00C7413B" w:rsidR="00B64E3B">
        <w:t>37.09</w:t>
      </w:r>
      <w:r w:rsidRPr="00C7413B">
        <w:t xml:space="preserve">) increased by 60 percent to account for overhead costs. (This is the inflation factor recommended in EPA’s </w:t>
      </w:r>
      <w:r w:rsidRPr="00C7413B">
        <w:rPr>
          <w:i/>
        </w:rPr>
        <w:t>ICR Handbook</w:t>
      </w:r>
      <w:r w:rsidRPr="00C7413B">
        <w:t>).</w:t>
      </w:r>
    </w:p>
    <w:p w:rsidRPr="00C7413B" w:rsidR="00042A8F" w:rsidP="00042A8F" w:rsidRDefault="00042A8F" w14:paraId="7F24F352" w14:textId="77777777">
      <w:pPr>
        <w:rPr>
          <w:szCs w:val="24"/>
        </w:rPr>
      </w:pPr>
    </w:p>
    <w:p w:rsidRPr="00C7413B" w:rsidR="00042A8F" w:rsidP="00042A8F" w:rsidRDefault="00042A8F" w14:paraId="47979DA7" w14:textId="77777777">
      <w:pPr>
        <w:rPr>
          <w:szCs w:val="24"/>
        </w:rPr>
      </w:pPr>
      <w:r w:rsidRPr="00C7413B">
        <w:rPr>
          <w:szCs w:val="24"/>
        </w:rPr>
        <w:tab/>
        <w:t xml:space="preserve">There are no non-labor (capital or operation and maintenance) costs associated with this information collection. See Columns C through E of Exhibit 6-1.  </w:t>
      </w:r>
      <w:bookmarkStart w:name="OLE_LINK1" w:id="1"/>
      <w:bookmarkStart w:name="OLE_LINK2" w:id="2"/>
    </w:p>
    <w:p w:rsidRPr="00C7413B" w:rsidR="00042A8F" w:rsidP="00042A8F" w:rsidRDefault="00042A8F" w14:paraId="1E87FC17" w14:textId="77777777">
      <w:pPr>
        <w:rPr>
          <w:szCs w:val="24"/>
        </w:rPr>
      </w:pPr>
    </w:p>
    <w:bookmarkEnd w:id="1"/>
    <w:bookmarkEnd w:id="2"/>
    <w:p w:rsidRPr="00C7413B" w:rsidR="00042A8F" w:rsidP="00042A8F" w:rsidRDefault="00042A8F" w14:paraId="61DED1D3" w14:textId="77777777">
      <w:pPr>
        <w:pStyle w:val="SectionHeading2"/>
      </w:pPr>
      <w:r w:rsidRPr="00C7413B">
        <w:t>6(c)</w:t>
      </w:r>
      <w:r w:rsidRPr="00C7413B">
        <w:tab/>
        <w:t>Estimating Agency Burden and Cost</w:t>
      </w:r>
    </w:p>
    <w:p w:rsidRPr="00C7413B" w:rsidR="00042A8F" w:rsidP="00042A8F" w:rsidRDefault="00042A8F" w14:paraId="3C2472D4" w14:textId="77777777">
      <w:pPr>
        <w:rPr>
          <w:szCs w:val="24"/>
        </w:rPr>
      </w:pPr>
    </w:p>
    <w:p w:rsidRPr="00C7413B" w:rsidR="00042A8F" w:rsidP="00042A8F" w:rsidRDefault="00042A8F" w14:paraId="5D560D6C" w14:textId="77777777">
      <w:pPr>
        <w:rPr>
          <w:szCs w:val="24"/>
        </w:rPr>
      </w:pPr>
      <w:r w:rsidRPr="00C7413B">
        <w:rPr>
          <w:szCs w:val="24"/>
        </w:rPr>
        <w:tab/>
        <w:t>The federal burden associated with prevention strategy implementation during this clearance period includes the time spent by EPA Regional and Headquarters staff to collect and analyze state measures data and report on findings. Federal burden and cost are presented in Columns A through F of Exhibit 6-2.</w:t>
      </w:r>
    </w:p>
    <w:p w:rsidRPr="00C7413B" w:rsidR="00042A8F" w:rsidP="00042A8F" w:rsidRDefault="00042A8F" w14:paraId="494DE357" w14:textId="77777777">
      <w:pPr>
        <w:rPr>
          <w:szCs w:val="24"/>
        </w:rPr>
      </w:pPr>
    </w:p>
    <w:p w:rsidRPr="00C7413B" w:rsidR="00042A8F" w:rsidP="00042A8F" w:rsidRDefault="00042A8F" w14:paraId="4C176B27" w14:textId="4796A323">
      <w:pPr>
        <w:rPr>
          <w:szCs w:val="24"/>
        </w:rPr>
      </w:pPr>
      <w:r w:rsidRPr="00C7413B">
        <w:rPr>
          <w:szCs w:val="24"/>
        </w:rPr>
        <w:tab/>
        <w:t xml:space="preserve">In the three years of this collection, EPA estimates that Headquarters and the Regions will spend </w:t>
      </w:r>
      <w:r w:rsidRPr="00C7413B" w:rsidR="000B421D">
        <w:rPr>
          <w:szCs w:val="24"/>
        </w:rPr>
        <w:t xml:space="preserve">204 </w:t>
      </w:r>
      <w:r w:rsidRPr="00C7413B">
        <w:rPr>
          <w:szCs w:val="24"/>
        </w:rPr>
        <w:t xml:space="preserve">hours per year compiling protection data. EPA assumes that each Region will spend approximately </w:t>
      </w:r>
      <w:r w:rsidRPr="00C7413B" w:rsidR="000B421D">
        <w:rPr>
          <w:szCs w:val="24"/>
        </w:rPr>
        <w:t xml:space="preserve">20 </w:t>
      </w:r>
      <w:r w:rsidRPr="00C7413B">
        <w:rPr>
          <w:szCs w:val="24"/>
        </w:rPr>
        <w:t>hours per year (</w:t>
      </w:r>
      <w:r w:rsidRPr="00C7413B" w:rsidR="000B421D">
        <w:rPr>
          <w:szCs w:val="24"/>
        </w:rPr>
        <w:t xml:space="preserve">200 </w:t>
      </w:r>
      <w:r w:rsidRPr="00C7413B">
        <w:rPr>
          <w:szCs w:val="24"/>
        </w:rPr>
        <w:t xml:space="preserve">hours total) gathering data from the states and submitting it to Headquarters. EPA estimates that Headquarters will devote </w:t>
      </w:r>
      <w:r w:rsidRPr="00C7413B" w:rsidR="00005CAF">
        <w:rPr>
          <w:szCs w:val="24"/>
        </w:rPr>
        <w:t>4</w:t>
      </w:r>
      <w:r w:rsidRPr="00C7413B" w:rsidR="0056589A">
        <w:rPr>
          <w:szCs w:val="24"/>
        </w:rPr>
        <w:t xml:space="preserve"> </w:t>
      </w:r>
      <w:r w:rsidRPr="00C7413B">
        <w:rPr>
          <w:szCs w:val="24"/>
        </w:rPr>
        <w:t>hours to collecting and analyzing regional data and discussing this data with the regions.</w:t>
      </w:r>
    </w:p>
    <w:p w:rsidRPr="00C7413B" w:rsidR="00042A8F" w:rsidP="00042A8F" w:rsidRDefault="00042A8F" w14:paraId="39769C3F" w14:textId="77777777"/>
    <w:p w:rsidRPr="00C7413B" w:rsidR="00042A8F" w:rsidP="00042A8F" w:rsidRDefault="00042A8F" w14:paraId="54BAED0B" w14:textId="77777777">
      <w:pPr>
        <w:spacing w:after="0" w:line="259" w:lineRule="auto"/>
        <w:ind w:left="1" w:firstLine="0"/>
      </w:pPr>
    </w:p>
    <w:p w:rsidRPr="00C7413B" w:rsidR="00042A8F" w:rsidP="00042A8F" w:rsidRDefault="00042A8F" w14:paraId="22249F0E" w14:textId="77777777">
      <w:pPr>
        <w:spacing w:after="0" w:line="259" w:lineRule="auto"/>
        <w:ind w:left="1" w:firstLine="0"/>
        <w:jc w:val="center"/>
      </w:pPr>
      <w:r w:rsidRPr="00C7413B">
        <w:rPr>
          <w:rFonts w:ascii="Arial" w:hAnsi="Arial" w:eastAsia="Arial" w:cs="Arial"/>
          <w:b/>
          <w:sz w:val="24"/>
        </w:rPr>
        <w:t>Exhibit 6-2</w:t>
      </w:r>
    </w:p>
    <w:p w:rsidRPr="00C7413B" w:rsidR="00042A8F" w:rsidP="00042A8F" w:rsidRDefault="00042A8F" w14:paraId="71F6B0AD" w14:textId="77777777">
      <w:pPr>
        <w:spacing w:after="0" w:line="259" w:lineRule="auto"/>
        <w:ind w:left="729" w:right="1"/>
        <w:jc w:val="center"/>
      </w:pPr>
      <w:r w:rsidRPr="00C7413B">
        <w:rPr>
          <w:rFonts w:ascii="Arial" w:hAnsi="Arial" w:eastAsia="Arial" w:cs="Arial"/>
          <w:b/>
          <w:sz w:val="24"/>
        </w:rPr>
        <w:t xml:space="preserve">Annual Agency Burden and Cost </w:t>
      </w:r>
    </w:p>
    <w:p w:rsidRPr="00C7413B" w:rsidR="00042A8F" w:rsidP="00042A8F" w:rsidRDefault="00042A8F" w14:paraId="1FE4DFD3" w14:textId="77777777">
      <w:pPr>
        <w:spacing w:after="0" w:line="259" w:lineRule="auto"/>
        <w:ind w:left="1" w:firstLine="0"/>
      </w:pPr>
      <w:r w:rsidRPr="00C7413B">
        <w:rPr>
          <w:sz w:val="24"/>
        </w:rPr>
        <w:t xml:space="preserve"> </w:t>
      </w:r>
    </w:p>
    <w:tbl>
      <w:tblPr>
        <w:tblStyle w:val="TableGrid"/>
        <w:tblW w:w="9353" w:type="dxa"/>
        <w:tblInd w:w="4" w:type="dxa"/>
        <w:tblCellMar>
          <w:top w:w="42" w:type="dxa"/>
          <w:left w:w="108" w:type="dxa"/>
          <w:bottom w:w="3" w:type="dxa"/>
          <w:right w:w="8" w:type="dxa"/>
        </w:tblCellMar>
        <w:tblLook w:val="04A0" w:firstRow="1" w:lastRow="0" w:firstColumn="1" w:lastColumn="0" w:noHBand="0" w:noVBand="1"/>
      </w:tblPr>
      <w:tblGrid>
        <w:gridCol w:w="1902"/>
        <w:gridCol w:w="1134"/>
        <w:gridCol w:w="1208"/>
        <w:gridCol w:w="1193"/>
        <w:gridCol w:w="1517"/>
        <w:gridCol w:w="86"/>
        <w:gridCol w:w="1061"/>
        <w:gridCol w:w="1252"/>
      </w:tblGrid>
      <w:tr w:rsidRPr="00C7413B" w:rsidR="00042A8F" w:rsidTr="00255572" w14:paraId="7932B172" w14:textId="77777777">
        <w:trPr>
          <w:trHeight w:val="283"/>
        </w:trPr>
        <w:tc>
          <w:tcPr>
            <w:tcW w:w="1986" w:type="dxa"/>
            <w:tcBorders>
              <w:top w:val="single" w:color="000000" w:sz="4" w:space="0"/>
              <w:left w:val="nil"/>
              <w:bottom w:val="single" w:color="000000" w:sz="4" w:space="0"/>
              <w:right w:val="nil"/>
            </w:tcBorders>
            <w:shd w:val="clear" w:color="auto" w:fill="000000"/>
          </w:tcPr>
          <w:p w:rsidRPr="00C7413B" w:rsidR="00042A8F" w:rsidP="00255572" w:rsidRDefault="00042A8F" w14:paraId="2A6B689C" w14:textId="77777777">
            <w:pPr>
              <w:spacing w:after="0" w:line="259" w:lineRule="auto"/>
              <w:ind w:left="1" w:firstLine="0"/>
            </w:pPr>
            <w:r w:rsidRPr="00C7413B">
              <w:rPr>
                <w:rFonts w:ascii="Arial" w:hAnsi="Arial" w:eastAsia="Arial" w:cs="Arial"/>
                <w:b/>
                <w:color w:val="FFFFFF"/>
                <w:sz w:val="24"/>
              </w:rPr>
              <w:t xml:space="preserve"> </w:t>
            </w:r>
          </w:p>
        </w:tc>
        <w:tc>
          <w:tcPr>
            <w:tcW w:w="3703" w:type="dxa"/>
            <w:gridSpan w:val="3"/>
            <w:tcBorders>
              <w:top w:val="single" w:color="000000" w:sz="4" w:space="0"/>
              <w:left w:val="nil"/>
              <w:bottom w:val="single" w:color="000000" w:sz="4" w:space="0"/>
              <w:right w:val="nil"/>
            </w:tcBorders>
            <w:shd w:val="clear" w:color="auto" w:fill="000000"/>
          </w:tcPr>
          <w:p w:rsidRPr="00C7413B" w:rsidR="00042A8F" w:rsidP="00255572" w:rsidRDefault="00042A8F" w14:paraId="75990308" w14:textId="77777777">
            <w:pPr>
              <w:tabs>
                <w:tab w:val="center" w:pos="480"/>
                <w:tab w:val="center" w:pos="1702"/>
                <w:tab w:val="center" w:pos="2964"/>
              </w:tabs>
              <w:spacing w:after="0" w:line="259" w:lineRule="auto"/>
              <w:ind w:left="0" w:firstLine="0"/>
            </w:pPr>
            <w:r w:rsidRPr="00C7413B">
              <w:rPr>
                <w:rFonts w:ascii="Calibri" w:hAnsi="Calibri" w:eastAsia="Calibri" w:cs="Calibri"/>
              </w:rPr>
              <w:tab/>
            </w:r>
            <w:r w:rsidRPr="00C7413B">
              <w:rPr>
                <w:rFonts w:ascii="Arial" w:hAnsi="Arial" w:eastAsia="Arial" w:cs="Arial"/>
                <w:b/>
                <w:color w:val="FFFFFF"/>
                <w:sz w:val="24"/>
              </w:rPr>
              <w:t xml:space="preserve">A </w:t>
            </w:r>
            <w:r w:rsidRPr="00C7413B">
              <w:rPr>
                <w:rFonts w:ascii="Arial" w:hAnsi="Arial" w:eastAsia="Arial" w:cs="Arial"/>
                <w:b/>
                <w:color w:val="FFFFFF"/>
                <w:sz w:val="24"/>
              </w:rPr>
              <w:tab/>
              <w:t xml:space="preserve">B </w:t>
            </w:r>
            <w:r w:rsidRPr="00C7413B">
              <w:rPr>
                <w:rFonts w:ascii="Arial" w:hAnsi="Arial" w:eastAsia="Arial" w:cs="Arial"/>
                <w:b/>
                <w:color w:val="FFFFFF"/>
                <w:sz w:val="24"/>
              </w:rPr>
              <w:tab/>
              <w:t xml:space="preserve">C </w:t>
            </w:r>
          </w:p>
        </w:tc>
        <w:tc>
          <w:tcPr>
            <w:tcW w:w="1292" w:type="dxa"/>
            <w:gridSpan w:val="2"/>
            <w:tcBorders>
              <w:top w:val="single" w:color="000000" w:sz="4" w:space="0"/>
              <w:left w:val="nil"/>
              <w:bottom w:val="single" w:color="000000" w:sz="4" w:space="0"/>
              <w:right w:val="nil"/>
            </w:tcBorders>
            <w:shd w:val="clear" w:color="auto" w:fill="000000"/>
          </w:tcPr>
          <w:p w:rsidRPr="00C7413B" w:rsidR="00042A8F" w:rsidP="00255572" w:rsidRDefault="00042A8F" w14:paraId="0A164C5C" w14:textId="77777777">
            <w:pPr>
              <w:spacing w:after="0" w:line="259" w:lineRule="auto"/>
              <w:ind w:left="0" w:right="96" w:firstLine="0"/>
              <w:jc w:val="center"/>
            </w:pPr>
            <w:r w:rsidRPr="00C7413B">
              <w:rPr>
                <w:rFonts w:ascii="Arial" w:hAnsi="Arial" w:eastAsia="Arial" w:cs="Arial"/>
                <w:b/>
                <w:color w:val="FFFFFF"/>
                <w:sz w:val="24"/>
              </w:rPr>
              <w:t xml:space="preserve">D </w:t>
            </w:r>
          </w:p>
        </w:tc>
        <w:tc>
          <w:tcPr>
            <w:tcW w:w="2371" w:type="dxa"/>
            <w:gridSpan w:val="2"/>
            <w:tcBorders>
              <w:top w:val="single" w:color="000000" w:sz="4" w:space="0"/>
              <w:left w:val="nil"/>
              <w:bottom w:val="single" w:color="000000" w:sz="4" w:space="0"/>
              <w:right w:val="nil"/>
            </w:tcBorders>
            <w:shd w:val="clear" w:color="auto" w:fill="000000"/>
          </w:tcPr>
          <w:p w:rsidRPr="00C7413B" w:rsidR="00042A8F" w:rsidP="00255572" w:rsidRDefault="00042A8F" w14:paraId="147C220B" w14:textId="77777777">
            <w:pPr>
              <w:tabs>
                <w:tab w:val="center" w:pos="446"/>
                <w:tab w:val="center" w:pos="1630"/>
              </w:tabs>
              <w:spacing w:after="0" w:line="259" w:lineRule="auto"/>
              <w:ind w:left="0" w:firstLine="0"/>
            </w:pPr>
            <w:r w:rsidRPr="00C7413B">
              <w:rPr>
                <w:rFonts w:ascii="Calibri" w:hAnsi="Calibri" w:eastAsia="Calibri" w:cs="Calibri"/>
              </w:rPr>
              <w:tab/>
            </w:r>
            <w:r w:rsidRPr="00C7413B">
              <w:rPr>
                <w:rFonts w:ascii="Arial" w:hAnsi="Arial" w:eastAsia="Arial" w:cs="Arial"/>
                <w:b/>
                <w:color w:val="FFFFFF"/>
                <w:sz w:val="24"/>
              </w:rPr>
              <w:t xml:space="preserve">E </w:t>
            </w:r>
            <w:r w:rsidRPr="00C7413B">
              <w:rPr>
                <w:rFonts w:ascii="Arial" w:hAnsi="Arial" w:eastAsia="Arial" w:cs="Arial"/>
                <w:b/>
                <w:color w:val="FFFFFF"/>
                <w:sz w:val="24"/>
              </w:rPr>
              <w:tab/>
              <w:t xml:space="preserve">F </w:t>
            </w:r>
          </w:p>
        </w:tc>
      </w:tr>
      <w:tr w:rsidRPr="00C7413B" w:rsidR="00042A8F" w:rsidTr="00255572" w14:paraId="37DE3669" w14:textId="77777777">
        <w:trPr>
          <w:trHeight w:val="241"/>
        </w:trPr>
        <w:tc>
          <w:tcPr>
            <w:tcW w:w="1986" w:type="dxa"/>
            <w:tcBorders>
              <w:top w:val="single" w:color="000000" w:sz="4" w:space="0"/>
              <w:left w:val="single" w:color="000000" w:sz="4" w:space="0"/>
              <w:bottom w:val="single" w:color="000000" w:sz="4" w:space="0"/>
              <w:right w:val="single" w:color="000000" w:sz="4" w:space="0"/>
            </w:tcBorders>
          </w:tcPr>
          <w:p w:rsidRPr="00C7413B" w:rsidR="00042A8F" w:rsidP="00255572" w:rsidRDefault="00042A8F" w14:paraId="28CE5E1F" w14:textId="77777777">
            <w:pPr>
              <w:spacing w:after="0" w:line="259" w:lineRule="auto"/>
              <w:ind w:left="1" w:firstLine="0"/>
            </w:pPr>
            <w:r w:rsidRPr="00C7413B">
              <w:rPr>
                <w:rFonts w:ascii="Arial" w:hAnsi="Arial" w:eastAsia="Arial" w:cs="Arial"/>
                <w:sz w:val="20"/>
              </w:rPr>
              <w:t xml:space="preserve"> </w:t>
            </w:r>
          </w:p>
        </w:tc>
        <w:tc>
          <w:tcPr>
            <w:tcW w:w="3703" w:type="dxa"/>
            <w:gridSpan w:val="3"/>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0FFDA0E8" w14:textId="77777777">
            <w:pPr>
              <w:spacing w:after="0" w:line="259" w:lineRule="auto"/>
              <w:ind w:left="0" w:right="103" w:firstLine="0"/>
              <w:jc w:val="center"/>
            </w:pPr>
            <w:r w:rsidRPr="00C7413B">
              <w:rPr>
                <w:rFonts w:ascii="Arial" w:hAnsi="Arial" w:eastAsia="Arial" w:cs="Arial"/>
                <w:sz w:val="20"/>
              </w:rPr>
              <w:t>Hours and Cost Per Response</w:t>
            </w:r>
          </w:p>
        </w:tc>
        <w:tc>
          <w:tcPr>
            <w:tcW w:w="3664" w:type="dxa"/>
            <w:gridSpan w:val="4"/>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1012AF5D" w14:textId="77777777">
            <w:pPr>
              <w:spacing w:after="0" w:line="259" w:lineRule="auto"/>
              <w:ind w:left="0" w:right="104" w:firstLine="0"/>
              <w:jc w:val="center"/>
            </w:pPr>
            <w:r w:rsidRPr="00C7413B">
              <w:rPr>
                <w:rFonts w:ascii="Arial" w:hAnsi="Arial" w:eastAsia="Arial" w:cs="Arial"/>
                <w:sz w:val="20"/>
              </w:rPr>
              <w:t>Total Hours and Cost</w:t>
            </w:r>
          </w:p>
        </w:tc>
      </w:tr>
      <w:tr w:rsidRPr="00C7413B" w:rsidR="00042A8F" w:rsidTr="00255572" w14:paraId="1E8CAD21" w14:textId="77777777">
        <w:trPr>
          <w:trHeight w:val="877"/>
        </w:trPr>
        <w:tc>
          <w:tcPr>
            <w:tcW w:w="1986" w:type="dxa"/>
            <w:tcBorders>
              <w:top w:val="single" w:color="000000" w:sz="4" w:space="0"/>
              <w:left w:val="single" w:color="000000" w:sz="4" w:space="0"/>
              <w:bottom w:val="single" w:color="000000" w:sz="36" w:space="0"/>
              <w:right w:val="single" w:color="000000" w:sz="4" w:space="0"/>
            </w:tcBorders>
            <w:vAlign w:val="center"/>
          </w:tcPr>
          <w:p w:rsidRPr="00C7413B" w:rsidR="00042A8F" w:rsidP="00255572" w:rsidRDefault="00042A8F" w14:paraId="62DA39C0" w14:textId="77777777">
            <w:pPr>
              <w:spacing w:after="0" w:line="259" w:lineRule="auto"/>
              <w:ind w:left="1" w:firstLine="0"/>
              <w:rPr>
                <w:b/>
              </w:rPr>
            </w:pPr>
            <w:r w:rsidRPr="00C7413B">
              <w:rPr>
                <w:rFonts w:ascii="Arial" w:hAnsi="Arial" w:eastAsia="Arial" w:cs="Arial"/>
                <w:b/>
                <w:sz w:val="18"/>
              </w:rPr>
              <w:t xml:space="preserve">Information Collection Activity </w:t>
            </w:r>
          </w:p>
        </w:tc>
        <w:tc>
          <w:tcPr>
            <w:tcW w:w="1178" w:type="dxa"/>
            <w:tcBorders>
              <w:top w:val="single" w:color="000000" w:sz="4" w:space="0"/>
              <w:left w:val="single" w:color="000000" w:sz="4" w:space="0"/>
              <w:bottom w:val="single" w:color="000000" w:sz="36" w:space="0"/>
              <w:right w:val="single" w:color="000000" w:sz="4" w:space="0"/>
            </w:tcBorders>
            <w:vAlign w:val="center"/>
          </w:tcPr>
          <w:p w:rsidRPr="00C7413B" w:rsidR="00042A8F" w:rsidP="00255572" w:rsidRDefault="00042A8F" w14:paraId="68E67242" w14:textId="608FA28A">
            <w:pPr>
              <w:spacing w:after="0" w:line="259" w:lineRule="auto"/>
              <w:ind w:left="0" w:firstLine="0"/>
              <w:jc w:val="center"/>
            </w:pPr>
            <w:r w:rsidRPr="00C7413B">
              <w:rPr>
                <w:rFonts w:ascii="Arial" w:hAnsi="Arial" w:eastAsia="Arial" w:cs="Arial"/>
                <w:b/>
                <w:sz w:val="18"/>
              </w:rPr>
              <w:t>Agency Hours</w:t>
            </w:r>
          </w:p>
        </w:tc>
        <w:tc>
          <w:tcPr>
            <w:tcW w:w="1262" w:type="dxa"/>
            <w:tcBorders>
              <w:top w:val="single" w:color="000000" w:sz="4" w:space="0"/>
              <w:left w:val="single" w:color="000000" w:sz="4" w:space="0"/>
              <w:bottom w:val="single" w:color="000000" w:sz="36" w:space="0"/>
              <w:right w:val="single" w:color="000000" w:sz="4" w:space="0"/>
            </w:tcBorders>
            <w:vAlign w:val="center"/>
          </w:tcPr>
          <w:p w:rsidRPr="00C7413B" w:rsidR="00042A8F" w:rsidP="00255572" w:rsidRDefault="00042A8F" w14:paraId="6BBA4350" w14:textId="015B6978">
            <w:pPr>
              <w:spacing w:after="0" w:line="259" w:lineRule="auto"/>
              <w:ind w:left="0" w:firstLine="0"/>
              <w:jc w:val="center"/>
            </w:pPr>
            <w:r w:rsidRPr="00C7413B">
              <w:rPr>
                <w:rFonts w:ascii="Arial" w:hAnsi="Arial" w:eastAsia="Arial" w:cs="Arial"/>
                <w:b/>
                <w:sz w:val="18"/>
              </w:rPr>
              <w:t>Labor Cost</w:t>
            </w:r>
          </w:p>
        </w:tc>
        <w:tc>
          <w:tcPr>
            <w:tcW w:w="1262" w:type="dxa"/>
            <w:tcBorders>
              <w:top w:val="single" w:color="000000" w:sz="4" w:space="0"/>
              <w:left w:val="single" w:color="000000" w:sz="4" w:space="0"/>
              <w:bottom w:val="single" w:color="000000" w:sz="36" w:space="0"/>
              <w:right w:val="single" w:color="000000" w:sz="4" w:space="0"/>
            </w:tcBorders>
            <w:vAlign w:val="center"/>
          </w:tcPr>
          <w:p w:rsidRPr="00C7413B" w:rsidR="00042A8F" w:rsidP="00255572" w:rsidRDefault="00042A8F" w14:paraId="63B53F22" w14:textId="2AE9D233">
            <w:pPr>
              <w:spacing w:after="0" w:line="259" w:lineRule="auto"/>
              <w:ind w:left="0" w:firstLine="0"/>
              <w:jc w:val="center"/>
            </w:pPr>
            <w:r w:rsidRPr="00C7413B">
              <w:rPr>
                <w:rFonts w:ascii="Arial" w:hAnsi="Arial" w:eastAsia="Arial" w:cs="Arial"/>
                <w:b/>
                <w:sz w:val="18"/>
              </w:rPr>
              <w:t>Non-Labor Cost</w:t>
            </w:r>
          </w:p>
        </w:tc>
        <w:tc>
          <w:tcPr>
            <w:tcW w:w="1205" w:type="dxa"/>
            <w:tcBorders>
              <w:top w:val="single" w:color="000000" w:sz="4" w:space="0"/>
              <w:left w:val="single" w:color="000000" w:sz="4" w:space="0"/>
              <w:bottom w:val="single" w:color="000000" w:sz="36" w:space="0"/>
              <w:right w:val="single" w:color="000000" w:sz="4" w:space="0"/>
            </w:tcBorders>
            <w:vAlign w:val="center"/>
          </w:tcPr>
          <w:p w:rsidRPr="00C7413B" w:rsidR="00042A8F" w:rsidP="00C10F81" w:rsidRDefault="00042A8F" w14:paraId="3B43EAEC" w14:textId="6731AB71">
            <w:pPr>
              <w:spacing w:after="0" w:line="259" w:lineRule="auto"/>
              <w:ind w:left="0" w:firstLine="0"/>
              <w:jc w:val="center"/>
            </w:pPr>
            <w:r w:rsidRPr="00C7413B">
              <w:rPr>
                <w:rFonts w:ascii="Arial" w:hAnsi="Arial" w:eastAsia="Arial" w:cs="Arial"/>
                <w:b/>
                <w:sz w:val="18"/>
              </w:rPr>
              <w:t>Responses</w:t>
            </w:r>
            <w:r w:rsidRPr="00C7413B" w:rsidR="00255572">
              <w:rPr>
                <w:rFonts w:ascii="Arial" w:hAnsi="Arial" w:eastAsia="Arial" w:cs="Arial"/>
                <w:b/>
                <w:sz w:val="18"/>
              </w:rPr>
              <w:t xml:space="preserve">/Year </w:t>
            </w:r>
          </w:p>
        </w:tc>
        <w:tc>
          <w:tcPr>
            <w:tcW w:w="1195" w:type="dxa"/>
            <w:gridSpan w:val="2"/>
            <w:tcBorders>
              <w:top w:val="single" w:color="000000" w:sz="4" w:space="0"/>
              <w:left w:val="single" w:color="000000" w:sz="4" w:space="0"/>
              <w:bottom w:val="single" w:color="000000" w:sz="36" w:space="0"/>
              <w:right w:val="single" w:color="000000" w:sz="4" w:space="0"/>
            </w:tcBorders>
            <w:vAlign w:val="center"/>
          </w:tcPr>
          <w:p w:rsidRPr="00C7413B" w:rsidR="00042A8F" w:rsidP="00255572" w:rsidRDefault="00042A8F" w14:paraId="379824F8" w14:textId="77777777">
            <w:pPr>
              <w:spacing w:after="0" w:line="259" w:lineRule="auto"/>
              <w:ind w:left="0" w:right="101" w:firstLine="0"/>
              <w:jc w:val="center"/>
            </w:pPr>
            <w:r w:rsidRPr="00C7413B">
              <w:rPr>
                <w:rFonts w:ascii="Arial" w:hAnsi="Arial" w:eastAsia="Arial" w:cs="Arial"/>
                <w:b/>
                <w:sz w:val="18"/>
              </w:rPr>
              <w:t>Total</w:t>
            </w:r>
          </w:p>
          <w:p w:rsidRPr="00C7413B" w:rsidR="00042A8F" w:rsidP="00255572" w:rsidRDefault="00042A8F" w14:paraId="62CF11A3" w14:textId="77777777">
            <w:pPr>
              <w:spacing w:after="0" w:line="239" w:lineRule="auto"/>
              <w:ind w:left="8" w:right="58" w:firstLine="0"/>
              <w:jc w:val="center"/>
            </w:pPr>
            <w:r w:rsidRPr="00C7413B">
              <w:rPr>
                <w:rFonts w:ascii="Arial" w:hAnsi="Arial" w:eastAsia="Arial" w:cs="Arial"/>
                <w:b/>
                <w:sz w:val="18"/>
              </w:rPr>
              <w:t>Hours/ Year</w:t>
            </w:r>
          </w:p>
          <w:p w:rsidRPr="00C7413B" w:rsidR="00042A8F" w:rsidP="00255572" w:rsidRDefault="00042A8F" w14:paraId="3CE4885C" w14:textId="77777777">
            <w:pPr>
              <w:spacing w:after="0" w:line="259" w:lineRule="auto"/>
              <w:ind w:left="0" w:right="105" w:firstLine="0"/>
              <w:jc w:val="center"/>
            </w:pPr>
            <w:r w:rsidRPr="00C7413B">
              <w:rPr>
                <w:rFonts w:ascii="Arial" w:hAnsi="Arial" w:eastAsia="Arial" w:cs="Arial"/>
                <w:b/>
                <w:sz w:val="18"/>
              </w:rPr>
              <w:t>(A * D)</w:t>
            </w:r>
          </w:p>
        </w:tc>
        <w:tc>
          <w:tcPr>
            <w:tcW w:w="1264" w:type="dxa"/>
            <w:tcBorders>
              <w:top w:val="single" w:color="000000" w:sz="4" w:space="0"/>
              <w:left w:val="single" w:color="000000" w:sz="4" w:space="0"/>
              <w:bottom w:val="single" w:color="000000" w:sz="36" w:space="0"/>
              <w:right w:val="single" w:color="000000" w:sz="4" w:space="0"/>
            </w:tcBorders>
            <w:vAlign w:val="center"/>
          </w:tcPr>
          <w:p w:rsidRPr="00C7413B" w:rsidR="00042A8F" w:rsidP="00255572" w:rsidRDefault="00042A8F" w14:paraId="26500BB6" w14:textId="77777777">
            <w:pPr>
              <w:spacing w:after="0" w:line="259" w:lineRule="auto"/>
              <w:ind w:left="0" w:right="102" w:firstLine="0"/>
              <w:jc w:val="center"/>
            </w:pPr>
            <w:r w:rsidRPr="00C7413B">
              <w:rPr>
                <w:rFonts w:ascii="Arial" w:hAnsi="Arial" w:eastAsia="Arial" w:cs="Arial"/>
                <w:b/>
                <w:sz w:val="18"/>
              </w:rPr>
              <w:t>Total</w:t>
            </w:r>
          </w:p>
          <w:p w:rsidRPr="00C7413B" w:rsidR="00042A8F" w:rsidP="00255572" w:rsidRDefault="00042A8F" w14:paraId="67DE1A3C" w14:textId="77777777">
            <w:pPr>
              <w:spacing w:after="0" w:line="259" w:lineRule="auto"/>
              <w:ind w:left="0" w:right="99" w:firstLine="0"/>
              <w:jc w:val="center"/>
            </w:pPr>
            <w:r w:rsidRPr="00C7413B">
              <w:rPr>
                <w:rFonts w:ascii="Arial" w:hAnsi="Arial" w:eastAsia="Arial" w:cs="Arial"/>
                <w:b/>
                <w:sz w:val="18"/>
              </w:rPr>
              <w:t>Cost/Year</w:t>
            </w:r>
          </w:p>
          <w:p w:rsidRPr="00C7413B" w:rsidR="00042A8F" w:rsidP="00255572" w:rsidRDefault="00042A8F" w14:paraId="4EA156D3" w14:textId="77777777">
            <w:pPr>
              <w:spacing w:after="0" w:line="259" w:lineRule="auto"/>
              <w:ind w:left="0" w:right="104" w:firstLine="0"/>
              <w:jc w:val="center"/>
            </w:pPr>
            <w:r w:rsidRPr="00C7413B">
              <w:rPr>
                <w:rFonts w:ascii="Arial" w:hAnsi="Arial" w:eastAsia="Arial" w:cs="Arial"/>
                <w:b/>
                <w:sz w:val="18"/>
              </w:rPr>
              <w:t>(B + C) * D</w:t>
            </w:r>
          </w:p>
        </w:tc>
      </w:tr>
      <w:tr w:rsidRPr="00C7413B" w:rsidR="00042A8F" w:rsidTr="00255572" w14:paraId="33967C4F" w14:textId="77777777">
        <w:trPr>
          <w:trHeight w:val="464"/>
        </w:trPr>
        <w:tc>
          <w:tcPr>
            <w:tcW w:w="1986" w:type="dxa"/>
            <w:tcBorders>
              <w:top w:val="single" w:color="000000" w:sz="36" w:space="0"/>
              <w:left w:val="single" w:color="000000" w:sz="4" w:space="0"/>
              <w:bottom w:val="single" w:color="000000" w:sz="4" w:space="0"/>
              <w:right w:val="single" w:color="000000" w:sz="4" w:space="0"/>
            </w:tcBorders>
            <w:vAlign w:val="bottom"/>
          </w:tcPr>
          <w:p w:rsidRPr="00C7413B" w:rsidR="00042A8F" w:rsidP="00255572" w:rsidRDefault="00042A8F" w14:paraId="15DA819D" w14:textId="78FD479C">
            <w:pPr>
              <w:spacing w:after="0" w:line="259" w:lineRule="auto"/>
              <w:ind w:left="1" w:firstLine="0"/>
            </w:pPr>
            <w:r w:rsidRPr="00C7413B">
              <w:rPr>
                <w:rFonts w:ascii="Arial" w:hAnsi="Arial" w:eastAsia="Arial" w:cs="Arial"/>
                <w:sz w:val="18"/>
              </w:rPr>
              <w:t xml:space="preserve">Regions compile data. </w:t>
            </w:r>
          </w:p>
        </w:tc>
        <w:tc>
          <w:tcPr>
            <w:tcW w:w="1178" w:type="dxa"/>
            <w:tcBorders>
              <w:top w:val="single" w:color="000000" w:sz="36" w:space="0"/>
              <w:left w:val="single" w:color="000000" w:sz="4" w:space="0"/>
              <w:bottom w:val="single" w:color="000000" w:sz="4" w:space="0"/>
              <w:right w:val="single" w:color="000000" w:sz="4" w:space="0"/>
            </w:tcBorders>
            <w:vAlign w:val="bottom"/>
          </w:tcPr>
          <w:p w:rsidRPr="00C7413B" w:rsidR="00042A8F" w:rsidP="00255572" w:rsidRDefault="001638A4" w14:paraId="7AAB2778" w14:textId="27B119F8">
            <w:pPr>
              <w:spacing w:after="0" w:line="259" w:lineRule="auto"/>
              <w:ind w:left="0" w:right="104" w:firstLine="0"/>
              <w:jc w:val="right"/>
            </w:pPr>
            <w:r w:rsidRPr="00C7413B">
              <w:rPr>
                <w:rFonts w:ascii="Arial" w:hAnsi="Arial" w:eastAsia="Arial" w:cs="Arial"/>
                <w:sz w:val="18"/>
              </w:rPr>
              <w:t xml:space="preserve">20 </w:t>
            </w:r>
          </w:p>
        </w:tc>
        <w:tc>
          <w:tcPr>
            <w:tcW w:w="1262" w:type="dxa"/>
            <w:tcBorders>
              <w:top w:val="single" w:color="000000" w:sz="36" w:space="0"/>
              <w:left w:val="single" w:color="000000" w:sz="4" w:space="0"/>
              <w:bottom w:val="single" w:color="000000" w:sz="4" w:space="0"/>
              <w:right w:val="single" w:color="000000" w:sz="4" w:space="0"/>
            </w:tcBorders>
            <w:vAlign w:val="bottom"/>
          </w:tcPr>
          <w:p w:rsidRPr="00C7413B" w:rsidR="00042A8F" w:rsidP="00255572" w:rsidRDefault="00042A8F" w14:paraId="131612B8" w14:textId="321630FC">
            <w:pPr>
              <w:spacing w:after="0" w:line="259" w:lineRule="auto"/>
              <w:ind w:left="0" w:right="99" w:firstLine="0"/>
              <w:jc w:val="right"/>
            </w:pPr>
            <w:r w:rsidRPr="00C7413B">
              <w:rPr>
                <w:rFonts w:ascii="Arial" w:hAnsi="Arial" w:eastAsia="Arial" w:cs="Arial"/>
                <w:sz w:val="18"/>
              </w:rPr>
              <w:t>$</w:t>
            </w:r>
            <w:r w:rsidRPr="00C7413B" w:rsidR="00EB535B">
              <w:rPr>
                <w:rFonts w:ascii="Arial" w:hAnsi="Arial" w:eastAsia="Arial" w:cs="Arial"/>
                <w:sz w:val="18"/>
              </w:rPr>
              <w:t>1,1</w:t>
            </w:r>
            <w:r w:rsidRPr="00C7413B" w:rsidR="00E3292A">
              <w:rPr>
                <w:rFonts w:ascii="Arial" w:hAnsi="Arial" w:eastAsia="Arial" w:cs="Arial"/>
                <w:sz w:val="18"/>
              </w:rPr>
              <w:t>87</w:t>
            </w:r>
          </w:p>
        </w:tc>
        <w:tc>
          <w:tcPr>
            <w:tcW w:w="1262" w:type="dxa"/>
            <w:tcBorders>
              <w:top w:val="single" w:color="000000" w:sz="36" w:space="0"/>
              <w:left w:val="single" w:color="000000" w:sz="4" w:space="0"/>
              <w:bottom w:val="single" w:color="000000" w:sz="4" w:space="0"/>
              <w:right w:val="single" w:color="000000" w:sz="4" w:space="0"/>
            </w:tcBorders>
            <w:vAlign w:val="bottom"/>
          </w:tcPr>
          <w:p w:rsidRPr="00C7413B" w:rsidR="00042A8F" w:rsidP="00255572" w:rsidRDefault="00042A8F" w14:paraId="50D8D484" w14:textId="77777777">
            <w:pPr>
              <w:spacing w:after="0" w:line="259" w:lineRule="auto"/>
              <w:ind w:left="0" w:right="101" w:firstLine="0"/>
              <w:jc w:val="right"/>
            </w:pPr>
            <w:r w:rsidRPr="00C7413B">
              <w:rPr>
                <w:rFonts w:ascii="Arial" w:hAnsi="Arial" w:eastAsia="Arial" w:cs="Arial"/>
                <w:sz w:val="18"/>
              </w:rPr>
              <w:t xml:space="preserve">$0  </w:t>
            </w:r>
          </w:p>
        </w:tc>
        <w:tc>
          <w:tcPr>
            <w:tcW w:w="1205" w:type="dxa"/>
            <w:tcBorders>
              <w:top w:val="single" w:color="000000" w:sz="36" w:space="0"/>
              <w:left w:val="single" w:color="000000" w:sz="4" w:space="0"/>
              <w:bottom w:val="single" w:color="000000" w:sz="4" w:space="0"/>
              <w:right w:val="single" w:color="000000" w:sz="4" w:space="0"/>
            </w:tcBorders>
            <w:vAlign w:val="bottom"/>
          </w:tcPr>
          <w:p w:rsidRPr="00C7413B" w:rsidR="00042A8F" w:rsidP="00255572" w:rsidRDefault="00042A8F" w14:paraId="295DA438" w14:textId="77777777">
            <w:pPr>
              <w:spacing w:after="0" w:line="259" w:lineRule="auto"/>
              <w:ind w:left="0" w:right="101" w:firstLine="0"/>
              <w:jc w:val="right"/>
            </w:pPr>
            <w:r w:rsidRPr="00C7413B">
              <w:rPr>
                <w:rFonts w:ascii="Arial" w:hAnsi="Arial" w:eastAsia="Arial" w:cs="Arial"/>
                <w:sz w:val="18"/>
              </w:rPr>
              <w:t xml:space="preserve">10  </w:t>
            </w:r>
          </w:p>
        </w:tc>
        <w:tc>
          <w:tcPr>
            <w:tcW w:w="1195" w:type="dxa"/>
            <w:gridSpan w:val="2"/>
            <w:tcBorders>
              <w:top w:val="single" w:color="000000" w:sz="36" w:space="0"/>
              <w:left w:val="single" w:color="000000" w:sz="4" w:space="0"/>
              <w:bottom w:val="single" w:color="000000" w:sz="4" w:space="0"/>
              <w:right w:val="single" w:color="000000" w:sz="4" w:space="0"/>
            </w:tcBorders>
            <w:vAlign w:val="bottom"/>
          </w:tcPr>
          <w:p w:rsidRPr="00C7413B" w:rsidR="00042A8F" w:rsidP="00255572" w:rsidRDefault="00EB535B" w14:paraId="0871D123" w14:textId="75B783E1">
            <w:pPr>
              <w:spacing w:after="0" w:line="259" w:lineRule="auto"/>
              <w:ind w:left="0" w:right="101" w:firstLine="0"/>
              <w:jc w:val="right"/>
            </w:pPr>
            <w:r w:rsidRPr="00C7413B">
              <w:rPr>
                <w:rFonts w:ascii="Arial" w:hAnsi="Arial" w:eastAsia="Arial" w:cs="Arial"/>
                <w:sz w:val="18"/>
              </w:rPr>
              <w:t xml:space="preserve">200  </w:t>
            </w:r>
          </w:p>
        </w:tc>
        <w:tc>
          <w:tcPr>
            <w:tcW w:w="1264" w:type="dxa"/>
            <w:tcBorders>
              <w:top w:val="single" w:color="000000" w:sz="36" w:space="0"/>
              <w:left w:val="single" w:color="000000" w:sz="4" w:space="0"/>
              <w:bottom w:val="single" w:color="000000" w:sz="4" w:space="0"/>
              <w:right w:val="single" w:color="000000" w:sz="4" w:space="0"/>
            </w:tcBorders>
            <w:vAlign w:val="bottom"/>
          </w:tcPr>
          <w:p w:rsidRPr="00C7413B" w:rsidR="00042A8F" w:rsidP="00255572" w:rsidRDefault="00042A8F" w14:paraId="1170E88F" w14:textId="7D5DB7C9">
            <w:pPr>
              <w:spacing w:after="0" w:line="259" w:lineRule="auto"/>
              <w:ind w:left="0" w:right="100" w:firstLine="0"/>
              <w:jc w:val="right"/>
            </w:pPr>
            <w:r w:rsidRPr="00C7413B">
              <w:rPr>
                <w:rFonts w:ascii="Arial" w:hAnsi="Arial" w:eastAsia="Arial" w:cs="Arial"/>
                <w:sz w:val="18"/>
              </w:rPr>
              <w:t>$</w:t>
            </w:r>
            <w:r w:rsidRPr="00C7413B" w:rsidR="00EB535B">
              <w:rPr>
                <w:rFonts w:ascii="Arial" w:hAnsi="Arial" w:eastAsia="Arial" w:cs="Arial"/>
                <w:sz w:val="18"/>
              </w:rPr>
              <w:t>11,</w:t>
            </w:r>
            <w:r w:rsidRPr="00C7413B" w:rsidR="00E3292A">
              <w:rPr>
                <w:rFonts w:ascii="Arial" w:hAnsi="Arial" w:eastAsia="Arial" w:cs="Arial"/>
                <w:sz w:val="18"/>
              </w:rPr>
              <w:t>870</w:t>
            </w:r>
            <w:r w:rsidRPr="00C7413B">
              <w:rPr>
                <w:rFonts w:ascii="Arial" w:hAnsi="Arial" w:eastAsia="Arial" w:cs="Arial"/>
                <w:sz w:val="18"/>
              </w:rPr>
              <w:t xml:space="preserve"> </w:t>
            </w:r>
          </w:p>
        </w:tc>
      </w:tr>
      <w:tr w:rsidRPr="00C7413B" w:rsidR="00042A8F" w:rsidTr="00255572" w14:paraId="1DEE3F08" w14:textId="77777777">
        <w:trPr>
          <w:trHeight w:val="464"/>
        </w:trPr>
        <w:tc>
          <w:tcPr>
            <w:tcW w:w="1986" w:type="dxa"/>
            <w:tcBorders>
              <w:top w:val="single" w:color="000000" w:sz="4" w:space="0"/>
              <w:left w:val="single" w:color="000000" w:sz="4" w:space="0"/>
              <w:bottom w:val="single" w:color="000000" w:sz="36" w:space="0"/>
              <w:right w:val="single" w:color="000000" w:sz="4" w:space="0"/>
            </w:tcBorders>
            <w:vAlign w:val="bottom"/>
          </w:tcPr>
          <w:p w:rsidRPr="00C7413B" w:rsidR="00042A8F" w:rsidP="00255572" w:rsidRDefault="00042A8F" w14:paraId="2F2BABAE" w14:textId="53647C9C">
            <w:pPr>
              <w:spacing w:after="0" w:line="259" w:lineRule="auto"/>
              <w:ind w:left="1" w:firstLine="0"/>
            </w:pPr>
            <w:r w:rsidRPr="00C7413B">
              <w:rPr>
                <w:rFonts w:ascii="Arial" w:hAnsi="Arial" w:eastAsia="Arial" w:cs="Arial"/>
                <w:sz w:val="18"/>
              </w:rPr>
              <w:t xml:space="preserve">Headquarters reviews data. </w:t>
            </w:r>
          </w:p>
        </w:tc>
        <w:tc>
          <w:tcPr>
            <w:tcW w:w="1178" w:type="dxa"/>
            <w:tcBorders>
              <w:top w:val="single" w:color="000000" w:sz="4" w:space="0"/>
              <w:left w:val="single" w:color="000000" w:sz="4" w:space="0"/>
              <w:bottom w:val="single" w:color="000000" w:sz="36" w:space="0"/>
              <w:right w:val="single" w:color="000000" w:sz="4" w:space="0"/>
            </w:tcBorders>
            <w:vAlign w:val="bottom"/>
          </w:tcPr>
          <w:p w:rsidRPr="00C7413B" w:rsidR="00042A8F" w:rsidP="00255572" w:rsidRDefault="001638A4" w14:paraId="396608E7" w14:textId="510D5618">
            <w:pPr>
              <w:spacing w:after="0" w:line="259" w:lineRule="auto"/>
              <w:ind w:left="0" w:right="104" w:firstLine="0"/>
              <w:jc w:val="right"/>
            </w:pPr>
            <w:r w:rsidRPr="00C7413B">
              <w:rPr>
                <w:rFonts w:ascii="Arial" w:hAnsi="Arial" w:eastAsia="Arial" w:cs="Arial"/>
                <w:sz w:val="18"/>
              </w:rPr>
              <w:t>4</w:t>
            </w:r>
          </w:p>
        </w:tc>
        <w:tc>
          <w:tcPr>
            <w:tcW w:w="1262" w:type="dxa"/>
            <w:tcBorders>
              <w:top w:val="single" w:color="000000" w:sz="4" w:space="0"/>
              <w:left w:val="single" w:color="000000" w:sz="4" w:space="0"/>
              <w:bottom w:val="single" w:color="000000" w:sz="36" w:space="0"/>
              <w:right w:val="single" w:color="000000" w:sz="4" w:space="0"/>
            </w:tcBorders>
            <w:vAlign w:val="bottom"/>
          </w:tcPr>
          <w:p w:rsidRPr="00C7413B" w:rsidR="00042A8F" w:rsidP="00255572" w:rsidRDefault="00042A8F" w14:paraId="1A7065D4" w14:textId="019A83D1">
            <w:pPr>
              <w:spacing w:after="0" w:line="259" w:lineRule="auto"/>
              <w:ind w:left="0" w:right="99" w:firstLine="0"/>
              <w:jc w:val="right"/>
            </w:pPr>
            <w:r w:rsidRPr="00C7413B">
              <w:rPr>
                <w:rFonts w:ascii="Arial" w:hAnsi="Arial" w:eastAsia="Arial" w:cs="Arial"/>
                <w:sz w:val="18"/>
              </w:rPr>
              <w:t>$</w:t>
            </w:r>
            <w:r w:rsidRPr="00C7413B" w:rsidR="00EB535B">
              <w:rPr>
                <w:rFonts w:ascii="Arial" w:hAnsi="Arial" w:eastAsia="Arial" w:cs="Arial"/>
                <w:sz w:val="18"/>
              </w:rPr>
              <w:t>23</w:t>
            </w:r>
            <w:r w:rsidRPr="00C7413B" w:rsidR="00E3292A">
              <w:rPr>
                <w:rFonts w:ascii="Arial" w:hAnsi="Arial" w:eastAsia="Arial" w:cs="Arial"/>
                <w:sz w:val="18"/>
              </w:rPr>
              <w:t>7</w:t>
            </w:r>
          </w:p>
        </w:tc>
        <w:tc>
          <w:tcPr>
            <w:tcW w:w="1262" w:type="dxa"/>
            <w:tcBorders>
              <w:top w:val="single" w:color="000000" w:sz="4" w:space="0"/>
              <w:left w:val="single" w:color="000000" w:sz="4" w:space="0"/>
              <w:bottom w:val="single" w:color="000000" w:sz="36" w:space="0"/>
              <w:right w:val="single" w:color="000000" w:sz="4" w:space="0"/>
            </w:tcBorders>
            <w:vAlign w:val="bottom"/>
          </w:tcPr>
          <w:p w:rsidRPr="00C7413B" w:rsidR="00042A8F" w:rsidP="00255572" w:rsidRDefault="00042A8F" w14:paraId="64FF3CAC" w14:textId="77777777">
            <w:pPr>
              <w:spacing w:after="0" w:line="259" w:lineRule="auto"/>
              <w:ind w:left="0" w:right="101" w:firstLine="0"/>
              <w:jc w:val="right"/>
            </w:pPr>
            <w:r w:rsidRPr="00C7413B">
              <w:rPr>
                <w:rFonts w:ascii="Arial" w:hAnsi="Arial" w:eastAsia="Arial" w:cs="Arial"/>
                <w:sz w:val="18"/>
              </w:rPr>
              <w:t xml:space="preserve">$0  </w:t>
            </w:r>
          </w:p>
        </w:tc>
        <w:tc>
          <w:tcPr>
            <w:tcW w:w="1205" w:type="dxa"/>
            <w:tcBorders>
              <w:top w:val="single" w:color="000000" w:sz="4" w:space="0"/>
              <w:left w:val="single" w:color="000000" w:sz="4" w:space="0"/>
              <w:bottom w:val="single" w:color="000000" w:sz="36" w:space="0"/>
              <w:right w:val="single" w:color="000000" w:sz="4" w:space="0"/>
            </w:tcBorders>
            <w:vAlign w:val="bottom"/>
          </w:tcPr>
          <w:p w:rsidRPr="00C7413B" w:rsidR="00042A8F" w:rsidP="00255572" w:rsidRDefault="00042A8F" w14:paraId="2EC77757" w14:textId="77777777">
            <w:pPr>
              <w:spacing w:after="0" w:line="259" w:lineRule="auto"/>
              <w:ind w:left="0" w:right="101" w:firstLine="0"/>
              <w:jc w:val="right"/>
            </w:pPr>
            <w:r w:rsidRPr="00C7413B">
              <w:rPr>
                <w:rFonts w:ascii="Arial" w:hAnsi="Arial" w:eastAsia="Arial" w:cs="Arial"/>
                <w:sz w:val="18"/>
              </w:rPr>
              <w:t xml:space="preserve">1  </w:t>
            </w:r>
          </w:p>
        </w:tc>
        <w:tc>
          <w:tcPr>
            <w:tcW w:w="1195" w:type="dxa"/>
            <w:gridSpan w:val="2"/>
            <w:tcBorders>
              <w:top w:val="single" w:color="000000" w:sz="4" w:space="0"/>
              <w:left w:val="single" w:color="000000" w:sz="4" w:space="0"/>
              <w:bottom w:val="single" w:color="000000" w:sz="36" w:space="0"/>
              <w:right w:val="single" w:color="000000" w:sz="4" w:space="0"/>
            </w:tcBorders>
            <w:vAlign w:val="bottom"/>
          </w:tcPr>
          <w:p w:rsidRPr="00C7413B" w:rsidR="00042A8F" w:rsidP="00255572" w:rsidRDefault="00EB535B" w14:paraId="353A0AD0" w14:textId="0A42A9FE">
            <w:pPr>
              <w:spacing w:after="0" w:line="259" w:lineRule="auto"/>
              <w:ind w:left="0" w:right="101" w:firstLine="0"/>
              <w:jc w:val="right"/>
            </w:pPr>
            <w:r w:rsidRPr="00C7413B">
              <w:rPr>
                <w:rFonts w:ascii="Arial" w:hAnsi="Arial" w:eastAsia="Arial" w:cs="Arial"/>
                <w:sz w:val="18"/>
              </w:rPr>
              <w:t xml:space="preserve">4 </w:t>
            </w:r>
          </w:p>
        </w:tc>
        <w:tc>
          <w:tcPr>
            <w:tcW w:w="1264" w:type="dxa"/>
            <w:tcBorders>
              <w:top w:val="single" w:color="000000" w:sz="4" w:space="0"/>
              <w:left w:val="single" w:color="000000" w:sz="4" w:space="0"/>
              <w:bottom w:val="single" w:color="000000" w:sz="36" w:space="0"/>
              <w:right w:val="single" w:color="000000" w:sz="4" w:space="0"/>
            </w:tcBorders>
            <w:vAlign w:val="bottom"/>
          </w:tcPr>
          <w:p w:rsidRPr="00C7413B" w:rsidR="00042A8F" w:rsidP="00255572" w:rsidRDefault="00042A8F" w14:paraId="0EBDAEF9" w14:textId="3D04DC06">
            <w:pPr>
              <w:spacing w:after="0" w:line="259" w:lineRule="auto"/>
              <w:ind w:left="0" w:right="100" w:firstLine="0"/>
              <w:jc w:val="right"/>
            </w:pPr>
            <w:r w:rsidRPr="00C7413B">
              <w:rPr>
                <w:rFonts w:ascii="Arial" w:hAnsi="Arial" w:eastAsia="Arial" w:cs="Arial"/>
                <w:sz w:val="18"/>
              </w:rPr>
              <w:t>$</w:t>
            </w:r>
            <w:r w:rsidRPr="00C7413B" w:rsidR="00EB535B">
              <w:rPr>
                <w:rFonts w:ascii="Arial" w:hAnsi="Arial" w:eastAsia="Arial" w:cs="Arial"/>
                <w:sz w:val="18"/>
              </w:rPr>
              <w:t>2</w:t>
            </w:r>
            <w:r w:rsidRPr="00C7413B" w:rsidR="00E3292A">
              <w:rPr>
                <w:rFonts w:ascii="Arial" w:hAnsi="Arial" w:eastAsia="Arial" w:cs="Arial"/>
                <w:sz w:val="18"/>
              </w:rPr>
              <w:t>37</w:t>
            </w:r>
            <w:r w:rsidRPr="00C7413B">
              <w:rPr>
                <w:rFonts w:ascii="Arial" w:hAnsi="Arial" w:eastAsia="Arial" w:cs="Arial"/>
                <w:sz w:val="18"/>
              </w:rPr>
              <w:t xml:space="preserve"> </w:t>
            </w:r>
          </w:p>
        </w:tc>
      </w:tr>
      <w:tr w:rsidRPr="00C7413B" w:rsidR="00042A8F" w:rsidTr="00255572" w14:paraId="6BBDD6B4" w14:textId="77777777">
        <w:trPr>
          <w:trHeight w:val="464"/>
        </w:trPr>
        <w:tc>
          <w:tcPr>
            <w:tcW w:w="1986" w:type="dxa"/>
            <w:tcBorders>
              <w:top w:val="single" w:color="000000" w:sz="36" w:space="0"/>
              <w:left w:val="single" w:color="000000" w:sz="4" w:space="0"/>
              <w:bottom w:val="single" w:color="000000" w:sz="4" w:space="0"/>
              <w:right w:val="single" w:color="000000" w:sz="4" w:space="0"/>
            </w:tcBorders>
            <w:vAlign w:val="bottom"/>
          </w:tcPr>
          <w:p w:rsidRPr="00C7413B" w:rsidR="00042A8F" w:rsidP="00255572" w:rsidRDefault="00042A8F" w14:paraId="57F4CEB3" w14:textId="77777777">
            <w:pPr>
              <w:spacing w:after="0" w:line="259" w:lineRule="auto"/>
              <w:ind w:left="1" w:firstLine="0"/>
            </w:pPr>
            <w:r w:rsidRPr="00C7413B">
              <w:rPr>
                <w:rFonts w:ascii="Arial" w:hAnsi="Arial" w:eastAsia="Arial" w:cs="Arial"/>
                <w:b/>
                <w:sz w:val="18"/>
              </w:rPr>
              <w:t xml:space="preserve"> </w:t>
            </w:r>
          </w:p>
          <w:p w:rsidRPr="00C7413B" w:rsidR="00042A8F" w:rsidP="00255572" w:rsidRDefault="00042A8F" w14:paraId="65AA9D17" w14:textId="77777777">
            <w:pPr>
              <w:spacing w:after="0" w:line="259" w:lineRule="auto"/>
              <w:ind w:left="1" w:firstLine="0"/>
            </w:pPr>
            <w:r w:rsidRPr="00C7413B">
              <w:rPr>
                <w:rFonts w:ascii="Arial" w:hAnsi="Arial" w:eastAsia="Arial" w:cs="Arial"/>
                <w:b/>
                <w:sz w:val="18"/>
              </w:rPr>
              <w:t xml:space="preserve">TOTAL </w:t>
            </w:r>
          </w:p>
        </w:tc>
        <w:tc>
          <w:tcPr>
            <w:tcW w:w="1178" w:type="dxa"/>
            <w:tcBorders>
              <w:top w:val="single" w:color="000000" w:sz="36" w:space="0"/>
              <w:left w:val="single" w:color="000000" w:sz="4" w:space="0"/>
              <w:bottom w:val="single" w:color="000000" w:sz="4" w:space="0"/>
              <w:right w:val="single" w:color="000000" w:sz="4" w:space="0"/>
            </w:tcBorders>
            <w:vAlign w:val="bottom"/>
          </w:tcPr>
          <w:p w:rsidRPr="00C7413B" w:rsidR="00042A8F" w:rsidP="002F3BA0" w:rsidRDefault="00042A8F" w14:paraId="5D59630E" w14:textId="685FA74B">
            <w:pPr>
              <w:spacing w:after="0" w:line="259" w:lineRule="auto"/>
              <w:ind w:left="0" w:right="101" w:firstLine="0"/>
            </w:pPr>
            <w:r w:rsidRPr="00C7413B">
              <w:rPr>
                <w:rFonts w:ascii="Arial" w:hAnsi="Arial" w:eastAsia="Arial" w:cs="Arial"/>
                <w:sz w:val="18"/>
              </w:rPr>
              <w:t xml:space="preserve"> </w:t>
            </w:r>
          </w:p>
        </w:tc>
        <w:tc>
          <w:tcPr>
            <w:tcW w:w="1262" w:type="dxa"/>
            <w:tcBorders>
              <w:top w:val="single" w:color="000000" w:sz="36" w:space="0"/>
              <w:left w:val="single" w:color="000000" w:sz="4" w:space="0"/>
              <w:bottom w:val="single" w:color="000000" w:sz="4" w:space="0"/>
              <w:right w:val="single" w:color="000000" w:sz="4" w:space="0"/>
            </w:tcBorders>
            <w:vAlign w:val="bottom"/>
          </w:tcPr>
          <w:p w:rsidRPr="00C7413B" w:rsidR="00042A8F" w:rsidP="00255572" w:rsidRDefault="00592D86" w14:paraId="4939F8E9" w14:textId="43533341">
            <w:pPr>
              <w:spacing w:after="0" w:line="259" w:lineRule="auto"/>
              <w:ind w:left="0" w:right="99" w:firstLine="0"/>
              <w:jc w:val="right"/>
            </w:pPr>
            <w:r w:rsidRPr="00C7413B">
              <w:rPr>
                <w:rFonts w:ascii="Arial" w:hAnsi="Arial" w:eastAsia="Arial" w:cs="Arial"/>
                <w:sz w:val="18"/>
              </w:rPr>
              <w:t>$1,</w:t>
            </w:r>
            <w:r w:rsidRPr="00C7413B" w:rsidR="00E3292A">
              <w:rPr>
                <w:rFonts w:ascii="Arial" w:hAnsi="Arial" w:eastAsia="Arial" w:cs="Arial"/>
                <w:sz w:val="18"/>
              </w:rPr>
              <w:t>424</w:t>
            </w:r>
            <w:r w:rsidRPr="00C7413B" w:rsidR="00042A8F">
              <w:rPr>
                <w:rFonts w:ascii="Arial" w:hAnsi="Arial" w:eastAsia="Arial" w:cs="Arial"/>
                <w:sz w:val="18"/>
              </w:rPr>
              <w:t xml:space="preserve"> </w:t>
            </w:r>
          </w:p>
        </w:tc>
        <w:tc>
          <w:tcPr>
            <w:tcW w:w="1262" w:type="dxa"/>
            <w:tcBorders>
              <w:top w:val="single" w:color="000000" w:sz="36" w:space="0"/>
              <w:left w:val="single" w:color="000000" w:sz="4" w:space="0"/>
              <w:bottom w:val="single" w:color="000000" w:sz="4" w:space="0"/>
              <w:right w:val="single" w:color="000000" w:sz="4" w:space="0"/>
            </w:tcBorders>
            <w:vAlign w:val="bottom"/>
          </w:tcPr>
          <w:p w:rsidRPr="00C7413B" w:rsidR="00042A8F" w:rsidP="00255572" w:rsidRDefault="00042A8F" w14:paraId="500EE0E7" w14:textId="4430E199">
            <w:pPr>
              <w:spacing w:after="0" w:line="259" w:lineRule="auto"/>
              <w:ind w:left="0" w:right="101" w:firstLine="0"/>
              <w:jc w:val="right"/>
            </w:pPr>
            <w:r w:rsidRPr="00C7413B">
              <w:rPr>
                <w:rFonts w:ascii="Arial" w:hAnsi="Arial" w:eastAsia="Arial" w:cs="Arial"/>
                <w:sz w:val="18"/>
              </w:rPr>
              <w:t xml:space="preserve">  </w:t>
            </w:r>
          </w:p>
        </w:tc>
        <w:tc>
          <w:tcPr>
            <w:tcW w:w="1205" w:type="dxa"/>
            <w:tcBorders>
              <w:top w:val="single" w:color="000000" w:sz="36" w:space="0"/>
              <w:left w:val="single" w:color="000000" w:sz="4" w:space="0"/>
              <w:bottom w:val="single" w:color="000000" w:sz="4" w:space="0"/>
              <w:right w:val="single" w:color="000000" w:sz="4" w:space="0"/>
            </w:tcBorders>
            <w:vAlign w:val="bottom"/>
          </w:tcPr>
          <w:p w:rsidRPr="00C7413B" w:rsidR="00042A8F" w:rsidP="00255572" w:rsidRDefault="00042A8F" w14:paraId="65D6EB16" w14:textId="77777777">
            <w:pPr>
              <w:spacing w:after="0" w:line="259" w:lineRule="auto"/>
              <w:ind w:left="0" w:right="101" w:firstLine="0"/>
              <w:jc w:val="right"/>
            </w:pPr>
            <w:r w:rsidRPr="00C7413B">
              <w:rPr>
                <w:rFonts w:ascii="Arial" w:hAnsi="Arial" w:eastAsia="Arial" w:cs="Arial"/>
                <w:sz w:val="18"/>
              </w:rPr>
              <w:t xml:space="preserve">11  </w:t>
            </w:r>
          </w:p>
        </w:tc>
        <w:tc>
          <w:tcPr>
            <w:tcW w:w="1195" w:type="dxa"/>
            <w:gridSpan w:val="2"/>
            <w:tcBorders>
              <w:top w:val="single" w:color="000000" w:sz="36" w:space="0"/>
              <w:left w:val="single" w:color="000000" w:sz="4" w:space="0"/>
              <w:bottom w:val="single" w:color="000000" w:sz="4" w:space="0"/>
              <w:right w:val="single" w:color="000000" w:sz="4" w:space="0"/>
            </w:tcBorders>
            <w:vAlign w:val="bottom"/>
          </w:tcPr>
          <w:p w:rsidRPr="00C7413B" w:rsidR="00042A8F" w:rsidP="00255572" w:rsidRDefault="00EB535B" w14:paraId="01059DC9" w14:textId="298ECCD3">
            <w:pPr>
              <w:spacing w:after="0" w:line="259" w:lineRule="auto"/>
              <w:ind w:left="0" w:right="99" w:firstLine="0"/>
              <w:jc w:val="right"/>
            </w:pPr>
            <w:r w:rsidRPr="00C7413B">
              <w:rPr>
                <w:rFonts w:ascii="Arial" w:hAnsi="Arial" w:eastAsia="Arial" w:cs="Arial"/>
                <w:sz w:val="18"/>
              </w:rPr>
              <w:t xml:space="preserve">204 </w:t>
            </w:r>
          </w:p>
        </w:tc>
        <w:tc>
          <w:tcPr>
            <w:tcW w:w="1264" w:type="dxa"/>
            <w:tcBorders>
              <w:top w:val="single" w:color="000000" w:sz="36" w:space="0"/>
              <w:left w:val="single" w:color="000000" w:sz="4" w:space="0"/>
              <w:bottom w:val="single" w:color="000000" w:sz="4" w:space="0"/>
              <w:right w:val="single" w:color="000000" w:sz="4" w:space="0"/>
            </w:tcBorders>
            <w:vAlign w:val="bottom"/>
          </w:tcPr>
          <w:p w:rsidRPr="00C7413B" w:rsidR="00042A8F" w:rsidP="00255572" w:rsidRDefault="00042A8F" w14:paraId="4F82E5FC" w14:textId="0B6D10EA">
            <w:pPr>
              <w:spacing w:after="0" w:line="259" w:lineRule="auto"/>
              <w:ind w:left="0" w:right="100" w:firstLine="0"/>
              <w:jc w:val="right"/>
            </w:pPr>
            <w:r w:rsidRPr="00C7413B">
              <w:rPr>
                <w:rFonts w:ascii="Arial" w:hAnsi="Arial" w:eastAsia="Arial" w:cs="Arial"/>
                <w:sz w:val="18"/>
              </w:rPr>
              <w:t>$</w:t>
            </w:r>
            <w:r w:rsidRPr="00C7413B" w:rsidR="00E3292A">
              <w:rPr>
                <w:rFonts w:ascii="Arial" w:hAnsi="Arial" w:eastAsia="Arial" w:cs="Arial"/>
                <w:sz w:val="18"/>
              </w:rPr>
              <w:t>12,107</w:t>
            </w:r>
            <w:r w:rsidRPr="00C7413B">
              <w:rPr>
                <w:rFonts w:ascii="Arial" w:hAnsi="Arial" w:eastAsia="Arial" w:cs="Arial"/>
                <w:sz w:val="18"/>
              </w:rPr>
              <w:t xml:space="preserve"> </w:t>
            </w:r>
          </w:p>
        </w:tc>
      </w:tr>
    </w:tbl>
    <w:p w:rsidRPr="00C7413B" w:rsidR="00042A8F" w:rsidP="00042A8F" w:rsidRDefault="00042A8F" w14:paraId="6CE29ABE" w14:textId="77777777">
      <w:pPr>
        <w:spacing w:after="38" w:line="259" w:lineRule="auto"/>
        <w:ind w:left="1" w:firstLine="0"/>
      </w:pPr>
      <w:r w:rsidRPr="00C7413B">
        <w:rPr>
          <w:rFonts w:ascii="Arial" w:hAnsi="Arial" w:eastAsia="Arial" w:cs="Arial"/>
          <w:sz w:val="18"/>
        </w:rPr>
        <w:t xml:space="preserve">Numbers may not appear to add due to rounding. </w:t>
      </w:r>
    </w:p>
    <w:p w:rsidRPr="00C7413B" w:rsidR="00042A8F" w:rsidP="00042A8F" w:rsidRDefault="00042A8F" w14:paraId="4C5765D5" w14:textId="77777777">
      <w:pPr>
        <w:spacing w:after="0" w:line="259" w:lineRule="auto"/>
        <w:ind w:left="1" w:firstLine="0"/>
      </w:pPr>
      <w:r w:rsidRPr="00C7413B">
        <w:rPr>
          <w:sz w:val="24"/>
        </w:rPr>
        <w:t xml:space="preserve"> </w:t>
      </w:r>
    </w:p>
    <w:p w:rsidRPr="00C7413B" w:rsidR="00042A8F" w:rsidP="00042A8F" w:rsidRDefault="00042A8F" w14:paraId="4FEA6B21" w14:textId="77777777">
      <w:pPr>
        <w:spacing w:after="0" w:line="259" w:lineRule="auto"/>
        <w:ind w:left="1" w:firstLine="0"/>
      </w:pPr>
      <w:r w:rsidRPr="00C7413B">
        <w:rPr>
          <w:sz w:val="24"/>
        </w:rPr>
        <w:t xml:space="preserve"> </w:t>
      </w:r>
    </w:p>
    <w:p w:rsidRPr="00C7413B" w:rsidR="00042A8F" w:rsidP="00042A8F" w:rsidRDefault="00042A8F" w14:paraId="6F1CA727" w14:textId="7FD377C0">
      <w:pPr>
        <w:spacing w:after="3" w:line="249" w:lineRule="auto"/>
        <w:ind w:left="-14" w:right="1" w:firstLine="720"/>
      </w:pPr>
      <w:r w:rsidRPr="00C7413B">
        <w:rPr>
          <w:sz w:val="24"/>
        </w:rPr>
        <w:t>EPA estimates that the annual federal labor cost associated with compiling and analyzing data on the progress of assessment and prevention efforts will be $</w:t>
      </w:r>
      <w:r w:rsidRPr="00C7413B" w:rsidR="008802F5">
        <w:rPr>
          <w:sz w:val="24"/>
        </w:rPr>
        <w:t>12,107</w:t>
      </w:r>
      <w:r w:rsidRPr="00C7413B">
        <w:rPr>
          <w:sz w:val="24"/>
        </w:rPr>
        <w:t>. In developing Agency labor costs, EPA estimates the average hourly labor rate for salary and overhead and benefits for Agency staff to be $</w:t>
      </w:r>
      <w:r w:rsidRPr="00C7413B" w:rsidR="001638A4">
        <w:rPr>
          <w:sz w:val="24"/>
        </w:rPr>
        <w:t>5</w:t>
      </w:r>
      <w:r w:rsidRPr="00C7413B" w:rsidR="00FB60A5">
        <w:rPr>
          <w:sz w:val="24"/>
        </w:rPr>
        <w:t>9</w:t>
      </w:r>
      <w:r w:rsidRPr="00C7413B" w:rsidR="001638A4">
        <w:rPr>
          <w:sz w:val="24"/>
        </w:rPr>
        <w:t>.</w:t>
      </w:r>
      <w:r w:rsidRPr="00C7413B" w:rsidR="00FB60A5">
        <w:rPr>
          <w:sz w:val="24"/>
        </w:rPr>
        <w:t>34</w:t>
      </w:r>
      <w:r w:rsidRPr="00C7413B">
        <w:rPr>
          <w:sz w:val="24"/>
        </w:rPr>
        <w:t>. To derive this figure, EPA multiplied the hourly compensation at GS12, Step 5 on the Office of Personnel Management’s “</w:t>
      </w:r>
      <w:r w:rsidRPr="00C7413B" w:rsidR="001638A4">
        <w:t>Salary Table 202</w:t>
      </w:r>
      <w:r w:rsidRPr="00C7413B" w:rsidR="008802F5">
        <w:t>2</w:t>
      </w:r>
      <w:r w:rsidRPr="00C7413B" w:rsidR="001638A4">
        <w:t xml:space="preserve">-GS Incorporating the </w:t>
      </w:r>
      <w:r w:rsidRPr="00C7413B" w:rsidR="008802F5">
        <w:t>2.2</w:t>
      </w:r>
      <w:r w:rsidRPr="00C7413B" w:rsidR="001638A4">
        <w:t>% General Schedule Increase Effective January 202</w:t>
      </w:r>
      <w:r w:rsidRPr="00C7413B" w:rsidR="008802F5">
        <w:t>2</w:t>
      </w:r>
      <w:r w:rsidRPr="00C7413B" w:rsidR="001638A4">
        <w:t>,</w:t>
      </w:r>
      <w:r w:rsidRPr="00C7413B">
        <w:rPr>
          <w:sz w:val="24"/>
        </w:rPr>
        <w:t>” ($</w:t>
      </w:r>
      <w:r w:rsidRPr="00C7413B" w:rsidR="008F22E2">
        <w:rPr>
          <w:sz w:val="24"/>
        </w:rPr>
        <w:t>3</w:t>
      </w:r>
      <w:r w:rsidRPr="00C7413B" w:rsidR="008802F5">
        <w:rPr>
          <w:sz w:val="24"/>
        </w:rPr>
        <w:t>7</w:t>
      </w:r>
      <w:r w:rsidRPr="00C7413B" w:rsidR="008F22E2">
        <w:rPr>
          <w:sz w:val="24"/>
        </w:rPr>
        <w:t>.</w:t>
      </w:r>
      <w:r w:rsidRPr="00C7413B" w:rsidR="008802F5">
        <w:rPr>
          <w:sz w:val="24"/>
        </w:rPr>
        <w:t>09</w:t>
      </w:r>
      <w:r w:rsidRPr="00C7413B">
        <w:rPr>
          <w:sz w:val="24"/>
        </w:rPr>
        <w:t xml:space="preserve">) by the standard government </w:t>
      </w:r>
      <w:r w:rsidRPr="00C7413B">
        <w:rPr>
          <w:sz w:val="24"/>
        </w:rPr>
        <w:lastRenderedPageBreak/>
        <w:t xml:space="preserve">benefits multiplication factor of 1.6 to account for overhead and benefits. There are no non-labor (capital or operation and maintenance) Agency costs associated with this information collection.   </w:t>
      </w:r>
    </w:p>
    <w:p w:rsidRPr="00C7413B" w:rsidR="00042A8F" w:rsidP="00042A8F" w:rsidRDefault="00042A8F" w14:paraId="39457F06" w14:textId="77777777">
      <w:pPr>
        <w:spacing w:after="9" w:line="259" w:lineRule="auto"/>
        <w:ind w:left="721" w:firstLine="0"/>
      </w:pPr>
      <w:r w:rsidRPr="00C7413B">
        <w:rPr>
          <w:sz w:val="24"/>
        </w:rPr>
        <w:t xml:space="preserve"> </w:t>
      </w:r>
    </w:p>
    <w:p w:rsidRPr="00C7413B" w:rsidR="00042A8F" w:rsidP="00042A8F" w:rsidRDefault="00042A8F" w14:paraId="3A26ECC3" w14:textId="77777777">
      <w:pPr>
        <w:tabs>
          <w:tab w:val="center" w:pos="927"/>
          <w:tab w:val="center" w:pos="4742"/>
        </w:tabs>
        <w:spacing w:after="0" w:line="259" w:lineRule="auto"/>
        <w:ind w:left="0" w:firstLine="0"/>
      </w:pPr>
      <w:r w:rsidRPr="00C7413B">
        <w:rPr>
          <w:sz w:val="24"/>
        </w:rPr>
        <w:t xml:space="preserve"> </w:t>
      </w:r>
      <w:r w:rsidRPr="00C7413B">
        <w:rPr>
          <w:sz w:val="24"/>
        </w:rPr>
        <w:tab/>
      </w:r>
      <w:r w:rsidRPr="00C7413B">
        <w:rPr>
          <w:b/>
          <w:sz w:val="24"/>
        </w:rPr>
        <w:t xml:space="preserve">6(d) </w:t>
      </w:r>
      <w:r w:rsidRPr="00C7413B">
        <w:rPr>
          <w:b/>
          <w:sz w:val="24"/>
        </w:rPr>
        <w:tab/>
        <w:t xml:space="preserve">Estimating the Respondent Universe and Total Burden and Cost </w:t>
      </w:r>
    </w:p>
    <w:p w:rsidRPr="00C7413B" w:rsidR="00042A8F" w:rsidP="00042A8F" w:rsidRDefault="00042A8F" w14:paraId="0255B7AE" w14:textId="77777777">
      <w:pPr>
        <w:spacing w:line="259" w:lineRule="auto"/>
        <w:ind w:left="1" w:firstLine="0"/>
      </w:pPr>
      <w:r w:rsidRPr="00C7413B">
        <w:rPr>
          <w:sz w:val="24"/>
        </w:rPr>
        <w:t xml:space="preserve"> </w:t>
      </w:r>
    </w:p>
    <w:p w:rsidRPr="00C7413B" w:rsidR="00042A8F" w:rsidP="00042A8F" w:rsidRDefault="00042A8F" w14:paraId="2D744296" w14:textId="77777777">
      <w:pPr>
        <w:spacing w:after="3" w:line="249" w:lineRule="auto"/>
        <w:ind w:left="-4" w:right="1"/>
      </w:pPr>
      <w:r w:rsidRPr="00C7413B">
        <w:rPr>
          <w:sz w:val="24"/>
        </w:rPr>
        <w:t xml:space="preserve"> </w:t>
      </w:r>
      <w:r w:rsidRPr="00C7413B">
        <w:rPr>
          <w:sz w:val="24"/>
        </w:rPr>
        <w:tab/>
        <w:t xml:space="preserve">Staff in 49 states, Puerto Rico, and the District of Columbia are expected to report once annually to EPA on the status of protection efforts. The number of responses is shown in Column F of Exhibit 6-1. </w:t>
      </w:r>
    </w:p>
    <w:p w:rsidRPr="00C7413B" w:rsidR="00042A8F" w:rsidP="00042A8F" w:rsidRDefault="00042A8F" w14:paraId="602B4D0F" w14:textId="77777777">
      <w:pPr>
        <w:spacing w:after="33" w:line="259" w:lineRule="auto"/>
        <w:ind w:left="1" w:firstLine="0"/>
      </w:pPr>
      <w:r w:rsidRPr="00C7413B">
        <w:rPr>
          <w:sz w:val="24"/>
        </w:rPr>
        <w:t xml:space="preserve"> </w:t>
      </w:r>
    </w:p>
    <w:p w:rsidRPr="00C7413B" w:rsidR="00042A8F" w:rsidP="00042A8F" w:rsidRDefault="00042A8F" w14:paraId="78381DC0" w14:textId="77777777">
      <w:pPr>
        <w:pStyle w:val="Heading2"/>
        <w:tabs>
          <w:tab w:val="center" w:pos="929"/>
          <w:tab w:val="center" w:pos="4350"/>
        </w:tabs>
        <w:ind w:left="0" w:firstLine="0"/>
      </w:pPr>
      <w:r w:rsidRPr="00C7413B">
        <w:rPr>
          <w:rFonts w:ascii="Calibri" w:hAnsi="Calibri" w:eastAsia="Calibri" w:cs="Calibri"/>
          <w:b w:val="0"/>
          <w:sz w:val="22"/>
        </w:rPr>
        <w:tab/>
      </w:r>
      <w:r w:rsidRPr="00C7413B">
        <w:t xml:space="preserve">6(e) </w:t>
      </w:r>
      <w:r w:rsidRPr="00C7413B">
        <w:tab/>
        <w:t xml:space="preserve">Bottom Line Burden Hours and Cost/Burden Tables </w:t>
      </w:r>
    </w:p>
    <w:p w:rsidRPr="00C7413B" w:rsidR="00042A8F" w:rsidP="00042A8F" w:rsidRDefault="00042A8F" w14:paraId="1BDA3EC5" w14:textId="77777777">
      <w:pPr>
        <w:spacing w:line="259" w:lineRule="auto"/>
        <w:ind w:left="1" w:firstLine="0"/>
      </w:pPr>
      <w:r w:rsidRPr="00C7413B">
        <w:rPr>
          <w:sz w:val="24"/>
        </w:rPr>
        <w:t xml:space="preserve"> </w:t>
      </w:r>
    </w:p>
    <w:p w:rsidRPr="00C7413B" w:rsidR="00042A8F" w:rsidP="00042A8F" w:rsidRDefault="00042A8F" w14:paraId="1EA6D453" w14:textId="77777777">
      <w:pPr>
        <w:tabs>
          <w:tab w:val="center" w:pos="1558"/>
        </w:tabs>
        <w:spacing w:after="0" w:line="259" w:lineRule="auto"/>
        <w:ind w:left="-14" w:firstLine="0"/>
      </w:pPr>
      <w:r w:rsidRPr="00C7413B">
        <w:rPr>
          <w:sz w:val="24"/>
        </w:rPr>
        <w:t xml:space="preserve"> </w:t>
      </w:r>
      <w:r w:rsidRPr="00C7413B">
        <w:rPr>
          <w:sz w:val="24"/>
        </w:rPr>
        <w:tab/>
      </w:r>
      <w:r w:rsidRPr="00C7413B">
        <w:rPr>
          <w:i/>
          <w:sz w:val="24"/>
        </w:rPr>
        <w:t xml:space="preserve">Respondent Tally </w:t>
      </w:r>
    </w:p>
    <w:p w:rsidRPr="00C7413B" w:rsidR="00042A8F" w:rsidP="00042A8F" w:rsidRDefault="00042A8F" w14:paraId="012C35F2" w14:textId="77777777">
      <w:pPr>
        <w:spacing w:line="259" w:lineRule="auto"/>
        <w:ind w:left="1" w:firstLine="0"/>
      </w:pPr>
      <w:r w:rsidRPr="00C7413B">
        <w:rPr>
          <w:sz w:val="24"/>
        </w:rPr>
        <w:t xml:space="preserve"> </w:t>
      </w:r>
    </w:p>
    <w:p w:rsidRPr="00C7413B" w:rsidR="00042A8F" w:rsidP="00042A8F" w:rsidRDefault="00042A8F" w14:paraId="181E2476" w14:textId="57DD8076">
      <w:pPr>
        <w:spacing w:after="3" w:line="249" w:lineRule="auto"/>
        <w:ind w:left="-4" w:right="1"/>
      </w:pPr>
      <w:r w:rsidRPr="00C7413B">
        <w:rPr>
          <w:sz w:val="24"/>
        </w:rPr>
        <w:t xml:space="preserve"> </w:t>
      </w:r>
      <w:r w:rsidRPr="00C7413B">
        <w:rPr>
          <w:sz w:val="24"/>
        </w:rPr>
        <w:tab/>
        <w:t xml:space="preserve">The total annual burden to states associated with compiling information related to source water assessments and implementing protection strategies and reporting on the status over the next three years is </w:t>
      </w:r>
      <w:r w:rsidRPr="00C7413B" w:rsidR="00005CAF">
        <w:rPr>
          <w:sz w:val="24"/>
        </w:rPr>
        <w:t>288</w:t>
      </w:r>
      <w:r w:rsidRPr="00C7413B" w:rsidR="008C7B26">
        <w:rPr>
          <w:sz w:val="24"/>
        </w:rPr>
        <w:t xml:space="preserve"> </w:t>
      </w:r>
      <w:r w:rsidRPr="00C7413B">
        <w:rPr>
          <w:sz w:val="24"/>
        </w:rPr>
        <w:t>hours, and the total annual cost to states is $</w:t>
      </w:r>
      <w:r w:rsidRPr="00C7413B" w:rsidR="00B53E7C">
        <w:rPr>
          <w:sz w:val="24"/>
        </w:rPr>
        <w:t>17,</w:t>
      </w:r>
      <w:r w:rsidRPr="00C7413B" w:rsidR="00753AB1">
        <w:rPr>
          <w:sz w:val="24"/>
        </w:rPr>
        <w:t>07</w:t>
      </w:r>
      <w:r w:rsidRPr="00C7413B" w:rsidR="00B53E7C">
        <w:rPr>
          <w:sz w:val="24"/>
        </w:rPr>
        <w:t>4</w:t>
      </w:r>
      <w:r w:rsidRPr="00C7413B">
        <w:rPr>
          <w:sz w:val="24"/>
        </w:rPr>
        <w:t xml:space="preserve">. Exhibit 6-3 presents the total respondent burden and cost. </w:t>
      </w:r>
    </w:p>
    <w:p w:rsidRPr="00C7413B" w:rsidR="00042A8F" w:rsidP="00042A8F" w:rsidRDefault="00042A8F" w14:paraId="57698867" w14:textId="77777777">
      <w:pPr>
        <w:spacing w:line="259" w:lineRule="auto"/>
        <w:ind w:left="1" w:firstLine="0"/>
      </w:pPr>
      <w:r w:rsidRPr="00C7413B">
        <w:rPr>
          <w:sz w:val="24"/>
        </w:rPr>
        <w:t xml:space="preserve"> </w:t>
      </w:r>
    </w:p>
    <w:p w:rsidRPr="00C7413B" w:rsidR="00042A8F" w:rsidP="00042A8F" w:rsidRDefault="00042A8F" w14:paraId="06A2ABFA" w14:textId="5450E509">
      <w:pPr>
        <w:spacing w:after="3" w:line="249" w:lineRule="auto"/>
        <w:ind w:left="-4" w:right="1"/>
      </w:pPr>
      <w:r w:rsidRPr="00C7413B">
        <w:rPr>
          <w:sz w:val="24"/>
        </w:rPr>
        <w:t xml:space="preserve"> </w:t>
      </w:r>
      <w:r w:rsidRPr="00C7413B">
        <w:rPr>
          <w:sz w:val="24"/>
        </w:rPr>
        <w:tab/>
        <w:t xml:space="preserve">Over the three years covered by this request, the total respondent burden associated with this information collection will be </w:t>
      </w:r>
      <w:r w:rsidRPr="00C7413B" w:rsidR="00005CAF">
        <w:rPr>
          <w:sz w:val="24"/>
        </w:rPr>
        <w:t>864</w:t>
      </w:r>
      <w:r w:rsidRPr="00C7413B">
        <w:rPr>
          <w:sz w:val="24"/>
        </w:rPr>
        <w:t xml:space="preserve"> hours. The cost to respondents of the information collection will be $</w:t>
      </w:r>
      <w:r w:rsidRPr="00C7413B" w:rsidR="00B3072A">
        <w:rPr>
          <w:sz w:val="24"/>
        </w:rPr>
        <w:t>5</w:t>
      </w:r>
      <w:r w:rsidRPr="00C7413B" w:rsidR="00EC1638">
        <w:rPr>
          <w:sz w:val="24"/>
        </w:rPr>
        <w:t>3</w:t>
      </w:r>
      <w:r w:rsidRPr="00C7413B" w:rsidR="00B3072A">
        <w:rPr>
          <w:sz w:val="24"/>
        </w:rPr>
        <w:t>,</w:t>
      </w:r>
      <w:r w:rsidRPr="00C7413B" w:rsidR="00005CAF">
        <w:rPr>
          <w:sz w:val="24"/>
        </w:rPr>
        <w:t>1</w:t>
      </w:r>
      <w:r w:rsidRPr="00C7413B" w:rsidR="00EC1638">
        <w:rPr>
          <w:sz w:val="24"/>
        </w:rPr>
        <w:t>12</w:t>
      </w:r>
      <w:r w:rsidRPr="00C7413B">
        <w:rPr>
          <w:sz w:val="24"/>
        </w:rPr>
        <w:t xml:space="preserve">. </w:t>
      </w:r>
    </w:p>
    <w:p w:rsidRPr="00C7413B" w:rsidR="00042A8F" w:rsidP="00042A8F" w:rsidRDefault="00042A8F" w14:paraId="29AC5BCE" w14:textId="77777777">
      <w:pPr>
        <w:spacing w:after="0" w:line="259" w:lineRule="auto"/>
        <w:rPr>
          <w:sz w:val="24"/>
        </w:rPr>
      </w:pPr>
    </w:p>
    <w:p w:rsidRPr="00C7413B" w:rsidR="00042A8F" w:rsidP="00042A8F" w:rsidRDefault="00042A8F" w14:paraId="51DB608A" w14:textId="77777777">
      <w:pPr>
        <w:spacing w:after="0" w:line="259" w:lineRule="auto"/>
        <w:ind w:left="1" w:firstLine="0"/>
        <w:jc w:val="center"/>
      </w:pPr>
      <w:r w:rsidRPr="00C7413B">
        <w:rPr>
          <w:rFonts w:ascii="Arial" w:hAnsi="Arial" w:eastAsia="Arial" w:cs="Arial"/>
          <w:b/>
          <w:sz w:val="24"/>
        </w:rPr>
        <w:t>Exhibit 6-3</w:t>
      </w:r>
    </w:p>
    <w:p w:rsidRPr="00C7413B" w:rsidR="00042A8F" w:rsidP="00042A8F" w:rsidRDefault="00042A8F" w14:paraId="68136C2A" w14:textId="77777777">
      <w:pPr>
        <w:spacing w:after="0" w:line="259" w:lineRule="auto"/>
        <w:ind w:left="2110"/>
      </w:pPr>
      <w:r w:rsidRPr="00C7413B">
        <w:rPr>
          <w:rFonts w:ascii="Arial" w:hAnsi="Arial" w:eastAsia="Arial" w:cs="Arial"/>
          <w:b/>
          <w:sz w:val="24"/>
        </w:rPr>
        <w:t xml:space="preserve">Summary of Annual Respondent Burden and Costs </w:t>
      </w:r>
    </w:p>
    <w:p w:rsidRPr="00C7413B" w:rsidR="00042A8F" w:rsidP="00042A8F" w:rsidRDefault="00042A8F" w14:paraId="4C2985E3" w14:textId="77777777">
      <w:pPr>
        <w:spacing w:after="0" w:line="259" w:lineRule="auto"/>
        <w:ind w:left="784" w:firstLine="0"/>
        <w:jc w:val="center"/>
      </w:pPr>
      <w:r w:rsidRPr="00C7413B">
        <w:rPr>
          <w:rFonts w:ascii="Arial" w:hAnsi="Arial" w:eastAsia="Arial" w:cs="Arial"/>
          <w:b/>
          <w:sz w:val="24"/>
        </w:rPr>
        <w:t xml:space="preserve"> </w:t>
      </w:r>
    </w:p>
    <w:tbl>
      <w:tblPr>
        <w:tblStyle w:val="TableGrid"/>
        <w:tblW w:w="9446" w:type="dxa"/>
        <w:tblInd w:w="5" w:type="dxa"/>
        <w:tblCellMar>
          <w:top w:w="42" w:type="dxa"/>
          <w:left w:w="108" w:type="dxa"/>
          <w:bottom w:w="5" w:type="dxa"/>
          <w:right w:w="10" w:type="dxa"/>
        </w:tblCellMar>
        <w:tblLook w:val="04A0" w:firstRow="1" w:lastRow="0" w:firstColumn="1" w:lastColumn="0" w:noHBand="0" w:noVBand="1"/>
      </w:tblPr>
      <w:tblGrid>
        <w:gridCol w:w="1565"/>
        <w:gridCol w:w="1574"/>
        <w:gridCol w:w="1541"/>
        <w:gridCol w:w="1795"/>
        <w:gridCol w:w="1296"/>
        <w:gridCol w:w="1675"/>
      </w:tblGrid>
      <w:tr w:rsidRPr="00C7413B" w:rsidR="00042A8F" w:rsidTr="00255572" w14:paraId="13F0DDBF" w14:textId="77777777">
        <w:trPr>
          <w:trHeight w:val="929"/>
          <w:tblHeader/>
        </w:trPr>
        <w:tc>
          <w:tcPr>
            <w:tcW w:w="1565"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70022E41" w14:textId="77777777">
            <w:pPr>
              <w:spacing w:after="0" w:line="259" w:lineRule="auto"/>
              <w:ind w:left="0" w:right="100" w:firstLine="0"/>
              <w:jc w:val="center"/>
            </w:pPr>
            <w:r w:rsidRPr="00C7413B">
              <w:rPr>
                <w:rFonts w:ascii="Arial" w:hAnsi="Arial" w:eastAsia="Arial" w:cs="Arial"/>
                <w:b/>
                <w:sz w:val="20"/>
              </w:rPr>
              <w:t>Response</w:t>
            </w:r>
          </w:p>
        </w:tc>
        <w:tc>
          <w:tcPr>
            <w:tcW w:w="1574"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1EB556D2" w14:textId="77777777">
            <w:pPr>
              <w:spacing w:after="0" w:line="259" w:lineRule="auto"/>
              <w:ind w:left="0" w:firstLine="0"/>
              <w:jc w:val="center"/>
            </w:pPr>
            <w:r w:rsidRPr="00C7413B">
              <w:rPr>
                <w:rFonts w:ascii="Arial" w:hAnsi="Arial" w:eastAsia="Arial" w:cs="Arial"/>
                <w:b/>
                <w:sz w:val="20"/>
              </w:rPr>
              <w:t>Number of Responses</w:t>
            </w:r>
          </w:p>
        </w:tc>
        <w:tc>
          <w:tcPr>
            <w:tcW w:w="1541"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2DD07CA6" w14:textId="77777777">
            <w:pPr>
              <w:spacing w:after="0" w:line="259" w:lineRule="auto"/>
              <w:ind w:left="101" w:right="149" w:firstLine="0"/>
              <w:jc w:val="center"/>
            </w:pPr>
            <w:r w:rsidRPr="00C7413B">
              <w:rPr>
                <w:rFonts w:ascii="Arial" w:hAnsi="Arial" w:eastAsia="Arial" w:cs="Arial"/>
                <w:b/>
                <w:sz w:val="20"/>
              </w:rPr>
              <w:t>Total Hours/ Year</w:t>
            </w:r>
          </w:p>
        </w:tc>
        <w:tc>
          <w:tcPr>
            <w:tcW w:w="1795"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324AB549" w14:textId="77777777">
            <w:pPr>
              <w:spacing w:after="0" w:line="259" w:lineRule="auto"/>
              <w:ind w:left="0" w:firstLine="0"/>
              <w:jc w:val="center"/>
            </w:pPr>
            <w:r w:rsidRPr="00C7413B">
              <w:rPr>
                <w:rFonts w:ascii="Arial" w:hAnsi="Arial" w:eastAsia="Arial" w:cs="Arial"/>
                <w:b/>
                <w:sz w:val="20"/>
              </w:rPr>
              <w:t>Total Annual Labor Cost</w:t>
            </w:r>
          </w:p>
        </w:tc>
        <w:tc>
          <w:tcPr>
            <w:tcW w:w="1296"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77198835" w14:textId="77777777">
            <w:pPr>
              <w:spacing w:after="0" w:line="259" w:lineRule="auto"/>
              <w:ind w:left="0" w:right="98" w:firstLine="0"/>
              <w:jc w:val="center"/>
            </w:pPr>
            <w:r w:rsidRPr="00C7413B">
              <w:rPr>
                <w:rFonts w:ascii="Arial" w:hAnsi="Arial" w:eastAsia="Arial" w:cs="Arial"/>
                <w:b/>
                <w:sz w:val="20"/>
              </w:rPr>
              <w:t>Total</w:t>
            </w:r>
          </w:p>
          <w:p w:rsidRPr="00C7413B" w:rsidR="00042A8F" w:rsidP="00255572" w:rsidRDefault="00042A8F" w14:paraId="298B5F87" w14:textId="77777777">
            <w:pPr>
              <w:spacing w:after="0" w:line="259" w:lineRule="auto"/>
              <w:ind w:left="0" w:right="100" w:firstLine="0"/>
              <w:jc w:val="center"/>
            </w:pPr>
            <w:r w:rsidRPr="00C7413B">
              <w:rPr>
                <w:rFonts w:ascii="Arial" w:hAnsi="Arial" w:eastAsia="Arial" w:cs="Arial"/>
                <w:b/>
                <w:sz w:val="20"/>
              </w:rPr>
              <w:t>Annual</w:t>
            </w:r>
          </w:p>
          <w:p w:rsidRPr="00C7413B" w:rsidR="00042A8F" w:rsidP="00255572" w:rsidRDefault="00042A8F" w14:paraId="62DC84B3" w14:textId="77777777">
            <w:pPr>
              <w:spacing w:after="0" w:line="259" w:lineRule="auto"/>
              <w:ind w:left="0" w:firstLine="0"/>
              <w:jc w:val="center"/>
            </w:pPr>
            <w:r w:rsidRPr="00C7413B">
              <w:rPr>
                <w:rFonts w:ascii="Arial" w:hAnsi="Arial" w:eastAsia="Arial" w:cs="Arial"/>
                <w:b/>
                <w:sz w:val="20"/>
              </w:rPr>
              <w:t>Non-Labor Cost</w:t>
            </w:r>
          </w:p>
        </w:tc>
        <w:tc>
          <w:tcPr>
            <w:tcW w:w="1675"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40DBABE2" w14:textId="77777777">
            <w:pPr>
              <w:spacing w:after="0" w:line="259" w:lineRule="auto"/>
              <w:ind w:left="0" w:right="98" w:firstLine="0"/>
              <w:jc w:val="center"/>
            </w:pPr>
            <w:r w:rsidRPr="00C7413B">
              <w:rPr>
                <w:rFonts w:ascii="Arial" w:hAnsi="Arial" w:eastAsia="Arial" w:cs="Arial"/>
                <w:b/>
                <w:sz w:val="20"/>
              </w:rPr>
              <w:t>Total Annual</w:t>
            </w:r>
          </w:p>
          <w:p w:rsidRPr="00C7413B" w:rsidR="00042A8F" w:rsidP="00255572" w:rsidRDefault="00042A8F" w14:paraId="465DC34F" w14:textId="77777777">
            <w:pPr>
              <w:spacing w:after="0" w:line="259" w:lineRule="auto"/>
              <w:ind w:left="0" w:right="101" w:firstLine="0"/>
              <w:jc w:val="center"/>
            </w:pPr>
            <w:r w:rsidRPr="00C7413B">
              <w:rPr>
                <w:rFonts w:ascii="Arial" w:hAnsi="Arial" w:eastAsia="Arial" w:cs="Arial"/>
                <w:b/>
                <w:sz w:val="20"/>
              </w:rPr>
              <w:t>Respondent</w:t>
            </w:r>
          </w:p>
          <w:p w:rsidRPr="00C7413B" w:rsidR="00042A8F" w:rsidP="00255572" w:rsidRDefault="00042A8F" w14:paraId="161A8F1C" w14:textId="77777777">
            <w:pPr>
              <w:spacing w:after="0" w:line="259" w:lineRule="auto"/>
              <w:ind w:left="0" w:right="101" w:firstLine="0"/>
              <w:jc w:val="center"/>
            </w:pPr>
            <w:r w:rsidRPr="00C7413B">
              <w:rPr>
                <w:rFonts w:ascii="Arial" w:hAnsi="Arial" w:eastAsia="Arial" w:cs="Arial"/>
                <w:b/>
                <w:sz w:val="20"/>
              </w:rPr>
              <w:t>Cost</w:t>
            </w:r>
          </w:p>
        </w:tc>
      </w:tr>
      <w:tr w:rsidRPr="00C7413B" w:rsidR="00042A8F" w:rsidTr="00255572" w14:paraId="28B71BCC" w14:textId="77777777">
        <w:trPr>
          <w:trHeight w:val="379"/>
        </w:trPr>
        <w:tc>
          <w:tcPr>
            <w:tcW w:w="1565" w:type="dxa"/>
            <w:tcBorders>
              <w:top w:val="single" w:color="000000" w:sz="4" w:space="0"/>
              <w:left w:val="single" w:color="000000" w:sz="4" w:space="0"/>
              <w:bottom w:val="single" w:color="000000" w:sz="4" w:space="0"/>
              <w:right w:val="single" w:color="000000" w:sz="4" w:space="0"/>
            </w:tcBorders>
          </w:tcPr>
          <w:p w:rsidRPr="00C7413B" w:rsidR="00042A8F" w:rsidP="00255572" w:rsidRDefault="00042A8F" w14:paraId="1A77A12F" w14:textId="77777777">
            <w:pPr>
              <w:spacing w:after="0" w:line="259" w:lineRule="auto"/>
              <w:ind w:left="0" w:firstLine="0"/>
            </w:pPr>
            <w:r w:rsidRPr="00C7413B">
              <w:rPr>
                <w:rFonts w:ascii="Arial" w:hAnsi="Arial" w:eastAsia="Arial" w:cs="Arial"/>
                <w:sz w:val="18"/>
              </w:rPr>
              <w:t xml:space="preserve">Report progress </w:t>
            </w:r>
          </w:p>
        </w:tc>
        <w:tc>
          <w:tcPr>
            <w:tcW w:w="1574" w:type="dxa"/>
            <w:tcBorders>
              <w:top w:val="single" w:color="000000" w:sz="4" w:space="0"/>
              <w:left w:val="single" w:color="000000" w:sz="4" w:space="0"/>
              <w:bottom w:val="single" w:color="000000" w:sz="4" w:space="0"/>
              <w:right w:val="single" w:color="000000" w:sz="4" w:space="0"/>
            </w:tcBorders>
            <w:vAlign w:val="bottom"/>
          </w:tcPr>
          <w:p w:rsidRPr="00C7413B" w:rsidR="00042A8F" w:rsidP="00255572" w:rsidRDefault="00042A8F" w14:paraId="7A6F55C6" w14:textId="77777777">
            <w:pPr>
              <w:spacing w:after="0" w:line="259" w:lineRule="auto"/>
              <w:ind w:left="0" w:right="101" w:firstLine="0"/>
              <w:jc w:val="right"/>
            </w:pPr>
            <w:r w:rsidRPr="00C7413B">
              <w:rPr>
                <w:rFonts w:ascii="Arial" w:hAnsi="Arial" w:eastAsia="Arial" w:cs="Arial"/>
                <w:b/>
                <w:sz w:val="18"/>
              </w:rPr>
              <w:t xml:space="preserve">51  </w:t>
            </w:r>
          </w:p>
        </w:tc>
        <w:tc>
          <w:tcPr>
            <w:tcW w:w="1541" w:type="dxa"/>
            <w:tcBorders>
              <w:top w:val="single" w:color="000000" w:sz="4" w:space="0"/>
              <w:left w:val="single" w:color="000000" w:sz="4" w:space="0"/>
              <w:bottom w:val="single" w:color="000000" w:sz="4" w:space="0"/>
              <w:right w:val="single" w:color="000000" w:sz="4" w:space="0"/>
            </w:tcBorders>
            <w:vAlign w:val="bottom"/>
          </w:tcPr>
          <w:p w:rsidRPr="00C7413B" w:rsidR="00042A8F" w:rsidP="00255572" w:rsidRDefault="00005CAF" w14:paraId="1C3A74A2" w14:textId="2E2C91C3">
            <w:pPr>
              <w:spacing w:after="0" w:line="259" w:lineRule="auto"/>
              <w:ind w:left="0" w:right="94" w:firstLine="0"/>
              <w:jc w:val="right"/>
            </w:pPr>
            <w:r w:rsidRPr="00C7413B">
              <w:rPr>
                <w:rFonts w:ascii="Arial" w:hAnsi="Arial" w:eastAsia="Arial" w:cs="Arial"/>
                <w:b/>
                <w:sz w:val="18"/>
              </w:rPr>
              <w:t>288</w:t>
            </w:r>
            <w:r w:rsidRPr="00C7413B" w:rsidR="000B421D">
              <w:rPr>
                <w:rFonts w:ascii="Arial" w:hAnsi="Arial" w:eastAsia="Arial" w:cs="Arial"/>
                <w:b/>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bottom"/>
          </w:tcPr>
          <w:p w:rsidRPr="00C7413B" w:rsidR="00042A8F" w:rsidP="00255572" w:rsidRDefault="00042A8F" w14:paraId="09992D51" w14:textId="699BDAAF">
            <w:pPr>
              <w:spacing w:after="0" w:line="259" w:lineRule="auto"/>
              <w:ind w:left="0" w:right="96" w:firstLine="0"/>
              <w:jc w:val="right"/>
            </w:pPr>
            <w:r w:rsidRPr="00C7413B">
              <w:rPr>
                <w:rFonts w:ascii="Arial" w:hAnsi="Arial" w:eastAsia="Arial" w:cs="Arial"/>
                <w:b/>
                <w:sz w:val="18"/>
              </w:rPr>
              <w:t>$</w:t>
            </w:r>
            <w:r w:rsidRPr="00C7413B" w:rsidR="00405060">
              <w:rPr>
                <w:rFonts w:ascii="Arial" w:hAnsi="Arial" w:eastAsia="Arial" w:cs="Arial"/>
                <w:b/>
                <w:sz w:val="18"/>
              </w:rPr>
              <w:t>17,</w:t>
            </w:r>
            <w:r w:rsidRPr="00C7413B" w:rsidR="00CF2316">
              <w:rPr>
                <w:rFonts w:ascii="Arial" w:hAnsi="Arial" w:eastAsia="Arial" w:cs="Arial"/>
                <w:b/>
                <w:sz w:val="18"/>
              </w:rPr>
              <w:t>07</w:t>
            </w:r>
            <w:r w:rsidRPr="00C7413B" w:rsidR="00405060">
              <w:rPr>
                <w:rFonts w:ascii="Arial" w:hAnsi="Arial" w:eastAsia="Arial" w:cs="Arial"/>
                <w:b/>
                <w:sz w:val="18"/>
              </w:rPr>
              <w:t>4</w:t>
            </w:r>
            <w:r w:rsidRPr="00C7413B">
              <w:rPr>
                <w:rFonts w:ascii="Arial" w:hAnsi="Arial" w:eastAsia="Arial" w:cs="Arial"/>
                <w:b/>
                <w:sz w:val="18"/>
              </w:rPr>
              <w:t xml:space="preserve"> </w:t>
            </w:r>
          </w:p>
        </w:tc>
        <w:tc>
          <w:tcPr>
            <w:tcW w:w="1296" w:type="dxa"/>
            <w:tcBorders>
              <w:top w:val="single" w:color="000000" w:sz="4" w:space="0"/>
              <w:left w:val="single" w:color="000000" w:sz="4" w:space="0"/>
              <w:bottom w:val="single" w:color="000000" w:sz="4" w:space="0"/>
              <w:right w:val="single" w:color="000000" w:sz="4" w:space="0"/>
            </w:tcBorders>
            <w:vAlign w:val="bottom"/>
          </w:tcPr>
          <w:p w:rsidRPr="00C7413B" w:rsidR="00042A8F" w:rsidP="00255572" w:rsidRDefault="00042A8F" w14:paraId="546C3452" w14:textId="77777777">
            <w:pPr>
              <w:spacing w:after="0" w:line="259" w:lineRule="auto"/>
              <w:ind w:left="0" w:right="99" w:firstLine="0"/>
              <w:jc w:val="right"/>
            </w:pPr>
            <w:r w:rsidRPr="00C7413B">
              <w:rPr>
                <w:rFonts w:ascii="Arial" w:hAnsi="Arial" w:eastAsia="Arial" w:cs="Arial"/>
                <w:b/>
                <w:sz w:val="18"/>
              </w:rPr>
              <w:t xml:space="preserve">$0  </w:t>
            </w:r>
          </w:p>
        </w:tc>
        <w:tc>
          <w:tcPr>
            <w:tcW w:w="1675" w:type="dxa"/>
            <w:tcBorders>
              <w:top w:val="single" w:color="000000" w:sz="4" w:space="0"/>
              <w:left w:val="single" w:color="000000" w:sz="4" w:space="0"/>
              <w:bottom w:val="single" w:color="000000" w:sz="4" w:space="0"/>
              <w:right w:val="single" w:color="000000" w:sz="4" w:space="0"/>
            </w:tcBorders>
            <w:vAlign w:val="bottom"/>
          </w:tcPr>
          <w:p w:rsidRPr="00C7413B" w:rsidR="00042A8F" w:rsidP="00255572" w:rsidRDefault="00042A8F" w14:paraId="56201AF5" w14:textId="4FB9F288">
            <w:pPr>
              <w:spacing w:after="0" w:line="259" w:lineRule="auto"/>
              <w:ind w:left="0" w:right="96" w:firstLine="0"/>
              <w:jc w:val="right"/>
            </w:pPr>
            <w:r w:rsidRPr="00C7413B">
              <w:rPr>
                <w:rFonts w:ascii="Arial" w:hAnsi="Arial" w:eastAsia="Arial" w:cs="Arial"/>
                <w:b/>
                <w:sz w:val="18"/>
              </w:rPr>
              <w:t>$</w:t>
            </w:r>
            <w:r w:rsidRPr="00C7413B" w:rsidR="00405060">
              <w:rPr>
                <w:rFonts w:ascii="Arial" w:hAnsi="Arial" w:eastAsia="Arial" w:cs="Arial"/>
                <w:b/>
                <w:sz w:val="18"/>
              </w:rPr>
              <w:t>17,</w:t>
            </w:r>
            <w:r w:rsidRPr="00C7413B" w:rsidR="00753AB1">
              <w:rPr>
                <w:rFonts w:ascii="Arial" w:hAnsi="Arial" w:eastAsia="Arial" w:cs="Arial"/>
                <w:b/>
                <w:sz w:val="18"/>
              </w:rPr>
              <w:t>07</w:t>
            </w:r>
            <w:r w:rsidRPr="00C7413B" w:rsidR="00405060">
              <w:rPr>
                <w:rFonts w:ascii="Arial" w:hAnsi="Arial" w:eastAsia="Arial" w:cs="Arial"/>
                <w:b/>
                <w:sz w:val="18"/>
              </w:rPr>
              <w:t>4</w:t>
            </w:r>
          </w:p>
        </w:tc>
      </w:tr>
      <w:tr w:rsidRPr="00C7413B" w:rsidR="00042A8F" w:rsidTr="00255572" w14:paraId="3E92B4CC" w14:textId="77777777">
        <w:trPr>
          <w:trHeight w:val="425"/>
        </w:trPr>
        <w:tc>
          <w:tcPr>
            <w:tcW w:w="1565" w:type="dxa"/>
            <w:tcBorders>
              <w:top w:val="single" w:color="000000" w:sz="4" w:space="0"/>
              <w:left w:val="single" w:color="000000" w:sz="4" w:space="0"/>
              <w:bottom w:val="single" w:color="000000" w:sz="4" w:space="0"/>
              <w:right w:val="single" w:color="000000" w:sz="4" w:space="0"/>
            </w:tcBorders>
          </w:tcPr>
          <w:p w:rsidRPr="00C7413B" w:rsidR="00042A8F" w:rsidP="00255572" w:rsidRDefault="008E6611" w14:paraId="4978B8F2" w14:textId="52724621">
            <w:pPr>
              <w:spacing w:after="0" w:line="259" w:lineRule="auto"/>
              <w:ind w:left="0" w:firstLine="0"/>
            </w:pPr>
            <w:r w:rsidRPr="00C7413B">
              <w:rPr>
                <w:rFonts w:ascii="Arial" w:hAnsi="Arial" w:eastAsia="Arial" w:cs="Arial"/>
                <w:b/>
                <w:sz w:val="18"/>
              </w:rPr>
              <w:t xml:space="preserve">Average </w:t>
            </w:r>
            <w:r w:rsidRPr="00C7413B" w:rsidR="00042A8F">
              <w:rPr>
                <w:rFonts w:ascii="Arial" w:hAnsi="Arial" w:eastAsia="Arial" w:cs="Arial"/>
                <w:b/>
                <w:sz w:val="18"/>
              </w:rPr>
              <w:t xml:space="preserve">Burden per response </w:t>
            </w:r>
          </w:p>
        </w:tc>
        <w:tc>
          <w:tcPr>
            <w:tcW w:w="1574" w:type="dxa"/>
            <w:tcBorders>
              <w:top w:val="single" w:color="000000" w:sz="4" w:space="0"/>
              <w:left w:val="single" w:color="000000" w:sz="4" w:space="0"/>
              <w:bottom w:val="single" w:color="000000" w:sz="4" w:space="0"/>
              <w:right w:val="nil"/>
            </w:tcBorders>
            <w:vAlign w:val="center"/>
          </w:tcPr>
          <w:p w:rsidRPr="00C7413B" w:rsidR="00042A8F" w:rsidP="00255572" w:rsidRDefault="00042A8F" w14:paraId="375BF275" w14:textId="77777777">
            <w:pPr>
              <w:spacing w:after="0" w:line="259" w:lineRule="auto"/>
              <w:ind w:left="0" w:firstLine="0"/>
            </w:pPr>
            <w:r w:rsidRPr="00C7413B">
              <w:rPr>
                <w:rFonts w:ascii="Arial" w:hAnsi="Arial" w:eastAsia="Arial" w:cs="Arial"/>
                <w:b/>
                <w:sz w:val="18"/>
              </w:rPr>
              <w:t xml:space="preserve"> </w:t>
            </w:r>
          </w:p>
        </w:tc>
        <w:tc>
          <w:tcPr>
            <w:tcW w:w="1541" w:type="dxa"/>
            <w:tcBorders>
              <w:top w:val="single" w:color="000000" w:sz="4" w:space="0"/>
              <w:left w:val="nil"/>
              <w:bottom w:val="single" w:color="000000" w:sz="4" w:space="0"/>
              <w:right w:val="nil"/>
            </w:tcBorders>
          </w:tcPr>
          <w:p w:rsidRPr="00C7413B" w:rsidR="00042A8F" w:rsidP="00255572" w:rsidRDefault="00042A8F" w14:paraId="5D714479" w14:textId="77777777">
            <w:pPr>
              <w:spacing w:after="160" w:line="259" w:lineRule="auto"/>
              <w:ind w:left="0" w:firstLine="0"/>
            </w:pPr>
          </w:p>
        </w:tc>
        <w:tc>
          <w:tcPr>
            <w:tcW w:w="1795" w:type="dxa"/>
            <w:tcBorders>
              <w:top w:val="single" w:color="000000" w:sz="4" w:space="0"/>
              <w:left w:val="nil"/>
              <w:bottom w:val="single" w:color="000000" w:sz="4" w:space="0"/>
              <w:right w:val="nil"/>
            </w:tcBorders>
          </w:tcPr>
          <w:p w:rsidRPr="00C7413B" w:rsidR="00042A8F" w:rsidP="00255572" w:rsidRDefault="00042A8F" w14:paraId="5D5CCB38" w14:textId="77777777">
            <w:pPr>
              <w:spacing w:after="160" w:line="259" w:lineRule="auto"/>
              <w:ind w:left="0" w:firstLine="0"/>
            </w:pPr>
          </w:p>
        </w:tc>
        <w:tc>
          <w:tcPr>
            <w:tcW w:w="1296" w:type="dxa"/>
            <w:tcBorders>
              <w:top w:val="single" w:color="000000" w:sz="4" w:space="0"/>
              <w:left w:val="nil"/>
              <w:bottom w:val="single" w:color="000000" w:sz="4" w:space="0"/>
              <w:right w:val="single" w:color="000000" w:sz="4" w:space="0"/>
            </w:tcBorders>
          </w:tcPr>
          <w:p w:rsidRPr="00C7413B" w:rsidR="00042A8F" w:rsidP="00255572" w:rsidRDefault="00042A8F" w14:paraId="4BED0773" w14:textId="77777777">
            <w:pPr>
              <w:spacing w:after="160" w:line="259" w:lineRule="auto"/>
              <w:ind w:left="0" w:firstLine="0"/>
            </w:pPr>
          </w:p>
        </w:tc>
        <w:tc>
          <w:tcPr>
            <w:tcW w:w="1675" w:type="dxa"/>
            <w:tcBorders>
              <w:top w:val="single" w:color="000000" w:sz="4" w:space="0"/>
              <w:left w:val="single" w:color="000000" w:sz="4" w:space="0"/>
              <w:bottom w:val="single" w:color="000000" w:sz="4" w:space="0"/>
              <w:right w:val="single" w:color="000000" w:sz="4" w:space="0"/>
            </w:tcBorders>
            <w:vAlign w:val="bottom"/>
          </w:tcPr>
          <w:p w:rsidRPr="00C7413B" w:rsidR="00042A8F" w:rsidP="00255572" w:rsidRDefault="00005CAF" w14:paraId="5F439407" w14:textId="0633BBB3">
            <w:pPr>
              <w:spacing w:after="0" w:line="259" w:lineRule="auto"/>
              <w:ind w:left="0" w:right="96" w:firstLine="0"/>
              <w:jc w:val="right"/>
            </w:pPr>
            <w:r w:rsidRPr="00C7413B">
              <w:rPr>
                <w:rFonts w:ascii="Arial" w:hAnsi="Arial" w:eastAsia="Arial" w:cs="Arial"/>
                <w:b/>
                <w:sz w:val="18"/>
              </w:rPr>
              <w:t>5.</w:t>
            </w:r>
            <w:r w:rsidRPr="00C7413B" w:rsidR="00240549">
              <w:rPr>
                <w:rFonts w:ascii="Arial" w:hAnsi="Arial" w:eastAsia="Arial" w:cs="Arial"/>
                <w:b/>
                <w:sz w:val="18"/>
              </w:rPr>
              <w:t>65</w:t>
            </w:r>
            <w:r w:rsidRPr="00C7413B" w:rsidR="00042A8F">
              <w:rPr>
                <w:rFonts w:ascii="Arial" w:hAnsi="Arial" w:eastAsia="Arial" w:cs="Arial"/>
                <w:b/>
                <w:sz w:val="18"/>
              </w:rPr>
              <w:t xml:space="preserve"> </w:t>
            </w:r>
          </w:p>
        </w:tc>
      </w:tr>
      <w:tr w:rsidRPr="00C7413B" w:rsidR="00042A8F" w:rsidTr="00255572" w14:paraId="3F9EFD69" w14:textId="77777777">
        <w:trPr>
          <w:trHeight w:val="425"/>
        </w:trPr>
        <w:tc>
          <w:tcPr>
            <w:tcW w:w="1565" w:type="dxa"/>
            <w:tcBorders>
              <w:top w:val="single" w:color="000000" w:sz="4" w:space="0"/>
              <w:left w:val="single" w:color="000000" w:sz="4" w:space="0"/>
              <w:bottom w:val="single" w:color="000000" w:sz="4" w:space="0"/>
              <w:right w:val="single" w:color="000000" w:sz="4" w:space="0"/>
            </w:tcBorders>
          </w:tcPr>
          <w:p w:rsidRPr="00C7413B" w:rsidR="00042A8F" w:rsidP="00255572" w:rsidRDefault="00042A8F" w14:paraId="1D2ED14D" w14:textId="77777777">
            <w:pPr>
              <w:spacing w:after="0" w:line="259" w:lineRule="auto"/>
              <w:ind w:left="0" w:firstLine="0"/>
            </w:pPr>
            <w:r w:rsidRPr="00C7413B">
              <w:rPr>
                <w:rFonts w:ascii="Arial" w:hAnsi="Arial" w:eastAsia="Arial" w:cs="Arial"/>
                <w:b/>
                <w:sz w:val="18"/>
              </w:rPr>
              <w:t xml:space="preserve">Cost per response </w:t>
            </w:r>
          </w:p>
        </w:tc>
        <w:tc>
          <w:tcPr>
            <w:tcW w:w="1574" w:type="dxa"/>
            <w:tcBorders>
              <w:top w:val="single" w:color="000000" w:sz="4" w:space="0"/>
              <w:left w:val="single" w:color="000000" w:sz="4" w:space="0"/>
              <w:bottom w:val="single" w:color="000000" w:sz="4" w:space="0"/>
              <w:right w:val="nil"/>
            </w:tcBorders>
            <w:vAlign w:val="center"/>
          </w:tcPr>
          <w:p w:rsidRPr="00C7413B" w:rsidR="00042A8F" w:rsidP="00255572" w:rsidRDefault="00042A8F" w14:paraId="28202CA0" w14:textId="77777777">
            <w:pPr>
              <w:spacing w:after="0" w:line="259" w:lineRule="auto"/>
              <w:ind w:left="0" w:firstLine="0"/>
            </w:pPr>
            <w:r w:rsidRPr="00C7413B">
              <w:rPr>
                <w:rFonts w:ascii="Arial" w:hAnsi="Arial" w:eastAsia="Arial" w:cs="Arial"/>
                <w:b/>
                <w:sz w:val="18"/>
              </w:rPr>
              <w:t xml:space="preserve"> </w:t>
            </w:r>
          </w:p>
        </w:tc>
        <w:tc>
          <w:tcPr>
            <w:tcW w:w="1541" w:type="dxa"/>
            <w:tcBorders>
              <w:top w:val="single" w:color="000000" w:sz="4" w:space="0"/>
              <w:left w:val="nil"/>
              <w:bottom w:val="single" w:color="000000" w:sz="4" w:space="0"/>
              <w:right w:val="nil"/>
            </w:tcBorders>
          </w:tcPr>
          <w:p w:rsidRPr="00C7413B" w:rsidR="00042A8F" w:rsidP="00255572" w:rsidRDefault="00042A8F" w14:paraId="755CABB2" w14:textId="77777777">
            <w:pPr>
              <w:spacing w:after="160" w:line="259" w:lineRule="auto"/>
              <w:ind w:left="0" w:firstLine="0"/>
            </w:pPr>
          </w:p>
        </w:tc>
        <w:tc>
          <w:tcPr>
            <w:tcW w:w="1795" w:type="dxa"/>
            <w:tcBorders>
              <w:top w:val="single" w:color="000000" w:sz="4" w:space="0"/>
              <w:left w:val="nil"/>
              <w:bottom w:val="single" w:color="000000" w:sz="4" w:space="0"/>
              <w:right w:val="nil"/>
            </w:tcBorders>
          </w:tcPr>
          <w:p w:rsidRPr="00C7413B" w:rsidR="00042A8F" w:rsidP="00255572" w:rsidRDefault="00042A8F" w14:paraId="7F33C6FE" w14:textId="77777777">
            <w:pPr>
              <w:spacing w:after="160" w:line="259" w:lineRule="auto"/>
              <w:ind w:left="0" w:firstLine="0"/>
            </w:pPr>
          </w:p>
        </w:tc>
        <w:tc>
          <w:tcPr>
            <w:tcW w:w="1296" w:type="dxa"/>
            <w:tcBorders>
              <w:top w:val="single" w:color="000000" w:sz="4" w:space="0"/>
              <w:left w:val="nil"/>
              <w:bottom w:val="single" w:color="000000" w:sz="4" w:space="0"/>
              <w:right w:val="single" w:color="000000" w:sz="4" w:space="0"/>
            </w:tcBorders>
          </w:tcPr>
          <w:p w:rsidRPr="00C7413B" w:rsidR="00042A8F" w:rsidP="00255572" w:rsidRDefault="00042A8F" w14:paraId="0065FDE1" w14:textId="77777777">
            <w:pPr>
              <w:spacing w:after="160" w:line="259" w:lineRule="auto"/>
              <w:ind w:left="0" w:firstLine="0"/>
            </w:pPr>
          </w:p>
        </w:tc>
        <w:tc>
          <w:tcPr>
            <w:tcW w:w="1675" w:type="dxa"/>
            <w:tcBorders>
              <w:top w:val="single" w:color="000000" w:sz="4" w:space="0"/>
              <w:left w:val="single" w:color="000000" w:sz="4" w:space="0"/>
              <w:bottom w:val="single" w:color="000000" w:sz="4" w:space="0"/>
              <w:right w:val="single" w:color="000000" w:sz="4" w:space="0"/>
            </w:tcBorders>
            <w:vAlign w:val="bottom"/>
          </w:tcPr>
          <w:p w:rsidRPr="00C7413B" w:rsidR="00042A8F" w:rsidP="00255572" w:rsidRDefault="00042A8F" w14:paraId="63C9611A" w14:textId="7AA48CF5">
            <w:pPr>
              <w:spacing w:after="0" w:line="259" w:lineRule="auto"/>
              <w:ind w:left="0" w:right="96" w:firstLine="0"/>
              <w:jc w:val="right"/>
            </w:pPr>
            <w:r w:rsidRPr="00C7413B">
              <w:rPr>
                <w:rFonts w:ascii="Arial" w:hAnsi="Arial" w:eastAsia="Arial" w:cs="Arial"/>
                <w:b/>
                <w:sz w:val="18"/>
              </w:rPr>
              <w:t>$</w:t>
            </w:r>
            <w:r w:rsidRPr="00C7413B" w:rsidR="00997414">
              <w:rPr>
                <w:rFonts w:ascii="Arial" w:hAnsi="Arial" w:eastAsia="Arial" w:cs="Arial"/>
                <w:b/>
                <w:sz w:val="18"/>
              </w:rPr>
              <w:t>3</w:t>
            </w:r>
            <w:r w:rsidRPr="00C7413B" w:rsidR="00753AB1">
              <w:rPr>
                <w:rFonts w:ascii="Arial" w:hAnsi="Arial" w:eastAsia="Arial" w:cs="Arial"/>
                <w:b/>
                <w:sz w:val="18"/>
              </w:rPr>
              <w:t>35</w:t>
            </w:r>
            <w:r w:rsidRPr="00C7413B" w:rsidR="00997414">
              <w:rPr>
                <w:rFonts w:ascii="Arial" w:hAnsi="Arial" w:eastAsia="Arial" w:cs="Arial"/>
                <w:b/>
                <w:sz w:val="18"/>
              </w:rPr>
              <w:t xml:space="preserve"> </w:t>
            </w:r>
          </w:p>
        </w:tc>
      </w:tr>
    </w:tbl>
    <w:p w:rsidRPr="00C7413B" w:rsidR="00042A8F" w:rsidP="00CF08D6" w:rsidRDefault="00042A8F" w14:paraId="516C7AA3" w14:textId="3AA2E56A">
      <w:pPr>
        <w:spacing w:after="0" w:line="259" w:lineRule="auto"/>
        <w:ind w:left="0" w:firstLine="0"/>
        <w:rPr>
          <w:rFonts w:ascii="Arial" w:hAnsi="Arial" w:eastAsia="Arial" w:cs="Arial"/>
          <w:sz w:val="24"/>
        </w:rPr>
      </w:pPr>
      <w:r w:rsidRPr="00C7413B">
        <w:rPr>
          <w:rFonts w:ascii="Arial" w:hAnsi="Arial" w:eastAsia="Arial" w:cs="Arial"/>
          <w:sz w:val="24"/>
        </w:rPr>
        <w:t xml:space="preserve"> </w:t>
      </w:r>
    </w:p>
    <w:p w:rsidRPr="00C7413B" w:rsidR="00521395" w:rsidP="008A0C07" w:rsidRDefault="00521395" w14:paraId="1647DD9D" w14:textId="77777777">
      <w:pPr>
        <w:spacing w:after="0" w:line="259" w:lineRule="auto"/>
        <w:ind w:left="0" w:firstLine="0"/>
      </w:pPr>
    </w:p>
    <w:p w:rsidRPr="00C7413B" w:rsidR="00042A8F" w:rsidP="00042A8F" w:rsidRDefault="00042A8F" w14:paraId="49A9A2B8" w14:textId="77777777">
      <w:pPr>
        <w:tabs>
          <w:tab w:val="center" w:pos="1350"/>
        </w:tabs>
        <w:spacing w:after="0" w:line="259" w:lineRule="auto"/>
        <w:ind w:left="-14" w:firstLine="0"/>
      </w:pPr>
      <w:r w:rsidRPr="00C7413B">
        <w:rPr>
          <w:sz w:val="24"/>
        </w:rPr>
        <w:t xml:space="preserve"> </w:t>
      </w:r>
      <w:r w:rsidRPr="00C7413B">
        <w:rPr>
          <w:sz w:val="24"/>
        </w:rPr>
        <w:tab/>
      </w:r>
      <w:r w:rsidRPr="00C7413B">
        <w:rPr>
          <w:i/>
          <w:sz w:val="24"/>
        </w:rPr>
        <w:t xml:space="preserve">Agency Tally </w:t>
      </w:r>
    </w:p>
    <w:p w:rsidRPr="00C7413B" w:rsidR="00042A8F" w:rsidP="00042A8F" w:rsidRDefault="00042A8F" w14:paraId="0BD44F14" w14:textId="77777777">
      <w:pPr>
        <w:spacing w:line="259" w:lineRule="auto"/>
        <w:ind w:left="1" w:firstLine="0"/>
      </w:pPr>
      <w:r w:rsidRPr="00C7413B">
        <w:rPr>
          <w:sz w:val="24"/>
        </w:rPr>
        <w:t xml:space="preserve"> </w:t>
      </w:r>
    </w:p>
    <w:p w:rsidRPr="00C7413B" w:rsidR="00042A8F" w:rsidP="00042A8F" w:rsidRDefault="00042A8F" w14:paraId="6AEA6AC2" w14:textId="4C87ECD2">
      <w:pPr>
        <w:spacing w:after="3" w:line="249" w:lineRule="auto"/>
        <w:ind w:left="-4" w:right="1"/>
      </w:pPr>
      <w:r w:rsidRPr="00C7413B">
        <w:rPr>
          <w:sz w:val="24"/>
        </w:rPr>
        <w:t xml:space="preserve"> </w:t>
      </w:r>
      <w:r w:rsidRPr="00C7413B">
        <w:rPr>
          <w:sz w:val="24"/>
        </w:rPr>
        <w:tab/>
        <w:t xml:space="preserve">The total annual Agency burden is </w:t>
      </w:r>
      <w:r w:rsidRPr="00C7413B" w:rsidR="00545DE3">
        <w:rPr>
          <w:sz w:val="24"/>
        </w:rPr>
        <w:t xml:space="preserve">204 </w:t>
      </w:r>
      <w:r w:rsidRPr="00C7413B">
        <w:rPr>
          <w:sz w:val="24"/>
        </w:rPr>
        <w:t>hours, and the total annual Agency cost is $</w:t>
      </w:r>
      <w:r w:rsidRPr="00C7413B" w:rsidR="00496233">
        <w:rPr>
          <w:sz w:val="24"/>
        </w:rPr>
        <w:t>12,107</w:t>
      </w:r>
      <w:r w:rsidRPr="00C7413B">
        <w:rPr>
          <w:sz w:val="24"/>
        </w:rPr>
        <w:t xml:space="preserve">. Exhibit 6-4 presents the total annual Agency burden and cost associated with reviewing measures data. </w:t>
      </w:r>
    </w:p>
    <w:p w:rsidRPr="00C7413B" w:rsidR="00042A8F" w:rsidP="00042A8F" w:rsidRDefault="00042A8F" w14:paraId="3E0E9308" w14:textId="77777777">
      <w:pPr>
        <w:spacing w:line="259" w:lineRule="auto"/>
        <w:ind w:left="1" w:firstLine="0"/>
      </w:pPr>
      <w:r w:rsidRPr="00C7413B">
        <w:rPr>
          <w:sz w:val="24"/>
        </w:rPr>
        <w:t xml:space="preserve"> </w:t>
      </w:r>
    </w:p>
    <w:p w:rsidRPr="00C7413B" w:rsidR="00042A8F" w:rsidP="00042A8F" w:rsidRDefault="00042A8F" w14:paraId="502B6BCD" w14:textId="726DBFA0">
      <w:pPr>
        <w:spacing w:after="3" w:line="249" w:lineRule="auto"/>
        <w:ind w:left="-4" w:right="1"/>
      </w:pPr>
      <w:r w:rsidRPr="00C7413B">
        <w:rPr>
          <w:sz w:val="24"/>
        </w:rPr>
        <w:t xml:space="preserve"> </w:t>
      </w:r>
      <w:r w:rsidRPr="00C7413B">
        <w:rPr>
          <w:sz w:val="24"/>
        </w:rPr>
        <w:tab/>
        <w:t xml:space="preserve">Over the three years covered by this request, the total Agency burden associated with this voluntary reporting will be </w:t>
      </w:r>
      <w:r w:rsidRPr="00C7413B" w:rsidR="00545DE3">
        <w:rPr>
          <w:sz w:val="24"/>
        </w:rPr>
        <w:t>612</w:t>
      </w:r>
      <w:r w:rsidRPr="00C7413B">
        <w:rPr>
          <w:sz w:val="24"/>
        </w:rPr>
        <w:t xml:space="preserve"> hours. The total Agency cost over the three years covered by this ICR will be $</w:t>
      </w:r>
      <w:r w:rsidRPr="00C7413B" w:rsidR="00545DE3">
        <w:rPr>
          <w:sz w:val="24"/>
        </w:rPr>
        <w:t>3</w:t>
      </w:r>
      <w:r w:rsidRPr="00C7413B" w:rsidR="00496233">
        <w:rPr>
          <w:sz w:val="24"/>
        </w:rPr>
        <w:t>6,321</w:t>
      </w:r>
      <w:r w:rsidRPr="00C7413B">
        <w:rPr>
          <w:sz w:val="24"/>
        </w:rPr>
        <w:t xml:space="preserve">. </w:t>
      </w:r>
    </w:p>
    <w:p w:rsidRPr="00C7413B" w:rsidR="00042A8F" w:rsidP="00042A8F" w:rsidRDefault="00042A8F" w14:paraId="2CD385C5" w14:textId="77777777">
      <w:pPr>
        <w:spacing w:after="0" w:line="259" w:lineRule="auto"/>
        <w:ind w:left="729"/>
        <w:jc w:val="center"/>
        <w:rPr>
          <w:rFonts w:ascii="Arial" w:hAnsi="Arial" w:eastAsia="Arial" w:cs="Arial"/>
          <w:b/>
          <w:sz w:val="24"/>
        </w:rPr>
      </w:pPr>
    </w:p>
    <w:p w:rsidRPr="00C7413B" w:rsidR="00042A8F" w:rsidP="00042A8F" w:rsidRDefault="00042A8F" w14:paraId="49BF986E" w14:textId="77777777">
      <w:pPr>
        <w:spacing w:after="0" w:line="259" w:lineRule="auto"/>
        <w:ind w:left="729"/>
        <w:jc w:val="center"/>
        <w:rPr>
          <w:rFonts w:ascii="Arial" w:hAnsi="Arial" w:eastAsia="Arial" w:cs="Arial"/>
          <w:b/>
          <w:sz w:val="24"/>
        </w:rPr>
      </w:pPr>
    </w:p>
    <w:p w:rsidRPr="00C7413B" w:rsidR="00042A8F" w:rsidP="00042A8F" w:rsidRDefault="00042A8F" w14:paraId="564780D6" w14:textId="77777777">
      <w:pPr>
        <w:spacing w:after="0" w:line="259" w:lineRule="auto"/>
        <w:ind w:left="729"/>
        <w:jc w:val="center"/>
      </w:pPr>
      <w:r w:rsidRPr="00C7413B">
        <w:rPr>
          <w:rFonts w:ascii="Arial" w:hAnsi="Arial" w:eastAsia="Arial" w:cs="Arial"/>
          <w:b/>
          <w:sz w:val="24"/>
        </w:rPr>
        <w:t xml:space="preserve">Exhibit 6-4 </w:t>
      </w:r>
    </w:p>
    <w:p w:rsidRPr="00C7413B" w:rsidR="00042A8F" w:rsidP="00042A8F" w:rsidRDefault="00042A8F" w14:paraId="10267985" w14:textId="77777777">
      <w:pPr>
        <w:spacing w:after="0" w:line="259" w:lineRule="auto"/>
        <w:ind w:left="2384"/>
      </w:pPr>
      <w:r w:rsidRPr="00C7413B">
        <w:rPr>
          <w:rFonts w:ascii="Arial" w:hAnsi="Arial" w:eastAsia="Arial" w:cs="Arial"/>
          <w:b/>
          <w:sz w:val="24"/>
        </w:rPr>
        <w:t xml:space="preserve">Summary of Annual Agency Burden and Costs </w:t>
      </w:r>
    </w:p>
    <w:p w:rsidRPr="00C7413B" w:rsidR="00042A8F" w:rsidP="00042A8F" w:rsidRDefault="00042A8F" w14:paraId="2F10ACBF" w14:textId="77777777">
      <w:pPr>
        <w:spacing w:after="0" w:line="259" w:lineRule="auto"/>
        <w:ind w:left="784" w:firstLine="0"/>
        <w:jc w:val="center"/>
      </w:pPr>
      <w:r w:rsidRPr="00C7413B">
        <w:rPr>
          <w:rFonts w:ascii="Arial" w:hAnsi="Arial" w:eastAsia="Arial" w:cs="Arial"/>
          <w:b/>
          <w:sz w:val="24"/>
        </w:rPr>
        <w:t xml:space="preserve"> </w:t>
      </w:r>
    </w:p>
    <w:tbl>
      <w:tblPr>
        <w:tblStyle w:val="TableGrid"/>
        <w:tblW w:w="9900" w:type="dxa"/>
        <w:tblInd w:w="-155" w:type="dxa"/>
        <w:tblCellMar>
          <w:top w:w="42" w:type="dxa"/>
          <w:left w:w="108" w:type="dxa"/>
          <w:bottom w:w="5" w:type="dxa"/>
          <w:right w:w="8" w:type="dxa"/>
        </w:tblCellMar>
        <w:tblLook w:val="04A0" w:firstRow="1" w:lastRow="0" w:firstColumn="1" w:lastColumn="0" w:noHBand="0" w:noVBand="1"/>
      </w:tblPr>
      <w:tblGrid>
        <w:gridCol w:w="1757"/>
        <w:gridCol w:w="1572"/>
        <w:gridCol w:w="1440"/>
        <w:gridCol w:w="1620"/>
        <w:gridCol w:w="1980"/>
        <w:gridCol w:w="1531"/>
      </w:tblGrid>
      <w:tr w:rsidRPr="00C7413B" w:rsidR="00042A8F" w:rsidTr="00255572" w14:paraId="26461B88" w14:textId="77777777">
        <w:trPr>
          <w:trHeight w:val="701"/>
          <w:tblHeader/>
        </w:trPr>
        <w:tc>
          <w:tcPr>
            <w:tcW w:w="1757"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2DBFF587" w14:textId="77777777">
            <w:pPr>
              <w:spacing w:after="0" w:line="259" w:lineRule="auto"/>
              <w:ind w:left="0" w:right="98" w:firstLine="0"/>
              <w:jc w:val="center"/>
            </w:pPr>
            <w:r w:rsidRPr="00C7413B">
              <w:rPr>
                <w:rFonts w:ascii="Arial" w:hAnsi="Arial" w:eastAsia="Arial" w:cs="Arial"/>
                <w:b/>
                <w:sz w:val="20"/>
              </w:rPr>
              <w:t>Activity</w:t>
            </w:r>
          </w:p>
        </w:tc>
        <w:tc>
          <w:tcPr>
            <w:tcW w:w="1572"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383B033A" w14:textId="77777777">
            <w:pPr>
              <w:spacing w:after="0" w:line="259" w:lineRule="auto"/>
              <w:ind w:left="0" w:firstLine="0"/>
              <w:jc w:val="center"/>
            </w:pPr>
            <w:r w:rsidRPr="00C7413B">
              <w:rPr>
                <w:rFonts w:ascii="Arial" w:hAnsi="Arial" w:eastAsia="Arial" w:cs="Arial"/>
                <w:b/>
                <w:sz w:val="20"/>
              </w:rPr>
              <w:t>Total Number of Responses</w:t>
            </w:r>
          </w:p>
        </w:tc>
        <w:tc>
          <w:tcPr>
            <w:tcW w:w="1440"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4AF790FA" w14:textId="77777777">
            <w:pPr>
              <w:spacing w:after="0" w:line="259" w:lineRule="auto"/>
              <w:ind w:left="0" w:firstLine="0"/>
              <w:jc w:val="center"/>
            </w:pPr>
            <w:r w:rsidRPr="00C7413B">
              <w:rPr>
                <w:rFonts w:ascii="Arial" w:hAnsi="Arial" w:eastAsia="Arial" w:cs="Arial"/>
                <w:b/>
                <w:sz w:val="20"/>
              </w:rPr>
              <w:t>Total Hours/ Year</w:t>
            </w:r>
          </w:p>
        </w:tc>
        <w:tc>
          <w:tcPr>
            <w:tcW w:w="1620"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1681968C" w14:textId="77777777">
            <w:pPr>
              <w:spacing w:after="0" w:line="259" w:lineRule="auto"/>
              <w:ind w:left="0" w:firstLine="0"/>
              <w:jc w:val="center"/>
            </w:pPr>
            <w:r w:rsidRPr="00C7413B">
              <w:rPr>
                <w:rFonts w:ascii="Arial" w:hAnsi="Arial" w:eastAsia="Arial" w:cs="Arial"/>
                <w:b/>
                <w:sz w:val="20"/>
              </w:rPr>
              <w:t>Total Annual Labor Cost</w:t>
            </w:r>
          </w:p>
        </w:tc>
        <w:tc>
          <w:tcPr>
            <w:tcW w:w="1980"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04793688" w14:textId="77777777">
            <w:pPr>
              <w:spacing w:after="0" w:line="259" w:lineRule="auto"/>
              <w:ind w:left="0" w:firstLine="0"/>
              <w:jc w:val="center"/>
            </w:pPr>
            <w:r w:rsidRPr="00C7413B">
              <w:rPr>
                <w:rFonts w:ascii="Arial" w:hAnsi="Arial" w:eastAsia="Arial" w:cs="Arial"/>
                <w:b/>
                <w:sz w:val="20"/>
              </w:rPr>
              <w:t>Total Annual Nonlabor Cost</w:t>
            </w:r>
          </w:p>
        </w:tc>
        <w:tc>
          <w:tcPr>
            <w:tcW w:w="1531"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392D9F54" w14:textId="77777777">
            <w:pPr>
              <w:spacing w:after="0" w:line="259" w:lineRule="auto"/>
              <w:ind w:left="45" w:firstLine="5"/>
              <w:jc w:val="center"/>
            </w:pPr>
            <w:r w:rsidRPr="00C7413B">
              <w:rPr>
                <w:rFonts w:ascii="Arial" w:hAnsi="Arial" w:eastAsia="Arial" w:cs="Arial"/>
                <w:b/>
                <w:sz w:val="20"/>
              </w:rPr>
              <w:t>Total Annual Agency Cost</w:t>
            </w:r>
          </w:p>
        </w:tc>
      </w:tr>
      <w:tr w:rsidRPr="00C7413B" w:rsidR="00042A8F" w:rsidTr="00255572" w14:paraId="18D91538" w14:textId="77777777">
        <w:trPr>
          <w:trHeight w:val="425"/>
        </w:trPr>
        <w:tc>
          <w:tcPr>
            <w:tcW w:w="1757" w:type="dxa"/>
            <w:tcBorders>
              <w:top w:val="single" w:color="000000" w:sz="4" w:space="0"/>
              <w:left w:val="single" w:color="000000" w:sz="4" w:space="0"/>
              <w:bottom w:val="single" w:color="000000" w:sz="4" w:space="0"/>
              <w:right w:val="single" w:color="000000" w:sz="4" w:space="0"/>
            </w:tcBorders>
          </w:tcPr>
          <w:p w:rsidRPr="00C7413B" w:rsidR="00042A8F" w:rsidP="00255572" w:rsidRDefault="00042A8F" w14:paraId="6A9AE4DB" w14:textId="77777777">
            <w:pPr>
              <w:spacing w:after="0" w:line="259" w:lineRule="auto"/>
              <w:ind w:left="0" w:firstLine="0"/>
            </w:pPr>
            <w:r w:rsidRPr="00C7413B">
              <w:rPr>
                <w:rFonts w:ascii="Arial" w:hAnsi="Arial" w:eastAsia="Arial" w:cs="Arial"/>
                <w:b/>
                <w:sz w:val="18"/>
              </w:rPr>
              <w:t xml:space="preserve">Compile data (Regions) </w:t>
            </w:r>
          </w:p>
        </w:tc>
        <w:tc>
          <w:tcPr>
            <w:tcW w:w="1572" w:type="dxa"/>
            <w:tcBorders>
              <w:top w:val="single" w:color="000000" w:sz="4" w:space="0"/>
              <w:left w:val="single" w:color="000000" w:sz="4" w:space="0"/>
              <w:bottom w:val="single" w:color="000000" w:sz="4" w:space="0"/>
              <w:right w:val="single" w:color="000000" w:sz="4" w:space="0"/>
            </w:tcBorders>
            <w:vAlign w:val="bottom"/>
          </w:tcPr>
          <w:p w:rsidRPr="00C7413B" w:rsidR="00042A8F" w:rsidP="00255572" w:rsidRDefault="00042A8F" w14:paraId="534A8517" w14:textId="77777777">
            <w:pPr>
              <w:spacing w:after="0" w:line="259" w:lineRule="auto"/>
              <w:ind w:left="0" w:right="99" w:firstLine="0"/>
              <w:jc w:val="right"/>
            </w:pPr>
            <w:r w:rsidRPr="00C7413B">
              <w:rPr>
                <w:rFonts w:ascii="Arial" w:hAnsi="Arial" w:eastAsia="Arial" w:cs="Arial"/>
                <w:b/>
                <w:sz w:val="18"/>
              </w:rPr>
              <w:t xml:space="preserve">10 </w:t>
            </w:r>
          </w:p>
        </w:tc>
        <w:tc>
          <w:tcPr>
            <w:tcW w:w="1440" w:type="dxa"/>
            <w:tcBorders>
              <w:top w:val="single" w:color="000000" w:sz="4" w:space="0"/>
              <w:left w:val="single" w:color="000000" w:sz="4" w:space="0"/>
              <w:bottom w:val="single" w:color="000000" w:sz="4" w:space="0"/>
              <w:right w:val="single" w:color="000000" w:sz="4" w:space="0"/>
            </w:tcBorders>
            <w:vAlign w:val="bottom"/>
          </w:tcPr>
          <w:p w:rsidRPr="00C7413B" w:rsidR="00042A8F" w:rsidP="00255572" w:rsidRDefault="00545DE3" w14:paraId="6CE0B3E5" w14:textId="4BECE0D0">
            <w:pPr>
              <w:spacing w:after="0" w:line="259" w:lineRule="auto"/>
              <w:ind w:left="0" w:right="101" w:firstLine="0"/>
              <w:jc w:val="right"/>
            </w:pPr>
            <w:r w:rsidRPr="00C7413B">
              <w:rPr>
                <w:rFonts w:ascii="Arial" w:hAnsi="Arial" w:eastAsia="Arial" w:cs="Arial"/>
                <w:b/>
                <w:sz w:val="18"/>
              </w:rPr>
              <w:t xml:space="preserve">200  </w:t>
            </w:r>
          </w:p>
        </w:tc>
        <w:tc>
          <w:tcPr>
            <w:tcW w:w="1620" w:type="dxa"/>
            <w:tcBorders>
              <w:top w:val="single" w:color="000000" w:sz="4" w:space="0"/>
              <w:left w:val="single" w:color="000000" w:sz="4" w:space="0"/>
              <w:bottom w:val="single" w:color="000000" w:sz="4" w:space="0"/>
              <w:right w:val="single" w:color="000000" w:sz="4" w:space="0"/>
            </w:tcBorders>
            <w:vAlign w:val="bottom"/>
          </w:tcPr>
          <w:p w:rsidRPr="00C7413B" w:rsidR="00042A8F" w:rsidP="00255572" w:rsidRDefault="00042A8F" w14:paraId="036251A7" w14:textId="0407A8A1">
            <w:pPr>
              <w:spacing w:after="0" w:line="259" w:lineRule="auto"/>
              <w:ind w:left="0" w:right="99" w:firstLine="0"/>
              <w:jc w:val="right"/>
            </w:pPr>
            <w:r w:rsidRPr="00C7413B">
              <w:rPr>
                <w:rFonts w:ascii="Arial" w:hAnsi="Arial" w:eastAsia="Arial" w:cs="Arial"/>
                <w:b/>
                <w:sz w:val="18"/>
              </w:rPr>
              <w:t>$</w:t>
            </w:r>
            <w:r w:rsidRPr="00C7413B" w:rsidR="009E65C3">
              <w:rPr>
                <w:rFonts w:ascii="Arial" w:hAnsi="Arial" w:eastAsia="Arial" w:cs="Arial"/>
                <w:b/>
                <w:sz w:val="18"/>
              </w:rPr>
              <w:t>11,870</w:t>
            </w:r>
            <w:r w:rsidRPr="00C7413B">
              <w:rPr>
                <w:rFonts w:ascii="Arial" w:hAnsi="Arial" w:eastAsia="Arial" w:cs="Arial"/>
                <w:b/>
                <w:sz w:val="18"/>
              </w:rPr>
              <w:t xml:space="preserve"> </w:t>
            </w:r>
          </w:p>
        </w:tc>
        <w:tc>
          <w:tcPr>
            <w:tcW w:w="1980" w:type="dxa"/>
            <w:tcBorders>
              <w:top w:val="single" w:color="000000" w:sz="4" w:space="0"/>
              <w:left w:val="single" w:color="000000" w:sz="4" w:space="0"/>
              <w:bottom w:val="single" w:color="000000" w:sz="4" w:space="0"/>
              <w:right w:val="single" w:color="000000" w:sz="4" w:space="0"/>
            </w:tcBorders>
            <w:vAlign w:val="bottom"/>
          </w:tcPr>
          <w:p w:rsidRPr="00C7413B" w:rsidR="00042A8F" w:rsidP="00255572" w:rsidRDefault="00042A8F" w14:paraId="6DE33813" w14:textId="77777777">
            <w:pPr>
              <w:spacing w:after="0" w:line="259" w:lineRule="auto"/>
              <w:ind w:left="0" w:right="101" w:firstLine="0"/>
              <w:jc w:val="right"/>
            </w:pPr>
            <w:r w:rsidRPr="00C7413B">
              <w:rPr>
                <w:rFonts w:ascii="Arial" w:hAnsi="Arial" w:eastAsia="Arial" w:cs="Arial"/>
                <w:b/>
                <w:sz w:val="18"/>
              </w:rPr>
              <w:t xml:space="preserve">$0  </w:t>
            </w:r>
          </w:p>
        </w:tc>
        <w:tc>
          <w:tcPr>
            <w:tcW w:w="1531" w:type="dxa"/>
            <w:tcBorders>
              <w:top w:val="single" w:color="000000" w:sz="4" w:space="0"/>
              <w:left w:val="single" w:color="000000" w:sz="4" w:space="0"/>
              <w:bottom w:val="single" w:color="000000" w:sz="4" w:space="0"/>
              <w:right w:val="single" w:color="000000" w:sz="4" w:space="0"/>
            </w:tcBorders>
            <w:vAlign w:val="bottom"/>
          </w:tcPr>
          <w:p w:rsidRPr="00C7413B" w:rsidR="00042A8F" w:rsidP="00255572" w:rsidRDefault="00042A8F" w14:paraId="40EB2AE3" w14:textId="2929D155">
            <w:pPr>
              <w:spacing w:after="0" w:line="259" w:lineRule="auto"/>
              <w:ind w:left="0" w:right="101" w:firstLine="0"/>
              <w:jc w:val="right"/>
            </w:pPr>
            <w:r w:rsidRPr="00C7413B">
              <w:rPr>
                <w:rFonts w:ascii="Arial" w:hAnsi="Arial" w:eastAsia="Arial" w:cs="Arial"/>
                <w:b/>
                <w:sz w:val="18"/>
              </w:rPr>
              <w:t>$</w:t>
            </w:r>
            <w:r w:rsidRPr="00C7413B" w:rsidR="009E65C3">
              <w:rPr>
                <w:rFonts w:ascii="Arial" w:hAnsi="Arial" w:eastAsia="Arial" w:cs="Arial"/>
                <w:b/>
                <w:sz w:val="18"/>
              </w:rPr>
              <w:t>11,870</w:t>
            </w:r>
            <w:r w:rsidRPr="00C7413B">
              <w:rPr>
                <w:rFonts w:ascii="Arial" w:hAnsi="Arial" w:eastAsia="Arial" w:cs="Arial"/>
                <w:b/>
                <w:sz w:val="18"/>
              </w:rPr>
              <w:t xml:space="preserve"> </w:t>
            </w:r>
          </w:p>
        </w:tc>
      </w:tr>
      <w:tr w:rsidRPr="00C7413B" w:rsidR="00042A8F" w:rsidTr="00255572" w14:paraId="24ADACEE" w14:textId="77777777">
        <w:trPr>
          <w:trHeight w:val="422"/>
        </w:trPr>
        <w:tc>
          <w:tcPr>
            <w:tcW w:w="1757" w:type="dxa"/>
            <w:tcBorders>
              <w:top w:val="single" w:color="000000" w:sz="4" w:space="0"/>
              <w:left w:val="single" w:color="000000" w:sz="4" w:space="0"/>
              <w:bottom w:val="single" w:color="000000" w:sz="4" w:space="0"/>
              <w:right w:val="single" w:color="000000" w:sz="4" w:space="0"/>
            </w:tcBorders>
          </w:tcPr>
          <w:p w:rsidRPr="00C7413B" w:rsidR="00042A8F" w:rsidP="00255572" w:rsidRDefault="00042A8F" w14:paraId="5B0FB526" w14:textId="77777777">
            <w:pPr>
              <w:spacing w:after="0" w:line="259" w:lineRule="auto"/>
              <w:ind w:left="0" w:firstLine="0"/>
            </w:pPr>
            <w:r w:rsidRPr="00C7413B">
              <w:rPr>
                <w:rFonts w:ascii="Arial" w:hAnsi="Arial" w:eastAsia="Arial" w:cs="Arial"/>
                <w:b/>
                <w:sz w:val="18"/>
              </w:rPr>
              <w:t xml:space="preserve">Analyze data (Headquarters) </w:t>
            </w:r>
          </w:p>
        </w:tc>
        <w:tc>
          <w:tcPr>
            <w:tcW w:w="1572" w:type="dxa"/>
            <w:tcBorders>
              <w:top w:val="single" w:color="000000" w:sz="4" w:space="0"/>
              <w:left w:val="single" w:color="000000" w:sz="4" w:space="0"/>
              <w:bottom w:val="single" w:color="000000" w:sz="4" w:space="0"/>
              <w:right w:val="single" w:color="000000" w:sz="4" w:space="0"/>
            </w:tcBorders>
            <w:vAlign w:val="bottom"/>
          </w:tcPr>
          <w:p w:rsidRPr="00C7413B" w:rsidR="00042A8F" w:rsidP="00255572" w:rsidRDefault="00042A8F" w14:paraId="04A5484D" w14:textId="77777777">
            <w:pPr>
              <w:spacing w:after="0" w:line="259" w:lineRule="auto"/>
              <w:ind w:left="0" w:right="101" w:firstLine="0"/>
              <w:jc w:val="right"/>
            </w:pPr>
            <w:r w:rsidRPr="00C7413B">
              <w:rPr>
                <w:rFonts w:ascii="Arial" w:hAnsi="Arial" w:eastAsia="Arial" w:cs="Arial"/>
                <w:b/>
                <w:sz w:val="18"/>
              </w:rPr>
              <w:t xml:space="preserve">1  </w:t>
            </w:r>
          </w:p>
        </w:tc>
        <w:tc>
          <w:tcPr>
            <w:tcW w:w="1440" w:type="dxa"/>
            <w:tcBorders>
              <w:top w:val="single" w:color="000000" w:sz="4" w:space="0"/>
              <w:left w:val="single" w:color="000000" w:sz="4" w:space="0"/>
              <w:bottom w:val="single" w:color="000000" w:sz="4" w:space="0"/>
              <w:right w:val="single" w:color="000000" w:sz="4" w:space="0"/>
            </w:tcBorders>
            <w:vAlign w:val="bottom"/>
          </w:tcPr>
          <w:p w:rsidRPr="00C7413B" w:rsidR="00042A8F" w:rsidP="00255572" w:rsidRDefault="00545DE3" w14:paraId="53D36F1D" w14:textId="312323D4">
            <w:pPr>
              <w:spacing w:after="0" w:line="259" w:lineRule="auto"/>
              <w:ind w:left="0" w:right="101" w:firstLine="0"/>
              <w:jc w:val="right"/>
            </w:pPr>
            <w:r w:rsidRPr="00C7413B">
              <w:rPr>
                <w:rFonts w:ascii="Arial" w:hAnsi="Arial" w:eastAsia="Arial" w:cs="Arial"/>
                <w:b/>
                <w:sz w:val="18"/>
              </w:rPr>
              <w:t xml:space="preserve">4 </w:t>
            </w:r>
          </w:p>
        </w:tc>
        <w:tc>
          <w:tcPr>
            <w:tcW w:w="1620" w:type="dxa"/>
            <w:tcBorders>
              <w:top w:val="single" w:color="000000" w:sz="4" w:space="0"/>
              <w:left w:val="single" w:color="000000" w:sz="4" w:space="0"/>
              <w:bottom w:val="single" w:color="000000" w:sz="4" w:space="0"/>
              <w:right w:val="single" w:color="000000" w:sz="4" w:space="0"/>
            </w:tcBorders>
            <w:vAlign w:val="bottom"/>
          </w:tcPr>
          <w:p w:rsidRPr="00C7413B" w:rsidR="00042A8F" w:rsidP="00255572" w:rsidRDefault="00042A8F" w14:paraId="715A8DC3" w14:textId="5ECEA78B">
            <w:pPr>
              <w:spacing w:after="0" w:line="259" w:lineRule="auto"/>
              <w:ind w:left="0" w:right="99" w:firstLine="0"/>
              <w:jc w:val="right"/>
            </w:pPr>
            <w:r w:rsidRPr="00C7413B">
              <w:rPr>
                <w:rFonts w:ascii="Arial" w:hAnsi="Arial" w:eastAsia="Arial" w:cs="Arial"/>
                <w:b/>
                <w:sz w:val="18"/>
              </w:rPr>
              <w:t>$</w:t>
            </w:r>
            <w:r w:rsidRPr="00C7413B" w:rsidR="00545DE3">
              <w:rPr>
                <w:rFonts w:ascii="Arial" w:hAnsi="Arial" w:eastAsia="Arial" w:cs="Arial"/>
                <w:b/>
                <w:sz w:val="18"/>
              </w:rPr>
              <w:t>23</w:t>
            </w:r>
            <w:r w:rsidRPr="00C7413B" w:rsidR="009E65C3">
              <w:rPr>
                <w:rFonts w:ascii="Arial" w:hAnsi="Arial" w:eastAsia="Arial" w:cs="Arial"/>
                <w:b/>
                <w:sz w:val="18"/>
              </w:rPr>
              <w:t>7</w:t>
            </w:r>
            <w:r w:rsidRPr="00C7413B" w:rsidR="00545DE3">
              <w:rPr>
                <w:rFonts w:ascii="Arial" w:hAnsi="Arial" w:eastAsia="Arial" w:cs="Arial"/>
                <w:b/>
                <w:sz w:val="18"/>
              </w:rPr>
              <w:t xml:space="preserve"> </w:t>
            </w:r>
          </w:p>
        </w:tc>
        <w:tc>
          <w:tcPr>
            <w:tcW w:w="1980" w:type="dxa"/>
            <w:tcBorders>
              <w:top w:val="single" w:color="000000" w:sz="4" w:space="0"/>
              <w:left w:val="single" w:color="000000" w:sz="4" w:space="0"/>
              <w:bottom w:val="single" w:color="000000" w:sz="4" w:space="0"/>
              <w:right w:val="single" w:color="000000" w:sz="4" w:space="0"/>
            </w:tcBorders>
            <w:vAlign w:val="bottom"/>
          </w:tcPr>
          <w:p w:rsidRPr="00C7413B" w:rsidR="00042A8F" w:rsidP="00255572" w:rsidRDefault="00042A8F" w14:paraId="39FD7710" w14:textId="77777777">
            <w:pPr>
              <w:spacing w:after="0" w:line="259" w:lineRule="auto"/>
              <w:ind w:left="0" w:right="101" w:firstLine="0"/>
              <w:jc w:val="right"/>
            </w:pPr>
            <w:r w:rsidRPr="00C7413B">
              <w:rPr>
                <w:rFonts w:ascii="Arial" w:hAnsi="Arial" w:eastAsia="Arial" w:cs="Arial"/>
                <w:b/>
                <w:sz w:val="18"/>
              </w:rPr>
              <w:t xml:space="preserve">$0  </w:t>
            </w:r>
          </w:p>
        </w:tc>
        <w:tc>
          <w:tcPr>
            <w:tcW w:w="1531" w:type="dxa"/>
            <w:tcBorders>
              <w:top w:val="single" w:color="000000" w:sz="4" w:space="0"/>
              <w:left w:val="single" w:color="000000" w:sz="4" w:space="0"/>
              <w:bottom w:val="single" w:color="000000" w:sz="4" w:space="0"/>
              <w:right w:val="single" w:color="000000" w:sz="4" w:space="0"/>
            </w:tcBorders>
            <w:vAlign w:val="bottom"/>
          </w:tcPr>
          <w:p w:rsidRPr="00C7413B" w:rsidR="00042A8F" w:rsidP="00255572" w:rsidRDefault="00042A8F" w14:paraId="4BCD7927" w14:textId="10966B57">
            <w:pPr>
              <w:spacing w:after="0" w:line="259" w:lineRule="auto"/>
              <w:ind w:left="0" w:right="101" w:firstLine="0"/>
              <w:jc w:val="right"/>
            </w:pPr>
            <w:r w:rsidRPr="00C7413B">
              <w:rPr>
                <w:rFonts w:ascii="Arial" w:hAnsi="Arial" w:eastAsia="Arial" w:cs="Arial"/>
                <w:b/>
                <w:sz w:val="18"/>
              </w:rPr>
              <w:t>$</w:t>
            </w:r>
            <w:r w:rsidRPr="00C7413B" w:rsidR="00545DE3">
              <w:rPr>
                <w:rFonts w:ascii="Arial" w:hAnsi="Arial" w:eastAsia="Arial" w:cs="Arial"/>
                <w:b/>
                <w:sz w:val="18"/>
              </w:rPr>
              <w:t>23</w:t>
            </w:r>
            <w:r w:rsidRPr="00C7413B" w:rsidR="009E65C3">
              <w:rPr>
                <w:rFonts w:ascii="Arial" w:hAnsi="Arial" w:eastAsia="Arial" w:cs="Arial"/>
                <w:b/>
                <w:sz w:val="18"/>
              </w:rPr>
              <w:t>7</w:t>
            </w:r>
            <w:r w:rsidRPr="00C7413B" w:rsidR="00545DE3">
              <w:rPr>
                <w:rFonts w:ascii="Arial" w:hAnsi="Arial" w:eastAsia="Arial" w:cs="Arial"/>
                <w:b/>
                <w:sz w:val="18"/>
              </w:rPr>
              <w:t xml:space="preserve"> </w:t>
            </w:r>
          </w:p>
        </w:tc>
      </w:tr>
      <w:tr w:rsidRPr="00C7413B" w:rsidR="00042A8F" w:rsidTr="00255572" w14:paraId="1C4641D2" w14:textId="77777777">
        <w:trPr>
          <w:trHeight w:val="317"/>
        </w:trPr>
        <w:tc>
          <w:tcPr>
            <w:tcW w:w="1757" w:type="dxa"/>
            <w:tcBorders>
              <w:top w:val="single" w:color="000000" w:sz="4" w:space="0"/>
              <w:left w:val="single" w:color="000000" w:sz="4" w:space="0"/>
              <w:bottom w:val="single" w:color="000000" w:sz="4" w:space="0"/>
              <w:right w:val="single" w:color="000000" w:sz="4" w:space="0"/>
            </w:tcBorders>
          </w:tcPr>
          <w:p w:rsidRPr="00C7413B" w:rsidR="00042A8F" w:rsidP="00255572" w:rsidRDefault="00042A8F" w14:paraId="35CFDF2F" w14:textId="77777777">
            <w:pPr>
              <w:spacing w:after="0" w:line="259" w:lineRule="auto"/>
              <w:ind w:left="0" w:firstLine="0"/>
            </w:pPr>
            <w:r w:rsidRPr="00C7413B">
              <w:rPr>
                <w:rFonts w:ascii="Arial" w:hAnsi="Arial" w:eastAsia="Arial" w:cs="Arial"/>
                <w:b/>
                <w:sz w:val="18"/>
              </w:rPr>
              <w:t xml:space="preserve">Total </w:t>
            </w:r>
          </w:p>
        </w:tc>
        <w:tc>
          <w:tcPr>
            <w:tcW w:w="1572" w:type="dxa"/>
            <w:tcBorders>
              <w:top w:val="single" w:color="000000" w:sz="4" w:space="0"/>
              <w:left w:val="single" w:color="000000" w:sz="4" w:space="0"/>
              <w:bottom w:val="single" w:color="000000" w:sz="4" w:space="0"/>
              <w:right w:val="single" w:color="000000" w:sz="4" w:space="0"/>
            </w:tcBorders>
          </w:tcPr>
          <w:p w:rsidRPr="00C7413B" w:rsidR="00042A8F" w:rsidP="00255572" w:rsidRDefault="00042A8F" w14:paraId="02B1D4D0" w14:textId="77777777">
            <w:pPr>
              <w:spacing w:after="0" w:line="259" w:lineRule="auto"/>
              <w:ind w:left="0" w:right="99" w:firstLine="0"/>
              <w:jc w:val="right"/>
            </w:pPr>
            <w:r w:rsidRPr="00C7413B">
              <w:rPr>
                <w:rFonts w:ascii="Arial" w:hAnsi="Arial" w:eastAsia="Arial" w:cs="Arial"/>
                <w:b/>
                <w:sz w:val="18"/>
              </w:rPr>
              <w:t xml:space="preserve">11 </w:t>
            </w:r>
          </w:p>
        </w:tc>
        <w:tc>
          <w:tcPr>
            <w:tcW w:w="1440" w:type="dxa"/>
            <w:tcBorders>
              <w:top w:val="single" w:color="000000" w:sz="4" w:space="0"/>
              <w:left w:val="single" w:color="000000" w:sz="4" w:space="0"/>
              <w:bottom w:val="single" w:color="000000" w:sz="4" w:space="0"/>
              <w:right w:val="single" w:color="000000" w:sz="4" w:space="0"/>
            </w:tcBorders>
          </w:tcPr>
          <w:p w:rsidRPr="00C7413B" w:rsidR="00042A8F" w:rsidP="00255572" w:rsidRDefault="00545DE3" w14:paraId="7B3DCEA8" w14:textId="437C5B8D">
            <w:pPr>
              <w:spacing w:after="0" w:line="259" w:lineRule="auto"/>
              <w:ind w:left="0" w:right="99" w:firstLine="0"/>
              <w:jc w:val="right"/>
            </w:pPr>
            <w:r w:rsidRPr="00C7413B">
              <w:rPr>
                <w:rFonts w:ascii="Arial" w:hAnsi="Arial" w:eastAsia="Arial" w:cs="Arial"/>
                <w:b/>
                <w:sz w:val="18"/>
              </w:rPr>
              <w:t>204</w:t>
            </w:r>
          </w:p>
        </w:tc>
        <w:tc>
          <w:tcPr>
            <w:tcW w:w="1620" w:type="dxa"/>
            <w:tcBorders>
              <w:top w:val="single" w:color="000000" w:sz="4" w:space="0"/>
              <w:left w:val="single" w:color="000000" w:sz="4" w:space="0"/>
              <w:bottom w:val="single" w:color="000000" w:sz="4" w:space="0"/>
              <w:right w:val="single" w:color="000000" w:sz="4" w:space="0"/>
            </w:tcBorders>
          </w:tcPr>
          <w:p w:rsidRPr="00C7413B" w:rsidR="00042A8F" w:rsidP="00255572" w:rsidRDefault="00042A8F" w14:paraId="0D2DEB7D" w14:textId="54EA7B41">
            <w:pPr>
              <w:spacing w:after="0" w:line="259" w:lineRule="auto"/>
              <w:ind w:left="0" w:right="99" w:firstLine="0"/>
              <w:jc w:val="right"/>
            </w:pPr>
            <w:r w:rsidRPr="00C7413B">
              <w:rPr>
                <w:rFonts w:ascii="Arial" w:hAnsi="Arial" w:eastAsia="Arial" w:cs="Arial"/>
                <w:b/>
                <w:sz w:val="18"/>
              </w:rPr>
              <w:t>$</w:t>
            </w:r>
            <w:r w:rsidRPr="00C7413B" w:rsidR="009E65C3">
              <w:rPr>
                <w:rFonts w:ascii="Arial" w:hAnsi="Arial" w:eastAsia="Arial" w:cs="Arial"/>
                <w:b/>
                <w:sz w:val="18"/>
              </w:rPr>
              <w:t>12,107</w:t>
            </w:r>
            <w:r w:rsidRPr="00C7413B">
              <w:rPr>
                <w:rFonts w:ascii="Arial" w:hAnsi="Arial" w:eastAsia="Arial" w:cs="Arial"/>
                <w:b/>
                <w:sz w:val="18"/>
              </w:rPr>
              <w:t xml:space="preserve"> </w:t>
            </w:r>
          </w:p>
        </w:tc>
        <w:tc>
          <w:tcPr>
            <w:tcW w:w="1980" w:type="dxa"/>
            <w:tcBorders>
              <w:top w:val="single" w:color="000000" w:sz="4" w:space="0"/>
              <w:left w:val="single" w:color="000000" w:sz="4" w:space="0"/>
              <w:bottom w:val="single" w:color="000000" w:sz="4" w:space="0"/>
              <w:right w:val="single" w:color="000000" w:sz="4" w:space="0"/>
            </w:tcBorders>
          </w:tcPr>
          <w:p w:rsidRPr="00C7413B" w:rsidR="00042A8F" w:rsidP="00255572" w:rsidRDefault="00042A8F" w14:paraId="35AFC68B" w14:textId="77777777">
            <w:pPr>
              <w:spacing w:after="0" w:line="259" w:lineRule="auto"/>
              <w:ind w:left="0" w:right="101" w:firstLine="0"/>
              <w:jc w:val="right"/>
            </w:pPr>
            <w:r w:rsidRPr="00C7413B">
              <w:rPr>
                <w:rFonts w:ascii="Arial" w:hAnsi="Arial" w:eastAsia="Arial" w:cs="Arial"/>
                <w:b/>
                <w:sz w:val="18"/>
              </w:rPr>
              <w:t xml:space="preserve">$0  </w:t>
            </w:r>
          </w:p>
        </w:tc>
        <w:tc>
          <w:tcPr>
            <w:tcW w:w="1531" w:type="dxa"/>
            <w:tcBorders>
              <w:top w:val="single" w:color="000000" w:sz="4" w:space="0"/>
              <w:left w:val="single" w:color="000000" w:sz="4" w:space="0"/>
              <w:bottom w:val="single" w:color="000000" w:sz="4" w:space="0"/>
              <w:right w:val="single" w:color="000000" w:sz="4" w:space="0"/>
            </w:tcBorders>
          </w:tcPr>
          <w:p w:rsidRPr="00C7413B" w:rsidR="00042A8F" w:rsidP="00255572" w:rsidRDefault="00042A8F" w14:paraId="33609BD0" w14:textId="73AFC028">
            <w:pPr>
              <w:spacing w:after="0" w:line="259" w:lineRule="auto"/>
              <w:ind w:left="0" w:right="101" w:firstLine="0"/>
              <w:jc w:val="right"/>
            </w:pPr>
            <w:r w:rsidRPr="00C7413B">
              <w:rPr>
                <w:rFonts w:ascii="Arial" w:hAnsi="Arial" w:eastAsia="Arial" w:cs="Arial"/>
                <w:b/>
                <w:sz w:val="18"/>
              </w:rPr>
              <w:t>$</w:t>
            </w:r>
            <w:r w:rsidRPr="00C7413B" w:rsidR="009E65C3">
              <w:rPr>
                <w:rFonts w:ascii="Arial" w:hAnsi="Arial" w:eastAsia="Arial" w:cs="Arial"/>
                <w:b/>
                <w:sz w:val="18"/>
              </w:rPr>
              <w:t>12,107</w:t>
            </w:r>
            <w:r w:rsidRPr="00C7413B">
              <w:rPr>
                <w:rFonts w:ascii="Arial" w:hAnsi="Arial" w:eastAsia="Arial" w:cs="Arial"/>
                <w:b/>
                <w:sz w:val="18"/>
              </w:rPr>
              <w:t xml:space="preserve"> </w:t>
            </w:r>
          </w:p>
        </w:tc>
      </w:tr>
    </w:tbl>
    <w:p w:rsidRPr="00C7413B" w:rsidR="00042A8F" w:rsidP="00042A8F" w:rsidRDefault="00042A8F" w14:paraId="4E57E529" w14:textId="77777777">
      <w:pPr>
        <w:spacing w:after="31" w:line="259" w:lineRule="auto"/>
        <w:ind w:left="1" w:firstLine="0"/>
      </w:pPr>
      <w:r w:rsidRPr="00C7413B">
        <w:rPr>
          <w:b/>
          <w:sz w:val="24"/>
        </w:rPr>
        <w:t xml:space="preserve"> </w:t>
      </w:r>
    </w:p>
    <w:p w:rsidRPr="00C7413B" w:rsidR="00042A8F" w:rsidP="00042A8F" w:rsidRDefault="00042A8F" w14:paraId="1CFF47DD" w14:textId="5D73064E">
      <w:pPr>
        <w:pStyle w:val="Heading2"/>
        <w:tabs>
          <w:tab w:val="center" w:pos="915"/>
          <w:tab w:val="center" w:pos="3145"/>
        </w:tabs>
        <w:ind w:left="0" w:firstLine="0"/>
      </w:pPr>
      <w:r w:rsidRPr="00C7413B">
        <w:rPr>
          <w:rFonts w:ascii="Calibri" w:hAnsi="Calibri" w:eastAsia="Calibri" w:cs="Calibri"/>
          <w:b w:val="0"/>
          <w:sz w:val="22"/>
        </w:rPr>
        <w:tab/>
      </w:r>
      <w:r w:rsidRPr="00C7413B">
        <w:t xml:space="preserve">6(f) Reasons for Change in Burden </w:t>
      </w:r>
    </w:p>
    <w:p w:rsidRPr="00C7413B" w:rsidR="00042A8F" w:rsidP="00042A8F" w:rsidRDefault="004C538A" w14:paraId="0874A754" w14:textId="1FABAA65">
      <w:pPr>
        <w:spacing w:after="0" w:line="259" w:lineRule="auto"/>
        <w:ind w:left="0" w:firstLine="0"/>
        <w:rPr>
          <w:sz w:val="24"/>
        </w:rPr>
      </w:pPr>
      <w:r w:rsidRPr="00C7413B">
        <w:rPr>
          <w:sz w:val="24"/>
        </w:rPr>
        <w:tab/>
      </w:r>
    </w:p>
    <w:p w:rsidRPr="00C7413B" w:rsidR="00BC15F2" w:rsidP="00BC15F2" w:rsidRDefault="00BC15F2" w14:paraId="31CA89E9" w14:textId="67829FF2">
      <w:pPr>
        <w:spacing w:after="286" w:line="259" w:lineRule="auto"/>
        <w:ind w:left="1" w:firstLine="705"/>
      </w:pPr>
      <w:r w:rsidRPr="00C7413B">
        <w:rPr>
          <w:sz w:val="24"/>
        </w:rPr>
        <w:t xml:space="preserve">EPA estimates that, over the three years covered by this ICR renewal request, the total respondent burden associated with this voluntary reporting will be </w:t>
      </w:r>
      <w:r w:rsidRPr="00C7413B" w:rsidR="005523D7">
        <w:rPr>
          <w:sz w:val="24"/>
        </w:rPr>
        <w:t>864</w:t>
      </w:r>
      <w:r w:rsidRPr="00C7413B">
        <w:rPr>
          <w:sz w:val="24"/>
        </w:rPr>
        <w:t xml:space="preserve"> hours (an average of </w:t>
      </w:r>
      <w:r w:rsidRPr="00C7413B" w:rsidR="005523D7">
        <w:rPr>
          <w:sz w:val="24"/>
        </w:rPr>
        <w:t>288</w:t>
      </w:r>
      <w:r w:rsidRPr="00C7413B" w:rsidR="00BB0F66">
        <w:rPr>
          <w:sz w:val="24"/>
        </w:rPr>
        <w:t xml:space="preserve"> </w:t>
      </w:r>
      <w:r w:rsidRPr="00C7413B">
        <w:rPr>
          <w:sz w:val="24"/>
        </w:rPr>
        <w:t>hours per year) and that, over the three years covered by this renewal request, the cost to respondents of the information collection will be $</w:t>
      </w:r>
      <w:r w:rsidRPr="00C7413B" w:rsidR="001C7CC3">
        <w:rPr>
          <w:sz w:val="24"/>
        </w:rPr>
        <w:t>51,222</w:t>
      </w:r>
      <w:r w:rsidRPr="00C7413B">
        <w:rPr>
          <w:sz w:val="24"/>
        </w:rPr>
        <w:t xml:space="preserve"> (an average of $</w:t>
      </w:r>
      <w:r w:rsidRPr="00C7413B" w:rsidR="005523D7">
        <w:rPr>
          <w:sz w:val="24"/>
        </w:rPr>
        <w:t>1</w:t>
      </w:r>
      <w:r w:rsidRPr="00C7413B" w:rsidR="00FA6EA7">
        <w:rPr>
          <w:sz w:val="24"/>
        </w:rPr>
        <w:t>7</w:t>
      </w:r>
      <w:r w:rsidRPr="00C7413B" w:rsidR="005523D7">
        <w:rPr>
          <w:sz w:val="24"/>
        </w:rPr>
        <w:t>,</w:t>
      </w:r>
      <w:r w:rsidRPr="00C7413B" w:rsidR="001C7CC3">
        <w:rPr>
          <w:sz w:val="24"/>
        </w:rPr>
        <w:t>07</w:t>
      </w:r>
      <w:r w:rsidRPr="00C7413B" w:rsidR="00FA6EA7">
        <w:rPr>
          <w:sz w:val="24"/>
        </w:rPr>
        <w:t>4</w:t>
      </w:r>
      <w:r w:rsidRPr="00C7413B">
        <w:rPr>
          <w:sz w:val="24"/>
        </w:rPr>
        <w:t xml:space="preserve"> per year).  The </w:t>
      </w:r>
      <w:r w:rsidRPr="00C7413B" w:rsidR="000D55F6">
        <w:rPr>
          <w:sz w:val="24"/>
        </w:rPr>
        <w:t xml:space="preserve">decrease </w:t>
      </w:r>
      <w:r w:rsidRPr="00C7413B">
        <w:rPr>
          <w:sz w:val="24"/>
        </w:rPr>
        <w:t xml:space="preserve">in burden is estimated based on each state’s method to submit the information to the EPA.  For those states that report the information into an electronic database, the </w:t>
      </w:r>
      <w:r w:rsidRPr="00C7413B" w:rsidR="000D55F6">
        <w:rPr>
          <w:sz w:val="24"/>
        </w:rPr>
        <w:t xml:space="preserve">decrease </w:t>
      </w:r>
      <w:r w:rsidRPr="00C7413B">
        <w:rPr>
          <w:sz w:val="24"/>
        </w:rPr>
        <w:t xml:space="preserve">in burden for </w:t>
      </w:r>
      <w:r w:rsidRPr="00C7413B" w:rsidR="002B3931">
        <w:rPr>
          <w:sz w:val="24"/>
        </w:rPr>
        <w:t xml:space="preserve">annual </w:t>
      </w:r>
      <w:r w:rsidRPr="00C7413B">
        <w:rPr>
          <w:sz w:val="24"/>
        </w:rPr>
        <w:t xml:space="preserve">reporting is minimal. For other states reporting the information in emails to the EPA regions, the </w:t>
      </w:r>
      <w:r w:rsidRPr="00C7413B" w:rsidR="000D55F6">
        <w:rPr>
          <w:sz w:val="24"/>
        </w:rPr>
        <w:t xml:space="preserve">decrease </w:t>
      </w:r>
      <w:r w:rsidRPr="00C7413B">
        <w:rPr>
          <w:sz w:val="24"/>
        </w:rPr>
        <w:t xml:space="preserve">in burden is four-fold. The net </w:t>
      </w:r>
      <w:r w:rsidRPr="00C7413B" w:rsidR="000D55F6">
        <w:rPr>
          <w:sz w:val="24"/>
        </w:rPr>
        <w:t xml:space="preserve">decrease </w:t>
      </w:r>
      <w:r w:rsidRPr="00C7413B">
        <w:rPr>
          <w:sz w:val="24"/>
        </w:rPr>
        <w:t xml:space="preserve">in burden estimates over all states is a two-fold </w:t>
      </w:r>
      <w:r w:rsidRPr="00C7413B" w:rsidR="00510751">
        <w:rPr>
          <w:sz w:val="24"/>
        </w:rPr>
        <w:t xml:space="preserve">decrease </w:t>
      </w:r>
      <w:r w:rsidRPr="00C7413B">
        <w:rPr>
          <w:sz w:val="24"/>
        </w:rPr>
        <w:t xml:space="preserve">from </w:t>
      </w:r>
      <w:r w:rsidRPr="00C7413B" w:rsidR="00510751">
        <w:rPr>
          <w:sz w:val="24"/>
        </w:rPr>
        <w:t xml:space="preserve">quarterly </w:t>
      </w:r>
      <w:r w:rsidRPr="00C7413B">
        <w:rPr>
          <w:sz w:val="24"/>
        </w:rPr>
        <w:t xml:space="preserve">to </w:t>
      </w:r>
      <w:r w:rsidRPr="00C7413B" w:rsidR="00510751">
        <w:rPr>
          <w:sz w:val="24"/>
        </w:rPr>
        <w:t xml:space="preserve">annual </w:t>
      </w:r>
      <w:r w:rsidRPr="00C7413B">
        <w:rPr>
          <w:sz w:val="24"/>
        </w:rPr>
        <w:t xml:space="preserve">reporting. For states with fully developed (electronic) databases, tracking is routine and </w:t>
      </w:r>
      <w:r w:rsidRPr="00C7413B" w:rsidR="00510751">
        <w:rPr>
          <w:sz w:val="24"/>
        </w:rPr>
        <w:t xml:space="preserve">annual </w:t>
      </w:r>
      <w:r w:rsidRPr="00C7413B">
        <w:rPr>
          <w:sz w:val="24"/>
        </w:rPr>
        <w:t xml:space="preserve">reporting can be provided easily. EPA believes that states can be more efficient and minimize their hourly burden and cost by moving to electronic reporting. </w:t>
      </w:r>
    </w:p>
    <w:p w:rsidRPr="00C7413B" w:rsidR="00042A8F" w:rsidP="00042A8F" w:rsidRDefault="00042A8F" w14:paraId="1264EB91" w14:textId="79D45EEB">
      <w:pPr>
        <w:spacing w:after="3" w:line="249" w:lineRule="auto"/>
        <w:ind w:left="-14" w:right="1" w:firstLine="720"/>
        <w:rPr>
          <w:sz w:val="24"/>
        </w:rPr>
      </w:pPr>
      <w:r w:rsidRPr="00C7413B">
        <w:rPr>
          <w:sz w:val="24"/>
        </w:rPr>
        <w:t xml:space="preserve">While states will continue to devote a significant amount of time to developing and implementing protection strategies in the coming years, this ICR does not include the burden associated with the source water protection activities themselves because the data reported only relates to tracking source water protection activities, not performing them. Exhibit 6-5 presents the approved and estimated annual burden and costs from the previous ICR and this ICR, and the change between the clearance periods. </w:t>
      </w:r>
    </w:p>
    <w:p w:rsidRPr="00C7413B" w:rsidR="00BC15F2" w:rsidP="00042A8F" w:rsidRDefault="00BC15F2" w14:paraId="634A478B" w14:textId="33A7882C">
      <w:pPr>
        <w:spacing w:after="3" w:line="249" w:lineRule="auto"/>
        <w:ind w:left="-14" w:right="1" w:firstLine="720"/>
      </w:pPr>
    </w:p>
    <w:p w:rsidRPr="00C7413B" w:rsidR="008C2118" w:rsidP="00042A8F" w:rsidRDefault="008C2118" w14:paraId="4786B017" w14:textId="77777777">
      <w:pPr>
        <w:spacing w:after="0" w:line="259" w:lineRule="auto"/>
        <w:ind w:left="729" w:right="720"/>
        <w:jc w:val="center"/>
        <w:rPr>
          <w:rFonts w:ascii="Arial" w:hAnsi="Arial" w:eastAsia="Arial" w:cs="Arial"/>
          <w:b/>
          <w:sz w:val="24"/>
        </w:rPr>
      </w:pPr>
    </w:p>
    <w:p w:rsidRPr="00C7413B" w:rsidR="008C2118" w:rsidRDefault="008C2118" w14:paraId="425A2E76" w14:textId="77777777">
      <w:pPr>
        <w:spacing w:after="160" w:line="259" w:lineRule="auto"/>
        <w:ind w:left="0" w:firstLine="0"/>
        <w:rPr>
          <w:rFonts w:ascii="Arial" w:hAnsi="Arial" w:eastAsia="Arial" w:cs="Arial"/>
          <w:b/>
          <w:sz w:val="24"/>
        </w:rPr>
      </w:pPr>
      <w:r w:rsidRPr="00C7413B">
        <w:rPr>
          <w:rFonts w:ascii="Arial" w:hAnsi="Arial" w:eastAsia="Arial" w:cs="Arial"/>
          <w:b/>
          <w:sz w:val="24"/>
        </w:rPr>
        <w:br w:type="page"/>
      </w:r>
    </w:p>
    <w:p w:rsidRPr="00C7413B" w:rsidR="00042A8F" w:rsidP="00042A8F" w:rsidRDefault="00042A8F" w14:paraId="5B171DAA" w14:textId="1D026C63">
      <w:pPr>
        <w:spacing w:after="0" w:line="259" w:lineRule="auto"/>
        <w:ind w:left="729" w:right="720"/>
        <w:jc w:val="center"/>
      </w:pPr>
      <w:r w:rsidRPr="00C7413B">
        <w:rPr>
          <w:rFonts w:ascii="Arial" w:hAnsi="Arial" w:eastAsia="Arial" w:cs="Arial"/>
          <w:b/>
          <w:sz w:val="24"/>
        </w:rPr>
        <w:lastRenderedPageBreak/>
        <w:t xml:space="preserve">Exhibit 6-5 </w:t>
      </w:r>
    </w:p>
    <w:p w:rsidRPr="00C7413B" w:rsidR="00042A8F" w:rsidP="00042A8F" w:rsidRDefault="00042A8F" w14:paraId="20D9F720" w14:textId="77777777">
      <w:pPr>
        <w:spacing w:after="0" w:line="259" w:lineRule="auto"/>
        <w:ind w:left="729" w:right="721"/>
        <w:jc w:val="center"/>
      </w:pPr>
      <w:r w:rsidRPr="00C7413B">
        <w:rPr>
          <w:rFonts w:ascii="Arial" w:hAnsi="Arial" w:eastAsia="Arial" w:cs="Arial"/>
          <w:b/>
          <w:sz w:val="24"/>
        </w:rPr>
        <w:t xml:space="preserve">Change in Annual Burden and Cost </w:t>
      </w:r>
    </w:p>
    <w:p w:rsidRPr="00C7413B" w:rsidR="00042A8F" w:rsidP="00042A8F" w:rsidRDefault="00042A8F" w14:paraId="64EA3D78" w14:textId="77777777">
      <w:pPr>
        <w:spacing w:after="21" w:line="259" w:lineRule="auto"/>
        <w:ind w:left="0" w:right="4" w:firstLine="0"/>
        <w:jc w:val="center"/>
      </w:pPr>
      <w:r w:rsidRPr="00C7413B">
        <w:rPr>
          <w:rFonts w:ascii="Arial" w:hAnsi="Arial" w:eastAsia="Arial" w:cs="Arial"/>
          <w:b/>
          <w:sz w:val="20"/>
        </w:rPr>
        <w:t xml:space="preserve">(Excluding Agency Burden and Cost) </w:t>
      </w:r>
    </w:p>
    <w:p w:rsidRPr="00C7413B" w:rsidR="00042A8F" w:rsidP="00042A8F" w:rsidRDefault="00042A8F" w14:paraId="0945234D" w14:textId="77777777">
      <w:pPr>
        <w:spacing w:after="0" w:line="259" w:lineRule="auto"/>
        <w:ind w:left="784" w:firstLine="0"/>
        <w:jc w:val="center"/>
      </w:pPr>
      <w:r w:rsidRPr="00C7413B">
        <w:rPr>
          <w:rFonts w:ascii="Arial" w:hAnsi="Arial" w:eastAsia="Arial" w:cs="Arial"/>
          <w:b/>
          <w:sz w:val="24"/>
        </w:rPr>
        <w:t xml:space="preserve"> </w:t>
      </w:r>
    </w:p>
    <w:tbl>
      <w:tblPr>
        <w:tblStyle w:val="TableGrid"/>
        <w:tblW w:w="10380" w:type="dxa"/>
        <w:tblInd w:w="-215" w:type="dxa"/>
        <w:tblCellMar>
          <w:top w:w="47" w:type="dxa"/>
        </w:tblCellMar>
        <w:tblLook w:val="04A0" w:firstRow="1" w:lastRow="0" w:firstColumn="1" w:lastColumn="0" w:noHBand="0" w:noVBand="1"/>
      </w:tblPr>
      <w:tblGrid>
        <w:gridCol w:w="1097"/>
        <w:gridCol w:w="1086"/>
        <w:gridCol w:w="866"/>
        <w:gridCol w:w="962"/>
        <w:gridCol w:w="1347"/>
        <w:gridCol w:w="2142"/>
        <w:gridCol w:w="911"/>
        <w:gridCol w:w="1969"/>
      </w:tblGrid>
      <w:tr w:rsidRPr="00C7413B" w:rsidR="00042A8F" w:rsidTr="00EE4C75" w14:paraId="600F9BBC" w14:textId="77777777">
        <w:trPr>
          <w:trHeight w:val="240"/>
          <w:tblHeader/>
        </w:trPr>
        <w:tc>
          <w:tcPr>
            <w:tcW w:w="1097" w:type="dxa"/>
            <w:tcBorders>
              <w:top w:val="single" w:color="000000" w:sz="4" w:space="0"/>
              <w:left w:val="single" w:color="000000" w:sz="4" w:space="0"/>
              <w:bottom w:val="single" w:color="000000" w:sz="4" w:space="0"/>
              <w:right w:val="single" w:color="000000" w:sz="4" w:space="0"/>
            </w:tcBorders>
          </w:tcPr>
          <w:p w:rsidRPr="00C7413B" w:rsidR="00042A8F" w:rsidP="00255572" w:rsidRDefault="00042A8F" w14:paraId="3C67FA5E" w14:textId="77777777">
            <w:pPr>
              <w:spacing w:after="0" w:line="259" w:lineRule="auto"/>
              <w:ind w:left="108" w:firstLine="0"/>
            </w:pPr>
            <w:r w:rsidRPr="00C7413B">
              <w:rPr>
                <w:rFonts w:ascii="Arial" w:hAnsi="Arial" w:eastAsia="Arial" w:cs="Arial"/>
                <w:b/>
                <w:sz w:val="20"/>
              </w:rPr>
              <w:t xml:space="preserve"> </w:t>
            </w:r>
          </w:p>
        </w:tc>
        <w:tc>
          <w:tcPr>
            <w:tcW w:w="2914" w:type="dxa"/>
            <w:gridSpan w:val="3"/>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7BFCC73B" w14:textId="77777777">
            <w:pPr>
              <w:spacing w:after="0" w:line="259" w:lineRule="auto"/>
              <w:ind w:left="0" w:right="6" w:firstLine="0"/>
              <w:jc w:val="center"/>
            </w:pPr>
            <w:r w:rsidRPr="00C7413B">
              <w:rPr>
                <w:rFonts w:ascii="Arial" w:hAnsi="Arial" w:eastAsia="Arial" w:cs="Arial"/>
                <w:b/>
                <w:sz w:val="20"/>
              </w:rPr>
              <w:t>Annual Burden</w:t>
            </w:r>
          </w:p>
        </w:tc>
        <w:tc>
          <w:tcPr>
            <w:tcW w:w="4400" w:type="dxa"/>
            <w:gridSpan w:val="3"/>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2B740F88" w14:textId="77777777">
            <w:pPr>
              <w:spacing w:after="0" w:line="259" w:lineRule="auto"/>
              <w:ind w:left="115" w:firstLine="0"/>
              <w:jc w:val="center"/>
            </w:pPr>
            <w:r w:rsidRPr="00C7413B">
              <w:rPr>
                <w:rFonts w:ascii="Arial" w:hAnsi="Arial" w:eastAsia="Arial" w:cs="Arial"/>
                <w:b/>
                <w:sz w:val="20"/>
              </w:rPr>
              <w:t>Annual Cost</w:t>
            </w:r>
          </w:p>
        </w:tc>
        <w:tc>
          <w:tcPr>
            <w:tcW w:w="1969" w:type="dxa"/>
            <w:vMerge w:val="restart"/>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1E8499DE" w14:textId="77777777">
            <w:pPr>
              <w:spacing w:after="0" w:line="259" w:lineRule="auto"/>
              <w:ind w:left="0" w:right="8" w:firstLine="0"/>
              <w:jc w:val="center"/>
            </w:pPr>
            <w:r w:rsidRPr="00C7413B">
              <w:rPr>
                <w:rFonts w:ascii="Arial" w:hAnsi="Arial" w:eastAsia="Arial" w:cs="Arial"/>
                <w:b/>
                <w:sz w:val="20"/>
              </w:rPr>
              <w:t>Reason</w:t>
            </w:r>
          </w:p>
        </w:tc>
      </w:tr>
      <w:tr w:rsidRPr="00C7413B" w:rsidR="00BB0F66" w:rsidTr="00EE4C75" w14:paraId="2A4DFE02" w14:textId="77777777">
        <w:trPr>
          <w:trHeight w:val="566"/>
          <w:tblHeader/>
        </w:trPr>
        <w:tc>
          <w:tcPr>
            <w:tcW w:w="1097"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51D65D14" w14:textId="77777777">
            <w:pPr>
              <w:spacing w:after="0" w:line="259" w:lineRule="auto"/>
              <w:ind w:left="108" w:firstLine="0"/>
              <w:jc w:val="center"/>
            </w:pPr>
            <w:r w:rsidRPr="00C7413B">
              <w:rPr>
                <w:rFonts w:ascii="Arial" w:hAnsi="Arial" w:eastAsia="Arial" w:cs="Arial"/>
                <w:b/>
                <w:sz w:val="20"/>
              </w:rPr>
              <w:t>Activity</w:t>
            </w:r>
          </w:p>
        </w:tc>
        <w:tc>
          <w:tcPr>
            <w:tcW w:w="1086"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27BDA3AE" w14:textId="41D12762">
            <w:pPr>
              <w:spacing w:after="0" w:line="259" w:lineRule="auto"/>
              <w:ind w:left="0" w:firstLine="0"/>
              <w:jc w:val="center"/>
            </w:pPr>
            <w:r w:rsidRPr="00C7413B">
              <w:rPr>
                <w:rFonts w:ascii="Arial" w:hAnsi="Arial" w:eastAsia="Arial" w:cs="Arial"/>
                <w:b/>
                <w:sz w:val="20"/>
              </w:rPr>
              <w:t>Approved (</w:t>
            </w:r>
            <w:r w:rsidRPr="00C7413B" w:rsidR="008C4704">
              <w:rPr>
                <w:rFonts w:ascii="Arial" w:hAnsi="Arial" w:eastAsia="Arial" w:cs="Arial"/>
                <w:b/>
                <w:sz w:val="20"/>
              </w:rPr>
              <w:t>2019</w:t>
            </w:r>
            <w:r w:rsidRPr="00C7413B">
              <w:rPr>
                <w:rFonts w:ascii="Arial" w:hAnsi="Arial" w:eastAsia="Arial" w:cs="Arial"/>
                <w:b/>
                <w:sz w:val="20"/>
              </w:rPr>
              <w:t>)</w:t>
            </w:r>
          </w:p>
        </w:tc>
        <w:tc>
          <w:tcPr>
            <w:tcW w:w="866"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313D14C4" w14:textId="77777777">
            <w:pPr>
              <w:spacing w:after="0" w:line="259" w:lineRule="auto"/>
              <w:ind w:left="55" w:firstLine="0"/>
              <w:jc w:val="center"/>
            </w:pPr>
            <w:r w:rsidRPr="00C7413B">
              <w:rPr>
                <w:rFonts w:ascii="Arial" w:hAnsi="Arial" w:eastAsia="Arial" w:cs="Arial"/>
                <w:b/>
                <w:sz w:val="20"/>
              </w:rPr>
              <w:t>This ICR</w:t>
            </w:r>
          </w:p>
        </w:tc>
        <w:tc>
          <w:tcPr>
            <w:tcW w:w="962"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0F5272C8" w14:textId="77777777">
            <w:pPr>
              <w:spacing w:after="0" w:line="259" w:lineRule="auto"/>
              <w:jc w:val="center"/>
            </w:pPr>
            <w:r w:rsidRPr="00C7413B">
              <w:rPr>
                <w:rFonts w:ascii="Arial" w:hAnsi="Arial" w:eastAsia="Arial" w:cs="Arial"/>
                <w:b/>
                <w:sz w:val="20"/>
              </w:rPr>
              <w:t>Change</w:t>
            </w:r>
          </w:p>
        </w:tc>
        <w:tc>
          <w:tcPr>
            <w:tcW w:w="1347"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690A1262" w14:textId="0FE0B139">
            <w:pPr>
              <w:spacing w:after="0" w:line="259" w:lineRule="auto"/>
              <w:ind w:left="0" w:firstLine="0"/>
              <w:jc w:val="center"/>
            </w:pPr>
            <w:r w:rsidRPr="00C7413B">
              <w:rPr>
                <w:rFonts w:ascii="Arial" w:hAnsi="Arial" w:eastAsia="Arial" w:cs="Arial"/>
                <w:b/>
                <w:sz w:val="20"/>
              </w:rPr>
              <w:t>Approved (</w:t>
            </w:r>
            <w:r w:rsidRPr="00C7413B" w:rsidR="008C4704">
              <w:rPr>
                <w:rFonts w:ascii="Arial" w:hAnsi="Arial" w:eastAsia="Arial" w:cs="Arial"/>
                <w:b/>
                <w:sz w:val="20"/>
              </w:rPr>
              <w:t>2019</w:t>
            </w:r>
            <w:r w:rsidRPr="00C7413B">
              <w:rPr>
                <w:rFonts w:ascii="Arial" w:hAnsi="Arial" w:eastAsia="Arial" w:cs="Arial"/>
                <w:b/>
                <w:sz w:val="20"/>
              </w:rPr>
              <w:t>)</w:t>
            </w:r>
          </w:p>
        </w:tc>
        <w:tc>
          <w:tcPr>
            <w:tcW w:w="2142"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42702E7D" w14:textId="77777777">
            <w:pPr>
              <w:spacing w:after="0" w:line="259" w:lineRule="auto"/>
              <w:jc w:val="center"/>
            </w:pPr>
            <w:r w:rsidRPr="00C7413B">
              <w:rPr>
                <w:rFonts w:ascii="Arial" w:hAnsi="Arial" w:eastAsia="Arial" w:cs="Arial"/>
                <w:b/>
                <w:sz w:val="20"/>
              </w:rPr>
              <w:t>This ICR</w:t>
            </w:r>
          </w:p>
        </w:tc>
        <w:tc>
          <w:tcPr>
            <w:tcW w:w="911"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64B45909" w14:textId="77777777">
            <w:pPr>
              <w:spacing w:after="0" w:line="259" w:lineRule="auto"/>
              <w:ind w:left="0" w:right="2" w:firstLine="0"/>
              <w:jc w:val="center"/>
            </w:pPr>
            <w:r w:rsidRPr="00C7413B">
              <w:rPr>
                <w:rFonts w:ascii="Arial" w:hAnsi="Arial" w:eastAsia="Arial" w:cs="Arial"/>
                <w:b/>
                <w:sz w:val="20"/>
              </w:rPr>
              <w:t>Change</w:t>
            </w:r>
          </w:p>
        </w:tc>
        <w:tc>
          <w:tcPr>
            <w:tcW w:w="1969" w:type="dxa"/>
            <w:vMerge/>
            <w:tcBorders>
              <w:top w:val="nil"/>
              <w:left w:val="single" w:color="000000" w:sz="4" w:space="0"/>
              <w:bottom w:val="single" w:color="000000" w:sz="4" w:space="0"/>
              <w:right w:val="single" w:color="000000" w:sz="4" w:space="0"/>
            </w:tcBorders>
          </w:tcPr>
          <w:p w:rsidRPr="00C7413B" w:rsidR="00042A8F" w:rsidP="00255572" w:rsidRDefault="00042A8F" w14:paraId="75C8901F" w14:textId="77777777">
            <w:pPr>
              <w:spacing w:after="160" w:line="259" w:lineRule="auto"/>
              <w:ind w:left="0" w:firstLine="0"/>
            </w:pPr>
          </w:p>
        </w:tc>
      </w:tr>
      <w:tr w:rsidRPr="00C7413B" w:rsidR="00BB0F66" w:rsidTr="00EE4C75" w14:paraId="5488CBC6" w14:textId="77777777">
        <w:trPr>
          <w:trHeight w:val="960"/>
        </w:trPr>
        <w:tc>
          <w:tcPr>
            <w:tcW w:w="1097"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0D16593D" w14:textId="77777777">
            <w:pPr>
              <w:spacing w:after="0" w:line="259" w:lineRule="auto"/>
              <w:ind w:left="108" w:firstLine="0"/>
            </w:pPr>
            <w:r w:rsidRPr="00C7413B">
              <w:rPr>
                <w:rFonts w:ascii="Arial" w:hAnsi="Arial" w:eastAsia="Arial" w:cs="Arial"/>
                <w:sz w:val="20"/>
              </w:rPr>
              <w:t xml:space="preserve">Report progress </w:t>
            </w:r>
          </w:p>
        </w:tc>
        <w:tc>
          <w:tcPr>
            <w:tcW w:w="1086"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DF237E" w14:paraId="2D6A29B7" w14:textId="39FB8A49">
            <w:pPr>
              <w:spacing w:after="0" w:line="259" w:lineRule="auto"/>
              <w:ind w:left="0" w:right="7" w:firstLine="0"/>
              <w:jc w:val="center"/>
            </w:pPr>
            <w:r w:rsidRPr="00C7413B">
              <w:rPr>
                <w:rFonts w:ascii="Arial" w:hAnsi="Arial" w:eastAsia="Arial" w:cs="Arial"/>
                <w:sz w:val="20"/>
              </w:rPr>
              <w:t>684</w:t>
            </w:r>
            <w:r w:rsidRPr="00C7413B" w:rsidR="00042A8F">
              <w:rPr>
                <w:rFonts w:ascii="Arial" w:hAnsi="Arial" w:eastAsia="Arial" w:cs="Arial"/>
                <w:sz w:val="20"/>
              </w:rPr>
              <w:t xml:space="preserve"> </w:t>
            </w:r>
          </w:p>
        </w:tc>
        <w:tc>
          <w:tcPr>
            <w:tcW w:w="866"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E062B1" w14:paraId="5CCF1FEE" w14:textId="228D66D0">
            <w:pPr>
              <w:spacing w:after="0" w:line="259" w:lineRule="auto"/>
              <w:ind w:left="0" w:right="5" w:firstLine="0"/>
              <w:jc w:val="center"/>
            </w:pPr>
            <w:r w:rsidRPr="00C7413B">
              <w:rPr>
                <w:rFonts w:ascii="Arial" w:hAnsi="Arial" w:eastAsia="Arial" w:cs="Arial"/>
                <w:sz w:val="20"/>
              </w:rPr>
              <w:t>288</w:t>
            </w:r>
            <w:r w:rsidRPr="00C7413B" w:rsidR="00DF237E">
              <w:rPr>
                <w:rFonts w:ascii="Arial" w:hAnsi="Arial" w:eastAsia="Arial" w:cs="Arial"/>
                <w:sz w:val="20"/>
              </w:rPr>
              <w:t xml:space="preserve"> </w:t>
            </w:r>
          </w:p>
        </w:tc>
        <w:tc>
          <w:tcPr>
            <w:tcW w:w="962"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DF237E" w14:paraId="1108CE1F" w14:textId="4F30AC9E">
            <w:pPr>
              <w:spacing w:after="0" w:line="259" w:lineRule="auto"/>
              <w:ind w:left="0" w:right="110" w:firstLine="0"/>
              <w:jc w:val="center"/>
            </w:pPr>
            <w:r w:rsidRPr="00C7413B">
              <w:rPr>
                <w:rFonts w:ascii="Arial" w:hAnsi="Arial" w:eastAsia="Arial" w:cs="Arial"/>
                <w:sz w:val="20"/>
              </w:rPr>
              <w:t>-</w:t>
            </w:r>
            <w:r w:rsidRPr="00C7413B" w:rsidR="00E062B1">
              <w:rPr>
                <w:rFonts w:ascii="Arial" w:hAnsi="Arial" w:eastAsia="Arial" w:cs="Arial"/>
                <w:sz w:val="20"/>
              </w:rPr>
              <w:t>398</w:t>
            </w:r>
          </w:p>
        </w:tc>
        <w:tc>
          <w:tcPr>
            <w:tcW w:w="1347"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19D83AE1" w14:textId="4186D7A5">
            <w:pPr>
              <w:spacing w:after="0" w:line="259" w:lineRule="auto"/>
              <w:ind w:left="0" w:right="2" w:firstLine="0"/>
              <w:jc w:val="center"/>
            </w:pPr>
            <w:r w:rsidRPr="00C7413B">
              <w:rPr>
                <w:rFonts w:ascii="Arial" w:hAnsi="Arial" w:eastAsia="Arial" w:cs="Arial"/>
                <w:sz w:val="20"/>
              </w:rPr>
              <w:t>$</w:t>
            </w:r>
            <w:r w:rsidRPr="00C7413B" w:rsidR="00DF237E">
              <w:rPr>
                <w:rFonts w:ascii="Arial" w:hAnsi="Arial" w:cs="Arial"/>
                <w:sz w:val="20"/>
                <w:szCs w:val="20"/>
              </w:rPr>
              <w:t>29,874</w:t>
            </w:r>
          </w:p>
        </w:tc>
        <w:tc>
          <w:tcPr>
            <w:tcW w:w="2142"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17578562" w14:textId="1522C100">
            <w:pPr>
              <w:spacing w:after="0" w:line="259" w:lineRule="auto"/>
              <w:ind w:left="108" w:firstLine="0"/>
              <w:rPr>
                <w:rFonts w:ascii="Arial" w:hAnsi="Arial" w:cs="Arial"/>
                <w:sz w:val="20"/>
                <w:szCs w:val="20"/>
              </w:rPr>
            </w:pPr>
            <w:r w:rsidRPr="00C7413B">
              <w:rPr>
                <w:rFonts w:ascii="Arial" w:hAnsi="Arial" w:eastAsia="Arial" w:cs="Arial"/>
                <w:sz w:val="20"/>
                <w:szCs w:val="20"/>
              </w:rPr>
              <w:t xml:space="preserve">  $</w:t>
            </w:r>
            <w:r w:rsidRPr="00C7413B" w:rsidR="007E311A">
              <w:rPr>
                <w:rFonts w:ascii="Arial" w:hAnsi="Arial" w:cs="Arial"/>
                <w:sz w:val="20"/>
                <w:szCs w:val="20"/>
              </w:rPr>
              <w:t>1</w:t>
            </w:r>
            <w:r w:rsidRPr="00C7413B" w:rsidR="00753AB1">
              <w:rPr>
                <w:rFonts w:ascii="Arial" w:hAnsi="Arial" w:cs="Arial"/>
                <w:sz w:val="20"/>
                <w:szCs w:val="20"/>
              </w:rPr>
              <w:t>7</w:t>
            </w:r>
            <w:r w:rsidRPr="00C7413B" w:rsidR="001C7CC3">
              <w:rPr>
                <w:rFonts w:ascii="Arial" w:hAnsi="Arial" w:cs="Arial"/>
                <w:sz w:val="20"/>
                <w:szCs w:val="20"/>
              </w:rPr>
              <w:t>,074</w:t>
            </w:r>
          </w:p>
        </w:tc>
        <w:tc>
          <w:tcPr>
            <w:tcW w:w="911"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13A4CA8F" w14:textId="72472B2C">
            <w:pPr>
              <w:spacing w:after="0" w:line="259" w:lineRule="auto"/>
              <w:ind w:left="0" w:right="110" w:firstLine="0"/>
              <w:jc w:val="right"/>
              <w:rPr>
                <w:rFonts w:ascii="Arial" w:hAnsi="Arial" w:cs="Arial"/>
                <w:sz w:val="20"/>
                <w:szCs w:val="20"/>
              </w:rPr>
            </w:pPr>
            <w:r w:rsidRPr="00C7413B">
              <w:rPr>
                <w:rFonts w:ascii="Arial" w:hAnsi="Arial" w:eastAsia="Arial" w:cs="Arial"/>
                <w:sz w:val="20"/>
                <w:szCs w:val="20"/>
              </w:rPr>
              <w:t>$</w:t>
            </w:r>
            <w:r w:rsidRPr="00C7413B" w:rsidR="00B50680">
              <w:rPr>
                <w:rFonts w:ascii="Arial" w:hAnsi="Arial" w:eastAsia="Arial" w:cs="Arial"/>
                <w:sz w:val="20"/>
                <w:szCs w:val="20"/>
              </w:rPr>
              <w:t>-</w:t>
            </w:r>
            <w:r w:rsidRPr="00C7413B" w:rsidR="00BB0F66">
              <w:rPr>
                <w:rFonts w:ascii="Arial" w:hAnsi="Arial" w:eastAsia="Arial" w:cs="Arial"/>
                <w:sz w:val="20"/>
                <w:szCs w:val="20"/>
              </w:rPr>
              <w:t>1</w:t>
            </w:r>
            <w:r w:rsidRPr="00C7413B" w:rsidR="00807193">
              <w:rPr>
                <w:rFonts w:ascii="Arial" w:hAnsi="Arial" w:eastAsia="Arial" w:cs="Arial"/>
                <w:sz w:val="20"/>
                <w:szCs w:val="20"/>
              </w:rPr>
              <w:t>2</w:t>
            </w:r>
            <w:r w:rsidRPr="00C7413B" w:rsidR="007E311A">
              <w:rPr>
                <w:rFonts w:ascii="Arial" w:hAnsi="Arial" w:eastAsia="Arial" w:cs="Arial"/>
                <w:sz w:val="20"/>
                <w:szCs w:val="20"/>
              </w:rPr>
              <w:t>,</w:t>
            </w:r>
            <w:r w:rsidRPr="00C7413B" w:rsidR="00807193">
              <w:rPr>
                <w:rFonts w:ascii="Arial" w:hAnsi="Arial" w:eastAsia="Arial" w:cs="Arial"/>
                <w:sz w:val="20"/>
                <w:szCs w:val="20"/>
              </w:rPr>
              <w:t>170</w:t>
            </w:r>
            <w:r w:rsidRPr="00C7413B">
              <w:rPr>
                <w:rFonts w:ascii="Arial" w:hAnsi="Arial" w:eastAsia="Arial" w:cs="Arial"/>
                <w:sz w:val="20"/>
                <w:szCs w:val="20"/>
              </w:rPr>
              <w:t xml:space="preserve"> </w:t>
            </w:r>
          </w:p>
        </w:tc>
        <w:tc>
          <w:tcPr>
            <w:tcW w:w="1969" w:type="dxa"/>
            <w:tcBorders>
              <w:top w:val="single" w:color="000000" w:sz="4" w:space="0"/>
              <w:left w:val="single" w:color="000000" w:sz="4" w:space="0"/>
              <w:bottom w:val="single" w:color="000000" w:sz="4" w:space="0"/>
              <w:right w:val="single" w:color="000000" w:sz="4" w:space="0"/>
            </w:tcBorders>
            <w:vAlign w:val="center"/>
          </w:tcPr>
          <w:p w:rsidRPr="00C7413B" w:rsidR="00042A8F" w:rsidP="00255572" w:rsidRDefault="00042A8F" w14:paraId="33FB8E24" w14:textId="00DB5DF0">
            <w:pPr>
              <w:spacing w:after="0" w:line="259" w:lineRule="auto"/>
              <w:ind w:left="106" w:right="182" w:firstLine="0"/>
            </w:pPr>
            <w:r w:rsidRPr="00C7413B">
              <w:rPr>
                <w:rFonts w:ascii="Arial" w:hAnsi="Arial" w:eastAsia="Arial" w:cs="Arial"/>
                <w:sz w:val="20"/>
              </w:rPr>
              <w:t xml:space="preserve">Voluntary reporting </w:t>
            </w:r>
            <w:r w:rsidRPr="00C7413B" w:rsidR="00B50680">
              <w:rPr>
                <w:rFonts w:ascii="Arial" w:hAnsi="Arial" w:eastAsia="Arial" w:cs="Arial"/>
                <w:sz w:val="20"/>
              </w:rPr>
              <w:t xml:space="preserve">decrease </w:t>
            </w:r>
            <w:r w:rsidRPr="00C7413B">
              <w:rPr>
                <w:rFonts w:ascii="Arial" w:hAnsi="Arial" w:eastAsia="Arial" w:cs="Arial"/>
                <w:sz w:val="20"/>
              </w:rPr>
              <w:t xml:space="preserve">from </w:t>
            </w:r>
            <w:r w:rsidRPr="00C7413B" w:rsidR="00B50680">
              <w:rPr>
                <w:rFonts w:ascii="Arial" w:hAnsi="Arial" w:eastAsia="Arial" w:cs="Arial"/>
                <w:sz w:val="20"/>
              </w:rPr>
              <w:t xml:space="preserve">quarterly </w:t>
            </w:r>
            <w:r w:rsidRPr="00C7413B">
              <w:rPr>
                <w:rFonts w:ascii="Arial" w:hAnsi="Arial" w:eastAsia="Arial" w:cs="Arial"/>
                <w:sz w:val="20"/>
              </w:rPr>
              <w:t xml:space="preserve">to </w:t>
            </w:r>
            <w:r w:rsidRPr="00C7413B" w:rsidR="00B50680">
              <w:rPr>
                <w:rFonts w:ascii="Arial" w:hAnsi="Arial" w:eastAsia="Arial" w:cs="Arial"/>
                <w:sz w:val="20"/>
              </w:rPr>
              <w:t>annual</w:t>
            </w:r>
            <w:r w:rsidRPr="00C7413B" w:rsidR="002B3931">
              <w:rPr>
                <w:rFonts w:ascii="Arial" w:hAnsi="Arial" w:eastAsia="Arial" w:cs="Arial"/>
                <w:sz w:val="20"/>
              </w:rPr>
              <w:t>; and more states reporting through SDWIS</w:t>
            </w:r>
            <w:r w:rsidRPr="00C7413B">
              <w:rPr>
                <w:rFonts w:ascii="Arial" w:hAnsi="Arial" w:eastAsia="Arial" w:cs="Arial"/>
                <w:sz w:val="20"/>
              </w:rPr>
              <w:t xml:space="preserve">. </w:t>
            </w:r>
          </w:p>
        </w:tc>
      </w:tr>
    </w:tbl>
    <w:p w:rsidRPr="00C7413B" w:rsidR="00042A8F" w:rsidP="00042A8F" w:rsidRDefault="00042A8F" w14:paraId="67251B41" w14:textId="77777777">
      <w:pPr>
        <w:spacing w:after="0" w:line="259" w:lineRule="auto"/>
        <w:ind w:left="784" w:firstLine="0"/>
        <w:jc w:val="center"/>
      </w:pPr>
      <w:r w:rsidRPr="00C7413B">
        <w:rPr>
          <w:rFonts w:ascii="Arial" w:hAnsi="Arial" w:eastAsia="Arial" w:cs="Arial"/>
          <w:b/>
          <w:sz w:val="24"/>
        </w:rPr>
        <w:t xml:space="preserve"> </w:t>
      </w:r>
    </w:p>
    <w:p w:rsidRPr="00C7413B" w:rsidR="00042A8F" w:rsidP="00042A8F" w:rsidRDefault="00042A8F" w14:paraId="15937717" w14:textId="77777777">
      <w:pPr>
        <w:spacing w:after="31" w:line="259" w:lineRule="auto"/>
        <w:ind w:left="784" w:firstLine="0"/>
        <w:jc w:val="center"/>
      </w:pPr>
      <w:r w:rsidRPr="00C7413B">
        <w:rPr>
          <w:rFonts w:ascii="Arial" w:hAnsi="Arial" w:eastAsia="Arial" w:cs="Arial"/>
          <w:b/>
          <w:sz w:val="24"/>
        </w:rPr>
        <w:t xml:space="preserve"> </w:t>
      </w:r>
    </w:p>
    <w:p w:rsidRPr="00C7413B" w:rsidR="00042A8F" w:rsidP="00042A8F" w:rsidRDefault="00042A8F" w14:paraId="554C651A" w14:textId="77777777">
      <w:pPr>
        <w:pStyle w:val="Heading2"/>
        <w:tabs>
          <w:tab w:val="center" w:pos="937"/>
          <w:tab w:val="center" w:pos="2455"/>
        </w:tabs>
        <w:ind w:left="0" w:firstLine="0"/>
      </w:pPr>
      <w:r w:rsidRPr="00C7413B">
        <w:rPr>
          <w:rFonts w:ascii="Calibri" w:hAnsi="Calibri" w:eastAsia="Calibri" w:cs="Calibri"/>
          <w:b w:val="0"/>
          <w:sz w:val="22"/>
        </w:rPr>
        <w:tab/>
      </w:r>
      <w:r w:rsidRPr="00C7413B">
        <w:t xml:space="preserve">6(g) </w:t>
      </w:r>
      <w:r w:rsidRPr="00C7413B">
        <w:tab/>
        <w:t xml:space="preserve">Burden Statement </w:t>
      </w:r>
    </w:p>
    <w:p w:rsidRPr="00C7413B" w:rsidR="00042A8F" w:rsidP="00042A8F" w:rsidRDefault="00042A8F" w14:paraId="6ECF75AD" w14:textId="77777777">
      <w:pPr>
        <w:spacing w:line="259" w:lineRule="auto"/>
        <w:ind w:left="1" w:firstLine="0"/>
      </w:pPr>
      <w:r w:rsidRPr="00C7413B">
        <w:rPr>
          <w:sz w:val="24"/>
        </w:rPr>
        <w:t xml:space="preserve"> </w:t>
      </w:r>
    </w:p>
    <w:p w:rsidRPr="00C7413B" w:rsidR="00042A8F" w:rsidP="00042A8F" w:rsidRDefault="00042A8F" w14:paraId="27E268E2" w14:textId="4A2E21CE">
      <w:pPr>
        <w:spacing w:after="3" w:line="249" w:lineRule="auto"/>
        <w:ind w:left="-4" w:right="1"/>
      </w:pPr>
      <w:r w:rsidRPr="00C7413B">
        <w:rPr>
          <w:sz w:val="24"/>
        </w:rPr>
        <w:t xml:space="preserve"> </w:t>
      </w:r>
      <w:r w:rsidRPr="00C7413B">
        <w:rPr>
          <w:sz w:val="24"/>
        </w:rPr>
        <w:tab/>
        <w:t xml:space="preserve">EPA estimates that, over the three years covered by this request, the total non-Agency respondent burden associated with this voluntary reporting will be </w:t>
      </w:r>
      <w:r w:rsidRPr="00C7413B" w:rsidR="00BB0F66">
        <w:rPr>
          <w:sz w:val="24"/>
        </w:rPr>
        <w:t>864</w:t>
      </w:r>
      <w:r w:rsidRPr="00C7413B">
        <w:rPr>
          <w:sz w:val="24"/>
        </w:rPr>
        <w:t xml:space="preserve"> hours (an average of </w:t>
      </w:r>
      <w:r w:rsidRPr="00C7413B" w:rsidR="00BB0F66">
        <w:rPr>
          <w:sz w:val="24"/>
        </w:rPr>
        <w:t>288</w:t>
      </w:r>
      <w:r w:rsidRPr="00C7413B" w:rsidR="005878FD">
        <w:rPr>
          <w:sz w:val="24"/>
        </w:rPr>
        <w:t xml:space="preserve"> </w:t>
      </w:r>
      <w:r w:rsidRPr="00C7413B">
        <w:rPr>
          <w:sz w:val="24"/>
        </w:rPr>
        <w:t>hours per year), and the cost to respondents of the information collection will be $</w:t>
      </w:r>
      <w:r w:rsidRPr="00C7413B" w:rsidR="005878FD">
        <w:rPr>
          <w:sz w:val="24"/>
        </w:rPr>
        <w:t>5</w:t>
      </w:r>
      <w:r w:rsidRPr="00C7413B" w:rsidR="00270DB6">
        <w:rPr>
          <w:sz w:val="24"/>
        </w:rPr>
        <w:t>1</w:t>
      </w:r>
      <w:r w:rsidRPr="00C7413B" w:rsidR="005878FD">
        <w:rPr>
          <w:sz w:val="24"/>
        </w:rPr>
        <w:t>,</w:t>
      </w:r>
      <w:r w:rsidRPr="00C7413B" w:rsidR="00270DB6">
        <w:rPr>
          <w:sz w:val="24"/>
        </w:rPr>
        <w:t>222</w:t>
      </w:r>
      <w:r w:rsidRPr="00C7413B">
        <w:rPr>
          <w:sz w:val="24"/>
        </w:rPr>
        <w:t xml:space="preserve"> (an average of $</w:t>
      </w:r>
      <w:r w:rsidRPr="00C7413B" w:rsidR="00270DB6">
        <w:rPr>
          <w:sz w:val="24"/>
        </w:rPr>
        <w:t>17,074</w:t>
      </w:r>
      <w:r w:rsidRPr="00C7413B">
        <w:rPr>
          <w:sz w:val="24"/>
        </w:rPr>
        <w:t xml:space="preserve"> per year). </w:t>
      </w:r>
    </w:p>
    <w:p w:rsidRPr="00C7413B" w:rsidR="00042A8F" w:rsidP="00042A8F" w:rsidRDefault="00042A8F" w14:paraId="33DE6378" w14:textId="77777777">
      <w:pPr>
        <w:spacing w:line="259" w:lineRule="auto"/>
        <w:ind w:left="1" w:firstLine="0"/>
      </w:pPr>
      <w:r w:rsidRPr="00C7413B">
        <w:rPr>
          <w:sz w:val="24"/>
        </w:rPr>
        <w:t xml:space="preserve"> </w:t>
      </w:r>
    </w:p>
    <w:p w:rsidRPr="00C7413B" w:rsidR="00042A8F" w:rsidP="0082118A" w:rsidRDefault="00042A8F" w14:paraId="4D45BFA5" w14:textId="08575CC5">
      <w:pPr>
        <w:spacing w:after="3" w:line="249" w:lineRule="auto"/>
        <w:ind w:left="-4" w:right="1"/>
      </w:pPr>
      <w:r w:rsidRPr="00C7413B">
        <w:rPr>
          <w:sz w:val="24"/>
        </w:rPr>
        <w:t xml:space="preserve"> </w:t>
      </w:r>
      <w:r w:rsidRPr="00C7413B">
        <w:rPr>
          <w:sz w:val="24"/>
        </w:rPr>
        <w:tab/>
        <w:t xml:space="preserve">State reporting burden for this ICR is estimated to average </w:t>
      </w:r>
      <w:r w:rsidRPr="00C7413B" w:rsidR="00BB0F66">
        <w:rPr>
          <w:sz w:val="24"/>
        </w:rPr>
        <w:t>5.7</w:t>
      </w:r>
      <w:r w:rsidRPr="00C7413B">
        <w:rPr>
          <w:sz w:val="24"/>
        </w:rPr>
        <w:t xml:space="preserve"> hours per response, or $</w:t>
      </w:r>
      <w:r w:rsidRPr="00C7413B" w:rsidR="004B6036">
        <w:rPr>
          <w:sz w:val="24"/>
        </w:rPr>
        <w:t xml:space="preserve">328 </w:t>
      </w:r>
      <w:r w:rsidRPr="00C7413B">
        <w:rPr>
          <w:sz w:val="24"/>
        </w:rPr>
        <w:t>per response, annually (see Exhibit 6-3). Burden means the total time, effort or financial resources expended by persons to generate, maintain, retain</w:t>
      </w:r>
      <w:r w:rsidRPr="00C7413B" w:rsidR="00A11955">
        <w:rPr>
          <w:sz w:val="24"/>
        </w:rPr>
        <w:t>,</w:t>
      </w:r>
      <w:r w:rsidRPr="00C7413B">
        <w:rPr>
          <w:sz w:val="24"/>
        </w:rPr>
        <w:t xml:space="preserve">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w:t>
      </w:r>
      <w:r w:rsidRPr="00C7413B" w:rsidR="0082118A">
        <w:rPr>
          <w:sz w:val="24"/>
        </w:rPr>
        <w:t>OMB control numbers for EPA’s regulations are listed in 40 CFR Part 9 and 48 CFR Chapter 15.</w:t>
      </w:r>
      <w:r w:rsidRPr="00C7413B">
        <w:rPr>
          <w:sz w:val="24"/>
        </w:rPr>
        <w:t xml:space="preserve"> </w:t>
      </w:r>
    </w:p>
    <w:p w:rsidRPr="00C7413B" w:rsidR="00F91730" w:rsidRDefault="00F91730" w14:paraId="07D5F656" w14:textId="77777777">
      <w:pPr>
        <w:spacing w:line="259" w:lineRule="auto"/>
        <w:ind w:left="1" w:firstLine="0"/>
      </w:pPr>
    </w:p>
    <w:p w:rsidRPr="00C7413B" w:rsidR="00F91730" w:rsidRDefault="000A1E34" w14:paraId="3657E91B" w14:textId="77777777">
      <w:pPr>
        <w:spacing w:after="3" w:line="249" w:lineRule="auto"/>
        <w:ind w:left="-4" w:right="1"/>
      </w:pPr>
      <w:r w:rsidRPr="00C7413B">
        <w:rPr>
          <w:sz w:val="24"/>
        </w:rPr>
        <w:t xml:space="preserve"> </w:t>
      </w:r>
      <w:r w:rsidRPr="00C7413B">
        <w:rPr>
          <w:sz w:val="24"/>
        </w:rPr>
        <w:tab/>
        <w:t xml:space="preserve">To </w:t>
      </w:r>
      <w:r w:rsidRPr="00C7413B" w:rsidR="00223BDD">
        <w:rPr>
          <w:sz w:val="24"/>
        </w:rPr>
        <w:t xml:space="preserve">facilitate </w:t>
      </w:r>
      <w:r w:rsidRPr="00C7413B">
        <w:rPr>
          <w:sz w:val="24"/>
        </w:rPr>
        <w:t xml:space="preserve">comment on the Agency’s need for this information, the accuracy of the provided burden estimates, and any suggested methods for minimizing respondent burden, including through the use of automated collection techniques, EPA has established a public docket for this ICR under Docket ID No. EPA-HQ-OW-2004-0013, which is available for public viewing at the Water Docket in the EPA Docket Center (EPA/DC), WJC West, Room B3334, 1301 Constitution Ave., NW, Washington, DC. The telephone number for the Reading Room is (202) 566-1744, and the telephone number for the Water Docket is (202) 566-2426. An electronic version of the public docket is available through the EPA Docket Center at </w:t>
      </w:r>
      <w:hyperlink r:id="rId12">
        <w:r w:rsidRPr="00C7413B">
          <w:rPr>
            <w:color w:val="0000FF"/>
            <w:sz w:val="24"/>
            <w:u w:val="single" w:color="0000FF"/>
          </w:rPr>
          <w:t>http://www.regulations.gov</w:t>
        </w:r>
      </w:hyperlink>
      <w:hyperlink r:id="rId13">
        <w:r w:rsidRPr="00C7413B">
          <w:rPr>
            <w:sz w:val="24"/>
          </w:rPr>
          <w:t>.</w:t>
        </w:r>
      </w:hyperlink>
      <w:r w:rsidRPr="00C7413B">
        <w:rPr>
          <w:sz w:val="24"/>
        </w:rPr>
        <w:t xml:space="preserve"> Use regulations.gov to submit or view public comments, access the index listing of the contents of the public docket, and to access those documents in the public </w:t>
      </w:r>
      <w:r w:rsidRPr="00C7413B">
        <w:rPr>
          <w:sz w:val="24"/>
        </w:rPr>
        <w:lastRenderedPageBreak/>
        <w:t>docket that are available electronically. Once in the system, select “search,” then key in the docket ID number identified above. Also, you can send comments to the Water Docket,</w:t>
      </w:r>
      <w:r w:rsidRPr="00C7413B">
        <w:rPr>
          <w:color w:val="0000FF"/>
          <w:sz w:val="24"/>
        </w:rPr>
        <w:t xml:space="preserve"> </w:t>
      </w:r>
      <w:r w:rsidRPr="00C7413B">
        <w:rPr>
          <w:sz w:val="24"/>
        </w:rPr>
        <w:t xml:space="preserve">Environmental Protection Agency, EPA Docket Center (EPA/DC), </w:t>
      </w:r>
      <w:proofErr w:type="spellStart"/>
      <w:r w:rsidRPr="00C7413B">
        <w:rPr>
          <w:sz w:val="24"/>
        </w:rPr>
        <w:t>Mailcode</w:t>
      </w:r>
      <w:proofErr w:type="spellEnd"/>
      <w:r w:rsidRPr="00C7413B">
        <w:rPr>
          <w:sz w:val="24"/>
        </w:rPr>
        <w:t xml:space="preserve">: 2822IT, 1200 Pennsylvania Ave., NW, Washington, DC 20460. Please include the EPA Docket ID No. EPAHQ-OW-2004-0013 and OMB control number 2040-0197 in any correspondence. </w:t>
      </w:r>
      <w:r w:rsidRPr="00C7413B">
        <w:br w:type="page"/>
      </w:r>
    </w:p>
    <w:p w:rsidRPr="00C7413B" w:rsidR="00F91730" w:rsidRDefault="000A1E34" w14:paraId="65967C8F" w14:textId="77777777">
      <w:pPr>
        <w:pStyle w:val="Heading1"/>
        <w:numPr>
          <w:ilvl w:val="0"/>
          <w:numId w:val="0"/>
        </w:numPr>
        <w:spacing w:after="0" w:line="259" w:lineRule="auto"/>
        <w:ind w:left="10" w:right="8"/>
        <w:jc w:val="center"/>
      </w:pPr>
      <w:r w:rsidRPr="00C7413B">
        <w:rPr>
          <w:sz w:val="32"/>
        </w:rPr>
        <w:lastRenderedPageBreak/>
        <w:t xml:space="preserve">Appendix </w:t>
      </w:r>
      <w:r w:rsidRPr="00C7413B" w:rsidR="007F7C9C">
        <w:rPr>
          <w:sz w:val="32"/>
        </w:rPr>
        <w:t>A</w:t>
      </w:r>
      <w:r w:rsidRPr="00C7413B">
        <w:rPr>
          <w:sz w:val="32"/>
        </w:rPr>
        <w:t xml:space="preserve"> </w:t>
      </w:r>
    </w:p>
    <w:p w:rsidRPr="00C7413B" w:rsidR="00F91730" w:rsidRDefault="000A1E34" w14:paraId="59356C4A" w14:textId="77777777">
      <w:pPr>
        <w:spacing w:after="0" w:line="259" w:lineRule="auto"/>
        <w:ind w:left="77" w:firstLine="0"/>
        <w:jc w:val="center"/>
      </w:pPr>
      <w:r w:rsidRPr="00C7413B">
        <w:rPr>
          <w:sz w:val="32"/>
        </w:rPr>
        <w:t xml:space="preserve"> </w:t>
      </w:r>
    </w:p>
    <w:p w:rsidRPr="00C7413B" w:rsidR="00F91730" w:rsidRDefault="000A1E34" w14:paraId="718833C3" w14:textId="77777777">
      <w:pPr>
        <w:spacing w:after="0" w:line="259" w:lineRule="auto"/>
        <w:ind w:left="77" w:firstLine="0"/>
        <w:jc w:val="center"/>
      </w:pPr>
      <w:r w:rsidRPr="00C7413B">
        <w:rPr>
          <w:sz w:val="32"/>
        </w:rPr>
        <w:t xml:space="preserve"> </w:t>
      </w:r>
    </w:p>
    <w:p w:rsidRPr="00C7413B" w:rsidR="00F91730" w:rsidRDefault="000A1E34" w14:paraId="1136BABA" w14:textId="77777777">
      <w:pPr>
        <w:pStyle w:val="Heading2"/>
        <w:ind w:left="0" w:right="1793" w:firstLine="0"/>
        <w:jc w:val="right"/>
      </w:pPr>
      <w:r w:rsidRPr="00C7413B">
        <w:rPr>
          <w:b w:val="0"/>
          <w:sz w:val="32"/>
        </w:rPr>
        <w:t xml:space="preserve">Section 1453 of the Safe Drinking Water Act </w:t>
      </w:r>
    </w:p>
    <w:p w:rsidRPr="00C7413B" w:rsidR="00F91730" w:rsidRDefault="000A1E34" w14:paraId="7BA620D9" w14:textId="77777777">
      <w:pPr>
        <w:spacing w:after="12" w:line="259" w:lineRule="auto"/>
        <w:ind w:left="1" w:firstLine="0"/>
      </w:pPr>
      <w:r w:rsidRPr="00C7413B">
        <w:rPr>
          <w:sz w:val="24"/>
        </w:rPr>
        <w:t xml:space="preserve"> </w:t>
      </w:r>
      <w:r w:rsidRPr="00C7413B">
        <w:rPr>
          <w:sz w:val="24"/>
        </w:rPr>
        <w:tab/>
        <w:t xml:space="preserve"> </w:t>
      </w:r>
      <w:r w:rsidRPr="00C7413B">
        <w:rPr>
          <w:sz w:val="24"/>
        </w:rPr>
        <w:tab/>
        <w:t xml:space="preserve"> </w:t>
      </w:r>
      <w:r w:rsidRPr="00C7413B">
        <w:rPr>
          <w:sz w:val="24"/>
        </w:rPr>
        <w:tab/>
        <w:t xml:space="preserve"> </w:t>
      </w:r>
    </w:p>
    <w:p w:rsidRPr="00C7413B" w:rsidR="00F91730" w:rsidRDefault="000A1E34" w14:paraId="2F471646" w14:textId="77777777">
      <w:pPr>
        <w:spacing w:after="12" w:line="259" w:lineRule="auto"/>
        <w:ind w:left="1" w:firstLine="0"/>
      </w:pPr>
      <w:r w:rsidRPr="00C7413B">
        <w:rPr>
          <w:sz w:val="24"/>
        </w:rPr>
        <w:t xml:space="preserve"> </w:t>
      </w:r>
      <w:r w:rsidRPr="00C7413B">
        <w:rPr>
          <w:sz w:val="24"/>
        </w:rPr>
        <w:tab/>
        <w:t xml:space="preserve"> </w:t>
      </w:r>
      <w:r w:rsidRPr="00C7413B">
        <w:rPr>
          <w:sz w:val="24"/>
        </w:rPr>
        <w:tab/>
        <w:t xml:space="preserve"> </w:t>
      </w:r>
      <w:r w:rsidRPr="00C7413B">
        <w:rPr>
          <w:sz w:val="24"/>
        </w:rPr>
        <w:tab/>
        <w:t xml:space="preserve"> </w:t>
      </w:r>
    </w:p>
    <w:p w:rsidRPr="00C7413B" w:rsidR="00F91730" w:rsidRDefault="000A1E34" w14:paraId="552E5591" w14:textId="77777777">
      <w:pPr>
        <w:spacing w:after="0" w:line="259" w:lineRule="auto"/>
        <w:ind w:left="1" w:firstLine="0"/>
      </w:pPr>
      <w:r w:rsidRPr="00C7413B">
        <w:rPr>
          <w:sz w:val="24"/>
        </w:rPr>
        <w:t xml:space="preserve"> </w:t>
      </w:r>
      <w:r w:rsidRPr="00C7413B">
        <w:rPr>
          <w:sz w:val="24"/>
        </w:rPr>
        <w:tab/>
        <w:t xml:space="preserve"> </w:t>
      </w:r>
      <w:r w:rsidRPr="00C7413B">
        <w:br w:type="page"/>
      </w:r>
    </w:p>
    <w:p w:rsidRPr="00C7413B" w:rsidR="00F91730" w:rsidRDefault="000A1E34" w14:paraId="6D958938" w14:textId="77777777">
      <w:pPr>
        <w:ind w:left="-4" w:right="8"/>
      </w:pPr>
      <w:r w:rsidRPr="00C7413B">
        <w:lastRenderedPageBreak/>
        <w:t xml:space="preserve">4SEC. 132. SOURCE WATER ASSESSMENT. </w:t>
      </w:r>
    </w:p>
    <w:p w:rsidRPr="00C7413B" w:rsidR="00F91730" w:rsidRDefault="000A1E34" w14:paraId="1CBE189D" w14:textId="77777777">
      <w:pPr>
        <w:numPr>
          <w:ilvl w:val="0"/>
          <w:numId w:val="5"/>
        </w:numPr>
        <w:ind w:right="8" w:hanging="302"/>
      </w:pPr>
      <w:r w:rsidRPr="00C7413B">
        <w:t xml:space="preserve">IN GENERAL- Part E (42 U.S.C. 300j et seq.) is amended by adding at the end the following: </w:t>
      </w:r>
    </w:p>
    <w:p w:rsidRPr="00C7413B" w:rsidR="00F91730" w:rsidRDefault="000A1E34" w14:paraId="43C30ED5" w14:textId="77777777">
      <w:pPr>
        <w:ind w:left="-4" w:right="8"/>
      </w:pPr>
      <w:r w:rsidRPr="00C7413B">
        <w:t xml:space="preserve">SOURCE WATER QUALITY ASSESSMENT </w:t>
      </w:r>
    </w:p>
    <w:p w:rsidRPr="00C7413B" w:rsidR="00F91730" w:rsidRDefault="000A1E34" w14:paraId="2D1CEC61" w14:textId="77777777">
      <w:pPr>
        <w:ind w:left="-4" w:right="8"/>
      </w:pPr>
      <w:r w:rsidRPr="00C7413B">
        <w:t xml:space="preserve">SEC. 1453. (a) SOURCE WATER ASSESSMENT- </w:t>
      </w:r>
    </w:p>
    <w:p w:rsidRPr="00C7413B" w:rsidR="00F91730" w:rsidRDefault="000A1E34" w14:paraId="49A50766" w14:textId="77777777">
      <w:pPr>
        <w:numPr>
          <w:ilvl w:val="1"/>
          <w:numId w:val="5"/>
        </w:numPr>
        <w:ind w:right="8" w:hanging="314"/>
      </w:pPr>
      <w:r w:rsidRPr="00C7413B">
        <w:t xml:space="preserve">GUIDANCE- Within 12 months after the date of enactment of the Safe Drinking Water Act Amendments of 1996, after notice and comment, the Administrator shall publish guidance for States exercising primary enforcement responsibility for public water systems to carry out directly or through delegation (for the protection and benefit of public water systems and for the support of monitoring flexibility) a source water assessment program within the State’s boundaries. Each State adopting modifications to monitoring requirements pursuant to section 1418(b) shall, prior to adopting such modifications, have an approved source water assessment program under this section and shall carry out the program either directly or through delegation. </w:t>
      </w:r>
    </w:p>
    <w:p w:rsidRPr="00C7413B" w:rsidR="00F91730" w:rsidRDefault="000A1E34" w14:paraId="5B19BCCE" w14:textId="77777777">
      <w:pPr>
        <w:numPr>
          <w:ilvl w:val="1"/>
          <w:numId w:val="5"/>
        </w:numPr>
        <w:ind w:right="8" w:hanging="314"/>
      </w:pPr>
      <w:r w:rsidRPr="00C7413B">
        <w:t xml:space="preserve">PROGRAM REQUIREMENTS- A source water assessment program under this subsection shall-- </w:t>
      </w:r>
    </w:p>
    <w:p w:rsidRPr="00C7413B" w:rsidR="00F91730" w:rsidRDefault="000A1E34" w14:paraId="056D0222" w14:textId="77777777">
      <w:pPr>
        <w:numPr>
          <w:ilvl w:val="2"/>
          <w:numId w:val="5"/>
        </w:numPr>
        <w:ind w:right="8"/>
      </w:pPr>
      <w:r w:rsidRPr="00C7413B">
        <w:t xml:space="preserve">delineate the boundaries of the assessment areas in such State from which one or more public water systems in the State receive supplies of drinking water, using all reasonably available hydrogeologic information on the sources of the supply of drinking water in the State and the water flow, recharge, and discharge and any other reliable information as the State deems necessary to adequately determine such areas; and </w:t>
      </w:r>
    </w:p>
    <w:p w:rsidRPr="00C7413B" w:rsidR="00F91730" w:rsidRDefault="000A1E34" w14:paraId="41F776EB" w14:textId="77777777">
      <w:pPr>
        <w:numPr>
          <w:ilvl w:val="2"/>
          <w:numId w:val="5"/>
        </w:numPr>
        <w:ind w:right="8"/>
      </w:pPr>
      <w:r w:rsidRPr="00C7413B">
        <w:t xml:space="preserve">identify for contaminants regulated under this title for which monitoring is required under this title (or any unregulated contaminants selected by the State, in its discretion, which the State, for the purposes of this subsection, has determined may present a threat to public health), to the extent practical, the origins within each delineated area of such contaminants to determine the susceptibility of the public water systems in the delineated area to such contaminants. </w:t>
      </w:r>
    </w:p>
    <w:p w:rsidRPr="00C7413B" w:rsidR="00F91730" w:rsidRDefault="000A1E34" w14:paraId="4D99E16C" w14:textId="77777777">
      <w:pPr>
        <w:numPr>
          <w:ilvl w:val="1"/>
          <w:numId w:val="5"/>
        </w:numPr>
        <w:ind w:right="8" w:hanging="314"/>
      </w:pPr>
      <w:r w:rsidRPr="00C7413B">
        <w:t xml:space="preserve">APPROVAL, IMPLEMENTATION, AND MONITORING RELIEF- A State source water </w:t>
      </w:r>
    </w:p>
    <w:p w:rsidRPr="00C7413B" w:rsidR="00F91730" w:rsidRDefault="000A1E34" w14:paraId="2369D416" w14:textId="77777777">
      <w:pPr>
        <w:ind w:left="-4" w:right="8"/>
      </w:pPr>
      <w:r w:rsidRPr="00C7413B">
        <w:t xml:space="preserve">assessment program under this subsection shall be submitted to the Administrator within 18 months after the Administrator’s guidance is issued under this subsection and shall be deemed approved 9 months after the date of such submittal unless the Administrator disapproves the program as provided in section </w:t>
      </w:r>
    </w:p>
    <w:p w:rsidRPr="00C7413B" w:rsidR="00F91730" w:rsidRDefault="000A1E34" w14:paraId="2DFA2064" w14:textId="77777777">
      <w:pPr>
        <w:ind w:left="-4" w:right="8"/>
      </w:pPr>
      <w:r w:rsidRPr="00C7413B">
        <w:t xml:space="preserve">1428(c). States shall begin implementation of the program immediately after its approval. The </w:t>
      </w:r>
    </w:p>
    <w:p w:rsidRPr="00C7413B" w:rsidR="00F91730" w:rsidRDefault="000A1E34" w14:paraId="6FB97258" w14:textId="77777777">
      <w:pPr>
        <w:ind w:left="-4" w:right="8"/>
      </w:pPr>
      <w:r w:rsidRPr="00C7413B">
        <w:t xml:space="preserve">Administrator’s approval of a State program under this subsection shall include a timetable, established in consultation with the State, allowing not more than 2 years for completion after approval of the program. Public water systems seeking monitoring relief in addition to the interim relief provided under section 1418(a) shall be eligible for monitoring relief, consistent with section 1418(b), upon completion of the assessment in the delineated source water assessment area or areas concerned. </w:t>
      </w:r>
    </w:p>
    <w:p w:rsidRPr="00C7413B" w:rsidR="00F91730" w:rsidRDefault="000A1E34" w14:paraId="386487E4" w14:textId="77777777">
      <w:pPr>
        <w:numPr>
          <w:ilvl w:val="1"/>
          <w:numId w:val="5"/>
        </w:numPr>
        <w:ind w:right="8" w:hanging="314"/>
      </w:pPr>
      <w:r w:rsidRPr="00C7413B">
        <w:t xml:space="preserve">TIMETABLE- The timetable referred to in paragraph (3) shall take into consideration the availability to the State of funds under section 1452 (relating to State loan funds) for assessments and other relevant factors. The Administrator may extend any timetable included in a State program approved under paragraph (3) to extend the period for completion by an additional 18 months. </w:t>
      </w:r>
    </w:p>
    <w:p w:rsidRPr="00C7413B" w:rsidR="00F91730" w:rsidRDefault="000A1E34" w14:paraId="03BDFB4A" w14:textId="77777777">
      <w:pPr>
        <w:numPr>
          <w:ilvl w:val="1"/>
          <w:numId w:val="5"/>
        </w:numPr>
        <w:ind w:right="8" w:hanging="314"/>
      </w:pPr>
      <w:r w:rsidRPr="00C7413B">
        <w:t xml:space="preserve">DEMONSTRATION PROJECT- The Administrator shall, as soon as practicable, conduct a demonstration project, in consultation with other Federal agencies, to demonstrate the most effective and protective means of assessing and protecting source waters serving large metropolitan areas and located on Federal lands. </w:t>
      </w:r>
    </w:p>
    <w:p w:rsidRPr="00C7413B" w:rsidR="00F91730" w:rsidRDefault="000A1E34" w14:paraId="2A5E07F9" w14:textId="77777777">
      <w:pPr>
        <w:numPr>
          <w:ilvl w:val="1"/>
          <w:numId w:val="5"/>
        </w:numPr>
        <w:ind w:right="8" w:hanging="314"/>
      </w:pPr>
      <w:r w:rsidRPr="00C7413B">
        <w:t xml:space="preserve">USE OF OTHER PROGRAMS- To avoid duplication and to encourage efficiency, the program under this section may make use of any of the following: </w:t>
      </w:r>
    </w:p>
    <w:p w:rsidRPr="00C7413B" w:rsidR="00F91730" w:rsidRDefault="000A1E34" w14:paraId="746496DF" w14:textId="77777777">
      <w:pPr>
        <w:numPr>
          <w:ilvl w:val="2"/>
          <w:numId w:val="5"/>
        </w:numPr>
        <w:ind w:right="8"/>
      </w:pPr>
      <w:r w:rsidRPr="00C7413B">
        <w:lastRenderedPageBreak/>
        <w:t xml:space="preserve">Vulnerability assessments, sanitary surveys, and monitoring programs.  </w:t>
      </w:r>
      <w:r w:rsidRPr="00C7413B">
        <w:tab/>
        <w:t xml:space="preserve"> </w:t>
      </w:r>
      <w:r w:rsidRPr="00C7413B">
        <w:tab/>
        <w:t xml:space="preserve">(B) Delineations or assessments of ground water sources under a State wellhead protection program developed pursuant to this section. </w:t>
      </w:r>
    </w:p>
    <w:p w:rsidRPr="00C7413B" w:rsidR="00F91730" w:rsidRDefault="000A1E34" w14:paraId="51FCEAC9" w14:textId="77777777">
      <w:pPr>
        <w:numPr>
          <w:ilvl w:val="2"/>
          <w:numId w:val="6"/>
        </w:numPr>
        <w:ind w:right="8" w:hanging="362"/>
      </w:pPr>
      <w:r w:rsidRPr="00C7413B">
        <w:t xml:space="preserve">Delineations or assessments of surface or ground water sources under a State pesticide management plan developed pursuant to the Pesticide and Ground Water State Management Plan Regulation (subparts I and J of part 152 of title 40, Code of Federal Regulations), promulgated under section 3(d) of the Federal Insecticide, Fungicide, and Rodenticide Act (7 U.S.C. 136a(d)). </w:t>
      </w:r>
    </w:p>
    <w:p w:rsidRPr="00C7413B" w:rsidR="00F91730" w:rsidRDefault="000A1E34" w14:paraId="6EC811EF" w14:textId="77777777">
      <w:pPr>
        <w:numPr>
          <w:ilvl w:val="2"/>
          <w:numId w:val="6"/>
        </w:numPr>
        <w:ind w:right="8" w:hanging="362"/>
      </w:pPr>
      <w:r w:rsidRPr="00C7413B">
        <w:t xml:space="preserve">Delineations or assessments of surface water sources under a State watershed </w:t>
      </w:r>
    </w:p>
    <w:p w:rsidRPr="00C7413B" w:rsidR="00F91730" w:rsidRDefault="000A1E34" w14:paraId="0C64F3C4" w14:textId="77777777">
      <w:pPr>
        <w:ind w:left="-4" w:right="8"/>
      </w:pPr>
      <w:r w:rsidRPr="00C7413B">
        <w:t xml:space="preserve">initiative or to satisfy the watershed criterion for determining if filtration is required under the Surface Water Treatment Rule (section 141.70 of title 40, Code of Federal Regulations). </w:t>
      </w:r>
    </w:p>
    <w:p w:rsidRPr="00C7413B" w:rsidR="00F91730" w:rsidRDefault="000A1E34" w14:paraId="17E85616" w14:textId="77777777">
      <w:pPr>
        <w:numPr>
          <w:ilvl w:val="2"/>
          <w:numId w:val="6"/>
        </w:numPr>
        <w:ind w:right="8" w:hanging="362"/>
      </w:pPr>
      <w:r w:rsidRPr="00C7413B">
        <w:t xml:space="preserve">Delineations or assessments of surface or ground water sources under programs or plans pursuant to the Federal Water Pollution Control Act. </w:t>
      </w:r>
    </w:p>
    <w:p w:rsidRPr="00C7413B" w:rsidR="00F91730" w:rsidRDefault="000A1E34" w14:paraId="473B4017" w14:textId="77777777">
      <w:pPr>
        <w:numPr>
          <w:ilvl w:val="1"/>
          <w:numId w:val="5"/>
        </w:numPr>
        <w:ind w:right="8" w:hanging="314"/>
      </w:pPr>
      <w:r w:rsidRPr="00C7413B">
        <w:t xml:space="preserve">PUBLIC AVAILABILITY- The State shall make the results of the source water assessments conducted under this subsection available to the public. </w:t>
      </w:r>
    </w:p>
    <w:p w:rsidRPr="00C7413B" w:rsidR="00F91730" w:rsidRDefault="000A1E34" w14:paraId="471691BD" w14:textId="77777777">
      <w:pPr>
        <w:numPr>
          <w:ilvl w:val="0"/>
          <w:numId w:val="5"/>
        </w:numPr>
        <w:ind w:right="8" w:hanging="302"/>
      </w:pPr>
      <w:r w:rsidRPr="00C7413B">
        <w:t xml:space="preserve">APPROVAL AND DISAPPROVAL- For provisions relating to program approval and disapproval, see section 1428(c).’. </w:t>
      </w:r>
    </w:p>
    <w:p w:rsidRPr="00C7413B" w:rsidR="00F91730" w:rsidRDefault="000A1E34" w14:paraId="47E1E244" w14:textId="77777777">
      <w:pPr>
        <w:ind w:left="-4" w:right="8"/>
      </w:pPr>
      <w:r w:rsidRPr="00C7413B">
        <w:t xml:space="preserve">(b) APPROVAL AND DISAPPROVAL OF STATE PROGRAMS- Section 1428 (42 U.S.C. 300h-7) is amended as follows: </w:t>
      </w:r>
    </w:p>
    <w:p w:rsidRPr="00C7413B" w:rsidR="00F91730" w:rsidRDefault="000A1E34" w14:paraId="3FB2260B" w14:textId="77777777">
      <w:pPr>
        <w:numPr>
          <w:ilvl w:val="0"/>
          <w:numId w:val="7"/>
        </w:numPr>
        <w:ind w:right="8"/>
      </w:pPr>
      <w:r w:rsidRPr="00C7413B">
        <w:t xml:space="preserve">Amend the first sentence of subsection (c)(1) to read as follows: If, in the judgment of the Administrator, a State program or portion thereof under subsection (a) is not adequate to protect public water systems as required by subsection (a) or a State program under section 1453 or section 1418(b) does not meet the applicable requirements of section 1453 or section 1418(b), the Administrator shall disapprove such program or portion thereof.’. </w:t>
      </w:r>
    </w:p>
    <w:p w:rsidRPr="00C7413B" w:rsidR="00F91730" w:rsidRDefault="000A1E34" w14:paraId="306A3795" w14:textId="77777777">
      <w:pPr>
        <w:numPr>
          <w:ilvl w:val="0"/>
          <w:numId w:val="7"/>
        </w:numPr>
        <w:ind w:right="8"/>
      </w:pPr>
      <w:r w:rsidRPr="00C7413B">
        <w:t xml:space="preserve">Add after the second sentence of subsection (c)(1) the following: A State program developed pursuant to section 1453 or section 1418(b) shall be deemed to meet the applicable requirements of section 1453 or section 1418(b) unless the Administrator determines within 9 months of the receipt of the program that such program (or portion thereof) does not meet such requirements.’. </w:t>
      </w:r>
    </w:p>
    <w:p w:rsidRPr="00C7413B" w:rsidR="00F91730" w:rsidRDefault="000A1E34" w14:paraId="75E322D2" w14:textId="77777777">
      <w:pPr>
        <w:numPr>
          <w:ilvl w:val="0"/>
          <w:numId w:val="7"/>
        </w:numPr>
        <w:ind w:right="8"/>
      </w:pPr>
      <w:r w:rsidRPr="00C7413B">
        <w:t xml:space="preserve">In the third sentence of subsection (c)(1) and in subsection (c)(2), strike is inadequate’ and insert is disapproved’. </w:t>
      </w:r>
    </w:p>
    <w:p w:rsidRPr="00C7413B" w:rsidR="00F91730" w:rsidRDefault="000A1E34" w14:paraId="25BBCE5F" w14:textId="77777777">
      <w:pPr>
        <w:numPr>
          <w:ilvl w:val="0"/>
          <w:numId w:val="7"/>
        </w:numPr>
        <w:ind w:right="8"/>
      </w:pPr>
      <w:r w:rsidRPr="00C7413B">
        <w:t xml:space="preserve">In subsection (b), add the following before the period at the end of the first sentence: and source water assessment programs under section 1453'. </w:t>
      </w:r>
    </w:p>
    <w:p w:rsidRPr="00C7413B" w:rsidR="00F91730" w:rsidRDefault="000A1E34" w14:paraId="30E8E48F" w14:textId="77777777">
      <w:pPr>
        <w:spacing w:after="0" w:line="259" w:lineRule="auto"/>
        <w:ind w:left="1" w:firstLine="0"/>
      </w:pPr>
      <w:r w:rsidRPr="00C7413B">
        <w:t xml:space="preserve"> </w:t>
      </w:r>
    </w:p>
    <w:p w:rsidRPr="00C7413B" w:rsidR="00F91730" w:rsidRDefault="000A1E34" w14:paraId="719517D0" w14:textId="77777777">
      <w:pPr>
        <w:spacing w:after="115" w:line="259" w:lineRule="auto"/>
        <w:ind w:left="1" w:firstLine="0"/>
      </w:pPr>
      <w:r w:rsidRPr="00C7413B">
        <w:t xml:space="preserve"> </w:t>
      </w:r>
    </w:p>
    <w:p w:rsidRPr="00C7413B" w:rsidR="00F91730" w:rsidRDefault="000A1E34" w14:paraId="7FBF8CE8" w14:textId="77777777">
      <w:pPr>
        <w:spacing w:after="0" w:line="259" w:lineRule="auto"/>
        <w:ind w:left="1" w:firstLine="0"/>
      </w:pPr>
      <w:r w:rsidRPr="00C7413B">
        <w:rPr>
          <w:b/>
          <w:sz w:val="32"/>
        </w:rPr>
        <w:t xml:space="preserve"> </w:t>
      </w:r>
      <w:r w:rsidRPr="00C7413B">
        <w:rPr>
          <w:b/>
          <w:sz w:val="32"/>
        </w:rPr>
        <w:tab/>
        <w:t xml:space="preserve"> </w:t>
      </w:r>
      <w:r w:rsidRPr="00C7413B">
        <w:br w:type="page"/>
      </w:r>
    </w:p>
    <w:p w:rsidRPr="00C7413B" w:rsidR="00F91730" w:rsidRDefault="000A1E34" w14:paraId="728D9458" w14:textId="77777777">
      <w:pPr>
        <w:pStyle w:val="Heading1"/>
        <w:numPr>
          <w:ilvl w:val="0"/>
          <w:numId w:val="0"/>
        </w:numPr>
        <w:spacing w:after="0" w:line="259" w:lineRule="auto"/>
        <w:ind w:left="10" w:right="6"/>
        <w:jc w:val="center"/>
      </w:pPr>
      <w:r w:rsidRPr="00C7413B">
        <w:rPr>
          <w:sz w:val="32"/>
        </w:rPr>
        <w:lastRenderedPageBreak/>
        <w:t xml:space="preserve">Appendix </w:t>
      </w:r>
      <w:r w:rsidRPr="00C7413B" w:rsidR="007F7C9C">
        <w:rPr>
          <w:sz w:val="32"/>
        </w:rPr>
        <w:t>B</w:t>
      </w:r>
    </w:p>
    <w:p w:rsidRPr="00C7413B" w:rsidR="00F91730" w:rsidRDefault="000A1E34" w14:paraId="3C80DBBF" w14:textId="77777777">
      <w:pPr>
        <w:spacing w:after="0" w:line="259" w:lineRule="auto"/>
        <w:ind w:left="77" w:firstLine="0"/>
        <w:jc w:val="center"/>
      </w:pPr>
      <w:r w:rsidRPr="00C7413B">
        <w:rPr>
          <w:sz w:val="32"/>
        </w:rPr>
        <w:t xml:space="preserve"> </w:t>
      </w:r>
    </w:p>
    <w:p w:rsidRPr="00C7413B" w:rsidR="00F91730" w:rsidRDefault="000A1E34" w14:paraId="367AF7E4" w14:textId="77777777">
      <w:pPr>
        <w:spacing w:after="0" w:line="259" w:lineRule="auto"/>
        <w:ind w:left="77" w:firstLine="0"/>
        <w:jc w:val="center"/>
      </w:pPr>
      <w:r w:rsidRPr="00C7413B">
        <w:rPr>
          <w:sz w:val="32"/>
        </w:rPr>
        <w:t xml:space="preserve"> </w:t>
      </w:r>
    </w:p>
    <w:p w:rsidRPr="00C7413B" w:rsidR="00F91730" w:rsidRDefault="000A1E34" w14:paraId="2684C6F0" w14:textId="77777777">
      <w:pPr>
        <w:spacing w:after="0" w:line="259" w:lineRule="auto"/>
        <w:ind w:left="1799"/>
      </w:pPr>
      <w:r w:rsidRPr="00C7413B">
        <w:rPr>
          <w:sz w:val="32"/>
        </w:rPr>
        <w:t xml:space="preserve">Section 1452 of the Safe Drinking Water Act </w:t>
      </w:r>
      <w:r w:rsidRPr="00C7413B">
        <w:br w:type="page"/>
      </w:r>
    </w:p>
    <w:p w:rsidRPr="00C7413B" w:rsidR="00F91730" w:rsidRDefault="000A1E34" w14:paraId="4ED0A83F" w14:textId="77777777">
      <w:pPr>
        <w:ind w:left="-4" w:right="8"/>
      </w:pPr>
      <w:r w:rsidRPr="00C7413B">
        <w:lastRenderedPageBreak/>
        <w:t>SEC. 130. STATE REVOLVING LOAN FUNDS</w:t>
      </w:r>
      <w:r w:rsidRPr="00C7413B">
        <w:rPr>
          <w:b/>
        </w:rPr>
        <w:t xml:space="preserve">. </w:t>
      </w:r>
    </w:p>
    <w:p w:rsidRPr="00C7413B" w:rsidR="00F91730" w:rsidRDefault="000A1E34" w14:paraId="35D36888" w14:textId="77777777">
      <w:pPr>
        <w:ind w:left="-4" w:right="679"/>
      </w:pPr>
      <w:r w:rsidRPr="00C7413B">
        <w:t xml:space="preserve">Part E (42 U.S.C. 300j et seq.) is amended by adding the following new section after section 1451: SEC. 1452. </w:t>
      </w:r>
    </w:p>
    <w:p w:rsidRPr="00C7413B" w:rsidR="00F91730" w:rsidRDefault="000A1E34" w14:paraId="0A5DF59D" w14:textId="77777777">
      <w:pPr>
        <w:numPr>
          <w:ilvl w:val="0"/>
          <w:numId w:val="8"/>
        </w:numPr>
        <w:ind w:right="8" w:hanging="314"/>
      </w:pPr>
      <w:r w:rsidRPr="00C7413B">
        <w:t xml:space="preserve">GENERAL AUTHORITY- </w:t>
      </w:r>
    </w:p>
    <w:p w:rsidRPr="00C7413B" w:rsidR="00F91730" w:rsidRDefault="000A1E34" w14:paraId="51A43118" w14:textId="77777777">
      <w:pPr>
        <w:ind w:left="551" w:right="8"/>
      </w:pPr>
      <w:r w:rsidRPr="00C7413B">
        <w:t xml:space="preserve">(1) GRANTS TO STATES TO ESTABLISH STATE LOAN FUNDS- </w:t>
      </w:r>
    </w:p>
    <w:p w:rsidRPr="00C7413B" w:rsidR="00F91730" w:rsidRDefault="000A1E34" w14:paraId="22FC543D" w14:textId="77777777">
      <w:pPr>
        <w:numPr>
          <w:ilvl w:val="1"/>
          <w:numId w:val="11"/>
        </w:numPr>
        <w:ind w:right="8" w:firstLine="540"/>
      </w:pPr>
      <w:r w:rsidRPr="00C7413B">
        <w:t xml:space="preserve">IN GENERAL- The Administrator shall offer to enter into agreements with eligible States to make capitalization grants, including letters of credit, to the States under this subsection to further the health protection objectives of this title, promote the efficient use of fund resources, and for other purposes as are specified in this title. </w:t>
      </w:r>
    </w:p>
    <w:p w:rsidRPr="00C7413B" w:rsidR="00F91730" w:rsidRDefault="000A1E34" w14:paraId="45387EED" w14:textId="77777777">
      <w:pPr>
        <w:numPr>
          <w:ilvl w:val="1"/>
          <w:numId w:val="11"/>
        </w:numPr>
        <w:ind w:right="8" w:firstLine="540"/>
      </w:pPr>
      <w:r w:rsidRPr="00C7413B">
        <w:t xml:space="preserve">ESTABLISHMENT OF FUND- To be eligible to receive a capitalization grant under this section, a State shall establish a drinking water treatment revolving loan fund (referred to in this section as a `State loan fund') and comply with the other requirements of this section. Each grant to a State under this section shall be deposited in the State loan fund established by the State, except as otherwise provided in this section and in other provisions of this title. No funds authorized by other provisions of this title to be used for other purposes specified in this title shall be deposited in any State loan fund. </w:t>
      </w:r>
    </w:p>
    <w:p w:rsidRPr="00C7413B" w:rsidR="00F91730" w:rsidRDefault="000A1E34" w14:paraId="236A30FA" w14:textId="77777777">
      <w:pPr>
        <w:numPr>
          <w:ilvl w:val="1"/>
          <w:numId w:val="11"/>
        </w:numPr>
        <w:ind w:right="8" w:firstLine="540"/>
      </w:pPr>
      <w:r w:rsidRPr="00C7413B">
        <w:t xml:space="preserve">EXTENDED PERIOD- The grant to a State shall be available to the State for obligation during the fiscal year for which the funds are authorized and during the following fiscal year, except </w:t>
      </w:r>
      <w:proofErr w:type="gramStart"/>
      <w:r w:rsidRPr="00C7413B">
        <w:t>that grants</w:t>
      </w:r>
      <w:proofErr w:type="gramEnd"/>
      <w:r w:rsidRPr="00C7413B">
        <w:t xml:space="preserve"> made available from funds provided prior to fiscal year 1997 shall be available for obligation during each of the fiscal years 1997 and 1998. </w:t>
      </w:r>
    </w:p>
    <w:p w:rsidRPr="00C7413B" w:rsidR="00F91730" w:rsidRDefault="000A1E34" w14:paraId="3BE5A95B" w14:textId="77777777">
      <w:pPr>
        <w:numPr>
          <w:ilvl w:val="1"/>
          <w:numId w:val="11"/>
        </w:numPr>
        <w:ind w:right="8" w:firstLine="540"/>
      </w:pPr>
      <w:r w:rsidRPr="00C7413B">
        <w:t xml:space="preserve">ALLOTMENT FORMULA- Except as otherwise provided in this section, funds made available to carry out this section shall be allotted to States that have entered into an agreement pursuant to this section (other than the District of Columbia) in accordance with-- </w:t>
      </w:r>
    </w:p>
    <w:p w:rsidRPr="00C7413B" w:rsidR="00F91730" w:rsidRDefault="000A1E34" w14:paraId="749EED49" w14:textId="77777777">
      <w:pPr>
        <w:numPr>
          <w:ilvl w:val="1"/>
          <w:numId w:val="12"/>
        </w:numPr>
        <w:ind w:right="8" w:firstLine="540"/>
      </w:pPr>
      <w:r w:rsidRPr="00C7413B">
        <w:t xml:space="preserve">for each of fiscal years 1995 through 1997, a formula that is the same as the formula used to distribute public water system supervision grant funds under section 1443 in fiscal year 1995, except that the minimum proportionate share established in the formula shall be 1 percent of available funds and the formula shall be adjusted to include a minimum proportionate share for the State of Wyoming and the District of Columbia; and </w:t>
      </w:r>
    </w:p>
    <w:p w:rsidRPr="00C7413B" w:rsidR="00F91730" w:rsidRDefault="000A1E34" w14:paraId="1001F292" w14:textId="77777777">
      <w:pPr>
        <w:numPr>
          <w:ilvl w:val="1"/>
          <w:numId w:val="12"/>
        </w:numPr>
        <w:ind w:right="8" w:firstLine="540"/>
      </w:pPr>
      <w:r w:rsidRPr="00C7413B">
        <w:t xml:space="preserve">for fiscal year 1998 and each subsequent fiscal year, a formula that allocates to each State the proportional share of the State needs identified in the most recent survey conducted pursuant to subsection (h), except that the minimum proportionate share provided to each State shall be the same as the minimum proportionate share provided under clause (I). </w:t>
      </w:r>
    </w:p>
    <w:p w:rsidRPr="00C7413B" w:rsidR="00F91730" w:rsidRDefault="000A1E34" w14:paraId="35C397FE" w14:textId="77777777">
      <w:pPr>
        <w:numPr>
          <w:ilvl w:val="1"/>
          <w:numId w:val="13"/>
        </w:numPr>
        <w:ind w:right="8" w:firstLine="540"/>
      </w:pPr>
      <w:r w:rsidRPr="00C7413B">
        <w:t xml:space="preserve">REALLOTMENT- The grants not obligated by the last day of the period for which the grants are available shall be reallotted according to the appropriate criteria set forth in subparagraph (D), except that the Administrator may reserve and allocate 10 percent of the remaining amount for financial assistance to Indian Tribes in addition to the amount allotted under subsection (i) and none of the funds reallotted by the Administrator shall be reallotted to any State that has not obligated all sums allotted to the State pursuant to this section during the period in which the sums were available for obligation. </w:t>
      </w:r>
    </w:p>
    <w:p w:rsidRPr="00C7413B" w:rsidR="00F91730" w:rsidRDefault="000A1E34" w14:paraId="2BAAB3A8" w14:textId="77777777">
      <w:pPr>
        <w:numPr>
          <w:ilvl w:val="1"/>
          <w:numId w:val="13"/>
        </w:numPr>
        <w:ind w:right="8" w:firstLine="540"/>
      </w:pPr>
      <w:r w:rsidRPr="00C7413B">
        <w:t xml:space="preserve">NONPRIMACY STATES- The State allotment for a State not exercising primary enforcement responsibility for public water systems shall not be deposited in any such fund but shall be allotted by the Administrator under this subparagraph. Pursuant to section 1443(a)(9)(A) such sums allotted under this subparagraph shall be reserved as needed by the Administrator to exercise primary enforcement responsibility under this title in such State and the remainder shall be reallotted to States exercising primary enforcement responsibility for public water systems for deposit in such funds. Whenever the </w:t>
      </w:r>
    </w:p>
    <w:p w:rsidRPr="00C7413B" w:rsidR="00F91730" w:rsidRDefault="000A1E34" w14:paraId="4EBAF957" w14:textId="77777777">
      <w:pPr>
        <w:ind w:left="-4" w:right="8"/>
      </w:pPr>
      <w:r w:rsidRPr="00C7413B">
        <w:t xml:space="preserve">Administrator makes a final determination pursuant to section 1413(b) that the requirements of section 1413(a) are no longer being met by a State, additional grants for such State under this title shall be immediately terminated by the Administrator. This subparagraph shall not apply to any State not </w:t>
      </w:r>
      <w:r w:rsidRPr="00C7413B">
        <w:lastRenderedPageBreak/>
        <w:t xml:space="preserve">exercising primary enforcement responsibility for public water systems as of the date of enactment of the Safe Drinking Water Act Amendments of 1996. </w:t>
      </w:r>
    </w:p>
    <w:p w:rsidRPr="00C7413B" w:rsidR="00F91730" w:rsidRDefault="000A1E34" w14:paraId="75FC591E" w14:textId="77777777">
      <w:pPr>
        <w:numPr>
          <w:ilvl w:val="1"/>
          <w:numId w:val="13"/>
        </w:numPr>
        <w:ind w:right="8" w:firstLine="540"/>
      </w:pPr>
      <w:r w:rsidRPr="00C7413B">
        <w:t xml:space="preserve">OTHER PROGRAMS- </w:t>
      </w:r>
    </w:p>
    <w:p w:rsidRPr="00C7413B" w:rsidR="00F91730" w:rsidRDefault="000A1E34" w14:paraId="6CF3BDEB" w14:textId="77777777">
      <w:pPr>
        <w:numPr>
          <w:ilvl w:val="1"/>
          <w:numId w:val="9"/>
        </w:numPr>
        <w:ind w:right="8" w:firstLine="540"/>
      </w:pPr>
      <w:r w:rsidRPr="00C7413B">
        <w:t xml:space="preserve">NEW SYSTEM CAPACITY- Beginning in fiscal year 1999, the Administrator shall withhold 20 percent of each capitalization grant made pursuant to this section to a State unless the State has met the requirements of section 1420(a) (relating to capacity development) and shall withhold 10 percent for fiscal year 2001, 15 percent for fiscal year 2002, and 20 percent for fiscal year 2003 if the State has not complied with the provisions of section 1420(c) (relating to capacity development strategies). Not more than a total of 20 percent of the capitalization grants made to a State in any fiscal year may be withheld under the preceding provisions of this clause. All funds withheld by the Administrator pursuant to this clause shall be reallotted by the Administrator on the basis of the same ratio as is applicable to funds allotted under subparagraph (D). None of the funds reallotted by the Administrator pursuant to this paragraph shall be allotted to a State unless the State has met the requirements of section 1420 (relating to capacity development). </w:t>
      </w:r>
    </w:p>
    <w:p w:rsidRPr="00C7413B" w:rsidR="00F91730" w:rsidRDefault="000A1E34" w14:paraId="5DC9E179" w14:textId="77777777">
      <w:pPr>
        <w:numPr>
          <w:ilvl w:val="1"/>
          <w:numId w:val="9"/>
        </w:numPr>
        <w:ind w:right="8" w:firstLine="540"/>
      </w:pPr>
      <w:r w:rsidRPr="00C7413B">
        <w:t xml:space="preserve">OPERATOR CERTIFICATION- The Administrator shall withhold 20 percent of each capitalization grant made pursuant to this section unless the State has met the requirements of 1419 (relating to operator certification). All funds withheld by the Administrator pursuant to this clause shall be reallotted by the Administrator on the basis of the same ratio as applicable to funds allotted under subparagraph (D). None of the funds reallotted by the Administrator pursuant to this paragraph shall be allotted to a State unless the State has met the requirements of section 1419 (relating to operator certification). </w:t>
      </w:r>
    </w:p>
    <w:p w:rsidRPr="00C7413B" w:rsidR="00F91730" w:rsidRDefault="000A1E34" w14:paraId="24DBB799" w14:textId="77777777">
      <w:pPr>
        <w:numPr>
          <w:ilvl w:val="1"/>
          <w:numId w:val="10"/>
        </w:numPr>
        <w:ind w:right="8" w:firstLine="540"/>
      </w:pPr>
      <w:r w:rsidRPr="00C7413B">
        <w:t xml:space="preserve">USE OF FUNDS- Except as otherwise authorized by this title, amounts deposited in a State loan fund, including loan repayments and interest earned on such amounts, shall be used only for providing loans or loan guarantees, or as a source of reserve and security for leveraged loans, the proceeds of which are deposited in a State loan fund established under paragraph (1), or other financial assistance authorized under this section to community water systems and nonprofit noncommunity water systems, other than systems owned by Federal agencies. Financial assistance under this section may be used by a public water system only for expenditures (not including monitoring, operation, and maintenance expenditures) of a type or category which the Administrator has determined, through guidance, will facilitate compliance with national primary drinking water regulations applicable to the system under section 1412 or otherwise significantly further the health protection objectives of this title. The funds may also be used to provide loans to a system referred to in section 1401(4)(B) for the purpose of providing the treatment described in section 1401(4)(B)(i)(III). The funds shall not be used for the acquisition of real property or interests therein, unless the acquisition is integral to a project authorized by this paragraph and the purchase is from a willing seller. Of the amount credited to any State loan fund established under this section in any fiscal year, 15 percent shall be available solely for providing loan assistance to public water systems which regularly serve fewer than 10,000 persons to the extent such funds can be obligated for eligible projects of public water systems. </w:t>
      </w:r>
    </w:p>
    <w:p w:rsidRPr="00C7413B" w:rsidR="00F91730" w:rsidRDefault="000A1E34" w14:paraId="1C1F3DDA" w14:textId="77777777">
      <w:pPr>
        <w:numPr>
          <w:ilvl w:val="1"/>
          <w:numId w:val="10"/>
        </w:numPr>
        <w:ind w:right="8" w:firstLine="540"/>
      </w:pPr>
      <w:r w:rsidRPr="00C7413B">
        <w:t xml:space="preserve">LIMITATION- </w:t>
      </w:r>
    </w:p>
    <w:p w:rsidRPr="00C7413B" w:rsidR="00F91730" w:rsidRDefault="000A1E34" w14:paraId="7594A2CB" w14:textId="77777777">
      <w:pPr>
        <w:ind w:left="-14" w:right="8" w:firstLine="540"/>
      </w:pPr>
      <w:r w:rsidRPr="00C7413B">
        <w:t xml:space="preserve">(A) IN GENERAL- Except as provided in subparagraph (B), no assistance under this section shall be provided to a public water system that-- </w:t>
      </w:r>
    </w:p>
    <w:p w:rsidRPr="00C7413B" w:rsidR="00F91730" w:rsidRDefault="000A1E34" w14:paraId="62363457" w14:textId="77777777">
      <w:pPr>
        <w:numPr>
          <w:ilvl w:val="1"/>
          <w:numId w:val="22"/>
        </w:numPr>
        <w:ind w:right="113"/>
      </w:pPr>
      <w:r w:rsidRPr="00C7413B">
        <w:t xml:space="preserve">does not have the technical, managerial, and financial capability to ensure compliance with the requirements of this title; or </w:t>
      </w:r>
    </w:p>
    <w:p w:rsidRPr="00C7413B" w:rsidR="00F91730" w:rsidRDefault="000A1E34" w14:paraId="5482CB57" w14:textId="77777777">
      <w:pPr>
        <w:numPr>
          <w:ilvl w:val="1"/>
          <w:numId w:val="22"/>
        </w:numPr>
        <w:ind w:right="113"/>
      </w:pPr>
      <w:r w:rsidRPr="00C7413B">
        <w:t xml:space="preserve">is in significant noncompliance with any requirement of a national primary drinking water regulation or variance. </w:t>
      </w:r>
    </w:p>
    <w:p w:rsidRPr="00C7413B" w:rsidR="00F91730" w:rsidRDefault="000A1E34" w14:paraId="38BFAB5D" w14:textId="77777777">
      <w:pPr>
        <w:numPr>
          <w:ilvl w:val="1"/>
          <w:numId w:val="8"/>
        </w:numPr>
        <w:ind w:right="8" w:firstLine="540"/>
      </w:pPr>
      <w:r w:rsidRPr="00C7413B">
        <w:t xml:space="preserve">RESTRUCTURING- A public water system described in subparagraph (A) may receive assistance under this section if-- </w:t>
      </w:r>
    </w:p>
    <w:p w:rsidRPr="00C7413B" w:rsidR="00F91730" w:rsidRDefault="000A1E34" w14:paraId="2C1DD1B3" w14:textId="77777777">
      <w:pPr>
        <w:numPr>
          <w:ilvl w:val="1"/>
          <w:numId w:val="19"/>
        </w:numPr>
        <w:ind w:right="96" w:hanging="264"/>
      </w:pPr>
      <w:r w:rsidRPr="00C7413B">
        <w:t xml:space="preserve">the use of the assistance will ensure compliance; and </w:t>
      </w:r>
    </w:p>
    <w:p w:rsidRPr="00C7413B" w:rsidR="00F91730" w:rsidRDefault="000A1E34" w14:paraId="0F027B60" w14:textId="77777777">
      <w:pPr>
        <w:numPr>
          <w:ilvl w:val="1"/>
          <w:numId w:val="19"/>
        </w:numPr>
        <w:ind w:right="96" w:hanging="264"/>
      </w:pPr>
      <w:r w:rsidRPr="00C7413B">
        <w:lastRenderedPageBreak/>
        <w:t xml:space="preserve">if subparagraph (A)(i) applies to the system, the owner or operator of the system agrees to undertake feasible and appropriate changes in operations (including ownership, management, accounting, rates, maintenance, consolidation, alternative water supply, or other procedures) if the State determines that the measures are necessary to ensure that the system has the technical, managerial, and financial capability to comply with the requirements of this title over the long term. </w:t>
      </w:r>
    </w:p>
    <w:p w:rsidRPr="00C7413B" w:rsidR="00F91730" w:rsidRDefault="000A1E34" w14:paraId="6D43BFF4" w14:textId="77777777">
      <w:pPr>
        <w:numPr>
          <w:ilvl w:val="1"/>
          <w:numId w:val="8"/>
        </w:numPr>
        <w:ind w:right="8" w:firstLine="540"/>
      </w:pPr>
      <w:r w:rsidRPr="00C7413B">
        <w:t xml:space="preserve">REVIEW- Prior to providing assistance under this section to a public water system that is in significant noncompliance with any requirement of a national primary drinking water regulation or variance, the State shall conduct a review to determine whether subparagraph (A)(i) applies to the system. </w:t>
      </w:r>
    </w:p>
    <w:p w:rsidRPr="00C7413B" w:rsidR="00F91730" w:rsidRDefault="000A1E34" w14:paraId="5B27E8AD" w14:textId="77777777">
      <w:pPr>
        <w:spacing w:after="0" w:line="259" w:lineRule="auto"/>
        <w:ind w:left="540" w:firstLine="0"/>
      </w:pPr>
      <w:r w:rsidRPr="00C7413B">
        <w:t xml:space="preserve"> </w:t>
      </w:r>
    </w:p>
    <w:p w:rsidRPr="00C7413B" w:rsidR="00F91730" w:rsidRDefault="000A1E34" w14:paraId="25162A90" w14:textId="77777777">
      <w:pPr>
        <w:numPr>
          <w:ilvl w:val="0"/>
          <w:numId w:val="8"/>
        </w:numPr>
        <w:ind w:right="8" w:hanging="314"/>
      </w:pPr>
      <w:r w:rsidRPr="00C7413B">
        <w:t xml:space="preserve">INTENDED USE PLANS- </w:t>
      </w:r>
    </w:p>
    <w:p w:rsidRPr="00C7413B" w:rsidR="00F91730" w:rsidRDefault="000A1E34" w14:paraId="5E6B9780" w14:textId="77777777">
      <w:pPr>
        <w:numPr>
          <w:ilvl w:val="1"/>
          <w:numId w:val="20"/>
        </w:numPr>
        <w:ind w:right="8" w:firstLine="540"/>
      </w:pPr>
      <w:r w:rsidRPr="00C7413B">
        <w:t xml:space="preserve">IN GENERAL- After providing for public review and comment, each State that has entered into a capitalization agreement pursuant to this section shall annually prepare a plan that identifies the intended uses of the amounts available to the State loan fund of the State. </w:t>
      </w:r>
    </w:p>
    <w:p w:rsidRPr="00C7413B" w:rsidR="00F91730" w:rsidRDefault="000A1E34" w14:paraId="609FE463" w14:textId="77777777">
      <w:pPr>
        <w:numPr>
          <w:ilvl w:val="1"/>
          <w:numId w:val="20"/>
        </w:numPr>
        <w:ind w:right="8" w:firstLine="540"/>
      </w:pPr>
      <w:r w:rsidRPr="00C7413B">
        <w:t xml:space="preserve">CONTENTS- An intended use plan shall include-- </w:t>
      </w:r>
    </w:p>
    <w:p w:rsidRPr="00C7413B" w:rsidR="00F91730" w:rsidRDefault="000A1E34" w14:paraId="71099077" w14:textId="77777777">
      <w:pPr>
        <w:numPr>
          <w:ilvl w:val="1"/>
          <w:numId w:val="27"/>
        </w:numPr>
        <w:ind w:right="8" w:firstLine="540"/>
      </w:pPr>
      <w:r w:rsidRPr="00C7413B">
        <w:t xml:space="preserve">a list of the projects to be assisted in the first fiscal year that begins after the date of the plan, including a description of the project, the expected terms of financial assistance, and the size of the community served; </w:t>
      </w:r>
    </w:p>
    <w:p w:rsidRPr="00C7413B" w:rsidR="00F91730" w:rsidRDefault="000A1E34" w14:paraId="16F811A8" w14:textId="77777777">
      <w:pPr>
        <w:numPr>
          <w:ilvl w:val="1"/>
          <w:numId w:val="27"/>
        </w:numPr>
        <w:ind w:right="8" w:firstLine="540"/>
      </w:pPr>
      <w:r w:rsidRPr="00C7413B">
        <w:t xml:space="preserve">the criteria and methods established for the distribution of funds; and </w:t>
      </w:r>
    </w:p>
    <w:p w:rsidRPr="00C7413B" w:rsidR="00F91730" w:rsidRDefault="000A1E34" w14:paraId="45CA0737" w14:textId="77777777">
      <w:pPr>
        <w:numPr>
          <w:ilvl w:val="1"/>
          <w:numId w:val="27"/>
        </w:numPr>
        <w:ind w:right="8" w:firstLine="540"/>
      </w:pPr>
      <w:r w:rsidRPr="00C7413B">
        <w:t xml:space="preserve">a description of the financial status of the State loan fund and the short-term and long-term goals of the State loan fund. </w:t>
      </w:r>
    </w:p>
    <w:p w:rsidRPr="00C7413B" w:rsidR="00F91730" w:rsidRDefault="000A1E34" w14:paraId="728390C2" w14:textId="77777777">
      <w:pPr>
        <w:ind w:left="550" w:right="8"/>
      </w:pPr>
      <w:r w:rsidRPr="00C7413B">
        <w:t xml:space="preserve">(3) USE OF FUNDS- </w:t>
      </w:r>
    </w:p>
    <w:p w:rsidRPr="00C7413B" w:rsidR="00F91730" w:rsidRDefault="000A1E34" w14:paraId="3C556321" w14:textId="77777777">
      <w:pPr>
        <w:ind w:left="-14" w:right="355" w:firstLine="540"/>
      </w:pPr>
      <w:r w:rsidRPr="00C7413B">
        <w:t xml:space="preserve">(A) IN GENERAL- An intended use plan shall provide, to the maximum extent practicable, that priority for the use of funds be given to projects that-- (i) address the most serious risk to human health; </w:t>
      </w:r>
    </w:p>
    <w:p w:rsidRPr="00C7413B" w:rsidR="00F91730" w:rsidRDefault="000A1E34" w14:paraId="32C8BE2F" w14:textId="77777777">
      <w:pPr>
        <w:numPr>
          <w:ilvl w:val="1"/>
          <w:numId w:val="23"/>
        </w:numPr>
        <w:ind w:left="926" w:right="8" w:hanging="386"/>
      </w:pPr>
      <w:r w:rsidRPr="00C7413B">
        <w:t xml:space="preserve">are necessary to ensure compliance with the requirements of this title (including requirements for filtration); and </w:t>
      </w:r>
    </w:p>
    <w:p w:rsidRPr="00C7413B" w:rsidR="00F91730" w:rsidRDefault="000A1E34" w14:paraId="5A34D8B4" w14:textId="77777777">
      <w:pPr>
        <w:numPr>
          <w:ilvl w:val="1"/>
          <w:numId w:val="23"/>
        </w:numPr>
        <w:ind w:left="926" w:right="8" w:hanging="386"/>
      </w:pPr>
      <w:r w:rsidRPr="00C7413B">
        <w:t xml:space="preserve">assist systems most in need on a per household basis according to State affordability criteria. </w:t>
      </w:r>
    </w:p>
    <w:p w:rsidRPr="00C7413B" w:rsidR="00F91730" w:rsidRDefault="000A1E34" w14:paraId="386A641B" w14:textId="77777777">
      <w:pPr>
        <w:numPr>
          <w:ilvl w:val="1"/>
          <w:numId w:val="8"/>
        </w:numPr>
        <w:ind w:right="8" w:firstLine="540"/>
      </w:pPr>
      <w:r w:rsidRPr="00C7413B">
        <w:t xml:space="preserve">LIST OF PROJECTS- Each State shall, after notice and opportunity for public comment, publish and periodically update a list of projects in the State that are eligible for assistance under this section, including the priority assigned to each project and, to the extent known, the expected funding schedule for each project. </w:t>
      </w:r>
    </w:p>
    <w:p w:rsidRPr="00C7413B" w:rsidR="00F91730" w:rsidRDefault="000A1E34" w14:paraId="648F3D2B" w14:textId="77777777">
      <w:pPr>
        <w:numPr>
          <w:ilvl w:val="1"/>
          <w:numId w:val="8"/>
        </w:numPr>
        <w:ind w:right="8" w:firstLine="540"/>
      </w:pPr>
      <w:r w:rsidRPr="00C7413B">
        <w:t xml:space="preserve">FUND MANAGEMENT- Each State loan fund under this section shall be established, maintained, and credited with repayments and interest. The fund corpus shall be available in perpetuity for providing financial assistance under this section. To the extent amounts in the fund are not required for current obligation or expenditure, such amounts shall be invested in interest bearing obligations. </w:t>
      </w:r>
    </w:p>
    <w:p w:rsidRPr="00C7413B" w:rsidR="00F91730" w:rsidRDefault="000A1E34" w14:paraId="662A80E5" w14:textId="77777777">
      <w:pPr>
        <w:numPr>
          <w:ilvl w:val="1"/>
          <w:numId w:val="8"/>
        </w:numPr>
        <w:ind w:right="8" w:firstLine="540"/>
      </w:pPr>
      <w:r w:rsidRPr="00C7413B">
        <w:t xml:space="preserve">ASSISTANCE FOR DISADVANTAGED COMMUNITIES- </w:t>
      </w:r>
    </w:p>
    <w:p w:rsidRPr="00C7413B" w:rsidR="00F91730" w:rsidRDefault="000A1E34" w14:paraId="079FCF13" w14:textId="77777777">
      <w:pPr>
        <w:numPr>
          <w:ilvl w:val="1"/>
          <w:numId w:val="17"/>
        </w:numPr>
        <w:ind w:left="854" w:right="8" w:hanging="314"/>
      </w:pPr>
      <w:r w:rsidRPr="00C7413B">
        <w:t xml:space="preserve">LOAN SUBSIDY- Notwithstanding any other provision of this section, in any case in which the State makes a loan pursuant to subsection (a)(2) to a disadvantaged community or to a community that the State expects to become a disadvantaged community as the result of a proposed project, the State may provide additional subsidization (including forgiveness of principal). </w:t>
      </w:r>
    </w:p>
    <w:p w:rsidRPr="00C7413B" w:rsidR="00F91730" w:rsidRDefault="000A1E34" w14:paraId="18D7C560" w14:textId="77777777">
      <w:pPr>
        <w:numPr>
          <w:ilvl w:val="1"/>
          <w:numId w:val="17"/>
        </w:numPr>
        <w:ind w:left="854" w:right="8" w:hanging="314"/>
      </w:pPr>
      <w:r w:rsidRPr="00C7413B">
        <w:t xml:space="preserve">TOTAL AMOUNT OF SUBSIDIES- For each fiscal year, the total amount of loan subsidies made by a State pursuant to paragraph (1) may not exceed 30 percent of the amount of the capitalization grant received by the State for the year. </w:t>
      </w:r>
    </w:p>
    <w:p w:rsidRPr="00C7413B" w:rsidR="00F91730" w:rsidRDefault="000A1E34" w14:paraId="28BBB391" w14:textId="77777777">
      <w:pPr>
        <w:numPr>
          <w:ilvl w:val="1"/>
          <w:numId w:val="17"/>
        </w:numPr>
        <w:ind w:left="854" w:right="8" w:hanging="314"/>
      </w:pPr>
      <w:r w:rsidRPr="00C7413B">
        <w:t xml:space="preserve">DEFINITION OF DISADVANTAGED COMMUNITY- In this subsection, the term </w:t>
      </w:r>
    </w:p>
    <w:p w:rsidRPr="00C7413B" w:rsidR="00F91730" w:rsidRDefault="000A1E34" w14:paraId="43E4844A" w14:textId="77777777">
      <w:pPr>
        <w:ind w:left="550" w:right="205"/>
      </w:pPr>
      <w:r w:rsidRPr="00C7413B">
        <w:lastRenderedPageBreak/>
        <w:t xml:space="preserve">`disadvantaged community' means the service area of a public water system that meets affordability criteria established after public review and comment by the State in which the public water system is located. The Administrator may publish information to assist States in establishing affordability criteria. </w:t>
      </w:r>
    </w:p>
    <w:p w:rsidRPr="00C7413B" w:rsidR="00F91730" w:rsidRDefault="000A1E34" w14:paraId="30B3D0B8" w14:textId="77777777">
      <w:pPr>
        <w:numPr>
          <w:ilvl w:val="1"/>
          <w:numId w:val="8"/>
        </w:numPr>
        <w:ind w:right="8" w:firstLine="540"/>
      </w:pPr>
      <w:r w:rsidRPr="00C7413B">
        <w:t xml:space="preserve">STATE CONTRIBUTION- Each agreement under subsection (a) shall require that the State deposit in the State loan fund from State moneys an amount equal to at least 20 percent of the total amount of the grant to be made to the State on or before the date on which the grant payment is made to the State, except that a State shall not be required to deposit such amount into the fund prior to the date on which each grant payment is made for fiscal years 1994, 1995, 1996, and 1997 if the State deposits the State contribution amount into the State loan fund prior to September 30, 1999. </w:t>
      </w:r>
    </w:p>
    <w:p w:rsidRPr="00C7413B" w:rsidR="00F91730" w:rsidRDefault="000A1E34" w14:paraId="7D5AE168" w14:textId="77777777">
      <w:pPr>
        <w:numPr>
          <w:ilvl w:val="1"/>
          <w:numId w:val="8"/>
        </w:numPr>
        <w:ind w:right="8" w:firstLine="540"/>
      </w:pPr>
      <w:r w:rsidRPr="00C7413B">
        <w:t xml:space="preserve">TYPES OF ASSISTANCE- Except as otherwise limited by State law, the amounts deposited into a State loan fund under this section may be used only-- (1) to make loans, on the condition that-- </w:t>
      </w:r>
    </w:p>
    <w:p w:rsidRPr="00C7413B" w:rsidR="00F91730" w:rsidRDefault="000A1E34" w14:paraId="22864653" w14:textId="77777777">
      <w:pPr>
        <w:numPr>
          <w:ilvl w:val="1"/>
          <w:numId w:val="16"/>
        </w:numPr>
        <w:ind w:left="551" w:right="8"/>
      </w:pPr>
      <w:r w:rsidRPr="00C7413B">
        <w:t xml:space="preserve">the interest rate for each loan is less than or equal to the market interest rate, including an interest free loan; </w:t>
      </w:r>
    </w:p>
    <w:p w:rsidRPr="00C7413B" w:rsidR="00F91730" w:rsidRDefault="000A1E34" w14:paraId="1444953A" w14:textId="77777777">
      <w:pPr>
        <w:numPr>
          <w:ilvl w:val="1"/>
          <w:numId w:val="16"/>
        </w:numPr>
        <w:ind w:left="551" w:right="8"/>
      </w:pPr>
      <w:r w:rsidRPr="00C7413B">
        <w:t xml:space="preserve">principal and interest payments on each loan will commence not later than 1 year after completion of the project for which the loan was made, and each loan will be fully amortized not later than 20 years after the completion of the project, except that in the case of a disadvantaged community (as defined in subsection (d)(3)), a State may provide an extended term for a loan, if the extended term-- </w:t>
      </w:r>
    </w:p>
    <w:p w:rsidRPr="00C7413B" w:rsidR="00F91730" w:rsidRDefault="000A1E34" w14:paraId="261D98F4" w14:textId="77777777">
      <w:pPr>
        <w:ind w:left="551" w:right="391"/>
      </w:pPr>
      <w:r w:rsidRPr="00C7413B">
        <w:t xml:space="preserve">(i) terminates not later than the date that is 30 years after the date of project completion; and (ii) does not exceed the expected design life of the project; </w:t>
      </w:r>
    </w:p>
    <w:p w:rsidRPr="00C7413B" w:rsidR="00F91730" w:rsidRDefault="000A1E34" w14:paraId="58819C09" w14:textId="77777777">
      <w:pPr>
        <w:numPr>
          <w:ilvl w:val="1"/>
          <w:numId w:val="24"/>
        </w:numPr>
        <w:ind w:right="68" w:hanging="362"/>
      </w:pPr>
      <w:r w:rsidRPr="00C7413B">
        <w:t xml:space="preserve">the recipient of each loan will establish a dedicated source of revenue (or, in the case of a privately owned system, demonstrate that there is adequate security) for the repayment of the loan; and </w:t>
      </w:r>
    </w:p>
    <w:p w:rsidRPr="00C7413B" w:rsidR="00F91730" w:rsidRDefault="000A1E34" w14:paraId="7F4BE579" w14:textId="77777777">
      <w:pPr>
        <w:numPr>
          <w:ilvl w:val="1"/>
          <w:numId w:val="24"/>
        </w:numPr>
        <w:ind w:right="68" w:hanging="362"/>
      </w:pPr>
      <w:r w:rsidRPr="00C7413B">
        <w:t xml:space="preserve">the State loan fund will be credited with all payments of principal and interest on each loan; </w:t>
      </w:r>
    </w:p>
    <w:p w:rsidRPr="00C7413B" w:rsidR="00F91730" w:rsidRDefault="000A1E34" w14:paraId="1DAF5BDA" w14:textId="77777777">
      <w:pPr>
        <w:numPr>
          <w:ilvl w:val="1"/>
          <w:numId w:val="15"/>
        </w:numPr>
        <w:ind w:right="8" w:firstLine="540"/>
      </w:pPr>
      <w:r w:rsidRPr="00C7413B">
        <w:t xml:space="preserve">to buy or refinance the debt obligation of a municipality or an intermunicipal or interstate agency within the State at an interest rate that is less than or equal to the market interest rate in any case in which a debt obligation is incurred after July 1, 1993; </w:t>
      </w:r>
    </w:p>
    <w:p w:rsidRPr="00C7413B" w:rsidR="00F91730" w:rsidRDefault="000A1E34" w14:paraId="6B638EA3" w14:textId="77777777">
      <w:pPr>
        <w:numPr>
          <w:ilvl w:val="1"/>
          <w:numId w:val="15"/>
        </w:numPr>
        <w:ind w:right="8" w:firstLine="540"/>
      </w:pPr>
      <w:r w:rsidRPr="00C7413B">
        <w:t xml:space="preserve">to guarantee, or purchase insurance for, a local obligation (all of the proceeds of which finance a project eligible for assistance under this section) if the guarantee or purchase would improve credit market access or reduce the interest rate applicable to the obligation; </w:t>
      </w:r>
    </w:p>
    <w:p w:rsidRPr="00C7413B" w:rsidR="00F91730" w:rsidRDefault="000A1E34" w14:paraId="6563F840" w14:textId="77777777">
      <w:pPr>
        <w:numPr>
          <w:ilvl w:val="1"/>
          <w:numId w:val="15"/>
        </w:numPr>
        <w:ind w:right="8" w:firstLine="540"/>
      </w:pPr>
      <w:r w:rsidRPr="00C7413B">
        <w:t xml:space="preserve">as a source of revenue or security for the payment of principal and interest on revenue or general obligation bonds issued by the State if the proceeds of the sale of the bonds will be deposited into the State loan fund; and </w:t>
      </w:r>
    </w:p>
    <w:p w:rsidRPr="00C7413B" w:rsidR="00F91730" w:rsidRDefault="000A1E34" w14:paraId="4737A4F6" w14:textId="77777777">
      <w:pPr>
        <w:numPr>
          <w:ilvl w:val="1"/>
          <w:numId w:val="15"/>
        </w:numPr>
        <w:ind w:right="8" w:firstLine="540"/>
      </w:pPr>
      <w:r w:rsidRPr="00C7413B">
        <w:t xml:space="preserve">to earn interest on the amounts deposited into the State loan fund. </w:t>
      </w:r>
    </w:p>
    <w:p w:rsidRPr="00C7413B" w:rsidR="00F91730" w:rsidRDefault="000A1E34" w14:paraId="3CC058EB" w14:textId="77777777">
      <w:pPr>
        <w:numPr>
          <w:ilvl w:val="1"/>
          <w:numId w:val="8"/>
        </w:numPr>
        <w:ind w:right="8" w:firstLine="540"/>
      </w:pPr>
      <w:r w:rsidRPr="00C7413B">
        <w:t xml:space="preserve">ADMINISTRATION OF STATE LOAN FUNDS- </w:t>
      </w:r>
    </w:p>
    <w:p w:rsidRPr="00C7413B" w:rsidR="00F91730" w:rsidRDefault="000A1E34" w14:paraId="3A200A43" w14:textId="77777777">
      <w:pPr>
        <w:ind w:left="-14" w:right="8" w:firstLine="540"/>
      </w:pPr>
      <w:r w:rsidRPr="00C7413B">
        <w:t xml:space="preserve">(1) COMBINED FINANCIAL ADMINISTRATION- Notwithstanding subsection (c), a State may (as a convenience and to avoid unnecessary administrative costs) combine, in accordance with State law, the financial administration of a State loan fund established under this section with the financial administration of any other revolving fund established by the State if otherwise not prohibited by the law under which the State loan fund was established and if the Administrator determines that-- </w:t>
      </w:r>
    </w:p>
    <w:p w:rsidRPr="00C7413B" w:rsidR="00F91730" w:rsidRDefault="000A1E34" w14:paraId="7A366C7A" w14:textId="77777777">
      <w:pPr>
        <w:numPr>
          <w:ilvl w:val="1"/>
          <w:numId w:val="18"/>
        </w:numPr>
        <w:ind w:left="551" w:right="245"/>
      </w:pPr>
      <w:r w:rsidRPr="00C7413B">
        <w:t xml:space="preserve">the grants under this section, together with loan repayments and interest, will be separately accounted for and used solely for the purposes specified in subsection (a); and </w:t>
      </w:r>
    </w:p>
    <w:p w:rsidRPr="00C7413B" w:rsidR="00F91730" w:rsidRDefault="000A1E34" w14:paraId="14EC70BF" w14:textId="77777777">
      <w:pPr>
        <w:numPr>
          <w:ilvl w:val="1"/>
          <w:numId w:val="18"/>
        </w:numPr>
        <w:ind w:left="551" w:right="245"/>
      </w:pPr>
      <w:r w:rsidRPr="00C7413B">
        <w:t xml:space="preserve">the authority to establish assistance priorities and carry out oversight and related activities (other than financial administration) with respect to assistance remains with the State agency having primary responsibility for administration of the State program under section 1413, after consultation with other appropriate State agencies (as determined by the State): </w:t>
      </w:r>
      <w:r w:rsidRPr="00C7413B">
        <w:rPr>
          <w:i/>
        </w:rPr>
        <w:t xml:space="preserve">Provided </w:t>
      </w:r>
      <w:r w:rsidRPr="00C7413B">
        <w:lastRenderedPageBreak/>
        <w:t xml:space="preserve">That in </w:t>
      </w:r>
      <w:proofErr w:type="spellStart"/>
      <w:r w:rsidRPr="00C7413B">
        <w:t>nonprimacy</w:t>
      </w:r>
      <w:proofErr w:type="spellEnd"/>
      <w:r w:rsidRPr="00C7413B">
        <w:t xml:space="preserve"> States eligible to receive assistance under this section, the Governor shall determine which State agency will have authority to establish priorities for financial assistance from the State loan fund. </w:t>
      </w:r>
    </w:p>
    <w:p w:rsidRPr="00C7413B" w:rsidR="00F91730" w:rsidRDefault="000A1E34" w14:paraId="4DADFC91" w14:textId="77777777">
      <w:pPr>
        <w:ind w:left="-14" w:right="8" w:firstLine="540"/>
      </w:pPr>
      <w:r w:rsidRPr="00C7413B">
        <w:t xml:space="preserve">(2) COST OF ADMINISTERING FUND- Each State may annually use up to 4 percent of the funds allotted to the State under this section to cover the reasonable costs of administration of the programs under this section, including the recovery of reasonable costs expended to establish a State loan fund which are incurred after the date of enactment of this section, and to provide technical assistance to public water systems within the State. For fiscal year 1995 and each fiscal year thereafter, each State may use up to an additional 10 percent of the funds allotted to the State under this section-- (A) for public water system supervision programs under section 1443(a); </w:t>
      </w:r>
    </w:p>
    <w:p w:rsidRPr="00C7413B" w:rsidR="00F91730" w:rsidRDefault="000A1E34" w14:paraId="26BF34D2" w14:textId="77777777">
      <w:pPr>
        <w:numPr>
          <w:ilvl w:val="1"/>
          <w:numId w:val="25"/>
        </w:numPr>
        <w:ind w:left="890" w:right="8" w:hanging="350"/>
      </w:pPr>
      <w:r w:rsidRPr="00C7413B">
        <w:t xml:space="preserve">to administer or provide technical assistance through source water protection programs; </w:t>
      </w:r>
    </w:p>
    <w:p w:rsidRPr="00C7413B" w:rsidR="00F91730" w:rsidRDefault="000A1E34" w14:paraId="105A3695" w14:textId="77777777">
      <w:pPr>
        <w:numPr>
          <w:ilvl w:val="1"/>
          <w:numId w:val="25"/>
        </w:numPr>
        <w:ind w:left="890" w:right="8" w:hanging="350"/>
      </w:pPr>
      <w:r w:rsidRPr="00C7413B">
        <w:t xml:space="preserve">to develop and implement a capacity development strategy under section 1420(c); and </w:t>
      </w:r>
    </w:p>
    <w:p w:rsidRPr="00C7413B" w:rsidR="00F91730" w:rsidRDefault="000A1E34" w14:paraId="6FECA0E2" w14:textId="77777777">
      <w:pPr>
        <w:numPr>
          <w:ilvl w:val="1"/>
          <w:numId w:val="25"/>
        </w:numPr>
        <w:ind w:left="890" w:right="8" w:hanging="350"/>
      </w:pPr>
      <w:r w:rsidRPr="00C7413B">
        <w:t xml:space="preserve">for an operator certification program for purposes of meeting the requirements of section 1419, if the State matches the expenditures with at least an equal amount of State funds. At least half of the match must be additional to the amount expended by the State for public water supervision in fiscal year 1993. An additional 2 percent of the funds annually allotted to each State under this section may be used by the State to provide technical assistance to public water systems serving 10,000 or fewer persons in the State. Funds utilized under subparagraph (B) shall not be used for enforcement actions. </w:t>
      </w:r>
    </w:p>
    <w:p w:rsidRPr="00C7413B" w:rsidR="00F91730" w:rsidRDefault="000A1E34" w14:paraId="63E4E520" w14:textId="77777777">
      <w:pPr>
        <w:ind w:left="-14" w:right="8" w:firstLine="540"/>
      </w:pPr>
      <w:r w:rsidRPr="00C7413B">
        <w:t xml:space="preserve">(3) GUIDANCE AND REGULATIONS- The Administrator shall publish guidance and promulgate regulations as may be necessary to carry out the provisions of this section, including-- </w:t>
      </w:r>
    </w:p>
    <w:p w:rsidRPr="00C7413B" w:rsidR="00F91730" w:rsidRDefault="000A1E34" w14:paraId="5F36F389" w14:textId="77777777">
      <w:pPr>
        <w:ind w:left="551" w:right="434"/>
      </w:pPr>
      <w:r w:rsidRPr="00C7413B">
        <w:t xml:space="preserve">(A) provisions to ensure that each State commits and expends funds allotted to the State under this section as efficiently as possible in accordance with this title and applicable State laws; (B) guidance to prevent waste, fraud, and abuse; and </w:t>
      </w:r>
    </w:p>
    <w:p w:rsidRPr="00C7413B" w:rsidR="00F91730" w:rsidRDefault="000A1E34" w14:paraId="5A29B2B9" w14:textId="77777777">
      <w:pPr>
        <w:ind w:left="551" w:right="8"/>
      </w:pPr>
      <w:r w:rsidRPr="00C7413B">
        <w:t xml:space="preserve">(C) guidance to avoid the use of funds made available under this section to finance the expansion of any public water system in anticipation of future population growth. The guidance and regulations shall also ensure that the States, and public water systems receiving assistance under this section, use accounting, audit, and fiscal procedures that conform to generally accepted accounting standards. </w:t>
      </w:r>
    </w:p>
    <w:p w:rsidRPr="00C7413B" w:rsidR="00F91730" w:rsidRDefault="000A1E34" w14:paraId="0CBA48E3" w14:textId="77777777">
      <w:pPr>
        <w:ind w:left="-14" w:right="8" w:firstLine="540"/>
      </w:pPr>
      <w:r w:rsidRPr="00C7413B">
        <w:t xml:space="preserve">(4) STATE REPORT- Each State administering a loan fund and assistance program under this subsection shall publish and submit to the Administrator a report every 2 years on its activities under this section, including the findings of the most recent audit of the fund and the entire State allotment. The Administrator shall periodically audit all State loan funds established by, and all other amounts allotted to, the States pursuant to this section in accordance with procedures established by the Comptroller General. </w:t>
      </w:r>
    </w:p>
    <w:p w:rsidRPr="00C7413B" w:rsidR="00F91730" w:rsidRDefault="000A1E34" w14:paraId="618AF299" w14:textId="77777777">
      <w:pPr>
        <w:numPr>
          <w:ilvl w:val="1"/>
          <w:numId w:val="8"/>
        </w:numPr>
        <w:ind w:right="8" w:firstLine="540"/>
      </w:pPr>
      <w:r w:rsidRPr="00C7413B">
        <w:t xml:space="preserve">NEEDS SURVEY- The Administrator shall conduct an assessment of water system capital improvement needs of all eligible public water systems in the United States and submit a report to the Congress containing the results of the assessment within 180 days after the date of enactment of the Safe Drinking Water Act Amendments of 1996 and every 4 years thereafter. </w:t>
      </w:r>
    </w:p>
    <w:p w:rsidRPr="00C7413B" w:rsidR="00F91730" w:rsidRDefault="000A1E34" w14:paraId="2A89B206" w14:textId="77777777">
      <w:pPr>
        <w:numPr>
          <w:ilvl w:val="1"/>
          <w:numId w:val="8"/>
        </w:numPr>
        <w:ind w:right="8" w:firstLine="540"/>
      </w:pPr>
      <w:r w:rsidRPr="00C7413B">
        <w:t xml:space="preserve">INDIAN TRIBES- </w:t>
      </w:r>
    </w:p>
    <w:p w:rsidRPr="00C7413B" w:rsidR="00F91730" w:rsidRDefault="000A1E34" w14:paraId="7F7F4CDE" w14:textId="77777777">
      <w:pPr>
        <w:numPr>
          <w:ilvl w:val="1"/>
          <w:numId w:val="21"/>
        </w:numPr>
        <w:ind w:right="8" w:firstLine="540"/>
      </w:pPr>
      <w:r w:rsidRPr="00C7413B">
        <w:t xml:space="preserve">IN GENERAL- 1 1/2 percent of the amounts appropriated annually to carry out this section may be used by the Administrator to make grants to Indian Tribes and Alaska Native villages that have not otherwise received either grants from the Administrator under this section or assistance from State loan funds established under this section. The grants may only be used for expenditures by tribes and villages for public water system expenditures referred to in subsection (a)(2). </w:t>
      </w:r>
    </w:p>
    <w:p w:rsidRPr="00C7413B" w:rsidR="00F91730" w:rsidRDefault="000A1E34" w14:paraId="51B4E5CC" w14:textId="77777777">
      <w:pPr>
        <w:numPr>
          <w:ilvl w:val="1"/>
          <w:numId w:val="21"/>
        </w:numPr>
        <w:spacing w:after="2" w:line="237" w:lineRule="auto"/>
        <w:ind w:right="8" w:firstLine="540"/>
      </w:pPr>
      <w:r w:rsidRPr="00C7413B">
        <w:t xml:space="preserve">USE OF FUNDS- Funds reserved pursuant to paragraph (1) shall be used to address the most significant threats to public health associated with public water systems that </w:t>
      </w:r>
      <w:r w:rsidRPr="00C7413B">
        <w:lastRenderedPageBreak/>
        <w:t xml:space="preserve">serve Indian Tribes, as determined by the Administrator in consultation with the Director of the Indian Health Service and Indian Tribes. </w:t>
      </w:r>
    </w:p>
    <w:p w:rsidRPr="00C7413B" w:rsidR="00F91730" w:rsidRDefault="000A1E34" w14:paraId="23E09469" w14:textId="77777777">
      <w:pPr>
        <w:numPr>
          <w:ilvl w:val="1"/>
          <w:numId w:val="21"/>
        </w:numPr>
        <w:ind w:right="8" w:firstLine="540"/>
      </w:pPr>
      <w:r w:rsidRPr="00C7413B">
        <w:t xml:space="preserve">ALASKA NATIVE VILLAGES- In the case of a grant for a project under this subsection in an Alaska Native village, the Administrator is also authorized to make grants to the State of Alaska for the benefit of Native villages. An amount not to exceed 4 percent of the grant amount may be used by the State of Alaska for project management. </w:t>
      </w:r>
    </w:p>
    <w:p w:rsidRPr="00C7413B" w:rsidR="00F91730" w:rsidRDefault="000A1E34" w14:paraId="79AA36B0" w14:textId="77777777">
      <w:pPr>
        <w:numPr>
          <w:ilvl w:val="1"/>
          <w:numId w:val="21"/>
        </w:numPr>
        <w:ind w:right="8" w:firstLine="540"/>
      </w:pPr>
      <w:r w:rsidRPr="00C7413B">
        <w:t xml:space="preserve">NEEDS ASSESSMENT- The Administrator, in consultation with the Director of the Indian Health Service and Indian Tribes, shall, in accordance with a schedule that is consistent with the needs surveys conducted pursuant to subsection (h), prepare </w:t>
      </w:r>
      <w:proofErr w:type="gramStart"/>
      <w:r w:rsidRPr="00C7413B">
        <w:t>surveys</w:t>
      </w:r>
      <w:proofErr w:type="gramEnd"/>
      <w:r w:rsidRPr="00C7413B">
        <w:t xml:space="preserve"> and assess the needs of drinking water treatment facilities to serve Indian Tribes, including an evaluation of the public water systems that pose the most significant threats to public health. </w:t>
      </w:r>
    </w:p>
    <w:p w:rsidRPr="00C7413B" w:rsidR="00F91730" w:rsidRDefault="000A1E34" w14:paraId="12010722" w14:textId="77777777">
      <w:pPr>
        <w:numPr>
          <w:ilvl w:val="1"/>
          <w:numId w:val="8"/>
        </w:numPr>
        <w:ind w:right="8" w:firstLine="540"/>
      </w:pPr>
      <w:r w:rsidRPr="00C7413B">
        <w:t xml:space="preserve">OTHER AREAS- Of the funds annually available under this section for grants to States, the Administrator shall make allotments in accordance with section 1443(a)(4) for the Virgin Islands, the Commonwealth of the Northern Mariana Islands, American Samoa, and Guam. The grants allotted as provided in this subsection may be provided by the Administrator to the governments of such areas, to public water systems in such areas, or to both, to be used for the public water system expenditures referred to in subsection (a)(2). The grants, and grants for the District of Columbia, shall not be deposited in State loan funds. The total allotment of grants under this section for all areas described in this subsection in any fiscal year shall not exceed 0.33 percent of the aggregate amount made available to carry out this section in that fiscal year. </w:t>
      </w:r>
    </w:p>
    <w:p w:rsidRPr="00C7413B" w:rsidR="00F91730" w:rsidRDefault="000A1E34" w14:paraId="4C7B6D4E" w14:textId="77777777">
      <w:pPr>
        <w:numPr>
          <w:ilvl w:val="1"/>
          <w:numId w:val="8"/>
        </w:numPr>
        <w:ind w:right="8" w:firstLine="540"/>
      </w:pPr>
      <w:r w:rsidRPr="00C7413B">
        <w:t xml:space="preserve">OTHER AUTHORIZED ACTIVITIES- </w:t>
      </w:r>
    </w:p>
    <w:p w:rsidRPr="00C7413B" w:rsidR="00F91730" w:rsidRDefault="000A1E34" w14:paraId="361D2DE4" w14:textId="77777777">
      <w:pPr>
        <w:ind w:left="-14" w:right="8" w:firstLine="540"/>
      </w:pPr>
      <w:r w:rsidRPr="00C7413B">
        <w:t xml:space="preserve">(1) IN GENERAL- Notwithstanding subsection (a)(2), a State may take each of the following  actions: </w:t>
      </w:r>
    </w:p>
    <w:p w:rsidRPr="00C7413B" w:rsidR="00F91730" w:rsidRDefault="000A1E34" w14:paraId="18765487" w14:textId="77777777">
      <w:pPr>
        <w:ind w:left="550" w:right="251"/>
      </w:pPr>
      <w:r w:rsidRPr="00C7413B">
        <w:t xml:space="preserve">(A) </w:t>
      </w:r>
      <w:proofErr w:type="gramStart"/>
      <w:r w:rsidRPr="00C7413B">
        <w:t>Provide assistance</w:t>
      </w:r>
      <w:proofErr w:type="gramEnd"/>
      <w:r w:rsidRPr="00C7413B">
        <w:t xml:space="preserve">, only in the form of a loan, to one or more of the following: (i) Any public water system described in subsection (a)(2) to acquire land or a conservation easement from a willing seller or grantor, if the purpose of the acquisition is to protect the source water of the system from contamination and to ensure compliance with national primary drinking water regulations. </w:t>
      </w:r>
    </w:p>
    <w:p w:rsidRPr="00C7413B" w:rsidR="00F91730" w:rsidRDefault="000A1E34" w14:paraId="0E958A93" w14:textId="77777777">
      <w:pPr>
        <w:numPr>
          <w:ilvl w:val="1"/>
          <w:numId w:val="26"/>
        </w:numPr>
        <w:ind w:left="926" w:right="106" w:hanging="386"/>
      </w:pPr>
      <w:r w:rsidRPr="00C7413B">
        <w:t xml:space="preserve">Any community water system to implement local, voluntary source water protection measures to protect source water in areas delineated pursuant to section 1453, in order to facilitate compliance with national primary drinking water regulations applicable to the system under section 1412 or otherwise significantly further the health protection objectives of this title. Funds authorized under this clause may be used to fund only voluntary, incentive-based mechanisms. </w:t>
      </w:r>
    </w:p>
    <w:p w:rsidRPr="00C7413B" w:rsidR="00F91730" w:rsidRDefault="000A1E34" w14:paraId="19F1E07A" w14:textId="77777777">
      <w:pPr>
        <w:numPr>
          <w:ilvl w:val="1"/>
          <w:numId w:val="26"/>
        </w:numPr>
        <w:ind w:left="926" w:right="106" w:hanging="386"/>
      </w:pPr>
      <w:r w:rsidRPr="00C7413B">
        <w:t xml:space="preserve">Any community water system to provide funding in accordance with section </w:t>
      </w:r>
    </w:p>
    <w:p w:rsidRPr="00C7413B" w:rsidR="00F91730" w:rsidRDefault="000A1E34" w14:paraId="6F3D6F33" w14:textId="77777777">
      <w:pPr>
        <w:ind w:left="551" w:right="8"/>
      </w:pPr>
      <w:r w:rsidRPr="00C7413B">
        <w:t xml:space="preserve">1454(a)(1)(B)(i). </w:t>
      </w:r>
    </w:p>
    <w:p w:rsidRPr="00C7413B" w:rsidR="00F91730" w:rsidRDefault="000A1E34" w14:paraId="22DFF14A" w14:textId="77777777">
      <w:pPr>
        <w:numPr>
          <w:ilvl w:val="1"/>
          <w:numId w:val="14"/>
        </w:numPr>
        <w:ind w:left="551" w:right="227"/>
      </w:pPr>
      <w:r w:rsidRPr="00C7413B">
        <w:t xml:space="preserve">Provide assistance, including technical and financial assistance, to any public water system as part of a capacity development strategy developed and implemented in accordance with section 1420(c). </w:t>
      </w:r>
    </w:p>
    <w:p w:rsidRPr="00C7413B" w:rsidR="00F91730" w:rsidRDefault="000A1E34" w14:paraId="04385DCE" w14:textId="77777777">
      <w:pPr>
        <w:numPr>
          <w:ilvl w:val="1"/>
          <w:numId w:val="14"/>
        </w:numPr>
        <w:ind w:left="551" w:right="227"/>
      </w:pPr>
      <w:r w:rsidRPr="00C7413B">
        <w:t xml:space="preserve">Make expenditures from the capitalization grant of the State for fiscal years 1996 and 1997 to delineate and assess source water protection areas in accordance with section 1453, except </w:t>
      </w:r>
      <w:proofErr w:type="gramStart"/>
      <w:r w:rsidRPr="00C7413B">
        <w:t>that funds</w:t>
      </w:r>
      <w:proofErr w:type="gramEnd"/>
      <w:r w:rsidRPr="00C7413B">
        <w:t xml:space="preserve"> set aside for such expenditure shall be obligated within 4 fiscal years. </w:t>
      </w:r>
    </w:p>
    <w:p w:rsidRPr="00C7413B" w:rsidR="00F91730" w:rsidRDefault="000A1E34" w14:paraId="01736AFA" w14:textId="77777777">
      <w:pPr>
        <w:numPr>
          <w:ilvl w:val="1"/>
          <w:numId w:val="14"/>
        </w:numPr>
        <w:ind w:left="551" w:right="227"/>
      </w:pPr>
      <w:r w:rsidRPr="00C7413B">
        <w:t xml:space="preserve">Make expenditures from the fund for the establishment and implementation of wellhead protection programs under section 1428. </w:t>
      </w:r>
    </w:p>
    <w:p w:rsidRPr="00C7413B" w:rsidR="00F91730" w:rsidRDefault="000A1E34" w14:paraId="43DBA2B5" w14:textId="77777777">
      <w:pPr>
        <w:ind w:left="-14" w:right="8" w:firstLine="540"/>
      </w:pPr>
      <w:r w:rsidRPr="00C7413B">
        <w:t xml:space="preserve">(2) LIMITATION- For each fiscal year, the total amount of assistance provided and expenditures made by a State under this subsection may not exceed 15 percent of the amount of the capitalization grant received by the State for that year and may not exceed 10 percent of that amount for any one of the following activities: </w:t>
      </w:r>
    </w:p>
    <w:p w:rsidRPr="00C7413B" w:rsidR="00F91730" w:rsidRDefault="000A1E34" w14:paraId="5BFDC1D6" w14:textId="77777777">
      <w:pPr>
        <w:numPr>
          <w:ilvl w:val="1"/>
          <w:numId w:val="28"/>
        </w:numPr>
        <w:ind w:right="8" w:hanging="360"/>
      </w:pPr>
      <w:r w:rsidRPr="00C7413B">
        <w:lastRenderedPageBreak/>
        <w:t xml:space="preserve">To acquire land or conservation easements pursuant to paragraph (1)(A)(i). </w:t>
      </w:r>
    </w:p>
    <w:p w:rsidRPr="00C7413B" w:rsidR="00F91730" w:rsidRDefault="000A1E34" w14:paraId="31020A02" w14:textId="77777777">
      <w:pPr>
        <w:numPr>
          <w:ilvl w:val="1"/>
          <w:numId w:val="28"/>
        </w:numPr>
        <w:ind w:right="8" w:hanging="360"/>
      </w:pPr>
      <w:r w:rsidRPr="00C7413B">
        <w:t xml:space="preserve">To provide funding to implement voluntary, incentive-based source water quality protection  measures pursuant to clauses (ii) and (iii) of paragraph (1)(A). </w:t>
      </w:r>
    </w:p>
    <w:p w:rsidRPr="00C7413B" w:rsidR="00F91730" w:rsidRDefault="000A1E34" w14:paraId="3646AB58" w14:textId="77777777">
      <w:pPr>
        <w:numPr>
          <w:ilvl w:val="1"/>
          <w:numId w:val="28"/>
        </w:numPr>
        <w:ind w:right="8" w:hanging="360"/>
      </w:pPr>
      <w:r w:rsidRPr="00C7413B">
        <w:t xml:space="preserve">To provide assistance through a capacity development strategy pursuant to paragraph (1)(B). (D) To make expenditures to delineate or assess source water protection areas pursuant to paragraph (1)(C). </w:t>
      </w:r>
    </w:p>
    <w:p w:rsidRPr="00C7413B" w:rsidR="00F91730" w:rsidRDefault="000A1E34" w14:paraId="502826C9" w14:textId="77777777">
      <w:pPr>
        <w:ind w:left="551" w:right="8"/>
      </w:pPr>
      <w:r w:rsidRPr="00C7413B">
        <w:t xml:space="preserve">(E) To make expenditures to establish and implement wellhead protection programs pursuant to paragraph (1)(D). </w:t>
      </w:r>
    </w:p>
    <w:p w:rsidRPr="00C7413B" w:rsidR="00F91730" w:rsidRDefault="000A1E34" w14:paraId="2F64C25D" w14:textId="77777777">
      <w:pPr>
        <w:ind w:left="-14" w:right="138" w:firstLine="540"/>
      </w:pPr>
      <w:r w:rsidRPr="00C7413B">
        <w:t xml:space="preserve">(3) STATUTORY CONSTRUCTION- Nothing in this section creates or conveys any new authority to a State, political subdivision of a State, or community water system for any new regulatory measure, or limits any authority of a State, political subdivision of a State or community water system. (l) SAVINGS- The failure or inability of any public water system to receive funds under this section or any other loan or grant program, or any delay in obtaining the funds, shall not alter the obligation of the system to comply in a timely manner with all applicable drinking water standards and requirements of this title. </w:t>
      </w:r>
    </w:p>
    <w:p w:rsidRPr="00C7413B" w:rsidR="00F91730" w:rsidRDefault="000A1E34" w14:paraId="47813F5A" w14:textId="77777777">
      <w:pPr>
        <w:numPr>
          <w:ilvl w:val="1"/>
          <w:numId w:val="29"/>
        </w:numPr>
        <w:ind w:right="8" w:firstLine="540"/>
      </w:pPr>
      <w:r w:rsidRPr="00C7413B">
        <w:t xml:space="preserve">AUTHORIZATION OF APPROPRIATIONS- There are authorized to be appropriated to carry out the purposes of this section $599,000,000 for the fiscal year 1994 and $1,000,000,000 for each of the fiscal years 1995 through 2003. To the extent amounts authorized to be appropriated under this subsection in any fiscal year are not appropriated in that fiscal year, such amounts are authorized to be appropriated in a subsequent fiscal year (prior to the fiscal year 2004). Such sums shall remain available until expended. </w:t>
      </w:r>
    </w:p>
    <w:p w:rsidRPr="00C7413B" w:rsidR="00F91730" w:rsidRDefault="000A1E34" w14:paraId="44684A2B" w14:textId="77777777">
      <w:pPr>
        <w:numPr>
          <w:ilvl w:val="1"/>
          <w:numId w:val="29"/>
        </w:numPr>
        <w:ind w:right="8" w:firstLine="540"/>
      </w:pPr>
      <w:r w:rsidRPr="00C7413B">
        <w:t xml:space="preserve">HEALTH EFFECTS STUDIES- From funds appropriated pursuant to this section for each fiscal year, the Administrator shall reserve $10,000,000 for health effects studies on ranking water contaminants authorized by the Safe Drinking Water Act Amendments of 1996. In allocating funds made available under this subsection, the Administrator shall give priority to studies concerning the health effects of cryptosporidium (as authorized by section 1458(c)), disinfection byproducts (as authorized by section 1458(c)), and arsenic (as authorized by section 1412(b)(12)(A)), and the implementation of a plan for studies of subpopulations at greater risk of adverse effects (as authorized by section 1458(a)). </w:t>
      </w:r>
    </w:p>
    <w:p w:rsidRPr="00C7413B" w:rsidR="00F91730" w:rsidRDefault="000A1E34" w14:paraId="6FF231BA" w14:textId="77777777">
      <w:pPr>
        <w:numPr>
          <w:ilvl w:val="1"/>
          <w:numId w:val="29"/>
        </w:numPr>
        <w:ind w:right="8" w:firstLine="540"/>
      </w:pPr>
      <w:r w:rsidRPr="00C7413B">
        <w:t xml:space="preserve">MONITORING FOR UNREGULATED CONTAMINANTS- From funds appropriated </w:t>
      </w:r>
    </w:p>
    <w:p w:rsidRPr="00C7413B" w:rsidR="00F91730" w:rsidRDefault="000A1E34" w14:paraId="396AB22B" w14:textId="77777777">
      <w:pPr>
        <w:ind w:left="-4" w:right="8"/>
      </w:pPr>
      <w:r w:rsidRPr="00C7413B">
        <w:t xml:space="preserve">pursuant to this section for each fiscal year beginning with fiscal year 1998, the Administrator shall reserve $2,000,000 to pay the costs of monitoring for unregulated contaminants under section 1445(a)(2)(C). </w:t>
      </w:r>
    </w:p>
    <w:p w:rsidRPr="00C7413B" w:rsidR="00F91730" w:rsidRDefault="000A1E34" w14:paraId="4D41F05D" w14:textId="77777777">
      <w:pPr>
        <w:numPr>
          <w:ilvl w:val="1"/>
          <w:numId w:val="29"/>
        </w:numPr>
        <w:ind w:right="8" w:firstLine="540"/>
      </w:pPr>
      <w:r w:rsidRPr="00C7413B">
        <w:t xml:space="preserve">DEMONSTRATION PROJECT FOR STATE OF VIRGINIA- Notwithstanding the other </w:t>
      </w:r>
    </w:p>
    <w:p w:rsidRPr="00C7413B" w:rsidR="00F91730" w:rsidRDefault="000A1E34" w14:paraId="75AF0A55" w14:textId="77777777">
      <w:pPr>
        <w:ind w:left="-4" w:right="8"/>
      </w:pPr>
      <w:r w:rsidRPr="00C7413B">
        <w:t xml:space="preserve">provisions of this section limiting the use of funds deposited in a State loan fund from any State allotment, the State of Virginia may, as a single demonstration and with the approval of the Virginia General Assembly and the Administrator, conduct a program to demonstrate alternative approaches to intergovernmental coordination to assist in the financing of new drinking water facilities in the following rural communities in southwestern Virginia where none exists on the date of enactment of the Safe Drinking Water Act Amendments of 1996 and where such communities are experiencing economic hardship: Lee County, Wise County, Scott County, Dickenson County, Russell County, Buchanan County, Tazewell County, and the city of Norton, Virginia. The funds allotted to that State and deposited in the State loan fund may be loaned to a regional endowment fund for the purpose set forth in this subsection under a plan to be approved by the Administrator. The plan may include an advisory group that includes representatives of such counties. </w:t>
      </w:r>
    </w:p>
    <w:p w:rsidRPr="00C7413B" w:rsidR="00F91730" w:rsidRDefault="000A1E34" w14:paraId="572C43F5" w14:textId="77777777">
      <w:pPr>
        <w:numPr>
          <w:ilvl w:val="1"/>
          <w:numId w:val="29"/>
        </w:numPr>
        <w:spacing w:after="0" w:line="259" w:lineRule="auto"/>
        <w:ind w:right="8" w:firstLine="540"/>
      </w:pPr>
      <w:r w:rsidRPr="00C7413B">
        <w:t xml:space="preserve">SMALL SYSTEM TECHNICAL ASSISTANCE- The Administrator may reserve up to 2 </w:t>
      </w:r>
    </w:p>
    <w:p w:rsidRPr="00C7413B" w:rsidR="00F91730" w:rsidRDefault="000A1E34" w14:paraId="5837E931" w14:textId="77777777">
      <w:pPr>
        <w:ind w:left="-4" w:right="8"/>
      </w:pPr>
      <w:r w:rsidRPr="00C7413B">
        <w:lastRenderedPageBreak/>
        <w:t xml:space="preserve">percent of the total funds appropriated pursuant to subsection (m) for each of the fiscal years 1997 through 2003 to carry out the provisions of section 1442(e) (relating to technical assistance for small systems), except that the total amount of funds made available for such purpose in any fiscal year through appropriations (as authorized by section 1442(e)) and reservations made pursuant to this subsection shall not exceed the amount authorized by section 1442(e). </w:t>
      </w:r>
    </w:p>
    <w:p w:rsidRPr="00C7413B" w:rsidR="007F7C9C" w:rsidP="00EE4C75" w:rsidRDefault="000A1E34" w14:paraId="07774FFD" w14:textId="3CA06659">
      <w:pPr>
        <w:numPr>
          <w:ilvl w:val="1"/>
          <w:numId w:val="29"/>
        </w:numPr>
        <w:spacing w:after="0" w:line="259" w:lineRule="auto"/>
        <w:ind w:left="0" w:right="8" w:firstLine="0"/>
      </w:pPr>
      <w:r w:rsidRPr="00C7413B">
        <w:t xml:space="preserve">EVALUATION- The Administrator shall conduct an evaluation of the effectiveness of the State loan funds through fiscal year 2001. The evaluation shall be submitted to the Congress at the same time as the President submits to the Congress, pursuant to section 1108 of title 31, United States Code, an appropriations request for fiscal year 2003 relating to the budget of the Environmental Protection Agency. </w:t>
      </w:r>
    </w:p>
    <w:sectPr w:rsidRPr="00C7413B" w:rsidR="007F7C9C" w:rsidSect="00371312">
      <w:footerReference w:type="even" r:id="rId14"/>
      <w:footerReference w:type="default" r:id="rId15"/>
      <w:footerReference w:type="first" r:id="rId16"/>
      <w:footnotePr>
        <w:numRestart w:val="eachPage"/>
      </w:footnotePr>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2BE22" w14:textId="77777777" w:rsidR="00685249" w:rsidRDefault="00685249">
      <w:pPr>
        <w:spacing w:after="0" w:line="240" w:lineRule="auto"/>
      </w:pPr>
      <w:r>
        <w:separator/>
      </w:r>
    </w:p>
  </w:endnote>
  <w:endnote w:type="continuationSeparator" w:id="0">
    <w:p w14:paraId="7D265C50" w14:textId="77777777" w:rsidR="00685249" w:rsidRDefault="0068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0A5E6" w14:textId="77777777" w:rsidR="00685249" w:rsidRDefault="00685249">
    <w:pPr>
      <w:tabs>
        <w:tab w:val="center" w:pos="4681"/>
      </w:tabs>
      <w:spacing w:after="0" w:line="259" w:lineRule="auto"/>
      <w:ind w:left="0" w:firstLine="0"/>
    </w:pPr>
    <w:r>
      <w:rPr>
        <w:sz w:val="24"/>
      </w:rPr>
      <w:t xml:space="preserve"> </w:t>
    </w:r>
    <w:r>
      <w:rPr>
        <w:sz w:val="24"/>
      </w:rPr>
      <w:tab/>
    </w:r>
    <w:r>
      <w:fldChar w:fldCharType="begin"/>
    </w:r>
    <w:r>
      <w:instrText xml:space="preserve"> PAGE   \* MERGEFORMAT </w:instrText>
    </w:r>
    <w:r>
      <w:fldChar w:fldCharType="separate"/>
    </w:r>
    <w:r>
      <w:rPr>
        <w:sz w:val="24"/>
      </w:rPr>
      <w:t>2</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16B6" w14:textId="77777777" w:rsidR="00685249" w:rsidRDefault="00685249">
    <w:pPr>
      <w:tabs>
        <w:tab w:val="center" w:pos="4681"/>
      </w:tabs>
      <w:spacing w:after="0" w:line="259" w:lineRule="auto"/>
      <w:ind w:left="0" w:firstLine="0"/>
    </w:pPr>
    <w:r>
      <w:rPr>
        <w:sz w:val="24"/>
      </w:rPr>
      <w:t xml:space="preserve"> </w:t>
    </w:r>
    <w:r>
      <w:rPr>
        <w:sz w:val="24"/>
      </w:rPr>
      <w:tab/>
    </w:r>
    <w:r>
      <w:fldChar w:fldCharType="begin"/>
    </w:r>
    <w:r>
      <w:instrText xml:space="preserve"> PAGE   \* MERGEFORMAT </w:instrText>
    </w:r>
    <w:r>
      <w:fldChar w:fldCharType="separate"/>
    </w:r>
    <w:r>
      <w:rPr>
        <w:sz w:val="24"/>
      </w:rPr>
      <w:t>2</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7B04E" w14:textId="77777777" w:rsidR="00685249" w:rsidRDefault="0068524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5D18F" w14:textId="77777777" w:rsidR="00685249" w:rsidRDefault="00685249">
      <w:pPr>
        <w:spacing w:after="0" w:line="259" w:lineRule="auto"/>
        <w:ind w:left="1" w:firstLine="0"/>
      </w:pPr>
      <w:r>
        <w:separator/>
      </w:r>
    </w:p>
  </w:footnote>
  <w:footnote w:type="continuationSeparator" w:id="0">
    <w:p w14:paraId="2B9859A3" w14:textId="77777777" w:rsidR="00685249" w:rsidRDefault="00685249">
      <w:pPr>
        <w:spacing w:after="0" w:line="259" w:lineRule="auto"/>
        <w:ind w:left="1" w:firstLine="0"/>
      </w:pPr>
      <w:r>
        <w:continuationSeparator/>
      </w:r>
    </w:p>
  </w:footnote>
  <w:footnote w:id="1">
    <w:p w14:paraId="7A7E43DC" w14:textId="77777777" w:rsidR="00685249" w:rsidRDefault="00685249">
      <w:pPr>
        <w:pStyle w:val="footnotedescription"/>
      </w:pPr>
      <w:r>
        <w:rPr>
          <w:rStyle w:val="footnotemark"/>
        </w:rPr>
        <w:footnoteRef/>
      </w:r>
      <w:r>
        <w:t xml:space="preserve"> The term “states” includes tribal lands.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FCA"/>
    <w:multiLevelType w:val="hybridMultilevel"/>
    <w:tmpl w:val="DCDED9AC"/>
    <w:lvl w:ilvl="0" w:tplc="5974504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9ED8C8">
      <w:start w:val="2"/>
      <w:numFmt w:val="decimal"/>
      <w:lvlText w:val="(%2)"/>
      <w:lvlJc w:val="left"/>
      <w:pPr>
        <w:ind w:left="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AC0CEE">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1ABB64">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20CC6E">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08FC84">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84B8A0">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0C7800">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1C4616">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FF11E2"/>
    <w:multiLevelType w:val="hybridMultilevel"/>
    <w:tmpl w:val="68A4BA74"/>
    <w:lvl w:ilvl="0" w:tplc="A7B6795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26079A">
      <w:start w:val="1"/>
      <w:numFmt w:val="upp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F27C24">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38BE30">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FE59DC">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767DC0">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A02E58">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D4AC1E">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92F1CE">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472370"/>
    <w:multiLevelType w:val="hybridMultilevel"/>
    <w:tmpl w:val="6A606666"/>
    <w:lvl w:ilvl="0" w:tplc="B968691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900B9A">
      <w:start w:val="1"/>
      <w:numFmt w:val="upperLetter"/>
      <w:lvlText w:val="(%2)"/>
      <w:lvlJc w:val="left"/>
      <w:pPr>
        <w:ind w:left="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0AD3DC">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D8711C">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C82A9C">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5403B6">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BC9942">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B4E854">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58C24C">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21262"/>
    <w:multiLevelType w:val="hybridMultilevel"/>
    <w:tmpl w:val="BE463374"/>
    <w:lvl w:ilvl="0" w:tplc="4956D0D0">
      <w:start w:val="1"/>
      <w:numFmt w:val="decimal"/>
      <w:pStyle w:val="Heading1"/>
      <w:lvlText w:val="%1."/>
      <w:lvlJc w:val="left"/>
      <w:pPr>
        <w:ind w:left="-6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CE02DBA">
      <w:start w:val="1"/>
      <w:numFmt w:val="lowerLetter"/>
      <w:lvlText w:val="%2"/>
      <w:lvlJc w:val="left"/>
      <w:pPr>
        <w:ind w:left="7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DBC7E3C">
      <w:start w:val="1"/>
      <w:numFmt w:val="lowerRoman"/>
      <w:lvlText w:val="%3"/>
      <w:lvlJc w:val="left"/>
      <w:pPr>
        <w:ind w:left="14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3644DDA">
      <w:start w:val="1"/>
      <w:numFmt w:val="decimal"/>
      <w:lvlText w:val="%4"/>
      <w:lvlJc w:val="left"/>
      <w:pPr>
        <w:ind w:left="21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18C4494">
      <w:start w:val="1"/>
      <w:numFmt w:val="lowerLetter"/>
      <w:lvlText w:val="%5"/>
      <w:lvlJc w:val="left"/>
      <w:pPr>
        <w:ind w:left="29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6A2C160">
      <w:start w:val="1"/>
      <w:numFmt w:val="lowerRoman"/>
      <w:lvlText w:val="%6"/>
      <w:lvlJc w:val="left"/>
      <w:pPr>
        <w:ind w:left="36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D8B9D0">
      <w:start w:val="1"/>
      <w:numFmt w:val="decimal"/>
      <w:lvlText w:val="%7"/>
      <w:lvlJc w:val="left"/>
      <w:pPr>
        <w:ind w:left="43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3443D18">
      <w:start w:val="1"/>
      <w:numFmt w:val="lowerLetter"/>
      <w:lvlText w:val="%8"/>
      <w:lvlJc w:val="left"/>
      <w:pPr>
        <w:ind w:left="50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7D0D2C2">
      <w:start w:val="1"/>
      <w:numFmt w:val="lowerRoman"/>
      <w:lvlText w:val="%9"/>
      <w:lvlJc w:val="left"/>
      <w:pPr>
        <w:ind w:left="57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3E72E02"/>
    <w:multiLevelType w:val="hybridMultilevel"/>
    <w:tmpl w:val="6F8A5B00"/>
    <w:lvl w:ilvl="0" w:tplc="8AF0BD64">
      <w:start w:val="1"/>
      <w:numFmt w:val="lowerLetter"/>
      <w:lvlText w:val="(%1)"/>
      <w:lvlJc w:val="left"/>
      <w:pPr>
        <w:ind w:left="5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F6189E">
      <w:start w:val="2"/>
      <w:numFmt w:val="upperLetter"/>
      <w:lvlText w:val="(%2)"/>
      <w:lvlJc w:val="left"/>
      <w:pPr>
        <w:ind w:left="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E2D4F2">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D2BC5A">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188CDA">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1C1F92">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D65F70">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62B0DC">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62FF64">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0366BD"/>
    <w:multiLevelType w:val="hybridMultilevel"/>
    <w:tmpl w:val="3A289832"/>
    <w:lvl w:ilvl="0" w:tplc="652A9BF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4EE0A6">
      <w:start w:val="1"/>
      <w:numFmt w:val="decimal"/>
      <w:lvlText w:val="(%2)"/>
      <w:lvlJc w:val="left"/>
      <w:pPr>
        <w:ind w:left="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DAB384">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108622">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B63CF6">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D66F36">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9E910E">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30CD88">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7EF1B0">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89713A"/>
    <w:multiLevelType w:val="hybridMultilevel"/>
    <w:tmpl w:val="2BE45260"/>
    <w:lvl w:ilvl="0" w:tplc="BBF8A9E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2C829C">
      <w:start w:val="1"/>
      <w:numFmt w:val="upp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928BF0">
      <w:start w:val="1"/>
      <w:numFmt w:val="lowerRoman"/>
      <w:lvlText w:val="%3"/>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0E025E">
      <w:start w:val="1"/>
      <w:numFmt w:val="decimal"/>
      <w:lvlText w:val="%4"/>
      <w:lvlJc w:val="left"/>
      <w:pPr>
        <w:ind w:left="2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2C9F52">
      <w:start w:val="1"/>
      <w:numFmt w:val="lowerLetter"/>
      <w:lvlText w:val="%5"/>
      <w:lvlJc w:val="left"/>
      <w:pPr>
        <w:ind w:left="3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80D47E">
      <w:start w:val="1"/>
      <w:numFmt w:val="lowerRoman"/>
      <w:lvlText w:val="%6"/>
      <w:lvlJc w:val="left"/>
      <w:pPr>
        <w:ind w:left="3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0CA7D0">
      <w:start w:val="1"/>
      <w:numFmt w:val="decimal"/>
      <w:lvlText w:val="%7"/>
      <w:lvlJc w:val="left"/>
      <w:pPr>
        <w:ind w:left="4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1E49A2">
      <w:start w:val="1"/>
      <w:numFmt w:val="lowerLetter"/>
      <w:lvlText w:val="%8"/>
      <w:lvlJc w:val="left"/>
      <w:pPr>
        <w:ind w:left="5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9EC726">
      <w:start w:val="1"/>
      <w:numFmt w:val="lowerRoman"/>
      <w:lvlText w:val="%9"/>
      <w:lvlJc w:val="left"/>
      <w:pPr>
        <w:ind w:left="5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4B6250"/>
    <w:multiLevelType w:val="hybridMultilevel"/>
    <w:tmpl w:val="C2F01FC8"/>
    <w:lvl w:ilvl="0" w:tplc="9AE238F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A41C2E">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D46952">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76A720">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BECF54">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FED228">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A269D4">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5CF1B2">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80CE3E">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2F5BCF"/>
    <w:multiLevelType w:val="hybridMultilevel"/>
    <w:tmpl w:val="D1EAA7DC"/>
    <w:lvl w:ilvl="0" w:tplc="3950163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1E3822">
      <w:start w:val="1"/>
      <w:numFmt w:val="lowerRoman"/>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F4E376">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DCA776">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443190">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0E1784">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A07190">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F66C84">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D09E44">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2D3D50"/>
    <w:multiLevelType w:val="hybridMultilevel"/>
    <w:tmpl w:val="A9D83D1A"/>
    <w:lvl w:ilvl="0" w:tplc="66CAF0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3C2376">
      <w:start w:val="3"/>
      <w:numFmt w:val="upperLetter"/>
      <w:lvlText w:val="(%2)"/>
      <w:lvlJc w:val="left"/>
      <w:pPr>
        <w:ind w:left="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6E869E">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B03530">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A08AE6">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26F308">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18F7D2">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A05B60">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CE2E74">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E83EC5"/>
    <w:multiLevelType w:val="hybridMultilevel"/>
    <w:tmpl w:val="AE6E3A94"/>
    <w:lvl w:ilvl="0" w:tplc="C4686A0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16EA68">
      <w:start w:val="13"/>
      <w:numFmt w:val="upp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700CB8">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9C83DA">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880228">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52717A">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BAA6E8">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E0298C">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404218">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B7D18C4"/>
    <w:multiLevelType w:val="hybridMultilevel"/>
    <w:tmpl w:val="843A1CA8"/>
    <w:lvl w:ilvl="0" w:tplc="C6A669C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2A628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FA2FEA">
      <w:start w:val="3"/>
      <w:numFmt w:val="upperLetter"/>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26146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A4D5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F6771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AAA6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C460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D0A8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CF857F9"/>
    <w:multiLevelType w:val="hybridMultilevel"/>
    <w:tmpl w:val="4A7AB7C4"/>
    <w:lvl w:ilvl="0" w:tplc="5C78CF5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7469B8">
      <w:start w:val="2"/>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0ADBC4">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50823A">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5AD51A">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CE4254">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EE58EA">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E2A174">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B0366E">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2FA6975"/>
    <w:multiLevelType w:val="hybridMultilevel"/>
    <w:tmpl w:val="1CF650D8"/>
    <w:lvl w:ilvl="0" w:tplc="C58ACC1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80133E">
      <w:start w:val="1"/>
      <w:numFmt w:val="upperLetter"/>
      <w:lvlText w:val="(%2)"/>
      <w:lvlJc w:val="left"/>
      <w:pPr>
        <w:ind w:left="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A8775E">
      <w:start w:val="1"/>
      <w:numFmt w:val="lowerRoman"/>
      <w:lvlText w:val="%3"/>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AEFDFE">
      <w:start w:val="1"/>
      <w:numFmt w:val="decimal"/>
      <w:lvlText w:val="%4"/>
      <w:lvlJc w:val="left"/>
      <w:pPr>
        <w:ind w:left="2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7EE81E">
      <w:start w:val="1"/>
      <w:numFmt w:val="lowerLetter"/>
      <w:lvlText w:val="%5"/>
      <w:lvlJc w:val="left"/>
      <w:pPr>
        <w:ind w:left="3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A0E282">
      <w:start w:val="1"/>
      <w:numFmt w:val="lowerRoman"/>
      <w:lvlText w:val="%6"/>
      <w:lvlJc w:val="left"/>
      <w:pPr>
        <w:ind w:left="3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3EBFB6">
      <w:start w:val="1"/>
      <w:numFmt w:val="decimal"/>
      <w:lvlText w:val="%7"/>
      <w:lvlJc w:val="left"/>
      <w:pPr>
        <w:ind w:left="4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5C54F6">
      <w:start w:val="1"/>
      <w:numFmt w:val="lowerLetter"/>
      <w:lvlText w:val="%8"/>
      <w:lvlJc w:val="left"/>
      <w:pPr>
        <w:ind w:left="5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C2C8A0">
      <w:start w:val="1"/>
      <w:numFmt w:val="lowerRoman"/>
      <w:lvlText w:val="%9"/>
      <w:lvlJc w:val="left"/>
      <w:pPr>
        <w:ind w:left="5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DB93169"/>
    <w:multiLevelType w:val="hybridMultilevel"/>
    <w:tmpl w:val="A1302F7A"/>
    <w:lvl w:ilvl="0" w:tplc="B8E0E0E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D836C0">
      <w:start w:val="2"/>
      <w:numFmt w:val="upperLetter"/>
      <w:lvlText w:val="(%2)"/>
      <w:lvlJc w:val="left"/>
      <w:pPr>
        <w:ind w:left="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A60652">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788CFE">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6863E2">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50E9B8">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0E4C92">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C6453C">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3E6DC6">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04437BE"/>
    <w:multiLevelType w:val="hybridMultilevel"/>
    <w:tmpl w:val="4C74652E"/>
    <w:lvl w:ilvl="0" w:tplc="FEA6AF9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169F98">
      <w:start w:val="1"/>
      <w:numFmt w:val="decimal"/>
      <w:lvlText w:val="(%2)"/>
      <w:lvlJc w:val="left"/>
      <w:pPr>
        <w:ind w:left="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4A5BA4">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CC9924">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78E3B4">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96A698">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AE6AFA">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66ABA6">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DCEA8A">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70975EE"/>
    <w:multiLevelType w:val="hybridMultilevel"/>
    <w:tmpl w:val="F7BA2110"/>
    <w:lvl w:ilvl="0" w:tplc="E856C7B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9075B4">
      <w:start w:val="5"/>
      <w:numFmt w:val="upp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FE8136">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8AAA8E">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885DEC">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F8AE80">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E66DF8">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D8D88E">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AEAF7C">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8830AF4"/>
    <w:multiLevelType w:val="hybridMultilevel"/>
    <w:tmpl w:val="CB82D75C"/>
    <w:lvl w:ilvl="0" w:tplc="9A2AE1D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5CA9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90C3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0849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C64B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44D7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6E06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FE73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6866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8D735A5"/>
    <w:multiLevelType w:val="hybridMultilevel"/>
    <w:tmpl w:val="82F8D9BA"/>
    <w:lvl w:ilvl="0" w:tplc="3D46396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1E56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3AB5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AC32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7E80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4AAA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C058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18D9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7853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C53ED4"/>
    <w:multiLevelType w:val="hybridMultilevel"/>
    <w:tmpl w:val="241227AA"/>
    <w:lvl w:ilvl="0" w:tplc="250497E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BEF8AA">
      <w:start w:val="1"/>
      <w:numFmt w:val="upperLetter"/>
      <w:lvlText w:val="(%2)"/>
      <w:lvlJc w:val="left"/>
      <w:pPr>
        <w:ind w:left="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22F8E8">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80B168">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8846E0">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B838A4">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F8A860">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62D268">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A490B2">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B454815"/>
    <w:multiLevelType w:val="hybridMultilevel"/>
    <w:tmpl w:val="29143824"/>
    <w:lvl w:ilvl="0" w:tplc="170EDD0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B493A0">
      <w:start w:val="1"/>
      <w:numFmt w:val="lowerRoman"/>
      <w:lvlText w:val="(%2)"/>
      <w:lvlJc w:val="left"/>
      <w:pPr>
        <w:ind w:left="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88B362">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465B10">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543BCC">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B82474">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DE78DC">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22296E">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AACF40">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C1510AA"/>
    <w:multiLevelType w:val="hybridMultilevel"/>
    <w:tmpl w:val="182CB9DE"/>
    <w:lvl w:ilvl="0" w:tplc="0174422E">
      <w:start w:val="1"/>
      <w:numFmt w:val="lowerLetter"/>
      <w:lvlText w:val="(%1)"/>
      <w:lvlJc w:val="left"/>
      <w:pPr>
        <w:ind w:left="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72AB16">
      <w:start w:val="1"/>
      <w:numFmt w:val="decimal"/>
      <w:lvlText w:val="(%2)"/>
      <w:lvlJc w:val="left"/>
      <w:pPr>
        <w:ind w:left="1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2E0262">
      <w:start w:val="1"/>
      <w:numFmt w:val="upperLetter"/>
      <w:lvlText w:val="(%3)"/>
      <w:lvlJc w:val="left"/>
      <w:pPr>
        <w:ind w:left="1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68757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969AF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E4702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5ED3D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1EF9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DCE4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EA71618"/>
    <w:multiLevelType w:val="hybridMultilevel"/>
    <w:tmpl w:val="837E1C88"/>
    <w:lvl w:ilvl="0" w:tplc="02D054B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8CEFC2">
      <w:start w:val="1"/>
      <w:numFmt w:val="lowerRoman"/>
      <w:lvlText w:val="(%2)"/>
      <w:lvlJc w:val="left"/>
      <w:pPr>
        <w:ind w:left="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76C146">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53E29DA">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74B040">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AAF47C">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5AFABE">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44E09E">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FE2C7C">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EAE310B"/>
    <w:multiLevelType w:val="hybridMultilevel"/>
    <w:tmpl w:val="3D88077E"/>
    <w:lvl w:ilvl="0" w:tplc="DCDEDCD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BE0F8A">
      <w:start w:val="1"/>
      <w:numFmt w:val="lowerRoman"/>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C0BCA0">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8E372E">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86BB40">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3870CC">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925C0A">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F6F050">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E06704">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F8E4BEB"/>
    <w:multiLevelType w:val="hybridMultilevel"/>
    <w:tmpl w:val="6FF0BF64"/>
    <w:lvl w:ilvl="0" w:tplc="0DFE0BC4">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E2914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C2164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726CA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84972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6A31E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EE5D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D6E7B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6878E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E134DB0"/>
    <w:multiLevelType w:val="hybridMultilevel"/>
    <w:tmpl w:val="377CF580"/>
    <w:lvl w:ilvl="0" w:tplc="B978BA9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E2A5E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94F8F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AED5A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80B4B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C362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0A2B3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ACD8D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4ED37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650594A"/>
    <w:multiLevelType w:val="hybridMultilevel"/>
    <w:tmpl w:val="78283C6A"/>
    <w:lvl w:ilvl="0" w:tplc="35B249F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E47810">
      <w:start w:val="2"/>
      <w:numFmt w:val="upperLetter"/>
      <w:lvlText w:val="(%2)"/>
      <w:lvlJc w:val="left"/>
      <w:pPr>
        <w:ind w:left="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BEBC3C">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2E0E68">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142F46">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2C06B4">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C2D2C">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B894D2">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547DBE">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96E64EB"/>
    <w:multiLevelType w:val="hybridMultilevel"/>
    <w:tmpl w:val="B6F0BCB0"/>
    <w:lvl w:ilvl="0" w:tplc="323ED98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54978C">
      <w:start w:val="2"/>
      <w:numFmt w:val="lowerRoman"/>
      <w:lvlText w:val="(%2)"/>
      <w:lvlJc w:val="left"/>
      <w:pPr>
        <w:ind w:left="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E06BCA">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38DCA4">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C0D50C">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1E65B4">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D0DB66">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2CCFB0">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C852C0">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AED578E"/>
    <w:multiLevelType w:val="hybridMultilevel"/>
    <w:tmpl w:val="728E5280"/>
    <w:lvl w:ilvl="0" w:tplc="6556264A">
      <w:start w:val="1"/>
      <w:numFmt w:val="bullet"/>
      <w:lvlText w:val="•"/>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7E1B2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E0F55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0AA2A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E403B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80A6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C67BB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A6A88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78758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7AC5E57"/>
    <w:multiLevelType w:val="hybridMultilevel"/>
    <w:tmpl w:val="E46CA9D4"/>
    <w:lvl w:ilvl="0" w:tplc="A57055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648ECA">
      <w:start w:val="2"/>
      <w:numFmt w:val="lowerRoman"/>
      <w:lvlText w:val="(%2)"/>
      <w:lvlJc w:val="left"/>
      <w:pPr>
        <w:ind w:left="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C8A9EC">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66CEF6">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900BFE">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AEBF80">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A8FC60">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E22BFE">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566274">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28"/>
  </w:num>
  <w:num w:numId="3">
    <w:abstractNumId w:val="18"/>
  </w:num>
  <w:num w:numId="4">
    <w:abstractNumId w:val="17"/>
  </w:num>
  <w:num w:numId="5">
    <w:abstractNumId w:val="21"/>
  </w:num>
  <w:num w:numId="6">
    <w:abstractNumId w:val="11"/>
  </w:num>
  <w:num w:numId="7">
    <w:abstractNumId w:val="25"/>
  </w:num>
  <w:num w:numId="8">
    <w:abstractNumId w:val="4"/>
  </w:num>
  <w:num w:numId="9">
    <w:abstractNumId w:val="8"/>
  </w:num>
  <w:num w:numId="10">
    <w:abstractNumId w:val="0"/>
  </w:num>
  <w:num w:numId="11">
    <w:abstractNumId w:val="6"/>
  </w:num>
  <w:num w:numId="12">
    <w:abstractNumId w:val="23"/>
  </w:num>
  <w:num w:numId="13">
    <w:abstractNumId w:val="16"/>
  </w:num>
  <w:num w:numId="14">
    <w:abstractNumId w:val="26"/>
  </w:num>
  <w:num w:numId="15">
    <w:abstractNumId w:val="12"/>
  </w:num>
  <w:num w:numId="16">
    <w:abstractNumId w:val="13"/>
  </w:num>
  <w:num w:numId="17">
    <w:abstractNumId w:val="5"/>
  </w:num>
  <w:num w:numId="18">
    <w:abstractNumId w:val="19"/>
  </w:num>
  <w:num w:numId="19">
    <w:abstractNumId w:val="20"/>
  </w:num>
  <w:num w:numId="20">
    <w:abstractNumId w:val="15"/>
  </w:num>
  <w:num w:numId="21">
    <w:abstractNumId w:val="7"/>
  </w:num>
  <w:num w:numId="22">
    <w:abstractNumId w:val="22"/>
  </w:num>
  <w:num w:numId="23">
    <w:abstractNumId w:val="29"/>
  </w:num>
  <w:num w:numId="24">
    <w:abstractNumId w:val="9"/>
  </w:num>
  <w:num w:numId="25">
    <w:abstractNumId w:val="14"/>
  </w:num>
  <w:num w:numId="26">
    <w:abstractNumId w:val="27"/>
  </w:num>
  <w:num w:numId="27">
    <w:abstractNumId w:val="1"/>
  </w:num>
  <w:num w:numId="28">
    <w:abstractNumId w:val="2"/>
  </w:num>
  <w:num w:numId="29">
    <w:abstractNumId w:val="10"/>
  </w:num>
  <w:num w:numId="30">
    <w:abstractNumId w:val="3"/>
  </w:num>
  <w:num w:numId="3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730"/>
    <w:rsid w:val="00005CAF"/>
    <w:rsid w:val="00007102"/>
    <w:rsid w:val="000140A3"/>
    <w:rsid w:val="00031CF1"/>
    <w:rsid w:val="00031E88"/>
    <w:rsid w:val="00032D22"/>
    <w:rsid w:val="000409EF"/>
    <w:rsid w:val="00042A8F"/>
    <w:rsid w:val="0004366F"/>
    <w:rsid w:val="00074412"/>
    <w:rsid w:val="000848DA"/>
    <w:rsid w:val="00092A08"/>
    <w:rsid w:val="00092C3C"/>
    <w:rsid w:val="00097DAD"/>
    <w:rsid w:val="000A056E"/>
    <w:rsid w:val="000A1E34"/>
    <w:rsid w:val="000B421D"/>
    <w:rsid w:val="000B738E"/>
    <w:rsid w:val="000C619A"/>
    <w:rsid w:val="000C7C7A"/>
    <w:rsid w:val="000D55F6"/>
    <w:rsid w:val="000E0118"/>
    <w:rsid w:val="000E614D"/>
    <w:rsid w:val="000E7377"/>
    <w:rsid w:val="000F7D65"/>
    <w:rsid w:val="00103794"/>
    <w:rsid w:val="001062F6"/>
    <w:rsid w:val="001071F5"/>
    <w:rsid w:val="00114122"/>
    <w:rsid w:val="0012093C"/>
    <w:rsid w:val="0012229C"/>
    <w:rsid w:val="00124A6C"/>
    <w:rsid w:val="001272CD"/>
    <w:rsid w:val="00134AF3"/>
    <w:rsid w:val="00135974"/>
    <w:rsid w:val="00155953"/>
    <w:rsid w:val="00161EEA"/>
    <w:rsid w:val="001638A4"/>
    <w:rsid w:val="001736A7"/>
    <w:rsid w:val="00175873"/>
    <w:rsid w:val="001768AA"/>
    <w:rsid w:val="001921C0"/>
    <w:rsid w:val="0019403A"/>
    <w:rsid w:val="001B274B"/>
    <w:rsid w:val="001C1C07"/>
    <w:rsid w:val="001C788E"/>
    <w:rsid w:val="001C7CC3"/>
    <w:rsid w:val="001D0E72"/>
    <w:rsid w:val="001D3952"/>
    <w:rsid w:val="001D44AC"/>
    <w:rsid w:val="001F0BA0"/>
    <w:rsid w:val="001F5E33"/>
    <w:rsid w:val="001F7659"/>
    <w:rsid w:val="00206636"/>
    <w:rsid w:val="00214616"/>
    <w:rsid w:val="00216374"/>
    <w:rsid w:val="00223BDD"/>
    <w:rsid w:val="00226875"/>
    <w:rsid w:val="00226880"/>
    <w:rsid w:val="002373D0"/>
    <w:rsid w:val="00240549"/>
    <w:rsid w:val="00243C0B"/>
    <w:rsid w:val="002448DF"/>
    <w:rsid w:val="00246DA1"/>
    <w:rsid w:val="00255572"/>
    <w:rsid w:val="002571CB"/>
    <w:rsid w:val="00263079"/>
    <w:rsid w:val="00270358"/>
    <w:rsid w:val="00270DB6"/>
    <w:rsid w:val="00276479"/>
    <w:rsid w:val="00287729"/>
    <w:rsid w:val="002A07A4"/>
    <w:rsid w:val="002B3931"/>
    <w:rsid w:val="002B7FD9"/>
    <w:rsid w:val="002C429E"/>
    <w:rsid w:val="002C438F"/>
    <w:rsid w:val="002D221D"/>
    <w:rsid w:val="002D5EC8"/>
    <w:rsid w:val="002F2925"/>
    <w:rsid w:val="002F3BA0"/>
    <w:rsid w:val="002F783D"/>
    <w:rsid w:val="00307CF5"/>
    <w:rsid w:val="003169B4"/>
    <w:rsid w:val="00317640"/>
    <w:rsid w:val="0032540D"/>
    <w:rsid w:val="00334635"/>
    <w:rsid w:val="003365E3"/>
    <w:rsid w:val="003550B8"/>
    <w:rsid w:val="00356410"/>
    <w:rsid w:val="003576B5"/>
    <w:rsid w:val="003607E3"/>
    <w:rsid w:val="00370D9B"/>
    <w:rsid w:val="00371312"/>
    <w:rsid w:val="00381847"/>
    <w:rsid w:val="003842B1"/>
    <w:rsid w:val="00385708"/>
    <w:rsid w:val="003876BE"/>
    <w:rsid w:val="00387927"/>
    <w:rsid w:val="00387D7C"/>
    <w:rsid w:val="00391002"/>
    <w:rsid w:val="003A4480"/>
    <w:rsid w:val="003A65C3"/>
    <w:rsid w:val="003B1988"/>
    <w:rsid w:val="003D560F"/>
    <w:rsid w:val="003E08A7"/>
    <w:rsid w:val="003E103C"/>
    <w:rsid w:val="00403F14"/>
    <w:rsid w:val="00405060"/>
    <w:rsid w:val="00405B1D"/>
    <w:rsid w:val="0041706F"/>
    <w:rsid w:val="00417ABA"/>
    <w:rsid w:val="004249C8"/>
    <w:rsid w:val="00427369"/>
    <w:rsid w:val="004317F3"/>
    <w:rsid w:val="00437ED8"/>
    <w:rsid w:val="00450B1C"/>
    <w:rsid w:val="00456DD2"/>
    <w:rsid w:val="0047588D"/>
    <w:rsid w:val="00481D6A"/>
    <w:rsid w:val="004843F3"/>
    <w:rsid w:val="004944B6"/>
    <w:rsid w:val="00496233"/>
    <w:rsid w:val="004A612F"/>
    <w:rsid w:val="004B1631"/>
    <w:rsid w:val="004B6036"/>
    <w:rsid w:val="004C538A"/>
    <w:rsid w:val="004D2814"/>
    <w:rsid w:val="004E181C"/>
    <w:rsid w:val="004E3EA8"/>
    <w:rsid w:val="004F0F87"/>
    <w:rsid w:val="004F5BA7"/>
    <w:rsid w:val="00510751"/>
    <w:rsid w:val="0051294D"/>
    <w:rsid w:val="00521395"/>
    <w:rsid w:val="00522EB1"/>
    <w:rsid w:val="00523704"/>
    <w:rsid w:val="005263DD"/>
    <w:rsid w:val="005278BB"/>
    <w:rsid w:val="00536BEC"/>
    <w:rsid w:val="005421F3"/>
    <w:rsid w:val="00545DE3"/>
    <w:rsid w:val="005523D7"/>
    <w:rsid w:val="0056589A"/>
    <w:rsid w:val="00577251"/>
    <w:rsid w:val="005878FD"/>
    <w:rsid w:val="00592D86"/>
    <w:rsid w:val="005A0DBF"/>
    <w:rsid w:val="005A53AA"/>
    <w:rsid w:val="005B468E"/>
    <w:rsid w:val="005B6484"/>
    <w:rsid w:val="005D5FD9"/>
    <w:rsid w:val="005E1379"/>
    <w:rsid w:val="005E19FA"/>
    <w:rsid w:val="005E2859"/>
    <w:rsid w:val="005F3299"/>
    <w:rsid w:val="005F5E7C"/>
    <w:rsid w:val="005F63C7"/>
    <w:rsid w:val="005F6619"/>
    <w:rsid w:val="005F72E5"/>
    <w:rsid w:val="006008FC"/>
    <w:rsid w:val="00602669"/>
    <w:rsid w:val="00617EC7"/>
    <w:rsid w:val="00634D51"/>
    <w:rsid w:val="00636326"/>
    <w:rsid w:val="00641071"/>
    <w:rsid w:val="006463A1"/>
    <w:rsid w:val="00651020"/>
    <w:rsid w:val="0065473C"/>
    <w:rsid w:val="00657DA8"/>
    <w:rsid w:val="006669AF"/>
    <w:rsid w:val="00672B67"/>
    <w:rsid w:val="00685249"/>
    <w:rsid w:val="00691206"/>
    <w:rsid w:val="00693F89"/>
    <w:rsid w:val="006A0DE9"/>
    <w:rsid w:val="006A2E1C"/>
    <w:rsid w:val="006A3E41"/>
    <w:rsid w:val="006A5B8F"/>
    <w:rsid w:val="006B5F37"/>
    <w:rsid w:val="006D060A"/>
    <w:rsid w:val="006E02C8"/>
    <w:rsid w:val="006F0885"/>
    <w:rsid w:val="006F674D"/>
    <w:rsid w:val="006F72E6"/>
    <w:rsid w:val="00706804"/>
    <w:rsid w:val="0070693A"/>
    <w:rsid w:val="00722610"/>
    <w:rsid w:val="0072283E"/>
    <w:rsid w:val="0073542D"/>
    <w:rsid w:val="00735ADF"/>
    <w:rsid w:val="00753AB1"/>
    <w:rsid w:val="007548B7"/>
    <w:rsid w:val="00782E7F"/>
    <w:rsid w:val="00794B02"/>
    <w:rsid w:val="007C0A7B"/>
    <w:rsid w:val="007C4702"/>
    <w:rsid w:val="007C5534"/>
    <w:rsid w:val="007D42D1"/>
    <w:rsid w:val="007E311A"/>
    <w:rsid w:val="007F1434"/>
    <w:rsid w:val="007F2041"/>
    <w:rsid w:val="007F3800"/>
    <w:rsid w:val="007F7C9C"/>
    <w:rsid w:val="00801D87"/>
    <w:rsid w:val="00805B25"/>
    <w:rsid w:val="00807193"/>
    <w:rsid w:val="00813C11"/>
    <w:rsid w:val="00813DD4"/>
    <w:rsid w:val="0082118A"/>
    <w:rsid w:val="00824616"/>
    <w:rsid w:val="00825C0C"/>
    <w:rsid w:val="008430A3"/>
    <w:rsid w:val="00845433"/>
    <w:rsid w:val="00875B3F"/>
    <w:rsid w:val="00876D8F"/>
    <w:rsid w:val="00877C62"/>
    <w:rsid w:val="008802F5"/>
    <w:rsid w:val="00895D29"/>
    <w:rsid w:val="00897571"/>
    <w:rsid w:val="008A0C07"/>
    <w:rsid w:val="008A62EE"/>
    <w:rsid w:val="008B1EBA"/>
    <w:rsid w:val="008B4818"/>
    <w:rsid w:val="008B5503"/>
    <w:rsid w:val="008B5697"/>
    <w:rsid w:val="008C2118"/>
    <w:rsid w:val="008C4704"/>
    <w:rsid w:val="008C7B26"/>
    <w:rsid w:val="008D3F73"/>
    <w:rsid w:val="008E1C1A"/>
    <w:rsid w:val="008E6611"/>
    <w:rsid w:val="008F22E2"/>
    <w:rsid w:val="0091674D"/>
    <w:rsid w:val="00921AA6"/>
    <w:rsid w:val="009266D7"/>
    <w:rsid w:val="00935BC0"/>
    <w:rsid w:val="0093628F"/>
    <w:rsid w:val="00945A30"/>
    <w:rsid w:val="00952062"/>
    <w:rsid w:val="009546AF"/>
    <w:rsid w:val="00965104"/>
    <w:rsid w:val="00977E29"/>
    <w:rsid w:val="00983CB0"/>
    <w:rsid w:val="00997414"/>
    <w:rsid w:val="009C51A1"/>
    <w:rsid w:val="009D4803"/>
    <w:rsid w:val="009D5B3B"/>
    <w:rsid w:val="009D6927"/>
    <w:rsid w:val="009E65C3"/>
    <w:rsid w:val="00A023F9"/>
    <w:rsid w:val="00A11955"/>
    <w:rsid w:val="00A14AA2"/>
    <w:rsid w:val="00A14EF4"/>
    <w:rsid w:val="00A2040F"/>
    <w:rsid w:val="00A255B9"/>
    <w:rsid w:val="00A32544"/>
    <w:rsid w:val="00A42388"/>
    <w:rsid w:val="00A52305"/>
    <w:rsid w:val="00A704BF"/>
    <w:rsid w:val="00A74EC7"/>
    <w:rsid w:val="00A76562"/>
    <w:rsid w:val="00AA3F63"/>
    <w:rsid w:val="00AA5D32"/>
    <w:rsid w:val="00AD616B"/>
    <w:rsid w:val="00AE290B"/>
    <w:rsid w:val="00AE2D0F"/>
    <w:rsid w:val="00AE7C30"/>
    <w:rsid w:val="00AF1D91"/>
    <w:rsid w:val="00AF7201"/>
    <w:rsid w:val="00B00622"/>
    <w:rsid w:val="00B3072A"/>
    <w:rsid w:val="00B30F50"/>
    <w:rsid w:val="00B4013F"/>
    <w:rsid w:val="00B42636"/>
    <w:rsid w:val="00B50680"/>
    <w:rsid w:val="00B53E7C"/>
    <w:rsid w:val="00B64E3B"/>
    <w:rsid w:val="00B813CB"/>
    <w:rsid w:val="00B85CAF"/>
    <w:rsid w:val="00B85F7F"/>
    <w:rsid w:val="00B876E6"/>
    <w:rsid w:val="00B94782"/>
    <w:rsid w:val="00B95197"/>
    <w:rsid w:val="00BB0F66"/>
    <w:rsid w:val="00BB15A0"/>
    <w:rsid w:val="00BB2318"/>
    <w:rsid w:val="00BB7859"/>
    <w:rsid w:val="00BC15F2"/>
    <w:rsid w:val="00BC2106"/>
    <w:rsid w:val="00BC3629"/>
    <w:rsid w:val="00BE13D1"/>
    <w:rsid w:val="00BE68A9"/>
    <w:rsid w:val="00BE7C34"/>
    <w:rsid w:val="00BF1325"/>
    <w:rsid w:val="00BF29BB"/>
    <w:rsid w:val="00BF422B"/>
    <w:rsid w:val="00C0126A"/>
    <w:rsid w:val="00C10F81"/>
    <w:rsid w:val="00C23871"/>
    <w:rsid w:val="00C301DF"/>
    <w:rsid w:val="00C3638A"/>
    <w:rsid w:val="00C540CD"/>
    <w:rsid w:val="00C55AF4"/>
    <w:rsid w:val="00C56429"/>
    <w:rsid w:val="00C637A9"/>
    <w:rsid w:val="00C65AED"/>
    <w:rsid w:val="00C66006"/>
    <w:rsid w:val="00C7413B"/>
    <w:rsid w:val="00C86B0F"/>
    <w:rsid w:val="00C95264"/>
    <w:rsid w:val="00CA7945"/>
    <w:rsid w:val="00CC6BC4"/>
    <w:rsid w:val="00CC6DBC"/>
    <w:rsid w:val="00CD5723"/>
    <w:rsid w:val="00CE3144"/>
    <w:rsid w:val="00CF055B"/>
    <w:rsid w:val="00CF08D6"/>
    <w:rsid w:val="00CF0F56"/>
    <w:rsid w:val="00CF2316"/>
    <w:rsid w:val="00CF31FE"/>
    <w:rsid w:val="00D00063"/>
    <w:rsid w:val="00D0092A"/>
    <w:rsid w:val="00D0464A"/>
    <w:rsid w:val="00D135E5"/>
    <w:rsid w:val="00D24E58"/>
    <w:rsid w:val="00D277E7"/>
    <w:rsid w:val="00D32E07"/>
    <w:rsid w:val="00D40DF7"/>
    <w:rsid w:val="00D41702"/>
    <w:rsid w:val="00D4365E"/>
    <w:rsid w:val="00D46392"/>
    <w:rsid w:val="00D64274"/>
    <w:rsid w:val="00D70020"/>
    <w:rsid w:val="00D710B0"/>
    <w:rsid w:val="00D84331"/>
    <w:rsid w:val="00D85977"/>
    <w:rsid w:val="00D94CC4"/>
    <w:rsid w:val="00DA1E8C"/>
    <w:rsid w:val="00DA39D4"/>
    <w:rsid w:val="00DA50BB"/>
    <w:rsid w:val="00DA73DB"/>
    <w:rsid w:val="00DB1A77"/>
    <w:rsid w:val="00DB25ED"/>
    <w:rsid w:val="00DB317E"/>
    <w:rsid w:val="00DB6A0E"/>
    <w:rsid w:val="00DB76AC"/>
    <w:rsid w:val="00DC1A79"/>
    <w:rsid w:val="00DC33ED"/>
    <w:rsid w:val="00DC4AA9"/>
    <w:rsid w:val="00DD3B5A"/>
    <w:rsid w:val="00DE0554"/>
    <w:rsid w:val="00DE4C17"/>
    <w:rsid w:val="00DF237E"/>
    <w:rsid w:val="00E062B1"/>
    <w:rsid w:val="00E17B06"/>
    <w:rsid w:val="00E32875"/>
    <w:rsid w:val="00E3292A"/>
    <w:rsid w:val="00E36F2B"/>
    <w:rsid w:val="00E44A05"/>
    <w:rsid w:val="00E45A36"/>
    <w:rsid w:val="00E60057"/>
    <w:rsid w:val="00E64D0B"/>
    <w:rsid w:val="00E70FFA"/>
    <w:rsid w:val="00E73074"/>
    <w:rsid w:val="00E85848"/>
    <w:rsid w:val="00E90E77"/>
    <w:rsid w:val="00E95C55"/>
    <w:rsid w:val="00EA08E1"/>
    <w:rsid w:val="00EA0F03"/>
    <w:rsid w:val="00EA1E37"/>
    <w:rsid w:val="00EA7049"/>
    <w:rsid w:val="00EB535B"/>
    <w:rsid w:val="00EC1638"/>
    <w:rsid w:val="00EC1A3D"/>
    <w:rsid w:val="00EC7A92"/>
    <w:rsid w:val="00ED490B"/>
    <w:rsid w:val="00EE3B27"/>
    <w:rsid w:val="00EE4C75"/>
    <w:rsid w:val="00EE4E80"/>
    <w:rsid w:val="00EE63E1"/>
    <w:rsid w:val="00EE681C"/>
    <w:rsid w:val="00EF0E57"/>
    <w:rsid w:val="00EF56B4"/>
    <w:rsid w:val="00F15DDA"/>
    <w:rsid w:val="00F529E6"/>
    <w:rsid w:val="00F63AD4"/>
    <w:rsid w:val="00F63E37"/>
    <w:rsid w:val="00F7764A"/>
    <w:rsid w:val="00F91730"/>
    <w:rsid w:val="00FA43F0"/>
    <w:rsid w:val="00FA472D"/>
    <w:rsid w:val="00FA6812"/>
    <w:rsid w:val="00FA6EA7"/>
    <w:rsid w:val="00FA6FED"/>
    <w:rsid w:val="00FB3EC6"/>
    <w:rsid w:val="00FB60A5"/>
    <w:rsid w:val="00FB6868"/>
    <w:rsid w:val="00FB774E"/>
    <w:rsid w:val="00FC2DF7"/>
    <w:rsid w:val="00FD1CDB"/>
    <w:rsid w:val="00FD656F"/>
    <w:rsid w:val="00FD7451"/>
    <w:rsid w:val="00FE2AD0"/>
    <w:rsid w:val="00FE5E0D"/>
    <w:rsid w:val="00FF4233"/>
    <w:rsid w:val="00FF4BCB"/>
    <w:rsid w:val="00FF5EC8"/>
    <w:rsid w:val="00FF6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86AFA"/>
  <w15:docId w15:val="{E38D54CC-50D0-4C06-B0AC-E5987091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1"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numPr>
        <w:numId w:val="30"/>
      </w:numPr>
      <w:spacing w:after="13" w:line="248" w:lineRule="auto"/>
      <w:ind w:left="2259"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731"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paragraph" w:customStyle="1" w:styleId="footnotedescription">
    <w:name w:val="footnote description"/>
    <w:next w:val="Normal"/>
    <w:link w:val="footnotedescriptionChar"/>
    <w:hidden/>
    <w:pPr>
      <w:spacing w:after="0"/>
      <w:ind w:left="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uiPriority w:val="9"/>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32E07"/>
    <w:rPr>
      <w:sz w:val="16"/>
      <w:szCs w:val="16"/>
    </w:rPr>
  </w:style>
  <w:style w:type="paragraph" w:styleId="CommentText">
    <w:name w:val="annotation text"/>
    <w:basedOn w:val="Normal"/>
    <w:link w:val="CommentTextChar"/>
    <w:uiPriority w:val="99"/>
    <w:semiHidden/>
    <w:unhideWhenUsed/>
    <w:rsid w:val="00D32E07"/>
    <w:pPr>
      <w:spacing w:line="240" w:lineRule="auto"/>
    </w:pPr>
    <w:rPr>
      <w:sz w:val="20"/>
      <w:szCs w:val="20"/>
    </w:rPr>
  </w:style>
  <w:style w:type="character" w:customStyle="1" w:styleId="CommentTextChar">
    <w:name w:val="Comment Text Char"/>
    <w:basedOn w:val="DefaultParagraphFont"/>
    <w:link w:val="CommentText"/>
    <w:uiPriority w:val="99"/>
    <w:semiHidden/>
    <w:rsid w:val="00D32E0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32E07"/>
    <w:rPr>
      <w:b/>
      <w:bCs/>
    </w:rPr>
  </w:style>
  <w:style w:type="character" w:customStyle="1" w:styleId="CommentSubjectChar">
    <w:name w:val="Comment Subject Char"/>
    <w:basedOn w:val="CommentTextChar"/>
    <w:link w:val="CommentSubject"/>
    <w:uiPriority w:val="99"/>
    <w:semiHidden/>
    <w:rsid w:val="00D32E07"/>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32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E07"/>
    <w:rPr>
      <w:rFonts w:ascii="Segoe UI" w:eastAsia="Times New Roman" w:hAnsi="Segoe UI" w:cs="Segoe UI"/>
      <w:color w:val="000000"/>
      <w:sz w:val="18"/>
      <w:szCs w:val="18"/>
    </w:rPr>
  </w:style>
  <w:style w:type="character" w:styleId="Hyperlink">
    <w:name w:val="Hyperlink"/>
    <w:basedOn w:val="DefaultParagraphFont"/>
    <w:uiPriority w:val="99"/>
    <w:unhideWhenUsed/>
    <w:rsid w:val="00AA3F63"/>
    <w:rPr>
      <w:color w:val="0563C1" w:themeColor="hyperlink"/>
      <w:u w:val="single"/>
    </w:rPr>
  </w:style>
  <w:style w:type="character" w:styleId="UnresolvedMention">
    <w:name w:val="Unresolved Mention"/>
    <w:basedOn w:val="DefaultParagraphFont"/>
    <w:uiPriority w:val="99"/>
    <w:semiHidden/>
    <w:unhideWhenUsed/>
    <w:rsid w:val="00AA3F63"/>
    <w:rPr>
      <w:color w:val="605E5C"/>
      <w:shd w:val="clear" w:color="auto" w:fill="E1DFDD"/>
    </w:rPr>
  </w:style>
  <w:style w:type="paragraph" w:styleId="NormalWeb">
    <w:name w:val="Normal (Web)"/>
    <w:basedOn w:val="Normal"/>
    <w:uiPriority w:val="99"/>
    <w:semiHidden/>
    <w:unhideWhenUsed/>
    <w:rsid w:val="006A5B8F"/>
    <w:pPr>
      <w:spacing w:before="100" w:beforeAutospacing="1" w:after="100" w:afterAutospacing="1" w:line="240" w:lineRule="auto"/>
      <w:ind w:left="0" w:firstLine="0"/>
    </w:pPr>
    <w:rPr>
      <w:color w:val="auto"/>
      <w:sz w:val="24"/>
      <w:szCs w:val="24"/>
    </w:rPr>
  </w:style>
  <w:style w:type="paragraph" w:styleId="ListParagraph">
    <w:name w:val="List Paragraph"/>
    <w:basedOn w:val="Normal"/>
    <w:uiPriority w:val="34"/>
    <w:qFormat/>
    <w:rsid w:val="00243C0B"/>
    <w:pPr>
      <w:ind w:left="720"/>
      <w:contextualSpacing/>
    </w:pPr>
  </w:style>
  <w:style w:type="character" w:styleId="Emphasis">
    <w:name w:val="Emphasis"/>
    <w:basedOn w:val="DefaultParagraphFont"/>
    <w:uiPriority w:val="20"/>
    <w:qFormat/>
    <w:rsid w:val="00B4013F"/>
    <w:rPr>
      <w:i/>
      <w:iCs/>
    </w:rPr>
  </w:style>
  <w:style w:type="paragraph" w:customStyle="1" w:styleId="SectionHeading2">
    <w:name w:val="Section Heading 2"/>
    <w:basedOn w:val="Normal"/>
    <w:link w:val="SectionHeading2Char"/>
    <w:qFormat/>
    <w:rsid w:val="00042A8F"/>
    <w:pPr>
      <w:autoSpaceDE w:val="0"/>
      <w:autoSpaceDN w:val="0"/>
      <w:adjustRightInd w:val="0"/>
      <w:spacing w:after="0" w:line="240" w:lineRule="auto"/>
      <w:ind w:left="720" w:firstLine="0"/>
    </w:pPr>
    <w:rPr>
      <w:b/>
      <w:bCs/>
      <w:color w:val="auto"/>
      <w:sz w:val="26"/>
      <w:szCs w:val="26"/>
    </w:rPr>
  </w:style>
  <w:style w:type="character" w:customStyle="1" w:styleId="SectionHeading2Char">
    <w:name w:val="Section Heading 2 Char"/>
    <w:basedOn w:val="DefaultParagraphFont"/>
    <w:link w:val="SectionHeading2"/>
    <w:rsid w:val="00042A8F"/>
    <w:rPr>
      <w:rFonts w:ascii="Times New Roman" w:eastAsia="Times New Roman" w:hAnsi="Times New Roman" w:cs="Times New Roman"/>
      <w:b/>
      <w:bCs/>
      <w:sz w:val="26"/>
      <w:szCs w:val="26"/>
    </w:rPr>
  </w:style>
  <w:style w:type="paragraph" w:styleId="Revision">
    <w:name w:val="Revision"/>
    <w:hidden/>
    <w:uiPriority w:val="99"/>
    <w:semiHidden/>
    <w:rsid w:val="0056589A"/>
    <w:pPr>
      <w:spacing w:after="0" w:line="240" w:lineRule="auto"/>
    </w:pPr>
    <w:rPr>
      <w:rFonts w:ascii="Times New Roman" w:eastAsia="Times New Roman" w:hAnsi="Times New Roman" w:cs="Times New Roman"/>
      <w:color w:val="000000"/>
    </w:rPr>
  </w:style>
  <w:style w:type="paragraph" w:styleId="Header">
    <w:name w:val="header"/>
    <w:basedOn w:val="Normal"/>
    <w:link w:val="HeaderChar"/>
    <w:uiPriority w:val="99"/>
    <w:unhideWhenUsed/>
    <w:rsid w:val="00E36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F2B"/>
    <w:rPr>
      <w:rFonts w:ascii="Times New Roman" w:eastAsia="Times New Roman" w:hAnsi="Times New Roman" w:cs="Times New Roman"/>
      <w:color w:val="000000"/>
    </w:rPr>
  </w:style>
  <w:style w:type="paragraph" w:customStyle="1" w:styleId="Default">
    <w:name w:val="Default"/>
    <w:rsid w:val="00FB686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516">
      <w:bodyDiv w:val="1"/>
      <w:marLeft w:val="0"/>
      <w:marRight w:val="0"/>
      <w:marTop w:val="0"/>
      <w:marBottom w:val="0"/>
      <w:divBdr>
        <w:top w:val="none" w:sz="0" w:space="0" w:color="auto"/>
        <w:left w:val="none" w:sz="0" w:space="0" w:color="auto"/>
        <w:bottom w:val="none" w:sz="0" w:space="0" w:color="auto"/>
        <w:right w:val="none" w:sz="0" w:space="0" w:color="auto"/>
      </w:divBdr>
    </w:div>
    <w:div w:id="774906322">
      <w:bodyDiv w:val="1"/>
      <w:marLeft w:val="0"/>
      <w:marRight w:val="0"/>
      <w:marTop w:val="0"/>
      <w:marBottom w:val="0"/>
      <w:divBdr>
        <w:top w:val="none" w:sz="0" w:space="0" w:color="auto"/>
        <w:left w:val="none" w:sz="0" w:space="0" w:color="auto"/>
        <w:bottom w:val="none" w:sz="0" w:space="0" w:color="auto"/>
        <w:right w:val="none" w:sz="0" w:space="0" w:color="auto"/>
      </w:divBdr>
    </w:div>
    <w:div w:id="1745954777">
      <w:bodyDiv w:val="1"/>
      <w:marLeft w:val="0"/>
      <w:marRight w:val="0"/>
      <w:marTop w:val="0"/>
      <w:marBottom w:val="0"/>
      <w:divBdr>
        <w:top w:val="none" w:sz="0" w:space="0" w:color="auto"/>
        <w:left w:val="none" w:sz="0" w:space="0" w:color="auto"/>
        <w:bottom w:val="none" w:sz="0" w:space="0" w:color="auto"/>
        <w:right w:val="none" w:sz="0" w:space="0" w:color="auto"/>
      </w:divBdr>
    </w:div>
    <w:div w:id="1784499416">
      <w:bodyDiv w:val="1"/>
      <w:marLeft w:val="0"/>
      <w:marRight w:val="0"/>
      <w:marTop w:val="0"/>
      <w:marBottom w:val="0"/>
      <w:divBdr>
        <w:top w:val="none" w:sz="0" w:space="0" w:color="auto"/>
        <w:left w:val="none" w:sz="0" w:space="0" w:color="auto"/>
        <w:bottom w:val="none" w:sz="0" w:space="0" w:color="auto"/>
        <w:right w:val="none" w:sz="0" w:space="0" w:color="auto"/>
      </w:divBdr>
      <w:divsChild>
        <w:div w:id="703362842">
          <w:marLeft w:val="0"/>
          <w:marRight w:val="0"/>
          <w:marTop w:val="0"/>
          <w:marBottom w:val="0"/>
          <w:divBdr>
            <w:top w:val="none" w:sz="0" w:space="0" w:color="auto"/>
            <w:left w:val="none" w:sz="0" w:space="0" w:color="auto"/>
            <w:bottom w:val="none" w:sz="0" w:space="0" w:color="auto"/>
            <w:right w:val="none" w:sz="0" w:space="0" w:color="auto"/>
          </w:divBdr>
          <w:divsChild>
            <w:div w:id="1997830947">
              <w:marLeft w:val="0"/>
              <w:marRight w:val="0"/>
              <w:marTop w:val="0"/>
              <w:marBottom w:val="0"/>
              <w:divBdr>
                <w:top w:val="none" w:sz="0" w:space="0" w:color="auto"/>
                <w:left w:val="none" w:sz="0" w:space="0" w:color="auto"/>
                <w:bottom w:val="none" w:sz="0" w:space="0" w:color="auto"/>
                <w:right w:val="none" w:sz="0" w:space="0" w:color="auto"/>
              </w:divBdr>
              <w:divsChild>
                <w:div w:id="1490900371">
                  <w:marLeft w:val="0"/>
                  <w:marRight w:val="0"/>
                  <w:marTop w:val="0"/>
                  <w:marBottom w:val="150"/>
                  <w:divBdr>
                    <w:top w:val="none" w:sz="0" w:space="0" w:color="auto"/>
                    <w:left w:val="none" w:sz="0" w:space="0" w:color="auto"/>
                    <w:bottom w:val="none" w:sz="0" w:space="0" w:color="auto"/>
                    <w:right w:val="none" w:sz="0" w:space="0" w:color="auto"/>
                  </w:divBdr>
                  <w:divsChild>
                    <w:div w:id="1851524776">
                      <w:marLeft w:val="0"/>
                      <w:marRight w:val="0"/>
                      <w:marTop w:val="0"/>
                      <w:marBottom w:val="0"/>
                      <w:divBdr>
                        <w:top w:val="none" w:sz="0" w:space="0" w:color="auto"/>
                        <w:left w:val="none" w:sz="0" w:space="0" w:color="auto"/>
                        <w:bottom w:val="none" w:sz="0" w:space="0" w:color="auto"/>
                        <w:right w:val="none" w:sz="0" w:space="0" w:color="auto"/>
                      </w:divBdr>
                      <w:divsChild>
                        <w:div w:id="13663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291307">
          <w:marLeft w:val="0"/>
          <w:marRight w:val="0"/>
          <w:marTop w:val="0"/>
          <w:marBottom w:val="0"/>
          <w:divBdr>
            <w:top w:val="none" w:sz="0" w:space="0" w:color="auto"/>
            <w:left w:val="none" w:sz="0" w:space="0" w:color="auto"/>
            <w:bottom w:val="none" w:sz="0" w:space="0" w:color="auto"/>
            <w:right w:val="none" w:sz="0" w:space="0" w:color="auto"/>
          </w:divBdr>
          <w:divsChild>
            <w:div w:id="668215346">
              <w:marLeft w:val="0"/>
              <w:marRight w:val="0"/>
              <w:marTop w:val="0"/>
              <w:marBottom w:val="0"/>
              <w:divBdr>
                <w:top w:val="none" w:sz="0" w:space="0" w:color="auto"/>
                <w:left w:val="none" w:sz="0" w:space="0" w:color="auto"/>
                <w:bottom w:val="none" w:sz="0" w:space="0" w:color="auto"/>
                <w:right w:val="none" w:sz="0" w:space="0" w:color="auto"/>
              </w:divBdr>
              <w:divsChild>
                <w:div w:id="1774549841">
                  <w:marLeft w:val="0"/>
                  <w:marRight w:val="0"/>
                  <w:marTop w:val="0"/>
                  <w:marBottom w:val="0"/>
                  <w:divBdr>
                    <w:top w:val="none" w:sz="0" w:space="0" w:color="auto"/>
                    <w:left w:val="none" w:sz="0" w:space="0" w:color="auto"/>
                    <w:bottom w:val="none" w:sz="0" w:space="0" w:color="auto"/>
                    <w:right w:val="none" w:sz="0" w:space="0" w:color="auto"/>
                  </w:divBdr>
                  <w:divsChild>
                    <w:div w:id="911349897">
                      <w:marLeft w:val="0"/>
                      <w:marRight w:val="0"/>
                      <w:marTop w:val="0"/>
                      <w:marBottom w:val="0"/>
                      <w:divBdr>
                        <w:top w:val="none" w:sz="0" w:space="0" w:color="auto"/>
                        <w:left w:val="none" w:sz="0" w:space="0" w:color="auto"/>
                        <w:bottom w:val="none" w:sz="0" w:space="0" w:color="auto"/>
                        <w:right w:val="none" w:sz="0" w:space="0" w:color="auto"/>
                      </w:divBdr>
                      <w:divsChild>
                        <w:div w:id="1465271996">
                          <w:marLeft w:val="0"/>
                          <w:marRight w:val="0"/>
                          <w:marTop w:val="0"/>
                          <w:marBottom w:val="0"/>
                          <w:divBdr>
                            <w:top w:val="none" w:sz="0" w:space="0" w:color="auto"/>
                            <w:left w:val="none" w:sz="0" w:space="0" w:color="auto"/>
                            <w:bottom w:val="none" w:sz="0" w:space="0" w:color="auto"/>
                            <w:right w:val="none" w:sz="0" w:space="0" w:color="auto"/>
                          </w:divBdr>
                        </w:div>
                      </w:divsChild>
                    </w:div>
                    <w:div w:id="917597655">
                      <w:marLeft w:val="0"/>
                      <w:marRight w:val="0"/>
                      <w:marTop w:val="0"/>
                      <w:marBottom w:val="0"/>
                      <w:divBdr>
                        <w:top w:val="none" w:sz="0" w:space="0" w:color="auto"/>
                        <w:left w:val="none" w:sz="0" w:space="0" w:color="auto"/>
                        <w:bottom w:val="none" w:sz="0" w:space="0" w:color="auto"/>
                        <w:right w:val="none" w:sz="0" w:space="0" w:color="auto"/>
                      </w:divBdr>
                      <w:divsChild>
                        <w:div w:id="1468619954">
                          <w:marLeft w:val="0"/>
                          <w:marRight w:val="0"/>
                          <w:marTop w:val="0"/>
                          <w:marBottom w:val="0"/>
                          <w:divBdr>
                            <w:top w:val="none" w:sz="0" w:space="0" w:color="auto"/>
                            <w:left w:val="none" w:sz="0" w:space="0" w:color="auto"/>
                            <w:bottom w:val="none" w:sz="0" w:space="0" w:color="auto"/>
                            <w:right w:val="none" w:sz="0" w:space="0" w:color="auto"/>
                          </w:divBdr>
                          <w:divsChild>
                            <w:div w:id="1613584586">
                              <w:marLeft w:val="0"/>
                              <w:marRight w:val="0"/>
                              <w:marTop w:val="0"/>
                              <w:marBottom w:val="0"/>
                              <w:divBdr>
                                <w:top w:val="none" w:sz="0" w:space="0" w:color="auto"/>
                                <w:left w:val="none" w:sz="0" w:space="0" w:color="auto"/>
                                <w:bottom w:val="none" w:sz="0" w:space="0" w:color="auto"/>
                                <w:right w:val="none" w:sz="0" w:space="0" w:color="auto"/>
                              </w:divBdr>
                              <w:divsChild>
                                <w:div w:id="2085643148">
                                  <w:marLeft w:val="0"/>
                                  <w:marRight w:val="0"/>
                                  <w:marTop w:val="0"/>
                                  <w:marBottom w:val="0"/>
                                  <w:divBdr>
                                    <w:top w:val="none" w:sz="0" w:space="0" w:color="auto"/>
                                    <w:left w:val="none" w:sz="0" w:space="0" w:color="auto"/>
                                    <w:bottom w:val="none" w:sz="0" w:space="0" w:color="auto"/>
                                    <w:right w:val="none" w:sz="0" w:space="0" w:color="auto"/>
                                  </w:divBdr>
                                  <w:divsChild>
                                    <w:div w:id="1516505792">
                                      <w:marLeft w:val="0"/>
                                      <w:marRight w:val="0"/>
                                      <w:marTop w:val="0"/>
                                      <w:marBottom w:val="0"/>
                                      <w:divBdr>
                                        <w:top w:val="none" w:sz="0" w:space="0" w:color="auto"/>
                                        <w:left w:val="none" w:sz="0" w:space="0" w:color="auto"/>
                                        <w:bottom w:val="none" w:sz="0" w:space="0" w:color="auto"/>
                                        <w:right w:val="none" w:sz="0" w:space="0" w:color="auto"/>
                                      </w:divBdr>
                                    </w:div>
                                    <w:div w:id="1812359079">
                                      <w:marLeft w:val="0"/>
                                      <w:marRight w:val="0"/>
                                      <w:marTop w:val="0"/>
                                      <w:marBottom w:val="0"/>
                                      <w:divBdr>
                                        <w:top w:val="none" w:sz="0" w:space="0" w:color="auto"/>
                                        <w:left w:val="none" w:sz="0" w:space="0" w:color="auto"/>
                                        <w:bottom w:val="none" w:sz="0" w:space="0" w:color="auto"/>
                                        <w:right w:val="none" w:sz="0" w:space="0" w:color="auto"/>
                                      </w:divBdr>
                                    </w:div>
                                    <w:div w:id="604581599">
                                      <w:marLeft w:val="0"/>
                                      <w:marRight w:val="0"/>
                                      <w:marTop w:val="0"/>
                                      <w:marBottom w:val="0"/>
                                      <w:divBdr>
                                        <w:top w:val="none" w:sz="0" w:space="0" w:color="auto"/>
                                        <w:left w:val="none" w:sz="0" w:space="0" w:color="auto"/>
                                        <w:bottom w:val="none" w:sz="0" w:space="0" w:color="auto"/>
                                        <w:right w:val="none" w:sz="0" w:space="0" w:color="auto"/>
                                      </w:divBdr>
                                    </w:div>
                                    <w:div w:id="790368033">
                                      <w:marLeft w:val="0"/>
                                      <w:marRight w:val="0"/>
                                      <w:marTop w:val="0"/>
                                      <w:marBottom w:val="0"/>
                                      <w:divBdr>
                                        <w:top w:val="none" w:sz="0" w:space="0" w:color="auto"/>
                                        <w:left w:val="none" w:sz="0" w:space="0" w:color="auto"/>
                                        <w:bottom w:val="none" w:sz="0" w:space="0" w:color="auto"/>
                                        <w:right w:val="none" w:sz="0" w:space="0" w:color="auto"/>
                                      </w:divBdr>
                                    </w:div>
                                  </w:divsChild>
                                </w:div>
                                <w:div w:id="1074930425">
                                  <w:marLeft w:val="0"/>
                                  <w:marRight w:val="0"/>
                                  <w:marTop w:val="0"/>
                                  <w:marBottom w:val="0"/>
                                  <w:divBdr>
                                    <w:top w:val="none" w:sz="0" w:space="0" w:color="auto"/>
                                    <w:left w:val="none" w:sz="0" w:space="0" w:color="auto"/>
                                    <w:bottom w:val="none" w:sz="0" w:space="0" w:color="auto"/>
                                    <w:right w:val="none" w:sz="0" w:space="0" w:color="auto"/>
                                  </w:divBdr>
                                  <w:divsChild>
                                    <w:div w:id="781807869">
                                      <w:marLeft w:val="900"/>
                                      <w:marRight w:val="0"/>
                                      <w:marTop w:val="0"/>
                                      <w:marBottom w:val="0"/>
                                      <w:divBdr>
                                        <w:top w:val="none" w:sz="0" w:space="0" w:color="auto"/>
                                        <w:left w:val="none" w:sz="0" w:space="0" w:color="auto"/>
                                        <w:bottom w:val="none" w:sz="0" w:space="0" w:color="auto"/>
                                        <w:right w:val="none" w:sz="0" w:space="0" w:color="auto"/>
                                      </w:divBdr>
                                      <w:divsChild>
                                        <w:div w:id="286394498">
                                          <w:marLeft w:val="0"/>
                                          <w:marRight w:val="0"/>
                                          <w:marTop w:val="0"/>
                                          <w:marBottom w:val="0"/>
                                          <w:divBdr>
                                            <w:top w:val="none" w:sz="0" w:space="0" w:color="auto"/>
                                            <w:left w:val="none" w:sz="0" w:space="0" w:color="auto"/>
                                            <w:bottom w:val="none" w:sz="0" w:space="0" w:color="auto"/>
                                            <w:right w:val="none" w:sz="0" w:space="0" w:color="auto"/>
                                          </w:divBdr>
                                        </w:div>
                                        <w:div w:id="1669168211">
                                          <w:marLeft w:val="0"/>
                                          <w:marRight w:val="0"/>
                                          <w:marTop w:val="0"/>
                                          <w:marBottom w:val="0"/>
                                          <w:divBdr>
                                            <w:top w:val="none" w:sz="0" w:space="0" w:color="auto"/>
                                            <w:left w:val="none" w:sz="0" w:space="0" w:color="auto"/>
                                            <w:bottom w:val="none" w:sz="0" w:space="0" w:color="auto"/>
                                            <w:right w:val="none" w:sz="0" w:space="0" w:color="auto"/>
                                          </w:divBdr>
                                        </w:div>
                                        <w:div w:id="79490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06983">
                                  <w:marLeft w:val="900"/>
                                  <w:marRight w:val="0"/>
                                  <w:marTop w:val="0"/>
                                  <w:marBottom w:val="0"/>
                                  <w:divBdr>
                                    <w:top w:val="none" w:sz="0" w:space="0" w:color="auto"/>
                                    <w:left w:val="none" w:sz="0" w:space="0" w:color="auto"/>
                                    <w:bottom w:val="none" w:sz="0" w:space="0" w:color="auto"/>
                                    <w:right w:val="none" w:sz="0" w:space="0" w:color="auto"/>
                                  </w:divBdr>
                                </w:div>
                                <w:div w:id="113556537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2021-09-17T19:16:38+00:00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8f0ccb0b-2b45-4ecf-807d-d8fd9145fac4">
      <UserInfo>
        <DisplayName>Bryant, Renee</DisplayName>
        <AccountId>52</AccountId>
        <AccountType/>
      </UserInfo>
      <UserInfo>
        <DisplayName>Tucker, Michelle</DisplayName>
        <AccountId>83</AccountId>
        <AccountType/>
      </UserInfo>
      <UserInfo>
        <DisplayName>Wirth, Karen</DisplayName>
        <AccountId>19</AccountId>
        <AccountType/>
      </UserInfo>
      <UserInfo>
        <DisplayName>Means, Chrislyn</DisplayName>
        <AccountId>15</AccountId>
        <AccountType/>
      </UserInfo>
      <UserInfo>
        <DisplayName>Lynch, Katie</DisplayName>
        <AccountId>84</AccountId>
        <AccountType/>
      </UserInfo>
      <UserInfo>
        <DisplayName>Olive, Robert</DisplayName>
        <AccountId>44</AccountId>
        <AccountType/>
      </UserInfo>
      <UserInfo>
        <DisplayName>Hutchinson, Marcella</DisplayName>
        <AccountId>79</AccountId>
        <AccountType/>
      </UserInfo>
      <UserInfo>
        <DisplayName>McElhinney, Cary</DisplayName>
        <AccountId>85</AccountId>
        <AccountType/>
      </UserInfo>
      <UserInfo>
        <DisplayName>Jacobs, Kira</DisplayName>
        <AccountId>86</AccountId>
        <AccountType/>
      </UserInfo>
      <UserInfo>
        <DisplayName>Fontenot, Brian</DisplayName>
        <AccountId>87</AccountId>
        <AccountType/>
      </UserInfo>
      <UserInfo>
        <DisplayName>Gaggero, Jaime</DisplayName>
        <AccountId>88</AccountId>
        <AccountType/>
      </UserInfo>
      <UserInfo>
        <DisplayName>Parker, Drew</DisplayName>
        <AccountId>89</AccountId>
        <AccountType/>
      </UserInfo>
      <UserInfo>
        <DisplayName>Lavery, Ted</DisplayName>
        <AccountId>90</AccountId>
        <AccountType/>
      </UserInfo>
      <UserInfo>
        <DisplayName>Comerford, Sherri</DisplayName>
        <AccountId>10</AccountId>
        <AccountType/>
      </UserInfo>
      <UserInfo>
        <DisplayName>Drake, Wendy</DisplayName>
        <AccountId>91</AccountId>
        <AccountType/>
      </UserInfo>
      <UserInfo>
        <DisplayName>Leon-Guerrero, Ephraim</DisplayName>
        <AccountId>92</AccountId>
        <AccountType/>
      </UserInfo>
      <UserInfo>
        <DisplayName>Goodwin, Kara</DisplayName>
        <AccountId>20</AccountId>
        <AccountType/>
      </UserInfo>
      <UserInfo>
        <DisplayName>Wolfgang, Michelle</DisplayName>
        <AccountId>93</AccountId>
        <AccountType/>
      </UserInfo>
      <UserInfo>
        <DisplayName>Ray, Lauren</DisplayName>
        <AccountId>23</AccountId>
        <AccountType/>
      </UserInfo>
      <UserInfo>
        <DisplayName>Rossi, Daniela</DisplayName>
        <AccountId>36</AccountId>
        <AccountType/>
      </UserInfo>
      <UserInfo>
        <DisplayName>Tiendrebeogo, Terrell</DisplayName>
        <AccountId>22</AccountId>
        <AccountType/>
      </UserInfo>
      <UserInfo>
        <DisplayName>Edmund, Nnana</DisplayName>
        <AccountId>94</AccountId>
        <AccountType/>
      </UserInfo>
      <UserInfo>
        <DisplayName>Heath, Victoria</DisplayName>
        <AccountId>82</AccountId>
        <AccountType/>
      </UserInfo>
      <UserInfo>
        <DisplayName>Stokes, Joseph</DisplayName>
        <AccountId>43</AccountId>
        <AccountType/>
      </UserInfo>
      <UserInfo>
        <DisplayName>Vassalotti, Virginia</DisplayName>
        <AccountId>95</AccountId>
        <AccountType/>
      </UserInfo>
      <UserInfo>
        <DisplayName>Slane, Robert</DisplayName>
        <AccountId>96</AccountId>
        <AccountType/>
      </UserInfo>
      <UserInfo>
        <DisplayName>Kinney, Margaret</DisplayName>
        <AccountId>97</AccountId>
        <AccountType/>
      </UserInfo>
      <UserInfo>
        <DisplayName>Feret, Karen (Milam)</DisplayName>
        <AccountId>21</AccountId>
        <AccountType/>
      </UserInfo>
      <UserInfo>
        <DisplayName>Thompkins, Anita</DisplayName>
        <AccountId>98</AccountId>
        <AccountType/>
      </UserInfo>
      <UserInfo>
        <DisplayName>Bergman, Ronald</DisplayName>
        <AccountId>99</AccountId>
        <AccountType/>
      </UserInfo>
      <UserInfo>
        <DisplayName>Simbanin, Cynthia</DisplayName>
        <AccountId>100</AccountId>
        <AccountType/>
      </UserInfo>
      <UserInfo>
        <DisplayName>Bates, William</DisplayName>
        <AccountId>101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AB26B0D8085F48A9144F3A5DA03370" ma:contentTypeVersion="6" ma:contentTypeDescription="Create a new document." ma:contentTypeScope="" ma:versionID="2198c6d53a8c4efd7716e6d8b3891c9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3fe2bc6-81ec-4aad-a296-b74ae9f31a66" xmlns:ns6="8f0ccb0b-2b45-4ecf-807d-d8fd9145fac4" targetNamespace="http://schemas.microsoft.com/office/2006/metadata/properties" ma:root="true" ma:fieldsID="fd2d68e9aa6f837459197c5d45f25adc" ns1:_="" ns2:_="" ns3:_="" ns4:_="" ns5:_="" ns6:_="">
    <xsd:import namespace="http://schemas.microsoft.com/sharepoint/v3"/>
    <xsd:import namespace="4ffa91fb-a0ff-4ac5-b2db-65c790d184a4"/>
    <xsd:import namespace="http://schemas.microsoft.com/sharepoint.v3"/>
    <xsd:import namespace="http://schemas.microsoft.com/sharepoint/v3/fields"/>
    <xsd:import namespace="c3fe2bc6-81ec-4aad-a296-b74ae9f31a66"/>
    <xsd:import namespace="8f0ccb0b-2b45-4ecf-807d-d8fd9145fac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b428a7a-6706-4a0e-82f4-b702c85dba87}" ma:internalName="TaxCatchAllLabel" ma:readOnly="true" ma:showField="CatchAllDataLabel" ma:web="8f0ccb0b-2b45-4ecf-807d-d8fd9145fac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b428a7a-6706-4a0e-82f4-b702c85dba87}" ma:internalName="TaxCatchAll" ma:showField="CatchAllData" ma:web="8f0ccb0b-2b45-4ecf-807d-d8fd9145fa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fe2bc6-81ec-4aad-a296-b74ae9f31a6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0ccb0b-2b45-4ecf-807d-d8fd9145fac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D93C55AD-2B71-4CE9-91DC-7ACF0A82CAE9}">
  <ds:schemaRefs>
    <ds:schemaRef ds:uri="http://schemas.microsoft.com/sharepoint/v3/contenttype/forms"/>
  </ds:schemaRefs>
</ds:datastoreItem>
</file>

<file path=customXml/itemProps2.xml><?xml version="1.0" encoding="utf-8"?>
<ds:datastoreItem xmlns:ds="http://schemas.openxmlformats.org/officeDocument/2006/customXml" ds:itemID="{C4B16865-4EEB-4B53-A782-42F5DF722D9F}">
  <ds:schemaRefs>
    <ds:schemaRef ds:uri="http://schemas.openxmlformats.org/officeDocument/2006/bibliography"/>
  </ds:schemaRefs>
</ds:datastoreItem>
</file>

<file path=customXml/itemProps3.xml><?xml version="1.0" encoding="utf-8"?>
<ds:datastoreItem xmlns:ds="http://schemas.openxmlformats.org/officeDocument/2006/customXml" ds:itemID="{65D512A0-318C-423E-B52C-2033A2AA8544}">
  <ds:schemaRefs>
    <ds:schemaRef ds:uri="http://schemas.microsoft.com/office/infopath/2007/PartnerControls"/>
    <ds:schemaRef ds:uri="c3fe2bc6-81ec-4aad-a296-b74ae9f31a66"/>
    <ds:schemaRef ds:uri="http://schemas.microsoft.com/office/2006/documentManagement/types"/>
    <ds:schemaRef ds:uri="http://purl.org/dc/terms/"/>
    <ds:schemaRef ds:uri="http://schemas.openxmlformats.org/package/2006/metadata/core-properties"/>
    <ds:schemaRef ds:uri="http://schemas.microsoft.com/office/2006/metadata/properties"/>
    <ds:schemaRef ds:uri="4ffa91fb-a0ff-4ac5-b2db-65c790d184a4"/>
    <ds:schemaRef ds:uri="8f0ccb0b-2b45-4ecf-807d-d8fd9145fac4"/>
    <ds:schemaRef ds:uri="http://schemas.microsoft.com/sharepoint/v3/fields"/>
    <ds:schemaRef ds:uri="http://purl.org/dc/elements/1.1/"/>
    <ds:schemaRef ds:uri="http://schemas.microsoft.com/sharepoint.v3"/>
    <ds:schemaRef ds:uri="http://schemas.microsoft.com/sharepoint/v3"/>
    <ds:schemaRef ds:uri="http://www.w3.org/XML/1998/namespace"/>
    <ds:schemaRef ds:uri="http://purl.org/dc/dcmitype/"/>
    <ds:schemaRef ds:uri="ed7dd8e5-4eb3-44b2-95e5-8ff76e681368"/>
  </ds:schemaRefs>
</ds:datastoreItem>
</file>

<file path=customXml/itemProps4.xml><?xml version="1.0" encoding="utf-8"?>
<ds:datastoreItem xmlns:ds="http://schemas.openxmlformats.org/officeDocument/2006/customXml" ds:itemID="{1222A080-7D07-43F7-8542-053AE2811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3fe2bc6-81ec-4aad-a296-b74ae9f31a66"/>
    <ds:schemaRef ds:uri="8f0ccb0b-2b45-4ecf-807d-d8fd9145f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D77CD2-EB2A-4A65-9A4C-BEB7E0B153C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9162</Words>
  <Characters>52230</Characters>
  <Application>Microsoft Office Word</Application>
  <DocSecurity>4</DocSecurity>
  <Lines>435</Lines>
  <Paragraphs>122</Paragraphs>
  <ScaleCrop>false</ScaleCrop>
  <HeadingPairs>
    <vt:vector size="2" baseType="variant">
      <vt:variant>
        <vt:lpstr>Title</vt:lpstr>
      </vt:variant>
      <vt:variant>
        <vt:i4>1</vt:i4>
      </vt:variant>
    </vt:vector>
  </HeadingPairs>
  <TitlesOfParts>
    <vt:vector size="1" baseType="lpstr">
      <vt:lpstr>SUPPLEMENTARY INFORMATION:</vt:lpstr>
    </vt:vector>
  </TitlesOfParts>
  <Company/>
  <LinksUpToDate>false</LinksUpToDate>
  <CharactersWithSpaces>61270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dc:title>
  <dc:subject/>
  <dc:creator>Katie Palanjian</dc:creator>
  <cp:keywords/>
  <cp:lastModifiedBy>Schultz, Eric</cp:lastModifiedBy>
  <cp:revision>2</cp:revision>
  <cp:lastPrinted>2019-03-22T15:16:00Z</cp:lastPrinted>
  <dcterms:created xsi:type="dcterms:W3CDTF">2022-07-28T20:48:00Z</dcterms:created>
  <dcterms:modified xsi:type="dcterms:W3CDTF">2022-07-28T20:48:00Z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0x010100BCAB26B0D8085F48A9144F3A5DA03370</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