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EA5" w:rsidP="00871EA5" w:rsidRDefault="00871EA5" w14:paraId="069530E1" w14:textId="23A62B8A">
      <w:pPr>
        <w:tabs>
          <w:tab w:val="center" w:pos="4680"/>
        </w:tabs>
        <w:spacing w:after="0"/>
        <w:ind w:firstLine="0"/>
        <w:jc w:val="center"/>
        <w:rPr>
          <w:b/>
          <w:bCs/>
        </w:rPr>
      </w:pPr>
      <w:r>
        <w:rPr>
          <w:b/>
          <w:bCs/>
        </w:rPr>
        <w:fldChar w:fldCharType="begin"/>
      </w:r>
      <w:r>
        <w:rPr>
          <w:b/>
          <w:bCs/>
        </w:rPr>
        <w:instrText>tc \l2 "SF</w:instrText>
      </w:r>
      <w:r>
        <w:rPr>
          <w:b/>
          <w:bCs/>
        </w:rPr>
        <w:fldChar w:fldCharType="end"/>
      </w:r>
      <w:r>
        <w:rPr>
          <w:b/>
          <w:bCs/>
        </w:rPr>
        <w:t>SUPPORTING STATEMENT</w:t>
      </w:r>
    </w:p>
    <w:p w:rsidRPr="004041D7" w:rsidR="00871EA5" w:rsidP="00871EA5" w:rsidRDefault="00871EA5" w14:paraId="7F9A30D0" w14:textId="02C341EA">
      <w:pPr>
        <w:tabs>
          <w:tab w:val="center" w:pos="4680"/>
        </w:tabs>
        <w:spacing w:after="0"/>
        <w:ind w:firstLine="0"/>
        <w:jc w:val="center"/>
        <w:outlineLvl w:val="0"/>
      </w:pPr>
      <w:r>
        <w:rPr>
          <w:b/>
          <w:bCs/>
        </w:rPr>
        <w:t>ENVIRONMENTAL PROTECTION AGENCY</w:t>
      </w:r>
    </w:p>
    <w:p w:rsidRPr="00871EA5" w:rsidR="00D54C8B" w:rsidP="00871EA5" w:rsidRDefault="00871EA5" w14:paraId="3F925D8B" w14:textId="17C47125">
      <w:pPr>
        <w:spacing w:before="240" w:after="480" w:line="240" w:lineRule="auto"/>
        <w:ind w:firstLine="0"/>
        <w:jc w:val="center"/>
        <w:outlineLvl w:val="0"/>
        <w:rPr>
          <w:b/>
          <w:szCs w:val="24"/>
          <w:lang w:val="en-CA"/>
        </w:rPr>
      </w:pPr>
      <w:r>
        <w:rPr>
          <w:b/>
          <w:szCs w:val="24"/>
          <w:lang w:val="en-CA"/>
        </w:rPr>
        <w:t xml:space="preserve">Revisions to the National Oil and Hazardous Substances Pollution Contingency Plan, Subpart J </w:t>
      </w:r>
      <w:r w:rsidRPr="00E40C66">
        <w:rPr>
          <w:b/>
          <w:bCs/>
          <w:szCs w:val="24"/>
        </w:rPr>
        <w:t>(40 CFR 300.900)</w:t>
      </w:r>
    </w:p>
    <w:p w:rsidRPr="004B3E9F" w:rsidR="005C0CB9" w:rsidP="003A79FF" w:rsidRDefault="004165F0" w14:paraId="02D54059" w14:textId="62AF97CB">
      <w:pPr>
        <w:pStyle w:val="Heading1"/>
        <w:ind w:left="360"/>
      </w:pPr>
      <w:r w:rsidRPr="004B3E9F">
        <w:t>I</w:t>
      </w:r>
      <w:r w:rsidR="00871EA5">
        <w:t>dentification of the Information Collection</w:t>
      </w:r>
    </w:p>
    <w:p w:rsidRPr="00152400" w:rsidR="005C0CB9" w:rsidP="00871EA5" w:rsidRDefault="005C0CB9" w14:paraId="3CA8E4B9" w14:textId="31E438F4">
      <w:pPr>
        <w:pStyle w:val="Heading2"/>
      </w:pPr>
      <w:r w:rsidRPr="00152400">
        <w:t>Title of the Information Collection</w:t>
      </w:r>
    </w:p>
    <w:p w:rsidRPr="004B3E9F" w:rsidR="00E144A8" w:rsidP="004B3E9F" w:rsidRDefault="009F5463" w14:paraId="6D9DF13C" w14:textId="7AEB993E">
      <w:r w:rsidRPr="009F5463">
        <w:t>National Oil and Hazardous Substances Pollution Contingency Plan; Monitoring Requirements for Use of Dispersants and Other Chemicals (Final Rule)</w:t>
      </w:r>
      <w:r>
        <w:t>.</w:t>
      </w:r>
      <w:r w:rsidRPr="009F5463">
        <w:t xml:space="preserve"> </w:t>
      </w:r>
      <w:r w:rsidRPr="008A4451" w:rsidR="004165F0">
        <w:rPr>
          <w:bCs/>
          <w:szCs w:val="24"/>
        </w:rPr>
        <w:t xml:space="preserve">(EPA </w:t>
      </w:r>
      <w:r w:rsidRPr="008A4451" w:rsidR="00705C7F">
        <w:rPr>
          <w:bCs/>
          <w:szCs w:val="24"/>
        </w:rPr>
        <w:t xml:space="preserve">ICR </w:t>
      </w:r>
      <w:r w:rsidRPr="008A4451" w:rsidR="008A4451">
        <w:rPr>
          <w:bCs/>
          <w:szCs w:val="24"/>
        </w:rPr>
        <w:t>#</w:t>
      </w:r>
      <w:r w:rsidRPr="008A4451" w:rsidR="00705C7F">
        <w:rPr>
          <w:bCs/>
          <w:szCs w:val="24"/>
        </w:rPr>
        <w:t xml:space="preserve"> </w:t>
      </w:r>
      <w:r>
        <w:rPr>
          <w:bCs/>
        </w:rPr>
        <w:t>1644.13</w:t>
      </w:r>
      <w:r w:rsidRPr="008A4451" w:rsidR="00705C7F">
        <w:rPr>
          <w:bCs/>
          <w:szCs w:val="24"/>
        </w:rPr>
        <w:t xml:space="preserve">, OMB </w:t>
      </w:r>
      <w:r w:rsidRPr="008A4451" w:rsidR="008A4451">
        <w:rPr>
          <w:bCs/>
          <w:szCs w:val="24"/>
        </w:rPr>
        <w:t>#</w:t>
      </w:r>
      <w:r w:rsidRPr="008A4451" w:rsidR="00705C7F">
        <w:rPr>
          <w:bCs/>
          <w:szCs w:val="24"/>
        </w:rPr>
        <w:t xml:space="preserve"> 2050-</w:t>
      </w:r>
      <w:r>
        <w:rPr>
          <w:bCs/>
          <w:szCs w:val="24"/>
        </w:rPr>
        <w:t>0141</w:t>
      </w:r>
      <w:r w:rsidRPr="008A4451" w:rsidR="004165F0">
        <w:rPr>
          <w:bCs/>
          <w:szCs w:val="24"/>
        </w:rPr>
        <w:t>)</w:t>
      </w:r>
    </w:p>
    <w:p w:rsidRPr="00152400" w:rsidR="005C0CB9" w:rsidP="00871EA5" w:rsidRDefault="005C0CB9" w14:paraId="2C354438" w14:textId="33B366A9">
      <w:pPr>
        <w:pStyle w:val="Heading2"/>
      </w:pPr>
      <w:r w:rsidRPr="00152400">
        <w:t>Short Characterization/Abstract</w:t>
      </w:r>
    </w:p>
    <w:p w:rsidRPr="00EB4F0D" w:rsidR="008E23EC" w:rsidP="008E23EC" w:rsidRDefault="008E23EC" w14:paraId="59CD5A06" w14:textId="466C6C60">
      <w:pPr>
        <w:rPr>
          <w:szCs w:val="24"/>
        </w:rPr>
      </w:pPr>
      <w:r>
        <w:rPr>
          <w:szCs w:val="24"/>
        </w:rPr>
        <w:t xml:space="preserve">The </w:t>
      </w:r>
      <w:r w:rsidRPr="00ED3322">
        <w:rPr>
          <w:szCs w:val="24"/>
        </w:rPr>
        <w:t xml:space="preserve">Environmental Protection Agency (EPA or the Agency) </w:t>
      </w:r>
      <w:r>
        <w:rPr>
          <w:szCs w:val="24"/>
        </w:rPr>
        <w:t xml:space="preserve">regulatory </w:t>
      </w:r>
      <w:r w:rsidRPr="00ED3322">
        <w:rPr>
          <w:szCs w:val="24"/>
        </w:rPr>
        <w:t xml:space="preserve">requirements </w:t>
      </w:r>
      <w:r>
        <w:rPr>
          <w:szCs w:val="24"/>
        </w:rPr>
        <w:t xml:space="preserve">in </w:t>
      </w:r>
      <w:r w:rsidRPr="00ED3322">
        <w:rPr>
          <w:szCs w:val="24"/>
        </w:rPr>
        <w:t xml:space="preserve">Subpart J of the </w:t>
      </w:r>
      <w:r>
        <w:rPr>
          <w:szCs w:val="24"/>
        </w:rPr>
        <w:t xml:space="preserve">NCP govern the use of </w:t>
      </w:r>
      <w:r w:rsidRPr="004B487A">
        <w:rPr>
          <w:szCs w:val="24"/>
        </w:rPr>
        <w:t>dispersants and any other chemical agent</w:t>
      </w:r>
      <w:r>
        <w:rPr>
          <w:szCs w:val="24"/>
        </w:rPr>
        <w:t xml:space="preserve">s or other substances in response to oil spills. Subpart J (40 CFR 300.900) applies to </w:t>
      </w:r>
      <w:r w:rsidRPr="00046E10">
        <w:rPr>
          <w:szCs w:val="24"/>
        </w:rPr>
        <w:t>the navigable waters of the United States and adjoining shorelines</w:t>
      </w:r>
      <w:r w:rsidR="00D5157F">
        <w:rPr>
          <w:szCs w:val="24"/>
        </w:rPr>
        <w:t>;</w:t>
      </w:r>
      <w:r w:rsidRPr="00046E10">
        <w:rPr>
          <w:szCs w:val="24"/>
        </w:rPr>
        <w:t xml:space="preserve"> the waters of the contiguous zone and the high seas beyond the contiguous zone in connection with activities under the Outer Continental Shelf Lands Act</w:t>
      </w:r>
      <w:r w:rsidR="00D5157F">
        <w:rPr>
          <w:szCs w:val="24"/>
        </w:rPr>
        <w:t>;</w:t>
      </w:r>
      <w:r w:rsidRPr="00046E10">
        <w:rPr>
          <w:szCs w:val="24"/>
        </w:rPr>
        <w:t xml:space="preserve"> activities under the Deepwater Port Act of 1974</w:t>
      </w:r>
      <w:r w:rsidR="00D5157F">
        <w:rPr>
          <w:szCs w:val="24"/>
        </w:rPr>
        <w:t>;</w:t>
      </w:r>
      <w:r w:rsidRPr="00046E10">
        <w:rPr>
          <w:szCs w:val="24"/>
        </w:rPr>
        <w:t xml:space="preserve"> or activities that may affect natural resources belonging to, appertaining to, or under the exclusive management authority of the United States, including resources under the Magnuson Fishery Conservation and Management Act of 1976</w:t>
      </w:r>
      <w:r>
        <w:rPr>
          <w:szCs w:val="24"/>
        </w:rPr>
        <w:t xml:space="preserve"> </w:t>
      </w:r>
      <w:r w:rsidRPr="00EB4F0D">
        <w:rPr>
          <w:szCs w:val="24"/>
        </w:rPr>
        <w:t xml:space="preserve">(waters of the US and adjoining shorelines). </w:t>
      </w:r>
    </w:p>
    <w:p w:rsidR="004B5709" w:rsidP="00871EA5" w:rsidRDefault="00045545" w14:paraId="2FEA456A" w14:textId="77FFE989">
      <w:bookmarkStart w:name="_Hlk32993808" w:id="0"/>
      <w:r w:rsidRPr="00152400">
        <w:t xml:space="preserve">On January 22, 2015, EPA published a proposed rule </w:t>
      </w:r>
      <w:r w:rsidRPr="00152400" w:rsidR="00EC06EA">
        <w:t xml:space="preserve">in the Federal Register (80 FR 3380) </w:t>
      </w:r>
      <w:r w:rsidRPr="00152400">
        <w:t>to amend Subpart J of the NCP</w:t>
      </w:r>
      <w:r w:rsidR="003A46A5">
        <w:t xml:space="preserve"> to</w:t>
      </w:r>
      <w:r w:rsidRPr="00152400">
        <w:t xml:space="preserve"> inform the use of dispersants and other chemical or biological agents when responding to oil discharges. The</w:t>
      </w:r>
      <w:r w:rsidRPr="00152400" w:rsidR="00EC06EA">
        <w:t xml:space="preserve"> </w:t>
      </w:r>
      <w:r w:rsidR="00FE3459">
        <w:t xml:space="preserve">proposed </w:t>
      </w:r>
      <w:r w:rsidRPr="00152400" w:rsidR="00EC06EA">
        <w:t>amendments</w:t>
      </w:r>
      <w:r w:rsidRPr="00152400">
        <w:t xml:space="preserve"> inc</w:t>
      </w:r>
      <w:r w:rsidRPr="009E6171">
        <w:t>orpor</w:t>
      </w:r>
      <w:r w:rsidRPr="00152400">
        <w:t>ate</w:t>
      </w:r>
      <w:r w:rsidR="00FE3459">
        <w:t>d</w:t>
      </w:r>
      <w:r w:rsidRPr="00152400">
        <w:t xml:space="preserve"> lessons learned from the federal government’s experiences in the Gulf</w:t>
      </w:r>
      <w:r w:rsidR="0091445F">
        <w:t xml:space="preserve">. </w:t>
      </w:r>
      <w:r w:rsidR="000C321B">
        <w:t>They also</w:t>
      </w:r>
      <w:r w:rsidRPr="00152400">
        <w:t xml:space="preserve"> address</w:t>
      </w:r>
      <w:r w:rsidR="00FE3459">
        <w:t>ed</w:t>
      </w:r>
      <w:r w:rsidRPr="00152400">
        <w:t xml:space="preserve"> recommendations specific to agent testing and use in response to oil discharges from the National Commission on the BP Deepwater Horizon Oil Spill and Offshore Drilling Report to the Presiden</w:t>
      </w:r>
      <w:r w:rsidR="00C81E4C">
        <w:t>t</w:t>
      </w:r>
      <w:r w:rsidR="00411C0A">
        <w:t>;</w:t>
      </w:r>
      <w:r w:rsidR="00C81E4C">
        <w:t xml:space="preserve"> in particular, </w:t>
      </w:r>
      <w:r w:rsidRPr="00152400">
        <w:t>n</w:t>
      </w:r>
      <w:r w:rsidR="003A46A5">
        <w:t xml:space="preserve">ew </w:t>
      </w:r>
      <w:r w:rsidRPr="00152400">
        <w:t>monitoring requirements for subsea or prolonged surface application of dispersants</w:t>
      </w:r>
      <w:r w:rsidR="00411C0A">
        <w:t>,</w:t>
      </w:r>
      <w:r w:rsidR="00C81E4C">
        <w:t xml:space="preserve"> which are addressed in this ICR</w:t>
      </w:r>
      <w:r w:rsidRPr="00152400">
        <w:t xml:space="preserve">. </w:t>
      </w:r>
      <w:r w:rsidRPr="00152400" w:rsidR="001C3A8B">
        <w:t xml:space="preserve">A copy of the Proposed Subpart J rule and accompanying ICR can be found in the EPA docket </w:t>
      </w:r>
      <w:hyperlink w:history="1" w:anchor="!docketDetail;D=EPA-HQ-OPA-2006-0090" r:id="rId12">
        <w:r w:rsidRPr="006555EE" w:rsidR="001C3A8B">
          <w:t>EPA-HQ-OPA-200</w:t>
        </w:r>
        <w:r w:rsidR="000E310A">
          <w:t>6</w:t>
        </w:r>
        <w:r w:rsidRPr="006555EE" w:rsidR="001C3A8B">
          <w:t>-00</w:t>
        </w:r>
        <w:r w:rsidRPr="006555EE" w:rsidR="006555EE">
          <w:t>90</w:t>
        </w:r>
      </w:hyperlink>
      <w:r w:rsidRPr="0026323C" w:rsidR="00B31FAE">
        <w:t xml:space="preserve">, where future </w:t>
      </w:r>
      <w:r w:rsidRPr="0026323C" w:rsidR="00F432D1">
        <w:t xml:space="preserve">Agency </w:t>
      </w:r>
      <w:r w:rsidRPr="0026323C" w:rsidR="00B31FAE">
        <w:t>actions will be posted</w:t>
      </w:r>
      <w:r w:rsidRPr="0026323C" w:rsidR="001C3A8B">
        <w:t xml:space="preserve">. </w:t>
      </w:r>
      <w:r w:rsidRPr="00152400" w:rsidR="00EA6A7E">
        <w:t xml:space="preserve">The </w:t>
      </w:r>
      <w:r w:rsidRPr="004165F0" w:rsidR="00EB4F0D">
        <w:t>Subpart J rule promulgated in 1994</w:t>
      </w:r>
      <w:r w:rsidR="00EB4F0D">
        <w:t xml:space="preserve"> is covered by </w:t>
      </w:r>
      <w:r w:rsidRPr="00152400" w:rsidR="00EB4F0D">
        <w:t xml:space="preserve">ICR </w:t>
      </w:r>
      <w:r w:rsidR="00EB4F0D">
        <w:t>No.</w:t>
      </w:r>
      <w:r w:rsidRPr="00152400" w:rsidR="00EB4F0D">
        <w:t xml:space="preserve"> 1664.1</w:t>
      </w:r>
      <w:r w:rsidR="002478A0">
        <w:t>1</w:t>
      </w:r>
      <w:r w:rsidR="00947582">
        <w:t xml:space="preserve">, which can be found in </w:t>
      </w:r>
      <w:r w:rsidRPr="00152400" w:rsidR="00947582">
        <w:t xml:space="preserve">EPA docket: </w:t>
      </w:r>
      <w:hyperlink w:history="1" w:anchor="!docketDetail;D=EPA-HQ-OPA-2006-0090" r:id="rId13">
        <w:r w:rsidRPr="006555EE" w:rsidR="00947582">
          <w:t>EPA-HQ-OPA-200</w:t>
        </w:r>
        <w:r w:rsidR="00781179">
          <w:t>7</w:t>
        </w:r>
        <w:r w:rsidRPr="006555EE" w:rsidR="00947582">
          <w:t>-00</w:t>
        </w:r>
      </w:hyperlink>
      <w:r w:rsidR="00947582">
        <w:t>42</w:t>
      </w:r>
      <w:r w:rsidR="00EB4F0D">
        <w:t>.</w:t>
      </w:r>
    </w:p>
    <w:p w:rsidR="00045545" w:rsidP="00871EA5" w:rsidRDefault="004B5709" w14:paraId="7DAC7EF8" w14:textId="05939A51">
      <w:r w:rsidRPr="00CD765D">
        <w:rPr>
          <w:bCs/>
        </w:rPr>
        <w:t>The</w:t>
      </w:r>
      <w:r w:rsidRPr="00CD765D">
        <w:t xml:space="preserve"> </w:t>
      </w:r>
      <w:r w:rsidRPr="0094091E">
        <w:t>goal</w:t>
      </w:r>
      <w:r w:rsidRPr="0094091E" w:rsidDel="00837F50">
        <w:t xml:space="preserve"> </w:t>
      </w:r>
      <w:r w:rsidRPr="0094091E">
        <w:t xml:space="preserve">of establishing a Schedule under the NCP is to protect the environment from possible damage </w:t>
      </w:r>
      <w:r w:rsidR="00781179">
        <w:t>caused by</w:t>
      </w:r>
      <w:r w:rsidRPr="0094091E">
        <w:t xml:space="preserve"> spill mitigating </w:t>
      </w:r>
      <w:r>
        <w:t xml:space="preserve">agents </w:t>
      </w:r>
      <w:r w:rsidRPr="0094091E">
        <w:t>used in response to oil discharges. The new monitoring requirements for certain discharge situations in this action supplement the existing regulatory provisions under Subpart J</w:t>
      </w:r>
      <w:r>
        <w:t>,</w:t>
      </w:r>
      <w:r w:rsidRPr="0094091E">
        <w:t xml:space="preserve"> which include test data and information requirements for chemical agents as well as procedures</w:t>
      </w:r>
      <w:r w:rsidRPr="0094091E" w:rsidDel="00A677CC">
        <w:t xml:space="preserve"> </w:t>
      </w:r>
      <w:r w:rsidRPr="0094091E">
        <w:t>for authorizing the use of those agents to respond to oil spills.</w:t>
      </w:r>
      <w:r w:rsidRPr="004165F0" w:rsidR="001C3A8B">
        <w:t xml:space="preserve"> </w:t>
      </w:r>
    </w:p>
    <w:p w:rsidR="00111B28" w:rsidP="00C81E4C" w:rsidRDefault="00EB4F0D" w14:paraId="61FDFC7D" w14:textId="1BF34013">
      <w:r>
        <w:lastRenderedPageBreak/>
        <w:t>The Agency</w:t>
      </w:r>
      <w:r w:rsidR="005B7E9B">
        <w:t>’s</w:t>
      </w:r>
      <w:r w:rsidRPr="00EB4F0D">
        <w:t xml:space="preserve"> final rule establishes new requirements for monitoring dispersant products used in response to oil discharges that meet applicability criteria specified by th</w:t>
      </w:r>
      <w:r>
        <w:t>e</w:t>
      </w:r>
      <w:r w:rsidRPr="00EB4F0D">
        <w:t xml:space="preserve"> final rule</w:t>
      </w:r>
      <w:r w:rsidR="00C81E4C">
        <w:t xml:space="preserve">. </w:t>
      </w:r>
      <w:r w:rsidRPr="00696D22">
        <w:rPr>
          <w:rFonts w:eastAsia="Arial"/>
          <w:szCs w:val="24"/>
        </w:rPr>
        <w:t>The final rule adds §</w:t>
      </w:r>
      <w:r w:rsidR="008B5576">
        <w:rPr>
          <w:rFonts w:eastAsia="Arial"/>
          <w:szCs w:val="24"/>
        </w:rPr>
        <w:t xml:space="preserve"> </w:t>
      </w:r>
      <w:r w:rsidRPr="00696D22">
        <w:rPr>
          <w:rFonts w:eastAsia="Arial"/>
          <w:szCs w:val="24"/>
        </w:rPr>
        <w:t>300.913</w:t>
      </w:r>
      <w:r>
        <w:rPr>
          <w:rFonts w:eastAsia="Arial"/>
          <w:szCs w:val="24"/>
        </w:rPr>
        <w:t>, which</w:t>
      </w:r>
      <w:r w:rsidRPr="00696D22">
        <w:rPr>
          <w:rFonts w:eastAsia="Arial"/>
          <w:szCs w:val="24"/>
        </w:rPr>
        <w:t xml:space="preserve"> establish</w:t>
      </w:r>
      <w:r>
        <w:rPr>
          <w:rFonts w:eastAsia="Arial"/>
          <w:szCs w:val="24"/>
        </w:rPr>
        <w:t>es</w:t>
      </w:r>
      <w:r w:rsidRPr="00696D22">
        <w:rPr>
          <w:rFonts w:eastAsia="Arial"/>
          <w:szCs w:val="24"/>
        </w:rPr>
        <w:t xml:space="preserve"> requirements for the </w:t>
      </w:r>
      <w:r w:rsidR="003A46A5">
        <w:rPr>
          <w:rFonts w:eastAsia="Arial"/>
          <w:szCs w:val="24"/>
        </w:rPr>
        <w:t>r</w:t>
      </w:r>
      <w:r>
        <w:rPr>
          <w:rFonts w:eastAsia="Arial"/>
          <w:szCs w:val="24"/>
        </w:rPr>
        <w:t xml:space="preserve">esponsible </w:t>
      </w:r>
      <w:r w:rsidR="003A46A5">
        <w:rPr>
          <w:rFonts w:eastAsia="Arial"/>
          <w:szCs w:val="24"/>
        </w:rPr>
        <w:t>p</w:t>
      </w:r>
      <w:r>
        <w:rPr>
          <w:rFonts w:eastAsia="Arial"/>
          <w:szCs w:val="24"/>
        </w:rPr>
        <w:t>arty (RP)</w:t>
      </w:r>
      <w:r w:rsidRPr="00696D22">
        <w:rPr>
          <w:rFonts w:eastAsia="Arial"/>
          <w:szCs w:val="24"/>
        </w:rPr>
        <w:t xml:space="preserve"> to monitor any subsurface use of dispersant in response to oil discharges</w:t>
      </w:r>
      <w:r>
        <w:rPr>
          <w:rFonts w:eastAsia="Arial"/>
          <w:szCs w:val="24"/>
        </w:rPr>
        <w:t xml:space="preserve">, any </w:t>
      </w:r>
      <w:r w:rsidRPr="001D5A9C">
        <w:rPr>
          <w:rFonts w:eastAsia="Arial"/>
          <w:szCs w:val="24"/>
        </w:rPr>
        <w:t>surface use of dispersant</w:t>
      </w:r>
      <w:r>
        <w:rPr>
          <w:rFonts w:eastAsia="Arial"/>
          <w:szCs w:val="24"/>
        </w:rPr>
        <w:t>s in response to a discharge</w:t>
      </w:r>
      <w:r w:rsidRPr="00696D22">
        <w:rPr>
          <w:rFonts w:eastAsia="Arial"/>
          <w:szCs w:val="24"/>
        </w:rPr>
        <w:t xml:space="preserve"> of more than 100,000 U.S. gallons occurring within 24 hours, and </w:t>
      </w:r>
      <w:r>
        <w:rPr>
          <w:rFonts w:eastAsia="Arial"/>
          <w:szCs w:val="24"/>
        </w:rPr>
        <w:t xml:space="preserve">any </w:t>
      </w:r>
      <w:r w:rsidRPr="00696D22">
        <w:rPr>
          <w:rFonts w:eastAsia="Arial"/>
          <w:szCs w:val="24"/>
        </w:rPr>
        <w:t>surface use of dispersants for more than 96 hours in response to an oil discharge</w:t>
      </w:r>
      <w:r w:rsidR="00C81E4C">
        <w:rPr>
          <w:rFonts w:eastAsia="Arial"/>
          <w:szCs w:val="24"/>
        </w:rPr>
        <w:t>. In addition, the RP</w:t>
      </w:r>
      <w:r w:rsidRPr="00744D7D">
        <w:t xml:space="preserve"> </w:t>
      </w:r>
      <w:r>
        <w:t xml:space="preserve">must </w:t>
      </w:r>
      <w:r w:rsidRPr="00744D7D">
        <w:t xml:space="preserve">submit a </w:t>
      </w:r>
      <w:r>
        <w:t xml:space="preserve">Dispersant Monitoring </w:t>
      </w:r>
      <w:r w:rsidRPr="00744D7D">
        <w:t xml:space="preserve">Quality Assurance Project Plan for approval to the </w:t>
      </w:r>
      <w:r w:rsidR="00F33B3E">
        <w:t>Federal On</w:t>
      </w:r>
      <w:r w:rsidR="00E5609D">
        <w:t>-</w:t>
      </w:r>
      <w:r w:rsidR="00F33B3E">
        <w:t>Scene Coordinator (OSC)</w:t>
      </w:r>
      <w:r w:rsidRPr="00744D7D">
        <w:t xml:space="preserve"> covering the collection of all environmental data.</w:t>
      </w:r>
      <w:r w:rsidR="00111B28">
        <w:t xml:space="preserve"> </w:t>
      </w:r>
    </w:p>
    <w:p w:rsidR="00F32141" w:rsidP="00871EA5" w:rsidRDefault="00111B28" w14:paraId="56E91908" w14:textId="6AC04DBA">
      <w:bookmarkStart w:name="_Hlk57631363" w:id="1"/>
      <w:r>
        <w:t>The final rule</w:t>
      </w:r>
      <w:r w:rsidR="00EA6ED6">
        <w:t>’s monitoring requirements</w:t>
      </w:r>
      <w:r>
        <w:t xml:space="preserve"> include documenting information on dispersant application, performing water column sampling, oil distribution analysis, ecological characterization analysis, and immediate and daily reporting.</w:t>
      </w:r>
    </w:p>
    <w:bookmarkEnd w:id="1"/>
    <w:p w:rsidRPr="00411C0A" w:rsidR="008A4451" w:rsidP="00411C0A" w:rsidRDefault="003A79FF" w14:paraId="6BBB76B0" w14:textId="4A5AE87B">
      <w:pPr>
        <w:pStyle w:val="BodyText"/>
      </w:pPr>
      <w:r>
        <w:t xml:space="preserve">Monitoring-related compliance activity is discharge-dependent and is anticipated to occur for </w:t>
      </w:r>
      <w:r w:rsidR="009C4E19">
        <w:t xml:space="preserve">only </w:t>
      </w:r>
      <w:r>
        <w:t>one entity at a rate of approximately one discharge every five years, based on historical discharge data doc</w:t>
      </w:r>
      <w:r w:rsidR="00411C0A">
        <w:t>umented in EPA’s final</w:t>
      </w:r>
      <w:r w:rsidR="009E6171">
        <w:t xml:space="preserve"> r</w:t>
      </w:r>
      <w:r w:rsidR="00411C0A">
        <w:t>ule RIA.</w:t>
      </w:r>
      <w:r w:rsidR="00411C0A">
        <w:rPr>
          <w:rStyle w:val="FootnoteReference"/>
        </w:rPr>
        <w:footnoteReference w:id="1"/>
      </w:r>
      <w:r w:rsidR="00411C0A">
        <w:t xml:space="preserve"> </w:t>
      </w:r>
      <w:r>
        <w:t>Therefore, EPA anticipates that in most years, no entities</w:t>
      </w:r>
      <w:r w:rsidDel="00CC624F">
        <w:t xml:space="preserve"> </w:t>
      </w:r>
      <w:r>
        <w:t>will incur any costs and upon the occurrence of an applicable discharge, only one entity will incur costs. Given this</w:t>
      </w:r>
      <w:r w:rsidR="006C3731">
        <w:t xml:space="preserve"> infrequent</w:t>
      </w:r>
      <w:r>
        <w:t xml:space="preserve"> </w:t>
      </w:r>
      <w:r w:rsidR="009C4E19">
        <w:t xml:space="preserve">estimated </w:t>
      </w:r>
      <w:r>
        <w:t xml:space="preserve">incidence rate, </w:t>
      </w:r>
      <w:r w:rsidR="00E5609D">
        <w:t>EPA is assuming</w:t>
      </w:r>
      <w:r w:rsidR="00411C0A">
        <w:t xml:space="preserve"> </w:t>
      </w:r>
      <w:r w:rsidRPr="004165F0" w:rsidR="00411C0A">
        <w:t xml:space="preserve">an </w:t>
      </w:r>
      <w:r w:rsidR="00411C0A">
        <w:t xml:space="preserve">annual-equivalent rate of 0.2 incidents per year, or 0.6 incidents </w:t>
      </w:r>
      <w:r w:rsidRPr="004165F0">
        <w:t>over the three-year period covered by this ICR</w:t>
      </w:r>
      <w:r w:rsidRPr="004165F0">
        <w:rPr>
          <w:bCs/>
        </w:rPr>
        <w:t>.</w:t>
      </w:r>
      <w:r>
        <w:rPr>
          <w:bCs/>
        </w:rPr>
        <w:t xml:space="preserve"> </w:t>
      </w:r>
      <w:r>
        <w:t>The RP’s</w:t>
      </w:r>
      <w:r w:rsidRPr="00152400">
        <w:t xml:space="preserve"> burden </w:t>
      </w:r>
      <w:r>
        <w:t xml:space="preserve">varies based on the particular characteristics of the future discharge. </w:t>
      </w:r>
      <w:r w:rsidRPr="00067CEC">
        <w:t xml:space="preserve">For </w:t>
      </w:r>
      <w:r>
        <w:t>a discharge</w:t>
      </w:r>
      <w:r w:rsidRPr="00067CEC">
        <w:t xml:space="preserve"> that meets the rule’s applicability criteria and </w:t>
      </w:r>
      <w:r>
        <w:t xml:space="preserve">for which </w:t>
      </w:r>
      <w:r w:rsidRPr="00067CEC">
        <w:t xml:space="preserve">dispersant use is authorized, </w:t>
      </w:r>
      <w:r>
        <w:t xml:space="preserve">the </w:t>
      </w:r>
      <w:r w:rsidRPr="00067CEC">
        <w:t xml:space="preserve">characteristics of the </w:t>
      </w:r>
      <w:r>
        <w:t>discharge</w:t>
      </w:r>
      <w:r w:rsidRPr="00067CEC">
        <w:t xml:space="preserve"> will determine the use of dispersants, the corresponding extent of the monitoring effort and, consequently, the </w:t>
      </w:r>
      <w:r>
        <w:t>RP</w:t>
      </w:r>
      <w:r w:rsidR="006C3731">
        <w:t>’</w:t>
      </w:r>
      <w:r>
        <w:t>s total burden</w:t>
      </w:r>
      <w:r w:rsidRPr="00067CEC">
        <w:t xml:space="preserve">. The </w:t>
      </w:r>
      <w:r>
        <w:t xml:space="preserve">estimated burden is therefore </w:t>
      </w:r>
      <w:r w:rsidR="009C4E19">
        <w:t>incident</w:t>
      </w:r>
      <w:r>
        <w:t>-specific</w:t>
      </w:r>
      <w:r w:rsidRPr="00067CEC">
        <w:t xml:space="preserve">. </w:t>
      </w:r>
      <w:r>
        <w:t xml:space="preserve">To account for this, the Agency estimates burden for a range of hypothetical discharge </w:t>
      </w:r>
      <w:r w:rsidRPr="003A79FF">
        <w:t>scenarios</w:t>
      </w:r>
      <w:r w:rsidRPr="003A79FF" w:rsidR="00111B28">
        <w:t>.</w:t>
      </w:r>
      <w:r w:rsidRPr="003A79FF">
        <w:t xml:space="preserve"> Th</w:t>
      </w:r>
      <w:r w:rsidR="009C4E19">
        <w:t>is</w:t>
      </w:r>
      <w:r w:rsidRPr="00AA5C37">
        <w:t xml:space="preserve"> </w:t>
      </w:r>
      <w:r w:rsidR="009C4E19">
        <w:t xml:space="preserve">information </w:t>
      </w:r>
      <w:r w:rsidRPr="00AA5C37">
        <w:t xml:space="preserve">collection is estimated to have a reporting burden of </w:t>
      </w:r>
      <w:r>
        <w:t>30 to 927</w:t>
      </w:r>
      <w:r w:rsidRPr="00AA5C37">
        <w:t xml:space="preserve"> hours per response </w:t>
      </w:r>
      <w:r>
        <w:t xml:space="preserve">(and $32,000 </w:t>
      </w:r>
      <w:r w:rsidR="006C3731">
        <w:t>to</w:t>
      </w:r>
      <w:r w:rsidR="009C4E19">
        <w:t xml:space="preserve"> </w:t>
      </w:r>
      <w:r>
        <w:t xml:space="preserve">$3,000,000 in total cost) </w:t>
      </w:r>
      <w:r w:rsidRPr="00AA5C37">
        <w:t xml:space="preserve">in the first year and subsequent years, depending on the </w:t>
      </w:r>
      <w:r>
        <w:t>frequency of occurrence of discharges</w:t>
      </w:r>
      <w:r w:rsidR="006C3731">
        <w:t xml:space="preserve"> subject to the requirements of the final rule</w:t>
      </w:r>
      <w:r w:rsidRPr="003A79FF">
        <w:t>.</w:t>
      </w:r>
    </w:p>
    <w:bookmarkEnd w:id="0"/>
    <w:p w:rsidRPr="00EA6ED6" w:rsidR="005C0CB9" w:rsidP="003A79FF" w:rsidRDefault="004165F0" w14:paraId="79F4ADDF" w14:textId="09DEE64F">
      <w:pPr>
        <w:pStyle w:val="Heading1"/>
        <w:ind w:left="360"/>
      </w:pPr>
      <w:r w:rsidRPr="00152400">
        <w:t>N</w:t>
      </w:r>
      <w:r w:rsidR="00B62263">
        <w:t>eed for and Use of the Collection</w:t>
      </w:r>
    </w:p>
    <w:p w:rsidRPr="00152400" w:rsidR="005C0CB9" w:rsidP="00871EA5" w:rsidRDefault="00871EA5" w14:paraId="3ABF3DC5" w14:textId="7FD1020F">
      <w:pPr>
        <w:pStyle w:val="Heading2"/>
      </w:pPr>
      <w:r>
        <w:t>Need/</w:t>
      </w:r>
      <w:r w:rsidRPr="00152400" w:rsidR="005C0CB9">
        <w:t>Authority for the Collection</w:t>
      </w:r>
    </w:p>
    <w:p w:rsidRPr="00DB7196" w:rsidR="00EA6ED6" w:rsidP="00EA6ED6" w:rsidRDefault="00EA6ED6" w14:paraId="3E7C6D52" w14:textId="77777777">
      <w:pPr>
        <w:pStyle w:val="BodyText"/>
        <w:rPr>
          <w:rFonts w:ascii="Arial Bold" w:hAnsi="Arial Bold" w:cs="Arial"/>
          <w:b/>
          <w:bCs/>
          <w:kern w:val="28"/>
          <w:sz w:val="26"/>
        </w:rPr>
      </w:pPr>
      <w:r w:rsidRPr="00460F0B">
        <w:t xml:space="preserve">Under sections 311(d) and 311(j) of the CWA, as amended by section 4201 of the Oil Pollution Act of 1990 (OPA), Pub. L. 101-380, the President is directed to prepare and publish the NCP for removal of oil and hazardous substances. </w:t>
      </w:r>
      <w:r>
        <w:t>The Clean Water Act provides that the National Contingency Plan “shall include, but not be limited to, the following: … (F) Procedures and techniques to be employed in identifying, containing, dispersing, and removing oil and hazardous substances. (G) A schedule, prepared in cooperation with the States, identifying – (</w:t>
      </w:r>
      <w:proofErr w:type="spellStart"/>
      <w:r>
        <w:t>i</w:t>
      </w:r>
      <w:proofErr w:type="spellEnd"/>
      <w:r>
        <w:t xml:space="preserve">) dispersants, other chemicals, and other spill mitigating devices and substances, if any, that may be used in carrying out the [NCP], (ii) the waters in which such dispersants, other chemicals, and </w:t>
      </w:r>
      <w:r>
        <w:lastRenderedPageBreak/>
        <w:t>other spill mitigating device and substances may be used, and (iii) the quantities of such dispersant, other chemicals, or other spill mitigating device or substance which can be used safely in such waters…”.</w:t>
      </w:r>
      <w:r w:rsidRPr="001B53E5">
        <w:t>. The authority of the President to implement this portion of the CWA is currently delegated to EPA in Executive Order 12777 (56 FR 54757, October 22, 1991).</w:t>
      </w:r>
      <w:r>
        <w:t xml:space="preserve"> </w:t>
      </w:r>
      <w:r w:rsidRPr="001B53E5">
        <w:t>Subpart J of the NCP</w:t>
      </w:r>
      <w:r w:rsidRPr="001B53E5" w:rsidDel="00834633">
        <w:t xml:space="preserve"> </w:t>
      </w:r>
      <w:r w:rsidRPr="001B53E5">
        <w:t xml:space="preserve">governs the use of dispersants, and any other chemical </w:t>
      </w:r>
      <w:r w:rsidRPr="00F900D6">
        <w:t>agents to</w:t>
      </w:r>
      <w:r w:rsidRPr="001B53E5">
        <w:t xml:space="preserve"> respond to oil discharges (40 CFR part 300 series 900)</w:t>
      </w:r>
      <w:r>
        <w:t>.</w:t>
      </w:r>
    </w:p>
    <w:p w:rsidRPr="002D3139" w:rsidR="004B5709" w:rsidP="002D3139" w:rsidRDefault="008F753E" w14:paraId="30015438" w14:textId="7897E71D">
      <w:r>
        <w:rPr>
          <w:szCs w:val="24"/>
        </w:rPr>
        <w:t xml:space="preserve">The Agency is </w:t>
      </w:r>
      <w:r w:rsidR="003A46A5">
        <w:rPr>
          <w:szCs w:val="24"/>
        </w:rPr>
        <w:t>adding</w:t>
      </w:r>
      <w:r>
        <w:rPr>
          <w:szCs w:val="24"/>
        </w:rPr>
        <w:t xml:space="preserve"> new requirements </w:t>
      </w:r>
      <w:r>
        <w:rPr>
          <w:rFonts w:eastAsia="Arial"/>
          <w:szCs w:val="24"/>
        </w:rPr>
        <w:t xml:space="preserve">under </w:t>
      </w:r>
      <w:r w:rsidRPr="00696D22">
        <w:rPr>
          <w:rFonts w:eastAsia="Arial"/>
          <w:szCs w:val="24"/>
        </w:rPr>
        <w:t>§300.</w:t>
      </w:r>
      <w:r>
        <w:rPr>
          <w:rFonts w:eastAsia="Arial"/>
          <w:szCs w:val="24"/>
        </w:rPr>
        <w:t xml:space="preserve">913 </w:t>
      </w:r>
      <w:r w:rsidRPr="00696D22">
        <w:rPr>
          <w:rFonts w:eastAsia="Arial"/>
          <w:szCs w:val="24"/>
        </w:rPr>
        <w:t>for monitor</w:t>
      </w:r>
      <w:r>
        <w:rPr>
          <w:rFonts w:eastAsia="Arial"/>
          <w:szCs w:val="24"/>
        </w:rPr>
        <w:t>ing</w:t>
      </w:r>
      <w:r w:rsidRPr="00696D22">
        <w:rPr>
          <w:rFonts w:eastAsia="Arial"/>
          <w:szCs w:val="24"/>
        </w:rPr>
        <w:t xml:space="preserve"> any subsurface use of dispersant in response to oil discharges</w:t>
      </w:r>
      <w:r>
        <w:rPr>
          <w:rFonts w:eastAsia="Arial"/>
          <w:szCs w:val="24"/>
        </w:rPr>
        <w:t xml:space="preserve">, </w:t>
      </w:r>
      <w:r w:rsidRPr="001D5A9C">
        <w:rPr>
          <w:rFonts w:eastAsia="Arial"/>
          <w:szCs w:val="24"/>
        </w:rPr>
        <w:t>surface use of dispersant</w:t>
      </w:r>
      <w:r>
        <w:rPr>
          <w:rFonts w:eastAsia="Arial"/>
          <w:szCs w:val="24"/>
        </w:rPr>
        <w:t>s in response to a discharge</w:t>
      </w:r>
      <w:r w:rsidRPr="00696D22">
        <w:rPr>
          <w:rFonts w:eastAsia="Arial"/>
          <w:szCs w:val="24"/>
        </w:rPr>
        <w:t xml:space="preserve"> of more than 100,000 U.S. gallons occurring within 24 hours, and </w:t>
      </w:r>
      <w:r>
        <w:rPr>
          <w:rFonts w:eastAsia="Arial"/>
          <w:szCs w:val="24"/>
        </w:rPr>
        <w:t xml:space="preserve">any </w:t>
      </w:r>
      <w:r w:rsidRPr="00696D22">
        <w:rPr>
          <w:rFonts w:eastAsia="Arial"/>
          <w:szCs w:val="24"/>
        </w:rPr>
        <w:t xml:space="preserve">surface use of dispersants for more than 96 hours in response to an </w:t>
      </w:r>
      <w:r>
        <w:rPr>
          <w:rFonts w:eastAsia="Arial"/>
          <w:szCs w:val="24"/>
        </w:rPr>
        <w:t xml:space="preserve">oil discharge. </w:t>
      </w:r>
      <w:r w:rsidRPr="00B509B0">
        <w:rPr>
          <w:rFonts w:eastAsia="Arial"/>
          <w:szCs w:val="24"/>
        </w:rPr>
        <w:t>When these dispersant use conditions</w:t>
      </w:r>
      <w:r>
        <w:rPr>
          <w:rFonts w:eastAsia="Arial"/>
          <w:szCs w:val="24"/>
        </w:rPr>
        <w:t xml:space="preserve"> </w:t>
      </w:r>
      <w:r w:rsidRPr="00B509B0">
        <w:rPr>
          <w:rFonts w:eastAsia="Arial"/>
          <w:szCs w:val="24"/>
        </w:rPr>
        <w:t>are met and for the duration of</w:t>
      </w:r>
      <w:r>
        <w:rPr>
          <w:rFonts w:eastAsia="Arial"/>
          <w:szCs w:val="24"/>
        </w:rPr>
        <w:t xml:space="preserve"> </w:t>
      </w:r>
      <w:r w:rsidRPr="00B509B0">
        <w:rPr>
          <w:rFonts w:eastAsia="Arial"/>
          <w:szCs w:val="24"/>
        </w:rPr>
        <w:t>dispersant operations</w:t>
      </w:r>
      <w:r>
        <w:rPr>
          <w:rFonts w:eastAsia="Arial"/>
          <w:szCs w:val="24"/>
        </w:rPr>
        <w:t>, the responsible party (RP), under direction of</w:t>
      </w:r>
      <w:r w:rsidRPr="00696D22">
        <w:rPr>
          <w:rFonts w:eastAsia="Arial"/>
          <w:szCs w:val="24"/>
        </w:rPr>
        <w:t xml:space="preserve"> the OSC</w:t>
      </w:r>
      <w:r>
        <w:rPr>
          <w:rFonts w:eastAsia="Arial"/>
          <w:szCs w:val="24"/>
        </w:rPr>
        <w:t xml:space="preserve">, must implement the new monitoring requirements for dispersant use. </w:t>
      </w:r>
      <w:r w:rsidR="002D3139">
        <w:rPr>
          <w:rFonts w:eastAsia="Arial"/>
          <w:szCs w:val="24"/>
        </w:rPr>
        <w:t>T</w:t>
      </w:r>
      <w:r>
        <w:rPr>
          <w:rFonts w:eastAsia="Arial"/>
          <w:szCs w:val="24"/>
        </w:rPr>
        <w:t>he</w:t>
      </w:r>
      <w:r w:rsidR="002D3139">
        <w:rPr>
          <w:rFonts w:eastAsia="Arial"/>
          <w:szCs w:val="24"/>
        </w:rPr>
        <w:t xml:space="preserve"> final rule includes monitoring </w:t>
      </w:r>
      <w:r>
        <w:rPr>
          <w:rFonts w:eastAsia="Arial"/>
          <w:szCs w:val="24"/>
        </w:rPr>
        <w:t>requirements</w:t>
      </w:r>
      <w:r w:rsidR="002D3139">
        <w:rPr>
          <w:rFonts w:eastAsia="Arial"/>
          <w:szCs w:val="24"/>
        </w:rPr>
        <w:t xml:space="preserve"> for</w:t>
      </w:r>
      <w:r w:rsidR="00EA6ED6">
        <w:rPr>
          <w:szCs w:val="24"/>
        </w:rPr>
        <w:t>:</w:t>
      </w:r>
      <w:r w:rsidR="002D3139">
        <w:rPr>
          <w:szCs w:val="24"/>
        </w:rPr>
        <w:t xml:space="preserve"> 1) </w:t>
      </w:r>
      <w:r w:rsidRPr="002D3139">
        <w:t>Information on Dispersant Application</w:t>
      </w:r>
      <w:r w:rsidR="002D3139">
        <w:t xml:space="preserve">, 2) </w:t>
      </w:r>
      <w:r w:rsidRPr="002D3139">
        <w:t>Water Column Sampling</w:t>
      </w:r>
      <w:r w:rsidR="002D3139">
        <w:t xml:space="preserve">, 3) </w:t>
      </w:r>
      <w:r w:rsidRPr="002D3139">
        <w:t>Oil Distribution Analysis</w:t>
      </w:r>
      <w:r w:rsidR="002D3139">
        <w:t xml:space="preserve">, 4) </w:t>
      </w:r>
      <w:r w:rsidRPr="002D3139">
        <w:t>Ecological Characterization</w:t>
      </w:r>
      <w:r w:rsidR="002D3139">
        <w:t xml:space="preserve">, 5) </w:t>
      </w:r>
      <w:r w:rsidRPr="002D3139">
        <w:t>Immediate Reporting</w:t>
      </w:r>
      <w:r w:rsidR="002D3139">
        <w:t xml:space="preserve">, and 6) </w:t>
      </w:r>
      <w:r w:rsidRPr="002D3139">
        <w:t>Daily Reporting.</w:t>
      </w:r>
      <w:r w:rsidR="002D3139">
        <w:t xml:space="preserve"> </w:t>
      </w:r>
      <w:r w:rsidR="004B5709">
        <w:rPr>
          <w:bCs/>
        </w:rPr>
        <w:t>More detail on these requirements can be found in section 4(b)(</w:t>
      </w:r>
      <w:proofErr w:type="spellStart"/>
      <w:r w:rsidR="004B5709">
        <w:rPr>
          <w:bCs/>
        </w:rPr>
        <w:t>i</w:t>
      </w:r>
      <w:proofErr w:type="spellEnd"/>
      <w:r w:rsidR="004B5709">
        <w:rPr>
          <w:bCs/>
        </w:rPr>
        <w:t>) of this Supporting Statement.</w:t>
      </w:r>
    </w:p>
    <w:p w:rsidRPr="00152400" w:rsidR="005C0CB9" w:rsidP="001A6D30" w:rsidRDefault="00871EA5" w14:paraId="07EEDC06" w14:textId="47C6E4A6">
      <w:pPr>
        <w:pStyle w:val="Heading2"/>
      </w:pPr>
      <w:r>
        <w:t>P</w:t>
      </w:r>
      <w:r w:rsidRPr="00152400" w:rsidR="005C0CB9">
        <w:t>ractical Utility/Users of the Data</w:t>
      </w:r>
    </w:p>
    <w:p w:rsidR="001A6D30" w:rsidP="001A6D30" w:rsidRDefault="001A6D30" w14:paraId="7229DE2F" w14:textId="6311BD33">
      <w:pPr>
        <w:rPr>
          <w:rFonts w:eastAsiaTheme="minorEastAsia"/>
        </w:rPr>
      </w:pPr>
      <w:r w:rsidRPr="00DB7196">
        <w:rPr>
          <w:bCs/>
          <w:szCs w:val="24"/>
        </w:rPr>
        <w:t>E</w:t>
      </w:r>
      <w:r w:rsidRPr="00DB7196">
        <w:rPr>
          <w:rFonts w:eastAsiaTheme="minorEastAsia"/>
          <w:szCs w:val="24"/>
        </w:rPr>
        <w:t xml:space="preserve">ach oil discharge represents a unique situation with distinct conditions, which may require various response methods. </w:t>
      </w:r>
      <w:r w:rsidRPr="00E0542F">
        <w:t>Product testing conducted under standardized laboratory conditions is useful for compari</w:t>
      </w:r>
      <w:r w:rsidR="004B5709">
        <w:t>ng</w:t>
      </w:r>
      <w:r w:rsidRPr="00E0542F">
        <w:t xml:space="preserve"> different products</w:t>
      </w:r>
      <w:r w:rsidR="004B5709">
        <w:t>;</w:t>
      </w:r>
      <w:r>
        <w:t xml:space="preserve"> </w:t>
      </w:r>
      <w:r w:rsidR="004B5709">
        <w:t>h</w:t>
      </w:r>
      <w:r w:rsidRPr="00E0542F">
        <w:t>owever, standardized laboratory conditions do not necessarily reflect field conditions.</w:t>
      </w:r>
      <w:r>
        <w:rPr>
          <w:szCs w:val="24"/>
        </w:rPr>
        <w:t xml:space="preserve"> </w:t>
      </w:r>
      <w:r>
        <w:t>Monitoring of agents in the field informs the OSC</w:t>
      </w:r>
      <w:r w:rsidR="00F33B3E">
        <w:t>s</w:t>
      </w:r>
      <w:r w:rsidR="0096286C">
        <w:t xml:space="preserve"> </w:t>
      </w:r>
      <w:r>
        <w:t>and support</w:t>
      </w:r>
      <w:r w:rsidR="002D3139">
        <w:t>s</w:t>
      </w:r>
      <w:r>
        <w:t xml:space="preserve"> agencies </w:t>
      </w:r>
      <w:r w:rsidR="002D3139">
        <w:t>in understanding</w:t>
      </w:r>
      <w:r>
        <w:t xml:space="preserve"> the overall effectiveness of dispersant use, including the environmental effects and transport of dispersed oil. These new monitoring requirements, in conjunction with the existing testing and information requirements for chemical agents, and the procedures for authorizing the use of those agents, serve to protect the environment from possible damage related to </w:t>
      </w:r>
      <w:r w:rsidR="004B5709">
        <w:t xml:space="preserve">the </w:t>
      </w:r>
      <w:r>
        <w:t>spill mitigating products used.</w:t>
      </w:r>
    </w:p>
    <w:p w:rsidR="001A6D30" w:rsidP="001A6D30" w:rsidRDefault="001A6D30" w14:paraId="4B3DA570" w14:textId="77777777">
      <w:pPr>
        <w:rPr>
          <w:rFonts w:eastAsiaTheme="minorEastAsia"/>
        </w:rPr>
      </w:pPr>
      <w:r>
        <w:rPr>
          <w:rFonts w:eastAsiaTheme="minorEastAsia"/>
        </w:rPr>
        <w:t xml:space="preserve">The Agency believes that comprehensive monitoring in certain discharge situations is necessary to determine </w:t>
      </w:r>
      <w:r w:rsidRPr="00CA07E9">
        <w:rPr>
          <w:rFonts w:eastAsiaTheme="minorEastAsia"/>
        </w:rPr>
        <w:t>the o</w:t>
      </w:r>
      <w:r>
        <w:rPr>
          <w:rFonts w:eastAsiaTheme="minorEastAsia"/>
        </w:rPr>
        <w:t>verall</w:t>
      </w:r>
      <w:r w:rsidRPr="00CA07E9">
        <w:rPr>
          <w:rFonts w:eastAsiaTheme="minorEastAsia"/>
        </w:rPr>
        <w:t xml:space="preserve"> effectiveness of dispersant</w:t>
      </w:r>
      <w:r>
        <w:rPr>
          <w:rFonts w:eastAsiaTheme="minorEastAsia"/>
        </w:rPr>
        <w:t>s and</w:t>
      </w:r>
      <w:r w:rsidRPr="00CA07E9">
        <w:rPr>
          <w:rFonts w:eastAsiaTheme="minorEastAsia"/>
        </w:rPr>
        <w:t xml:space="preserve"> </w:t>
      </w:r>
      <w:r>
        <w:rPr>
          <w:rFonts w:eastAsiaTheme="minorEastAsia"/>
        </w:rPr>
        <w:t>should extend</w:t>
      </w:r>
      <w:r w:rsidRPr="00CA07E9">
        <w:rPr>
          <w:rFonts w:eastAsiaTheme="minorEastAsia"/>
        </w:rPr>
        <w:t xml:space="preserve"> </w:t>
      </w:r>
      <w:r>
        <w:rPr>
          <w:rFonts w:eastAsiaTheme="minorEastAsia"/>
        </w:rPr>
        <w:t xml:space="preserve">from </w:t>
      </w:r>
      <w:r w:rsidRPr="00CA07E9">
        <w:rPr>
          <w:rFonts w:eastAsiaTheme="minorEastAsia"/>
        </w:rPr>
        <w:t>the initial</w:t>
      </w:r>
      <w:r>
        <w:rPr>
          <w:rFonts w:eastAsiaTheme="minorEastAsia"/>
        </w:rPr>
        <w:t xml:space="preserve"> dispersant</w:t>
      </w:r>
      <w:r w:rsidRPr="00CA07E9">
        <w:rPr>
          <w:rFonts w:eastAsiaTheme="minorEastAsia"/>
        </w:rPr>
        <w:t xml:space="preserve"> application to</w:t>
      </w:r>
      <w:r>
        <w:rPr>
          <w:rFonts w:eastAsiaTheme="minorEastAsia"/>
        </w:rPr>
        <w:t xml:space="preserve"> include </w:t>
      </w:r>
      <w:r w:rsidRPr="00CA07E9">
        <w:rPr>
          <w:rFonts w:eastAsiaTheme="minorEastAsia"/>
        </w:rPr>
        <w:t xml:space="preserve">the </w:t>
      </w:r>
      <w:r>
        <w:rPr>
          <w:rFonts w:eastAsiaTheme="minorEastAsia"/>
        </w:rPr>
        <w:t xml:space="preserve">transport and environmental effects </w:t>
      </w:r>
      <w:r w:rsidRPr="00CA07E9">
        <w:rPr>
          <w:rFonts w:eastAsiaTheme="minorEastAsia"/>
        </w:rPr>
        <w:t>of the dispersant and dispersed oil</w:t>
      </w:r>
      <w:r>
        <w:rPr>
          <w:rFonts w:eastAsiaTheme="minorEastAsia"/>
        </w:rPr>
        <w:t xml:space="preserve"> in the water column</w:t>
      </w:r>
      <w:r w:rsidRPr="00CA07E9">
        <w:rPr>
          <w:rFonts w:eastAsiaTheme="minorEastAsia"/>
        </w:rPr>
        <w:t>.</w:t>
      </w:r>
      <w:r>
        <w:rPr>
          <w:rFonts w:eastAsiaTheme="minorEastAsia"/>
        </w:rPr>
        <w:t xml:space="preserve"> </w:t>
      </w:r>
      <w:r w:rsidRPr="00CA07E9">
        <w:rPr>
          <w:rFonts w:eastAsiaTheme="minorEastAsia"/>
        </w:rPr>
        <w:t xml:space="preserve">Monitoring the </w:t>
      </w:r>
      <w:r>
        <w:rPr>
          <w:rFonts w:eastAsiaTheme="minorEastAsia"/>
        </w:rPr>
        <w:t xml:space="preserve">overall </w:t>
      </w:r>
      <w:r w:rsidRPr="00CA07E9">
        <w:rPr>
          <w:rFonts w:eastAsiaTheme="minorEastAsia"/>
        </w:rPr>
        <w:t xml:space="preserve">effectiveness of dispersant use </w:t>
      </w:r>
      <w:r>
        <w:rPr>
          <w:rFonts w:eastAsiaTheme="minorEastAsia"/>
        </w:rPr>
        <w:t>in the field provides</w:t>
      </w:r>
      <w:r w:rsidRPr="000174D9">
        <w:rPr>
          <w:rFonts w:eastAsiaTheme="minorEastAsia"/>
        </w:rPr>
        <w:t xml:space="preserve"> those </w:t>
      </w:r>
      <w:r>
        <w:rPr>
          <w:rFonts w:eastAsiaTheme="minorEastAsia"/>
        </w:rPr>
        <w:t>a</w:t>
      </w:r>
      <w:r w:rsidRPr="000174D9">
        <w:rPr>
          <w:rFonts w:eastAsiaTheme="minorEastAsia"/>
        </w:rPr>
        <w:t>gencies</w:t>
      </w:r>
      <w:r>
        <w:rPr>
          <w:rFonts w:eastAsiaTheme="minorEastAsia"/>
        </w:rPr>
        <w:t xml:space="preserve"> </w:t>
      </w:r>
      <w:r w:rsidRPr="000174D9">
        <w:rPr>
          <w:rFonts w:eastAsiaTheme="minorEastAsia"/>
        </w:rPr>
        <w:t>respo</w:t>
      </w:r>
      <w:r>
        <w:rPr>
          <w:rFonts w:eastAsiaTheme="minorEastAsia"/>
        </w:rPr>
        <w:t xml:space="preserve">nsible for authorizing the </w:t>
      </w:r>
      <w:r w:rsidRPr="000174D9">
        <w:rPr>
          <w:rFonts w:eastAsiaTheme="minorEastAsia"/>
        </w:rPr>
        <w:t xml:space="preserve">use </w:t>
      </w:r>
      <w:r>
        <w:rPr>
          <w:rFonts w:eastAsiaTheme="minorEastAsia"/>
        </w:rPr>
        <w:t>of dispersants with data and information for decision-making during subsurface or prolonged surface dispersant applications. Adverse effects on ecological receptors from exposures to dispersed oil depend on the duration and concentration of the exposure, which in turn depend on the transport of dispersed oil. Because these exposures may vary depending on the discharge situation, the Agency believes comprehensive monitoring for certain discharge situations is necessary to inform decision-making and to conduct an effective response.</w:t>
      </w:r>
    </w:p>
    <w:p w:rsidR="005C0CB9" w:rsidP="00871EA5" w:rsidRDefault="001A6D30" w14:paraId="717B93AA" w14:textId="1AB3F47E">
      <w:r>
        <w:t>The monitoring-related reporting specified by the Agency’s final rule will be available for use by OSCs,</w:t>
      </w:r>
      <w:r w:rsidR="0096286C">
        <w:t xml:space="preserve"> Regional Response Teams</w:t>
      </w:r>
      <w:r>
        <w:t xml:space="preserve"> </w:t>
      </w:r>
      <w:r w:rsidR="0096286C">
        <w:t>(</w:t>
      </w:r>
      <w:r>
        <w:t>RRTs</w:t>
      </w:r>
      <w:r w:rsidR="0096286C">
        <w:t>)</w:t>
      </w:r>
      <w:r>
        <w:t>, and</w:t>
      </w:r>
      <w:r w:rsidRPr="004165F0" w:rsidR="005C0CB9">
        <w:t xml:space="preserve"> Area Committees</w:t>
      </w:r>
      <w:r w:rsidR="002D3139">
        <w:t xml:space="preserve"> (ACs)</w:t>
      </w:r>
      <w:r w:rsidRPr="004165F0" w:rsidR="005C0CB9">
        <w:t xml:space="preserve"> in determining the most appropriate </w:t>
      </w:r>
      <w:r>
        <w:t>response during the course of an applicable discharge.</w:t>
      </w:r>
      <w:r w:rsidRPr="004165F0" w:rsidR="00054B45">
        <w:t xml:space="preserve"> </w:t>
      </w:r>
      <w:r w:rsidRPr="004165F0" w:rsidR="005C0CB9">
        <w:t xml:space="preserve">The information </w:t>
      </w:r>
      <w:r w:rsidR="00246850">
        <w:t xml:space="preserve">collected </w:t>
      </w:r>
      <w:r w:rsidRPr="004165F0" w:rsidR="005C0CB9">
        <w:t>from the respondent</w:t>
      </w:r>
      <w:r w:rsidR="00246850">
        <w:t xml:space="preserve"> will enable </w:t>
      </w:r>
      <w:r w:rsidRPr="004165F0" w:rsidR="005C0CB9">
        <w:t xml:space="preserve">the </w:t>
      </w:r>
      <w:r w:rsidRPr="004165F0" w:rsidR="00F61FB4">
        <w:t>OSC</w:t>
      </w:r>
      <w:r w:rsidRPr="004165F0" w:rsidR="005C0CB9">
        <w:t xml:space="preserve">s, RRTs, and </w:t>
      </w:r>
      <w:r w:rsidR="002D3139">
        <w:t>ACs</w:t>
      </w:r>
      <w:r w:rsidRPr="004165F0" w:rsidR="005C0CB9">
        <w:t xml:space="preserve"> </w:t>
      </w:r>
      <w:r w:rsidR="001D5925">
        <w:t xml:space="preserve">to </w:t>
      </w:r>
      <w:r w:rsidRPr="004165F0" w:rsidR="005C0CB9">
        <w:t xml:space="preserve">make informed decisions </w:t>
      </w:r>
      <w:r w:rsidRPr="004165F0" w:rsidR="005C0CB9">
        <w:lastRenderedPageBreak/>
        <w:t>to safely</w:t>
      </w:r>
      <w:r w:rsidRPr="00152400" w:rsidR="005C0CB9">
        <w:t xml:space="preserve"> employ countermeasures to control oil discharges</w:t>
      </w:r>
      <w:r w:rsidRPr="00152400" w:rsidR="00054B45">
        <w:t xml:space="preserve">. </w:t>
      </w:r>
      <w:r w:rsidRPr="00152400" w:rsidR="005C0CB9">
        <w:t>Correct product use is critical in emergency situations</w:t>
      </w:r>
      <w:r w:rsidRPr="00152400" w:rsidR="00054B45">
        <w:t>.</w:t>
      </w:r>
      <w:r>
        <w:t xml:space="preserve"> </w:t>
      </w:r>
    </w:p>
    <w:p w:rsidRPr="00152400" w:rsidR="005C0CB9" w:rsidP="00871EA5" w:rsidRDefault="004165F0" w14:paraId="2F44DF69" w14:textId="6CF3B5BA">
      <w:pPr>
        <w:pStyle w:val="Heading1"/>
      </w:pPr>
      <w:r w:rsidRPr="00152400">
        <w:t>N</w:t>
      </w:r>
      <w:r w:rsidR="00601756">
        <w:t>on-Duplication, Consultations, and Other Collection Criteria</w:t>
      </w:r>
    </w:p>
    <w:p w:rsidRPr="00152400" w:rsidR="005C0CB9" w:rsidP="00871EA5" w:rsidRDefault="005C0CB9" w14:paraId="07B6C0C0" w14:textId="725E1916">
      <w:pPr>
        <w:pStyle w:val="Heading2"/>
      </w:pPr>
      <w:r w:rsidRPr="00152400">
        <w:t>Non</w:t>
      </w:r>
      <w:r w:rsidR="008F17FE">
        <w:t>-</w:t>
      </w:r>
      <w:r w:rsidRPr="00152400">
        <w:t>duplication</w:t>
      </w:r>
    </w:p>
    <w:p w:rsidRPr="00152400" w:rsidR="005C0CB9" w:rsidP="00871EA5" w:rsidRDefault="00601756" w14:paraId="5C8CD848" w14:textId="21FD2511">
      <w:r>
        <w:t xml:space="preserve">RPs </w:t>
      </w:r>
      <w:r w:rsidRPr="00152400" w:rsidR="0088152E">
        <w:t xml:space="preserve">do not report this information to any other federal agency, and this is the only </w:t>
      </w:r>
      <w:r w:rsidRPr="00152400" w:rsidR="00707AF9">
        <w:t>national level</w:t>
      </w:r>
      <w:r w:rsidR="00B803BB">
        <w:t xml:space="preserve"> reporting requirement</w:t>
      </w:r>
      <w:r w:rsidRPr="00152400" w:rsidR="0088152E">
        <w:t xml:space="preserve"> of its kind</w:t>
      </w:r>
      <w:r w:rsidRPr="00152400" w:rsidR="00AB665B">
        <w:t>;</w:t>
      </w:r>
      <w:r w:rsidRPr="00152400" w:rsidR="0088152E">
        <w:t xml:space="preserve"> therefore, there is no duplication.</w:t>
      </w:r>
    </w:p>
    <w:p w:rsidRPr="00152400" w:rsidR="005C0CB9" w:rsidP="00871EA5" w:rsidRDefault="005C0CB9" w14:paraId="42DECD36" w14:textId="7FCEDD37">
      <w:pPr>
        <w:pStyle w:val="Heading2"/>
      </w:pPr>
      <w:bookmarkStart w:name="_Hlk32993572" w:id="2"/>
      <w:r w:rsidRPr="00152400">
        <w:t xml:space="preserve">Public Notice Required Prior to ICR Submission to </w:t>
      </w:r>
      <w:r w:rsidR="008F17FE">
        <w:t>the Office of Management and Budget (</w:t>
      </w:r>
      <w:r w:rsidRPr="00152400">
        <w:t>OMB</w:t>
      </w:r>
      <w:r w:rsidR="008F17FE">
        <w:t>)</w:t>
      </w:r>
    </w:p>
    <w:p w:rsidR="00826E85" w:rsidP="00FA0667" w:rsidRDefault="00826E85" w14:paraId="4B7D44D8" w14:textId="1CAC8AB2">
      <w:pPr>
        <w:rPr>
          <w:szCs w:val="24"/>
        </w:rPr>
      </w:pPr>
      <w:bookmarkStart w:name="_Hlk33003454" w:id="3"/>
      <w:r w:rsidRPr="00826E85">
        <w:rPr>
          <w:szCs w:val="24"/>
        </w:rPr>
        <w:t xml:space="preserve">On January 22, 2015, EPA published a proposed rule in the Federal Register (80 FR 3380) to amend Subpart J of the NCP. </w:t>
      </w:r>
      <w:r w:rsidRPr="00826E85">
        <w:rPr>
          <w:bCs/>
          <w:color w:val="000000" w:themeColor="text1"/>
        </w:rPr>
        <w:t>The public comment period ended on April 22, 2015</w:t>
      </w:r>
      <w:r>
        <w:rPr>
          <w:bCs/>
          <w:color w:val="000000" w:themeColor="text1"/>
        </w:rPr>
        <w:t>, and t</w:t>
      </w:r>
      <w:r w:rsidRPr="00826E85">
        <w:rPr>
          <w:szCs w:val="24"/>
        </w:rPr>
        <w:t>he Agency received more than 80,000 total public comment submissions from industry, academia, state/local governments, environmental groups and individuals. A copy of the Proposed Subpart J rule and accompanying ICR can be found in the EPA docket: EPA-HQ-OPA-2006-0090.</w:t>
      </w:r>
      <w:r>
        <w:rPr>
          <w:szCs w:val="24"/>
        </w:rPr>
        <w:t xml:space="preserve"> </w:t>
      </w:r>
    </w:p>
    <w:p w:rsidRPr="00826E85" w:rsidR="00826E85" w:rsidP="00FA0667" w:rsidRDefault="00826E85" w14:paraId="2512DCB3" w14:textId="58CF2652">
      <w:pPr>
        <w:rPr>
          <w:szCs w:val="24"/>
        </w:rPr>
      </w:pPr>
      <w:r>
        <w:t xml:space="preserve">The Agency did not receive any comments specifically on the proposed ICR. The Agency did receive one specific comment regarding the Agency’s estimated compliance costs in the proposed rule, which is the same burden covered by this ICR. </w:t>
      </w:r>
      <w:r w:rsidR="008728F8">
        <w:t>T</w:t>
      </w:r>
      <w:r>
        <w:t>he commenter stated that the Agency</w:t>
      </w:r>
      <w:r w:rsidRPr="003D252A">
        <w:t xml:space="preserve"> underestimated the cost of the monitoring requirements in the proposed rule and provided an independent, </w:t>
      </w:r>
      <w:r w:rsidRPr="00826E85">
        <w:t xml:space="preserve">bottom-up cost estimate of the monitoring requirements of $850,000 per incident, which was $350,000 higher than </w:t>
      </w:r>
      <w:r>
        <w:t>the Agency’s proposed rule</w:t>
      </w:r>
      <w:r w:rsidRPr="00826E85">
        <w:t xml:space="preserve"> estimate of $500,000 per incident. </w:t>
      </w:r>
      <w:r>
        <w:t>The Agency has</w:t>
      </w:r>
      <w:r w:rsidRPr="00826E85">
        <w:t xml:space="preserve"> address</w:t>
      </w:r>
      <w:r>
        <w:t>ed</w:t>
      </w:r>
      <w:r w:rsidRPr="00826E85">
        <w:t xml:space="preserve"> th</w:t>
      </w:r>
      <w:r>
        <w:t>is</w:t>
      </w:r>
      <w:r w:rsidRPr="00826E85">
        <w:t xml:space="preserve"> comment by redeveloping the </w:t>
      </w:r>
      <w:r>
        <w:t xml:space="preserve">burden and </w:t>
      </w:r>
      <w:r w:rsidRPr="00826E85">
        <w:t xml:space="preserve">cost analysis as a bottom-up, detailed cost estimate for the final rule (see </w:t>
      </w:r>
      <w:r>
        <w:t>Appendix A of this ICR supporting statement or the RIA</w:t>
      </w:r>
      <w:r w:rsidRPr="00826E85">
        <w:t xml:space="preserve"> for the final rule). </w:t>
      </w:r>
      <w:r>
        <w:t xml:space="preserve">The Agency </w:t>
      </w:r>
      <w:r w:rsidRPr="00826E85">
        <w:rPr>
          <w:rStyle w:val="Strong"/>
          <w:b w:val="0"/>
        </w:rPr>
        <w:t xml:space="preserve">believes this more detailed methodology it is now using </w:t>
      </w:r>
      <w:r>
        <w:rPr>
          <w:rStyle w:val="Strong"/>
          <w:b w:val="0"/>
        </w:rPr>
        <w:t>r</w:t>
      </w:r>
      <w:r w:rsidRPr="00826E85">
        <w:rPr>
          <w:rStyle w:val="Strong"/>
          <w:b w:val="0"/>
        </w:rPr>
        <w:t xml:space="preserve">esult in a more complete and </w:t>
      </w:r>
      <w:r>
        <w:rPr>
          <w:rStyle w:val="Strong"/>
          <w:b w:val="0"/>
        </w:rPr>
        <w:t>realistic</w:t>
      </w:r>
      <w:r w:rsidRPr="00826E85">
        <w:rPr>
          <w:rStyle w:val="Strong"/>
          <w:b w:val="0"/>
        </w:rPr>
        <w:t xml:space="preserve"> estimate of the cost of these requirements.</w:t>
      </w:r>
    </w:p>
    <w:p w:rsidRPr="00826E85" w:rsidR="00826E85" w:rsidP="00FA0667" w:rsidRDefault="00826E85" w14:paraId="5FA98D8D" w14:textId="322EBFD6">
      <w:pPr>
        <w:rPr>
          <w:highlight w:val="yellow"/>
        </w:rPr>
      </w:pPr>
      <w:r>
        <w:rPr>
          <w:szCs w:val="24"/>
        </w:rPr>
        <w:t>The Agency</w:t>
      </w:r>
      <w:r w:rsidRPr="00826E85">
        <w:rPr>
          <w:szCs w:val="24"/>
        </w:rPr>
        <w:t xml:space="preserve"> will provide public notice</w:t>
      </w:r>
      <w:r>
        <w:rPr>
          <w:szCs w:val="24"/>
        </w:rPr>
        <w:t xml:space="preserve"> of this final ICR</w:t>
      </w:r>
      <w:r w:rsidRPr="00826E85">
        <w:rPr>
          <w:szCs w:val="24"/>
        </w:rPr>
        <w:t xml:space="preserve"> by means of a Federal Register Notice of Final Rulemaking</w:t>
      </w:r>
      <w:r>
        <w:rPr>
          <w:szCs w:val="24"/>
        </w:rPr>
        <w:t>.</w:t>
      </w:r>
    </w:p>
    <w:bookmarkEnd w:id="2"/>
    <w:bookmarkEnd w:id="3"/>
    <w:p w:rsidRPr="00152400" w:rsidR="005C0CB9" w:rsidP="00B62263" w:rsidRDefault="005C0CB9" w14:paraId="1BB3EB3C" w14:textId="554D5463">
      <w:pPr>
        <w:pStyle w:val="Heading2"/>
      </w:pPr>
      <w:r w:rsidRPr="00152400">
        <w:t>Consultations</w:t>
      </w:r>
    </w:p>
    <w:p w:rsidR="00F55E04" w:rsidP="006555EE" w:rsidRDefault="002D3139" w14:paraId="3ED50BE0" w14:textId="24C2CA71">
      <w:r w:rsidRPr="00066D66">
        <w:t>D</w:t>
      </w:r>
      <w:r w:rsidRPr="00066D66" w:rsidR="0077153A">
        <w:t>eveloping th</w:t>
      </w:r>
      <w:r w:rsidRPr="00066D66">
        <w:t>e burden estimates for this</w:t>
      </w:r>
      <w:r w:rsidRPr="00066D66" w:rsidR="0077153A">
        <w:t xml:space="preserve"> ICR</w:t>
      </w:r>
      <w:r w:rsidRPr="00066D66">
        <w:t xml:space="preserve"> required 1) specifying a range of discharge scenarios given the high degree of variability in the </w:t>
      </w:r>
      <w:r w:rsidR="00B662E4">
        <w:t xml:space="preserve">frequency and characteristics </w:t>
      </w:r>
      <w:r w:rsidRPr="00066D66">
        <w:t xml:space="preserve">of historical discharges and potential future discharges, and 2) specifying unit burden estimates associated with the monitoring requirements for each discharge scenario. </w:t>
      </w:r>
      <w:r w:rsidR="00066D66">
        <w:t xml:space="preserve">Estimating the burden in this case presents a unique challenge because the events </w:t>
      </w:r>
      <w:r w:rsidRPr="00066D66" w:rsidR="00066D66">
        <w:t xml:space="preserve">covered </w:t>
      </w:r>
      <w:r w:rsidR="00066D66">
        <w:t>by</w:t>
      </w:r>
      <w:r w:rsidRPr="00066D66" w:rsidR="00066D66">
        <w:t xml:space="preserve"> th</w:t>
      </w:r>
      <w:r w:rsidR="00066D66">
        <w:t>e</w:t>
      </w:r>
      <w:r w:rsidRPr="00066D66" w:rsidR="00066D66">
        <w:t xml:space="preserve"> ICR are very infrequent, and historically, there have been very few respondents to these types of incidents</w:t>
      </w:r>
      <w:r w:rsidR="00066D66">
        <w:t>.</w:t>
      </w:r>
      <w:r w:rsidRPr="00066D66" w:rsidR="00066D66">
        <w:t xml:space="preserve"> </w:t>
      </w:r>
      <w:r w:rsidRPr="00066D66">
        <w:t>To specify the</w:t>
      </w:r>
      <w:r w:rsidR="00066D66">
        <w:t xml:space="preserve"> above</w:t>
      </w:r>
      <w:r w:rsidRPr="00066D66">
        <w:t xml:space="preserve"> parameters, the Agen</w:t>
      </w:r>
      <w:r w:rsidR="00066D66">
        <w:t>c</w:t>
      </w:r>
      <w:r w:rsidRPr="00066D66">
        <w:t xml:space="preserve">y </w:t>
      </w:r>
      <w:r w:rsidR="00066D66">
        <w:t xml:space="preserve">relied </w:t>
      </w:r>
      <w:r w:rsidRPr="00066D66">
        <w:t>on public</w:t>
      </w:r>
      <w:r w:rsidR="00E5609D">
        <w:t>l</w:t>
      </w:r>
      <w:r w:rsidRPr="00066D66">
        <w:t>y-available, secondary data sources</w:t>
      </w:r>
      <w:r w:rsidR="00066D66">
        <w:t>, including historical discharge reports and other sources</w:t>
      </w:r>
      <w:r w:rsidRPr="00066D66">
        <w:t xml:space="preserve">. The Agency also </w:t>
      </w:r>
      <w:r w:rsidRPr="00066D66" w:rsidR="0077153A">
        <w:t xml:space="preserve">consulted with </w:t>
      </w:r>
      <w:r w:rsidRPr="00066D66" w:rsidR="00066D66">
        <w:t xml:space="preserve">an </w:t>
      </w:r>
      <w:r w:rsidRPr="00066D66">
        <w:t>expert</w:t>
      </w:r>
      <w:r w:rsidRPr="00066D66" w:rsidR="00066D66">
        <w:t xml:space="preserve"> with experience </w:t>
      </w:r>
      <w:r w:rsidR="00B662E4">
        <w:t xml:space="preserve">from </w:t>
      </w:r>
      <w:r w:rsidRPr="00066D66" w:rsidR="00066D66">
        <w:t xml:space="preserve">the response to the Deepwater Horizon oil spill. Burden estimates and the associated methodology were also reviewed by an EPA Working Group comprised of staff from across the Agency (including e.g., OLEM/OEM/RID, OLEM/PARMS, OLEM/OSTRI, OCSPP, </w:t>
      </w:r>
      <w:r w:rsidRPr="00066D66" w:rsidR="00066D66">
        <w:lastRenderedPageBreak/>
        <w:t>OECA, OGC, OP, ORD</w:t>
      </w:r>
      <w:r w:rsidR="00066D66">
        <w:t>, and several EPA Regions).</w:t>
      </w:r>
      <w:r w:rsidR="00AE2E4E">
        <w:t xml:space="preserve"> A detailed description of the research and analysis EPA conducted to develop the model discharge scenarios and </w:t>
      </w:r>
      <w:r w:rsidR="00D713D2">
        <w:t>unit costs for the rule requirements can be found in Appendix A.</w:t>
      </w:r>
      <w:bookmarkStart w:name="_Hlk55385087" w:id="4"/>
    </w:p>
    <w:bookmarkEnd w:id="4"/>
    <w:p w:rsidRPr="00152400" w:rsidR="005C0CB9" w:rsidP="00B62263" w:rsidRDefault="005C0CB9" w14:paraId="631E3FB2" w14:textId="2D1603E5">
      <w:pPr>
        <w:pStyle w:val="Heading2"/>
      </w:pPr>
      <w:r w:rsidRPr="00152400">
        <w:t>Effects of Less Frequent Collection</w:t>
      </w:r>
    </w:p>
    <w:p w:rsidRPr="00152400" w:rsidR="005C0CB9" w:rsidP="00871EA5" w:rsidRDefault="005F55A6" w14:paraId="03EC2EA0" w14:textId="1B0C42A4">
      <w:r w:rsidRPr="00AF44F4">
        <w:t>A r</w:t>
      </w:r>
      <w:r w:rsidRPr="00AF44F4" w:rsidR="005C0CB9">
        <w:t xml:space="preserve">espondent must submit information only when </w:t>
      </w:r>
      <w:r w:rsidR="00606389">
        <w:t xml:space="preserve">the final rule’s monitoring requirement </w:t>
      </w:r>
      <w:r w:rsidR="002B30E6">
        <w:t xml:space="preserve">applicability </w:t>
      </w:r>
      <w:r w:rsidR="00606389">
        <w:t>conditions</w:t>
      </w:r>
      <w:r w:rsidRPr="00606389" w:rsidR="00606389">
        <w:t xml:space="preserve"> are met</w:t>
      </w:r>
      <w:r w:rsidR="00606389">
        <w:t>, and only for the duration of dispersant operations. The rule’s applicability conditions include the</w:t>
      </w:r>
      <w:r w:rsidRPr="00606389" w:rsidR="00606389">
        <w:t xml:space="preserve"> surface use of dispersants in response to a discharge of more than 100,000 U.S. gallons occurring within 24 hours, and any surface use of dispersants for more than 96 hours in response to an oil discharge.</w:t>
      </w:r>
      <w:r w:rsidR="00606389">
        <w:t xml:space="preserve"> As documented in the Agency’s RIA for the final rule,</w:t>
      </w:r>
      <w:r w:rsidR="00F859A4">
        <w:rPr>
          <w:rStyle w:val="FootnoteReference"/>
        </w:rPr>
        <w:footnoteReference w:id="2"/>
      </w:r>
      <w:r w:rsidR="00606389">
        <w:t xml:space="preserve"> the Agency estimates that applicable discharges occur at an average rate of one every five years, or 0.2 applicable discharges per year. </w:t>
      </w:r>
      <w:r w:rsidR="002B30E6">
        <w:t xml:space="preserve">A single </w:t>
      </w:r>
      <w:r w:rsidR="00606389">
        <w:t>respondent, the RP,</w:t>
      </w:r>
      <w:r w:rsidR="002B30E6">
        <w:t xml:space="preserve"> is</w:t>
      </w:r>
      <w:r w:rsidR="00606389">
        <w:t xml:space="preserve"> associated with each discharge.</w:t>
      </w:r>
    </w:p>
    <w:p w:rsidRPr="00152400" w:rsidR="005C0CB9" w:rsidP="00B62263" w:rsidRDefault="005C0CB9" w14:paraId="2FCCA2A0" w14:textId="75BA5D6F">
      <w:pPr>
        <w:pStyle w:val="Heading2"/>
      </w:pPr>
      <w:r w:rsidRPr="00152400">
        <w:t>General Guidelines</w:t>
      </w:r>
    </w:p>
    <w:p w:rsidRPr="00152400" w:rsidR="005C0CB9" w:rsidP="00871EA5" w:rsidRDefault="005C0CB9" w14:paraId="64B1765D" w14:textId="33830F11">
      <w:r w:rsidRPr="00152400">
        <w:t>The information collection activities discussed in this renewal ICR comply with all regulatory guidelines under 5 CFR 1320.5(d</w:t>
      </w:r>
      <w:r w:rsidRPr="00152400" w:rsidR="00DA550A">
        <w:t>)(</w:t>
      </w:r>
      <w:r w:rsidR="00460918">
        <w:t>2).</w:t>
      </w:r>
    </w:p>
    <w:p w:rsidRPr="00152400" w:rsidR="005C0CB9" w:rsidP="00B62263" w:rsidRDefault="00B62263" w14:paraId="0C34CAC6" w14:textId="441809ED">
      <w:pPr>
        <w:pStyle w:val="Heading2"/>
      </w:pPr>
      <w:r>
        <w:tab/>
      </w:r>
      <w:r w:rsidRPr="00152400" w:rsidR="005C0CB9">
        <w:t>Confidentiality</w:t>
      </w:r>
    </w:p>
    <w:p w:rsidRPr="00152400" w:rsidR="005C0CB9" w:rsidP="00871EA5" w:rsidRDefault="00B63CB8" w14:paraId="082CA496" w14:textId="3397C5B7">
      <w:bookmarkStart w:name="_Hlk57631799" w:id="5"/>
      <w:r w:rsidRPr="00152400">
        <w:t xml:space="preserve">Under </w:t>
      </w:r>
      <w:r w:rsidRPr="00152400" w:rsidR="005C0CB9">
        <w:t xml:space="preserve">40 CFR 300.920(c), respondents </w:t>
      </w:r>
      <w:r w:rsidRPr="00152400" w:rsidR="009454C2">
        <w:t xml:space="preserve">may claim </w:t>
      </w:r>
      <w:r w:rsidRPr="00152400" w:rsidR="005C0CB9">
        <w:t xml:space="preserve">certain information in the technical product data submissions </w:t>
      </w:r>
      <w:r w:rsidRPr="00152400" w:rsidR="00A76B65">
        <w:t>a</w:t>
      </w:r>
      <w:r w:rsidRPr="00152400" w:rsidR="005C0CB9">
        <w:t>s confidential business information</w:t>
      </w:r>
      <w:r w:rsidRPr="00152400" w:rsidR="009454C2">
        <w:t xml:space="preserve"> (CBI)</w:t>
      </w:r>
      <w:r w:rsidRPr="00152400" w:rsidR="00054B45">
        <w:t xml:space="preserve">. </w:t>
      </w:r>
      <w:r w:rsidRPr="00121125" w:rsidR="00121125">
        <w:t xml:space="preserve">The information collection activities discussed in this document </w:t>
      </w:r>
      <w:r w:rsidR="00121125">
        <w:t xml:space="preserve">are not anticipated to </w:t>
      </w:r>
      <w:r w:rsidRPr="00121125" w:rsidR="00121125">
        <w:t xml:space="preserve">involve any </w:t>
      </w:r>
      <w:r w:rsidR="00121125">
        <w:t xml:space="preserve">CBI; however, </w:t>
      </w:r>
      <w:r w:rsidRPr="00152400" w:rsidR="005C0CB9">
        <w:t xml:space="preserve">EPA will handle </w:t>
      </w:r>
      <w:r w:rsidRPr="00152400" w:rsidR="009454C2">
        <w:t xml:space="preserve">CBI </w:t>
      </w:r>
      <w:r w:rsidR="00606389">
        <w:t xml:space="preserve">any </w:t>
      </w:r>
      <w:r w:rsidRPr="00152400" w:rsidR="005C0CB9">
        <w:t>claims pursuant to the provisions in 40 CFR Part 2, Subpart B</w:t>
      </w:r>
      <w:r w:rsidRPr="00152400" w:rsidR="00054B45">
        <w:t xml:space="preserve">. </w:t>
      </w:r>
      <w:r w:rsidRPr="00152400" w:rsidR="009454C2">
        <w:t>I</w:t>
      </w:r>
      <w:r w:rsidRPr="00152400" w:rsidR="005C0CB9">
        <w:t>nformation</w:t>
      </w:r>
      <w:r w:rsidRPr="00152400" w:rsidR="009454C2">
        <w:t xml:space="preserve"> claimed as CBI</w:t>
      </w:r>
      <w:r w:rsidRPr="00152400" w:rsidR="005C0CB9">
        <w:t xml:space="preserve"> must be submitted separately from non-confidential information, clearly identified, and clearly marked “Confidential Business Information.”</w:t>
      </w:r>
    </w:p>
    <w:bookmarkEnd w:id="5"/>
    <w:p w:rsidRPr="00152400" w:rsidR="005C0CB9" w:rsidP="00B62263" w:rsidRDefault="005C0CB9" w14:paraId="011E6AFE" w14:textId="14965410">
      <w:pPr>
        <w:pStyle w:val="Heading2"/>
      </w:pPr>
      <w:r w:rsidRPr="00152400">
        <w:t>Sensitive Questions</w:t>
      </w:r>
    </w:p>
    <w:p w:rsidRPr="00152400" w:rsidR="005C0CB9" w:rsidP="00871EA5" w:rsidRDefault="005C0CB9" w14:paraId="714AE170" w14:textId="77777777">
      <w:r w:rsidRPr="00152400">
        <w:t>The information collection activities discussed in this document do not involve any sensitive questions.</w:t>
      </w:r>
    </w:p>
    <w:p w:rsidRPr="00152400" w:rsidR="005C0CB9" w:rsidP="003A79FF" w:rsidRDefault="00B62263" w14:paraId="78A5BF8F" w14:textId="3C87289B">
      <w:pPr>
        <w:pStyle w:val="Heading1"/>
        <w:ind w:left="360"/>
      </w:pPr>
      <w:r>
        <w:t>Respondents and the Information Requested</w:t>
      </w:r>
    </w:p>
    <w:p w:rsidRPr="00152400" w:rsidR="005C0CB9" w:rsidP="00B62263" w:rsidRDefault="005C0CB9" w14:paraId="7492BB85" w14:textId="3F9B0618">
      <w:pPr>
        <w:pStyle w:val="Heading2"/>
      </w:pPr>
      <w:r w:rsidRPr="00152400">
        <w:t xml:space="preserve">Respondents NAICS Codes </w:t>
      </w:r>
    </w:p>
    <w:p w:rsidR="001B1C03" w:rsidP="001B1C03" w:rsidRDefault="001B1C03" w14:paraId="0C29C46B" w14:textId="5AE38541">
      <w:r>
        <w:t xml:space="preserve">Respondents include potential RPs associated with applicable discharges. </w:t>
      </w:r>
      <w:r w:rsidRPr="001B1C03">
        <w:t xml:space="preserve">Oil discharges can occur at any point in the lifecycle of petroleum production and consumption – during exploration and extraction, transport, refining, storage, consumption, or waste disposal. </w:t>
      </w:r>
      <w:r>
        <w:t>Potential RPs</w:t>
      </w:r>
      <w:r w:rsidRPr="001B1C03">
        <w:t xml:space="preserve"> include entities in a variety of North American Industrial Classification System (NAICS) industries</w:t>
      </w:r>
      <w:r>
        <w:t xml:space="preserve">, as summarized in </w:t>
      </w:r>
      <w:r>
        <w:fldChar w:fldCharType="begin"/>
      </w:r>
      <w:r>
        <w:instrText xml:space="preserve"> REF _Ref38526016 \h </w:instrText>
      </w:r>
      <w:r>
        <w:fldChar w:fldCharType="separate"/>
      </w:r>
      <w:r w:rsidRPr="00DA33E7">
        <w:t xml:space="preserve">Exhibit </w:t>
      </w:r>
      <w:r>
        <w:rPr>
          <w:noProof/>
        </w:rPr>
        <w:t>1</w:t>
      </w:r>
      <w:r>
        <w:fldChar w:fldCharType="end"/>
      </w:r>
      <w:r>
        <w:t>.</w:t>
      </w:r>
    </w:p>
    <w:p w:rsidRPr="00DA33E7" w:rsidR="001B1C03" w:rsidP="001B1C03" w:rsidRDefault="001B1C03" w14:paraId="2260B5E7" w14:textId="77777777">
      <w:pPr>
        <w:pStyle w:val="TableTitle"/>
        <w:jc w:val="center"/>
      </w:pPr>
      <w:bookmarkStart w:name="_Ref38526016" w:id="6"/>
      <w:bookmarkStart w:name="_Toc49778121" w:id="7"/>
      <w:r w:rsidRPr="00DA33E7">
        <w:lastRenderedPageBreak/>
        <w:t xml:space="preserve">Exhibit </w:t>
      </w:r>
      <w:r>
        <w:rPr>
          <w:noProof/>
        </w:rPr>
        <w:fldChar w:fldCharType="begin"/>
      </w:r>
      <w:r>
        <w:rPr>
          <w:noProof/>
        </w:rPr>
        <w:instrText xml:space="preserve"> SEQ Exhibit \* ARABIC </w:instrText>
      </w:r>
      <w:r>
        <w:rPr>
          <w:noProof/>
        </w:rPr>
        <w:fldChar w:fldCharType="separate"/>
      </w:r>
      <w:r>
        <w:rPr>
          <w:noProof/>
        </w:rPr>
        <w:t>1</w:t>
      </w:r>
      <w:r>
        <w:rPr>
          <w:noProof/>
        </w:rPr>
        <w:fldChar w:fldCharType="end"/>
      </w:r>
      <w:bookmarkEnd w:id="6"/>
      <w:r w:rsidRPr="00DA33E7">
        <w:t xml:space="preserve">: </w:t>
      </w:r>
      <w:r>
        <w:t>Potentially Affected NAICS Industries</w:t>
      </w:r>
      <w:bookmarkEnd w:id="7"/>
    </w:p>
    <w:tbl>
      <w:tblPr>
        <w:tblStyle w:val="TableGrid"/>
        <w:tblW w:w="0" w:type="auto"/>
        <w:tblLook w:val="04A0" w:firstRow="1" w:lastRow="0" w:firstColumn="1" w:lastColumn="0" w:noHBand="0" w:noVBand="1"/>
      </w:tblPr>
      <w:tblGrid>
        <w:gridCol w:w="895"/>
        <w:gridCol w:w="8455"/>
      </w:tblGrid>
      <w:tr w:rsidRPr="00CD7177" w:rsidR="001B1C03" w:rsidTr="001B1C03" w14:paraId="0CF02436" w14:textId="77777777">
        <w:trPr>
          <w:tblHeader/>
        </w:trPr>
        <w:tc>
          <w:tcPr>
            <w:tcW w:w="895" w:type="dxa"/>
            <w:shd w:val="clear" w:color="auto" w:fill="D9D9D9" w:themeFill="background1" w:themeFillShade="D9"/>
            <w:vAlign w:val="center"/>
          </w:tcPr>
          <w:p w:rsidRPr="00CD7177" w:rsidR="001B1C03" w:rsidP="001B1C03" w:rsidRDefault="001B1C03" w14:paraId="732F24F9" w14:textId="77777777">
            <w:pPr>
              <w:pStyle w:val="BodyText"/>
              <w:spacing w:after="0" w:line="240" w:lineRule="auto"/>
              <w:ind w:firstLine="0"/>
              <w:jc w:val="center"/>
              <w:rPr>
                <w:rFonts w:ascii="Arial" w:hAnsi="Arial" w:cs="Arial"/>
                <w:b/>
                <w:sz w:val="18"/>
              </w:rPr>
            </w:pPr>
            <w:r w:rsidRPr="00CD7177">
              <w:rPr>
                <w:rFonts w:ascii="Arial" w:hAnsi="Arial" w:cs="Arial"/>
                <w:b/>
                <w:sz w:val="18"/>
              </w:rPr>
              <w:t>NAICS Code</w:t>
            </w:r>
          </w:p>
        </w:tc>
        <w:tc>
          <w:tcPr>
            <w:tcW w:w="8455" w:type="dxa"/>
            <w:shd w:val="clear" w:color="auto" w:fill="D9D9D9" w:themeFill="background1" w:themeFillShade="D9"/>
            <w:vAlign w:val="center"/>
          </w:tcPr>
          <w:p w:rsidRPr="00CD7177" w:rsidR="001B1C03" w:rsidP="00165981" w:rsidRDefault="001B1C03" w14:paraId="72AA5E4A" w14:textId="77777777">
            <w:pPr>
              <w:pStyle w:val="BodyText"/>
              <w:spacing w:after="0" w:line="240" w:lineRule="auto"/>
              <w:jc w:val="center"/>
              <w:rPr>
                <w:rFonts w:ascii="Arial" w:hAnsi="Arial" w:cs="Arial"/>
                <w:b/>
                <w:sz w:val="18"/>
              </w:rPr>
            </w:pPr>
            <w:r w:rsidRPr="00CD7177">
              <w:rPr>
                <w:rFonts w:ascii="Arial" w:hAnsi="Arial" w:cs="Arial"/>
                <w:b/>
                <w:sz w:val="18"/>
              </w:rPr>
              <w:t>NAICS Description</w:t>
            </w:r>
          </w:p>
        </w:tc>
      </w:tr>
      <w:tr w:rsidRPr="00CD7177" w:rsidR="001B1C03" w:rsidTr="00165981" w14:paraId="4F0803C0" w14:textId="77777777">
        <w:tc>
          <w:tcPr>
            <w:tcW w:w="895" w:type="dxa"/>
          </w:tcPr>
          <w:p w:rsidRPr="00CD7177" w:rsidR="001B1C03" w:rsidP="001B1C03" w:rsidRDefault="001B1C03" w14:paraId="73A9F1AC" w14:textId="77777777">
            <w:pPr>
              <w:pStyle w:val="BodyText"/>
              <w:spacing w:after="0" w:line="240" w:lineRule="auto"/>
              <w:ind w:firstLine="0"/>
              <w:rPr>
                <w:rFonts w:ascii="Arial" w:hAnsi="Arial" w:cs="Arial"/>
                <w:b/>
                <w:sz w:val="18"/>
              </w:rPr>
            </w:pPr>
            <w:r w:rsidRPr="00CD7177">
              <w:rPr>
                <w:rFonts w:ascii="Arial" w:hAnsi="Arial" w:cs="Arial"/>
                <w:b/>
                <w:sz w:val="18"/>
              </w:rPr>
              <w:t>211120</w:t>
            </w:r>
          </w:p>
        </w:tc>
        <w:tc>
          <w:tcPr>
            <w:tcW w:w="8455" w:type="dxa"/>
          </w:tcPr>
          <w:p w:rsidRPr="00CD7177" w:rsidR="001B1C03" w:rsidP="001B1C03" w:rsidRDefault="001B1C03" w14:paraId="59A94D51" w14:textId="77777777">
            <w:pPr>
              <w:pStyle w:val="BodyText"/>
              <w:spacing w:after="0" w:line="240" w:lineRule="auto"/>
              <w:ind w:firstLine="0"/>
              <w:rPr>
                <w:rFonts w:ascii="Arial" w:hAnsi="Arial" w:cs="Arial"/>
                <w:sz w:val="18"/>
              </w:rPr>
            </w:pPr>
            <w:r w:rsidRPr="00931267">
              <w:rPr>
                <w:rFonts w:ascii="Arial" w:hAnsi="Arial" w:cs="Arial"/>
                <w:b/>
                <w:bCs/>
                <w:sz w:val="18"/>
                <w:lang w:val="en"/>
              </w:rPr>
              <w:t>Crude Petroleum Extraction</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 xml:space="preserve">This industry comprises establishments primarily engaged in (1) the exploration, development, and/or the production of petroleum from wells in which the hydrocarbons will initially flow or can be produced using normal or enhanced drilling and extraction techniques or (2) the production of crude petroleum from surface shales or tar sands or from reservoirs in which the hydrocarbons are semisolids. </w:t>
            </w:r>
          </w:p>
        </w:tc>
      </w:tr>
      <w:tr w:rsidRPr="00CD7177" w:rsidR="001B1C03" w:rsidTr="00165981" w14:paraId="156E8F6E" w14:textId="77777777">
        <w:tc>
          <w:tcPr>
            <w:tcW w:w="895" w:type="dxa"/>
          </w:tcPr>
          <w:p w:rsidRPr="00CD7177" w:rsidR="001B1C03" w:rsidP="001B1C03" w:rsidRDefault="001B1C03" w14:paraId="0184C91A" w14:textId="77777777">
            <w:pPr>
              <w:pStyle w:val="BodyText"/>
              <w:spacing w:after="0" w:line="240" w:lineRule="auto"/>
              <w:ind w:firstLine="0"/>
              <w:rPr>
                <w:rFonts w:ascii="Arial" w:hAnsi="Arial" w:cs="Arial"/>
                <w:b/>
                <w:sz w:val="18"/>
              </w:rPr>
            </w:pPr>
            <w:r w:rsidRPr="00CD7177">
              <w:rPr>
                <w:rFonts w:ascii="Arial" w:hAnsi="Arial" w:cs="Arial"/>
                <w:b/>
                <w:sz w:val="18"/>
              </w:rPr>
              <w:t>211130</w:t>
            </w:r>
          </w:p>
        </w:tc>
        <w:tc>
          <w:tcPr>
            <w:tcW w:w="8455" w:type="dxa"/>
          </w:tcPr>
          <w:p w:rsidRPr="00CD7177" w:rsidR="001B1C03" w:rsidP="001B1C03" w:rsidRDefault="001B1C03" w14:paraId="5E239095" w14:textId="77777777">
            <w:pPr>
              <w:pStyle w:val="BodyText"/>
              <w:spacing w:after="0" w:line="240" w:lineRule="auto"/>
              <w:ind w:firstLine="0"/>
              <w:rPr>
                <w:rFonts w:ascii="Arial" w:hAnsi="Arial" w:cs="Arial"/>
                <w:sz w:val="18"/>
              </w:rPr>
            </w:pPr>
            <w:r w:rsidRPr="00931267">
              <w:rPr>
                <w:rFonts w:ascii="Arial" w:hAnsi="Arial" w:cs="Arial"/>
                <w:b/>
                <w:bCs/>
                <w:sz w:val="18"/>
                <w:lang w:val="en"/>
              </w:rPr>
              <w:t>Natural Gas Extraction</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industry comprises establishments primarily engaged in (1) the exploration, development, and/or the production of natural gas from wells in which the hydrocarbons will initially flow or can be produced using normal or enhanced drilling and extraction techniques or (2) the recovery of liquid hydrocarbons from oil and gas field gases. Establishments primarily engaged in sulfur recovery from natural gas are included in this industry</w:t>
            </w:r>
          </w:p>
        </w:tc>
      </w:tr>
      <w:tr w:rsidRPr="00CD7177" w:rsidR="001B1C03" w:rsidTr="00165981" w14:paraId="6FB1B9F5" w14:textId="77777777">
        <w:tc>
          <w:tcPr>
            <w:tcW w:w="895" w:type="dxa"/>
          </w:tcPr>
          <w:p w:rsidRPr="00CD7177" w:rsidR="001B1C03" w:rsidP="001B1C03" w:rsidRDefault="001B1C03" w14:paraId="4D813219" w14:textId="77777777">
            <w:pPr>
              <w:pStyle w:val="BodyText"/>
              <w:spacing w:after="0" w:line="240" w:lineRule="auto"/>
              <w:ind w:firstLine="0"/>
              <w:rPr>
                <w:rFonts w:ascii="Arial" w:hAnsi="Arial" w:cs="Arial"/>
                <w:b/>
                <w:sz w:val="18"/>
              </w:rPr>
            </w:pPr>
            <w:r w:rsidRPr="00CD7177">
              <w:rPr>
                <w:rFonts w:ascii="Arial" w:hAnsi="Arial" w:cs="Arial"/>
                <w:b/>
                <w:sz w:val="18"/>
              </w:rPr>
              <w:t>324110</w:t>
            </w:r>
          </w:p>
        </w:tc>
        <w:tc>
          <w:tcPr>
            <w:tcW w:w="8455" w:type="dxa"/>
          </w:tcPr>
          <w:p w:rsidRPr="00CD7177" w:rsidR="001B1C03" w:rsidP="001B1C03" w:rsidRDefault="001B1C03" w14:paraId="706BB954" w14:textId="77777777">
            <w:pPr>
              <w:pStyle w:val="BodyText"/>
              <w:spacing w:after="0" w:line="240" w:lineRule="auto"/>
              <w:ind w:firstLine="0"/>
              <w:rPr>
                <w:rFonts w:ascii="Arial" w:hAnsi="Arial" w:cs="Arial"/>
                <w:sz w:val="18"/>
              </w:rPr>
            </w:pPr>
            <w:r w:rsidRPr="00931267">
              <w:rPr>
                <w:rFonts w:ascii="Arial" w:hAnsi="Arial" w:cs="Arial"/>
                <w:b/>
                <w:bCs/>
                <w:sz w:val="18"/>
                <w:lang w:val="en"/>
              </w:rPr>
              <w:t>Petroleum Refineries</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industry comprises establishments primarily engaged in refining crude petroleum into refined petroleum. Petroleum refining involves one or more of the following activities: (1) fractionation; (2) straight distillation of crude oil; and (3) cracking.</w:t>
            </w:r>
          </w:p>
        </w:tc>
      </w:tr>
      <w:tr w:rsidRPr="00CD7177" w:rsidR="001B1C03" w:rsidTr="00165981" w14:paraId="435F69CA" w14:textId="77777777">
        <w:tc>
          <w:tcPr>
            <w:tcW w:w="895" w:type="dxa"/>
          </w:tcPr>
          <w:p w:rsidRPr="00CD7177" w:rsidR="001B1C03" w:rsidP="001B1C03" w:rsidRDefault="001B1C03" w14:paraId="1037E252" w14:textId="77777777">
            <w:pPr>
              <w:pStyle w:val="BodyText"/>
              <w:spacing w:after="0" w:line="240" w:lineRule="auto"/>
              <w:ind w:firstLine="0"/>
              <w:rPr>
                <w:rFonts w:ascii="Arial" w:hAnsi="Arial" w:cs="Arial"/>
                <w:b/>
                <w:sz w:val="18"/>
              </w:rPr>
            </w:pPr>
            <w:r w:rsidRPr="00CD7177">
              <w:rPr>
                <w:rFonts w:ascii="Arial" w:hAnsi="Arial" w:cs="Arial"/>
                <w:b/>
                <w:sz w:val="18"/>
              </w:rPr>
              <w:t>424710</w:t>
            </w:r>
          </w:p>
        </w:tc>
        <w:tc>
          <w:tcPr>
            <w:tcW w:w="8455" w:type="dxa"/>
          </w:tcPr>
          <w:p w:rsidRPr="00CD7177" w:rsidR="001B1C03" w:rsidP="001B1C03" w:rsidRDefault="001B1C03" w14:paraId="4AF21012" w14:textId="77777777">
            <w:pPr>
              <w:pStyle w:val="BodyText"/>
              <w:spacing w:after="0" w:line="240" w:lineRule="auto"/>
              <w:ind w:firstLine="0"/>
              <w:rPr>
                <w:rFonts w:ascii="Arial" w:hAnsi="Arial" w:cs="Arial"/>
                <w:sz w:val="18"/>
              </w:rPr>
            </w:pPr>
            <w:r w:rsidRPr="00931267">
              <w:rPr>
                <w:rFonts w:ascii="Arial" w:hAnsi="Arial" w:cs="Arial"/>
                <w:b/>
                <w:bCs/>
                <w:sz w:val="18"/>
                <w:lang w:val="en"/>
              </w:rPr>
              <w:t>Petroleum Bulk Stations and Terminals</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industry comprises establishments with bulk liquid storage facilities primarily engaged in the merchant wholesale distribution of crude petroleum and petroleum products, including liquefied petroleum gas.</w:t>
            </w:r>
          </w:p>
        </w:tc>
      </w:tr>
      <w:tr w:rsidRPr="00CD7177" w:rsidR="001B1C03" w:rsidTr="00165981" w14:paraId="2584E5CB" w14:textId="77777777">
        <w:tc>
          <w:tcPr>
            <w:tcW w:w="895" w:type="dxa"/>
          </w:tcPr>
          <w:p w:rsidRPr="00CD7177" w:rsidR="001B1C03" w:rsidP="001B1C03" w:rsidRDefault="001B1C03" w14:paraId="3E6A4FC3" w14:textId="77777777">
            <w:pPr>
              <w:pStyle w:val="BodyText"/>
              <w:spacing w:after="0" w:line="240" w:lineRule="auto"/>
              <w:ind w:firstLine="0"/>
              <w:rPr>
                <w:rFonts w:ascii="Arial" w:hAnsi="Arial" w:cs="Arial"/>
                <w:b/>
                <w:sz w:val="18"/>
              </w:rPr>
            </w:pPr>
            <w:r w:rsidRPr="00CD7177">
              <w:rPr>
                <w:rFonts w:ascii="Arial" w:hAnsi="Arial" w:cs="Arial"/>
                <w:b/>
                <w:sz w:val="18"/>
              </w:rPr>
              <w:t>424720</w:t>
            </w:r>
          </w:p>
        </w:tc>
        <w:tc>
          <w:tcPr>
            <w:tcW w:w="8455" w:type="dxa"/>
          </w:tcPr>
          <w:p w:rsidRPr="00CD7177" w:rsidR="001B1C03" w:rsidP="001B1C03" w:rsidRDefault="001B1C03" w14:paraId="0F82BC77" w14:textId="77777777">
            <w:pPr>
              <w:pStyle w:val="BodyText"/>
              <w:spacing w:after="0" w:line="240" w:lineRule="auto"/>
              <w:ind w:firstLine="0"/>
              <w:rPr>
                <w:rFonts w:ascii="Arial" w:hAnsi="Arial" w:cs="Arial"/>
                <w:sz w:val="18"/>
              </w:rPr>
            </w:pPr>
            <w:r w:rsidRPr="00931267">
              <w:rPr>
                <w:rFonts w:ascii="Arial" w:hAnsi="Arial" w:cs="Arial"/>
                <w:b/>
                <w:bCs/>
                <w:sz w:val="18"/>
                <w:lang w:val="en"/>
              </w:rPr>
              <w:t>Petroleum and Petroleum Products Merchant Wholesalers (except Bulk Stations and Terminals)</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industry comprises establishments primarily engaged in the merchant wholesale distribution of petroleum and petroleum products (except from bulk liquid storage facilities).</w:t>
            </w:r>
          </w:p>
        </w:tc>
      </w:tr>
      <w:tr w:rsidRPr="00CD7177" w:rsidR="001B1C03" w:rsidTr="00165981" w14:paraId="15193972" w14:textId="77777777">
        <w:tc>
          <w:tcPr>
            <w:tcW w:w="895" w:type="dxa"/>
          </w:tcPr>
          <w:p w:rsidRPr="00CD7177" w:rsidR="001B1C03" w:rsidP="001B1C03" w:rsidRDefault="001B1C03" w14:paraId="767057F0" w14:textId="77777777">
            <w:pPr>
              <w:pStyle w:val="BodyText"/>
              <w:spacing w:after="0" w:line="240" w:lineRule="auto"/>
              <w:ind w:firstLine="0"/>
              <w:rPr>
                <w:rFonts w:ascii="Arial" w:hAnsi="Arial" w:cs="Arial"/>
                <w:b/>
                <w:sz w:val="18"/>
              </w:rPr>
            </w:pPr>
            <w:r w:rsidRPr="00CD7177">
              <w:rPr>
                <w:rFonts w:ascii="Arial" w:hAnsi="Arial" w:cs="Arial"/>
                <w:b/>
                <w:sz w:val="18"/>
              </w:rPr>
              <w:t>483111</w:t>
            </w:r>
          </w:p>
        </w:tc>
        <w:tc>
          <w:tcPr>
            <w:tcW w:w="8455" w:type="dxa"/>
          </w:tcPr>
          <w:p w:rsidRPr="00CD7177" w:rsidR="001B1C03" w:rsidP="001B1C03" w:rsidRDefault="001B1C03" w14:paraId="4EEA7F0F" w14:textId="77777777">
            <w:pPr>
              <w:pStyle w:val="BodyText"/>
              <w:spacing w:after="0" w:line="240" w:lineRule="auto"/>
              <w:ind w:firstLine="0"/>
              <w:rPr>
                <w:rFonts w:ascii="Arial" w:hAnsi="Arial" w:cs="Arial"/>
                <w:sz w:val="18"/>
              </w:rPr>
            </w:pPr>
            <w:r w:rsidRPr="00931267">
              <w:rPr>
                <w:rFonts w:ascii="Arial" w:hAnsi="Arial" w:cs="Arial"/>
                <w:b/>
                <w:bCs/>
                <w:sz w:val="18"/>
                <w:lang w:val="en"/>
              </w:rPr>
              <w:t>Deep Sea Freight Transportation</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U.S. industry comprises establishments primarily engaged in providing deep sea transportation of cargo to or from foreign ports</w:t>
            </w:r>
          </w:p>
        </w:tc>
      </w:tr>
      <w:tr w:rsidRPr="00CD7177" w:rsidR="001B1C03" w:rsidTr="00165981" w14:paraId="226F5158" w14:textId="77777777">
        <w:tc>
          <w:tcPr>
            <w:tcW w:w="895" w:type="dxa"/>
          </w:tcPr>
          <w:p w:rsidRPr="00CD7177" w:rsidR="001B1C03" w:rsidP="001B1C03" w:rsidRDefault="001B1C03" w14:paraId="03BD7979" w14:textId="77777777">
            <w:pPr>
              <w:pStyle w:val="BodyText"/>
              <w:spacing w:after="0" w:line="240" w:lineRule="auto"/>
              <w:ind w:firstLine="0"/>
              <w:rPr>
                <w:rFonts w:ascii="Arial" w:hAnsi="Arial" w:cs="Arial"/>
                <w:b/>
                <w:sz w:val="18"/>
              </w:rPr>
            </w:pPr>
            <w:r w:rsidRPr="00CD7177">
              <w:rPr>
                <w:rFonts w:ascii="Arial" w:hAnsi="Arial" w:cs="Arial"/>
                <w:b/>
                <w:sz w:val="18"/>
              </w:rPr>
              <w:t>483113</w:t>
            </w:r>
            <w:r>
              <w:rPr>
                <w:rFonts w:ascii="Arial" w:hAnsi="Arial" w:cs="Arial"/>
                <w:b/>
                <w:sz w:val="18"/>
              </w:rPr>
              <w:t>*</w:t>
            </w:r>
          </w:p>
        </w:tc>
        <w:tc>
          <w:tcPr>
            <w:tcW w:w="8455" w:type="dxa"/>
          </w:tcPr>
          <w:p w:rsidRPr="00CD7177" w:rsidR="001B1C03" w:rsidP="001B1C03" w:rsidRDefault="001B1C03" w14:paraId="16E9CD22" w14:textId="77777777">
            <w:pPr>
              <w:pStyle w:val="BodyText"/>
              <w:spacing w:after="0" w:line="240" w:lineRule="auto"/>
              <w:ind w:firstLine="0"/>
              <w:rPr>
                <w:rFonts w:ascii="Arial" w:hAnsi="Arial" w:cs="Arial"/>
                <w:sz w:val="18"/>
              </w:rPr>
            </w:pPr>
            <w:r w:rsidRPr="00931267">
              <w:rPr>
                <w:rFonts w:ascii="Arial" w:hAnsi="Arial" w:cs="Arial"/>
                <w:b/>
                <w:bCs/>
                <w:sz w:val="18"/>
                <w:lang w:val="en"/>
              </w:rPr>
              <w:t>Coastal and Great Lakes Freight Transportation</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U.S. industry comprises establishments primarily engaged in providing water transportation of cargo in coastal waters, on the Great Lakes System, or deep seas between ports of the United States, Puerto Rico, and United States island possessions or protectorates. Marine transportation establishments using the facilities of the St. Lawrence Seaway Authority Commission are considered to be using the Great Lakes Water Transportation System. Establishments primarily engaged in providing coastal and/or Great Lakes barge transportation services are included in this industry</w:t>
            </w:r>
          </w:p>
        </w:tc>
      </w:tr>
      <w:tr w:rsidRPr="00CD7177" w:rsidR="001B1C03" w:rsidTr="00165981" w14:paraId="41A3859A" w14:textId="77777777">
        <w:tc>
          <w:tcPr>
            <w:tcW w:w="895" w:type="dxa"/>
          </w:tcPr>
          <w:p w:rsidRPr="00CD7177" w:rsidR="001B1C03" w:rsidP="001B1C03" w:rsidRDefault="001B1C03" w14:paraId="23905518" w14:textId="77777777">
            <w:pPr>
              <w:pStyle w:val="BodyText"/>
              <w:spacing w:after="0" w:line="240" w:lineRule="auto"/>
              <w:ind w:firstLine="0"/>
              <w:rPr>
                <w:rFonts w:ascii="Arial" w:hAnsi="Arial" w:cs="Arial"/>
                <w:b/>
                <w:sz w:val="18"/>
              </w:rPr>
            </w:pPr>
            <w:r w:rsidRPr="00CD7177">
              <w:rPr>
                <w:rFonts w:ascii="Arial" w:hAnsi="Arial" w:cs="Arial"/>
                <w:b/>
                <w:sz w:val="18"/>
              </w:rPr>
              <w:t>486110</w:t>
            </w:r>
          </w:p>
        </w:tc>
        <w:tc>
          <w:tcPr>
            <w:tcW w:w="8455" w:type="dxa"/>
          </w:tcPr>
          <w:p w:rsidRPr="00CD7177" w:rsidR="001B1C03" w:rsidP="001B1C03" w:rsidRDefault="001B1C03" w14:paraId="731D2F11" w14:textId="77777777">
            <w:pPr>
              <w:pStyle w:val="BodyText"/>
              <w:spacing w:after="0" w:line="240" w:lineRule="auto"/>
              <w:ind w:firstLine="0"/>
              <w:rPr>
                <w:rFonts w:ascii="Arial" w:hAnsi="Arial" w:cs="Arial"/>
                <w:sz w:val="18"/>
              </w:rPr>
            </w:pPr>
            <w:r w:rsidRPr="00931267">
              <w:rPr>
                <w:rFonts w:ascii="Arial" w:hAnsi="Arial" w:cs="Arial"/>
                <w:b/>
                <w:bCs/>
                <w:sz w:val="18"/>
                <w:lang w:val="en"/>
              </w:rPr>
              <w:t>Pipeline Transportation of Crude Oil</w:t>
            </w:r>
            <w:r w:rsidRPr="00CD7177">
              <w:rPr>
                <w:rFonts w:ascii="Arial" w:hAnsi="Arial" w:cs="Arial"/>
                <w:b/>
                <w:bCs/>
                <w:sz w:val="18"/>
                <w:lang w:val="en"/>
              </w:rPr>
              <w:t xml:space="preserve"> </w:t>
            </w:r>
            <w:r>
              <w:rPr>
                <w:rFonts w:ascii="Arial" w:hAnsi="Arial" w:cs="Arial"/>
                <w:b/>
                <w:bCs/>
                <w:sz w:val="18"/>
                <w:lang w:val="en"/>
              </w:rPr>
              <w:t>–</w:t>
            </w:r>
            <w:r w:rsidRPr="00CD7177">
              <w:rPr>
                <w:rFonts w:ascii="Arial" w:hAnsi="Arial" w:cs="Arial"/>
                <w:b/>
                <w:bCs/>
                <w:sz w:val="18"/>
                <w:lang w:val="en"/>
              </w:rPr>
              <w:t xml:space="preserve"> </w:t>
            </w:r>
            <w:r w:rsidRPr="00CD7177">
              <w:rPr>
                <w:rFonts w:ascii="Arial" w:hAnsi="Arial" w:cs="Arial"/>
                <w:sz w:val="18"/>
                <w:lang w:val="en"/>
              </w:rPr>
              <w:t>This industry comprises establishments primarily engaged in the pipeline transportation of crude oil.</w:t>
            </w:r>
          </w:p>
        </w:tc>
      </w:tr>
      <w:tr w:rsidRPr="00CD7177" w:rsidR="001B1C03" w:rsidTr="00165981" w14:paraId="4BBAE284" w14:textId="77777777">
        <w:tc>
          <w:tcPr>
            <w:tcW w:w="9350" w:type="dxa"/>
            <w:gridSpan w:val="2"/>
          </w:tcPr>
          <w:p w:rsidRPr="00122CD3" w:rsidR="001B1C03" w:rsidP="001B1C03" w:rsidRDefault="001B1C03" w14:paraId="39494A79" w14:textId="77777777">
            <w:pPr>
              <w:pStyle w:val="BodyText"/>
              <w:spacing w:after="0" w:line="240" w:lineRule="auto"/>
              <w:ind w:firstLine="0"/>
              <w:rPr>
                <w:rFonts w:ascii="Arial" w:hAnsi="Arial" w:cs="Arial"/>
                <w:b/>
                <w:bCs/>
                <w:sz w:val="18"/>
                <w:szCs w:val="18"/>
                <w:lang w:val="en"/>
              </w:rPr>
            </w:pPr>
            <w:r w:rsidRPr="00FE0193">
              <w:rPr>
                <w:rFonts w:ascii="Arial" w:hAnsi="Arial" w:cs="Arial"/>
                <w:sz w:val="18"/>
                <w:szCs w:val="18"/>
              </w:rPr>
              <w:t>*Note: Only the coastal freight transportation component of this industry is affected by the rule. Great Lakes-related transportation is unaffected because dispersants are not applied on freshwater.</w:t>
            </w:r>
          </w:p>
        </w:tc>
      </w:tr>
    </w:tbl>
    <w:p w:rsidRPr="00152400" w:rsidR="001B1C03" w:rsidP="001B1C03" w:rsidRDefault="001B1C03" w14:paraId="5D91FF94" w14:textId="77777777"/>
    <w:p w:rsidRPr="00152400" w:rsidR="005C0CB9" w:rsidRDefault="005C0CB9" w14:paraId="3A1FB54B" w14:textId="77777777">
      <w:pPr>
        <w:spacing w:line="2" w:lineRule="exact"/>
        <w:rPr>
          <w:rFonts w:ascii="Arial" w:hAnsi="Arial" w:cs="Arial"/>
          <w:szCs w:val="24"/>
        </w:rPr>
      </w:pPr>
    </w:p>
    <w:p w:rsidRPr="00152400" w:rsidR="005C0CB9" w:rsidP="00B62263" w:rsidRDefault="005C0CB9" w14:paraId="1D89CC9D" w14:textId="5083D55D">
      <w:pPr>
        <w:pStyle w:val="Heading2"/>
      </w:pPr>
      <w:r w:rsidRPr="00152400">
        <w:t xml:space="preserve">Information Requested </w:t>
      </w:r>
    </w:p>
    <w:p w:rsidRPr="00152400" w:rsidR="005C0CB9" w:rsidP="00B62263" w:rsidRDefault="005C0CB9" w14:paraId="7B649238" w14:textId="3A925336">
      <w:pPr>
        <w:pStyle w:val="Heading3"/>
      </w:pPr>
      <w:r w:rsidRPr="00152400">
        <w:t>Data Items</w:t>
      </w:r>
    </w:p>
    <w:p w:rsidR="005C0CB9" w:rsidP="00871EA5" w:rsidRDefault="005C0CB9" w14:paraId="2FB074E6" w14:textId="36FC3F66">
      <w:r w:rsidRPr="00152400">
        <w:t>Under Subpart J</w:t>
      </w:r>
      <w:r w:rsidR="008B5576">
        <w:t xml:space="preserve"> </w:t>
      </w:r>
      <w:r w:rsidRPr="00696D22" w:rsidR="008B5576">
        <w:rPr>
          <w:rFonts w:eastAsia="Arial"/>
          <w:szCs w:val="24"/>
        </w:rPr>
        <w:t>§300.913</w:t>
      </w:r>
      <w:r w:rsidRPr="00152400">
        <w:t xml:space="preserve">, </w:t>
      </w:r>
      <w:r w:rsidR="008B5576">
        <w:t>the respondent (the RP) must report the following data items during the course of dispersant operations in response to a discharge that meets the final rule’s applicability criteria.</w:t>
      </w:r>
      <w:r w:rsidRPr="00152400" w:rsidR="00054B45">
        <w:t xml:space="preserve"> </w:t>
      </w:r>
      <w:r w:rsidRPr="00152400">
        <w:t>No specific recordkeeping activities are required.</w:t>
      </w:r>
    </w:p>
    <w:p w:rsidR="008B5576" w:rsidP="008B5576" w:rsidRDefault="008B5576" w14:paraId="1F2C67B0" w14:textId="77777777">
      <w:pPr>
        <w:pStyle w:val="Heading4"/>
        <w:jc w:val="left"/>
      </w:pPr>
      <w:r w:rsidRPr="0094091E">
        <w:t xml:space="preserve">Information on Dispersant Application </w:t>
      </w:r>
    </w:p>
    <w:p w:rsidR="006555EE" w:rsidP="00BA3254" w:rsidRDefault="00BA3254" w14:paraId="22F64F87" w14:textId="77777777">
      <w:r w:rsidRPr="00BA3254">
        <w:t>The final rule requires that the RP document</w:t>
      </w:r>
      <w:r w:rsidR="006555EE">
        <w:t>:</w:t>
      </w:r>
    </w:p>
    <w:p w:rsidR="004750BA" w:rsidP="006555EE" w:rsidRDefault="006555EE" w14:paraId="17F9DEB4" w14:textId="7D8F30BC">
      <w:pPr>
        <w:pStyle w:val="ListParagraph"/>
        <w:numPr>
          <w:ilvl w:val="3"/>
          <w:numId w:val="29"/>
        </w:numPr>
        <w:ind w:left="720"/>
      </w:pPr>
      <w:r>
        <w:t>T</w:t>
      </w:r>
      <w:r w:rsidRPr="00BA3254" w:rsidR="00BA3254">
        <w:t>he characteristics of the source oil</w:t>
      </w:r>
      <w:r>
        <w:t>;</w:t>
      </w:r>
    </w:p>
    <w:p w:rsidR="004750BA" w:rsidP="00F859A4" w:rsidRDefault="004750BA" w14:paraId="42B3F004" w14:textId="77777777">
      <w:pPr>
        <w:pStyle w:val="ListParagraph"/>
        <w:numPr>
          <w:ilvl w:val="0"/>
          <w:numId w:val="29"/>
        </w:numPr>
        <w:ind w:left="720"/>
      </w:pPr>
      <w:r>
        <w:t>The oil discharge flow</w:t>
      </w:r>
      <w:r w:rsidRPr="00BA3254" w:rsidR="00BA3254">
        <w:t>, including a description of the method, associated uncertainties, and materials</w:t>
      </w:r>
      <w:r>
        <w:t>;</w:t>
      </w:r>
    </w:p>
    <w:p w:rsidRPr="004750BA" w:rsidR="004750BA" w:rsidP="00F859A4" w:rsidRDefault="004750BA" w14:paraId="3BE942E9" w14:textId="77777777">
      <w:pPr>
        <w:pStyle w:val="ListParagraph"/>
        <w:numPr>
          <w:ilvl w:val="0"/>
          <w:numId w:val="29"/>
        </w:numPr>
        <w:ind w:left="720"/>
        <w:rPr>
          <w:b/>
        </w:rPr>
      </w:pPr>
      <w:r>
        <w:t>D</w:t>
      </w:r>
      <w:r w:rsidRPr="00BA3254" w:rsidR="00BA3254">
        <w:t xml:space="preserve">escriptions, methods, associated uncertainties, and materials of dispersant application. This documentation includes dispersant used, rationale for dispersant choice, including the results of any efficacy and toxicity tests, recommended dispersant-to-oil ratio (DOR); </w:t>
      </w:r>
      <w:r w:rsidRPr="00BA3254" w:rsidR="00BA3254">
        <w:lastRenderedPageBreak/>
        <w:t>and the application method(s) and procedures, including a description of the equipment to be used, hourly application rates, capacities, and tot</w:t>
      </w:r>
      <w:r>
        <w:t xml:space="preserve">al amount of dispersant needed; and, </w:t>
      </w:r>
    </w:p>
    <w:p w:rsidRPr="004750BA" w:rsidR="008B5576" w:rsidP="00F859A4" w:rsidRDefault="00BA3254" w14:paraId="038C536C" w14:textId="72F6F2E8">
      <w:pPr>
        <w:pStyle w:val="ListParagraph"/>
        <w:numPr>
          <w:ilvl w:val="0"/>
          <w:numId w:val="29"/>
        </w:numPr>
        <w:ind w:left="720"/>
        <w:rPr>
          <w:b/>
        </w:rPr>
      </w:pPr>
      <w:r w:rsidRPr="00BA3254">
        <w:t>For subsurface discharges, the best estimate of the discharge flow rate of any associated volatile petroleum hydrocarbons, periodically reevaluated as conditions dictate, including a description of the method, associated uncert</w:t>
      </w:r>
      <w:r w:rsidR="004750BA">
        <w:t>ainties, and materials.</w:t>
      </w:r>
    </w:p>
    <w:p w:rsidR="00EA5EB0" w:rsidP="00FF37AC" w:rsidRDefault="00EA5EB0" w14:paraId="4231B981" w14:textId="01ABB05E">
      <w:pPr>
        <w:pStyle w:val="Heading4"/>
        <w:jc w:val="left"/>
      </w:pPr>
      <w:r>
        <w:t>Water Column Sampling</w:t>
      </w:r>
    </w:p>
    <w:p w:rsidRPr="00AE5549" w:rsidR="00EA5EB0" w:rsidP="00EA5EB0" w:rsidRDefault="00EA5EB0" w14:paraId="4569D139" w14:textId="77777777">
      <w:pPr>
        <w:pStyle w:val="BodyText"/>
      </w:pPr>
      <w:r w:rsidRPr="001B53E5">
        <w:t xml:space="preserve">The final action requires the responsible party to collect a representative set of </w:t>
      </w:r>
      <w:r>
        <w:t xml:space="preserve">ambient </w:t>
      </w:r>
      <w:r w:rsidRPr="001B53E5">
        <w:t>background water column samples in areas not affected by the discharge of oil, at the closest safe distance from the discharge as determined by the OSC</w:t>
      </w:r>
      <w:r w:rsidRPr="00835177">
        <w:t>,</w:t>
      </w:r>
      <w:r w:rsidRPr="001B53E5">
        <w:t xml:space="preserve"> and in </w:t>
      </w:r>
      <w:r w:rsidRPr="00835177">
        <w:t>the directions</w:t>
      </w:r>
      <w:r w:rsidRPr="001B53E5">
        <w:t xml:space="preserve"> of likely </w:t>
      </w:r>
      <w:r w:rsidRPr="00835177">
        <w:t xml:space="preserve">oil </w:t>
      </w:r>
      <w:r w:rsidRPr="001B53E5">
        <w:t>transport considering surface and subsurface currents</w:t>
      </w:r>
      <w:r w:rsidRPr="00835177">
        <w:t xml:space="preserve">. The responsible party is </w:t>
      </w:r>
      <w:r>
        <w:t xml:space="preserve">also </w:t>
      </w:r>
      <w:r w:rsidRPr="00835177">
        <w:t xml:space="preserve">to </w:t>
      </w:r>
      <w:r>
        <w:t>c</w:t>
      </w:r>
      <w:r w:rsidRPr="00835177">
        <w:t>ollect a representative set of baseline water column samples</w:t>
      </w:r>
      <w:r>
        <w:t xml:space="preserve"> </w:t>
      </w:r>
      <w:r w:rsidRPr="009049AC">
        <w:t>absent dispersant application</w:t>
      </w:r>
      <w:r w:rsidRPr="00835177">
        <w:t xml:space="preserve"> at such depths and locations affected by the </w:t>
      </w:r>
      <w:r>
        <w:t xml:space="preserve">oil </w:t>
      </w:r>
      <w:r w:rsidRPr="00835177">
        <w:t xml:space="preserve">discharge absent dispersant application, considering surface and subsurface currents, </w:t>
      </w:r>
      <w:r w:rsidRPr="001B53E5">
        <w:t>oil properties</w:t>
      </w:r>
      <w:r w:rsidRPr="00835177">
        <w:t xml:space="preserve">, and </w:t>
      </w:r>
      <w:r>
        <w:t xml:space="preserve">other relevant </w:t>
      </w:r>
      <w:r w:rsidRPr="00835177">
        <w:t>discharge conditions</w:t>
      </w:r>
      <w:r>
        <w:t xml:space="preserve">. </w:t>
      </w:r>
      <w:r w:rsidRPr="0053402C">
        <w:t xml:space="preserve">In addition to the background water sample collection, the </w:t>
      </w:r>
      <w:r>
        <w:t>final rule</w:t>
      </w:r>
      <w:r w:rsidRPr="0053402C">
        <w:t xml:space="preserve"> requires the </w:t>
      </w:r>
      <w:r>
        <w:t>RP</w:t>
      </w:r>
      <w:r w:rsidRPr="0053402C">
        <w:t xml:space="preserve"> to collect water column samples daily in the dispersed oil plume at such depths and locations where dispersed oil is likely to be present.</w:t>
      </w:r>
      <w:r>
        <w:t xml:space="preserve"> The </w:t>
      </w:r>
      <w:r w:rsidRPr="00583388">
        <w:t>background, baseline, and dispersed oil plume water column sampl</w:t>
      </w:r>
      <w:r>
        <w:t>ing must include, as applicable:</w:t>
      </w:r>
    </w:p>
    <w:p w:rsidRPr="00EA5EB0" w:rsidR="00EA5EB0" w:rsidP="00F859A4" w:rsidRDefault="00EA5EB0" w14:paraId="078C46C3" w14:textId="56438B18">
      <w:pPr>
        <w:pStyle w:val="ListParagraph"/>
        <w:numPr>
          <w:ilvl w:val="0"/>
          <w:numId w:val="33"/>
        </w:numPr>
        <w:spacing w:line="240" w:lineRule="auto"/>
        <w:ind w:left="720"/>
        <w:contextualSpacing w:val="0"/>
        <w:rPr>
          <w:szCs w:val="24"/>
        </w:rPr>
      </w:pPr>
      <w:r w:rsidRPr="00EA5EB0">
        <w:rPr>
          <w:szCs w:val="24"/>
        </w:rPr>
        <w:t>In-situ oil droplet size distribution analysis;</w:t>
      </w:r>
    </w:p>
    <w:p w:rsidRPr="00EA5EB0" w:rsidR="00EA5EB0" w:rsidP="00F859A4" w:rsidRDefault="00EA5EB0" w14:paraId="2B834C28" w14:textId="2F0AC87C">
      <w:pPr>
        <w:pStyle w:val="ListParagraph"/>
        <w:numPr>
          <w:ilvl w:val="0"/>
          <w:numId w:val="33"/>
        </w:numPr>
        <w:spacing w:line="240" w:lineRule="auto"/>
        <w:ind w:left="720"/>
        <w:contextualSpacing w:val="0"/>
        <w:rPr>
          <w:szCs w:val="24"/>
        </w:rPr>
      </w:pPr>
      <w:r w:rsidRPr="00EA5EB0">
        <w:rPr>
          <w:szCs w:val="24"/>
        </w:rPr>
        <w:t>In-situ fluorometry;</w:t>
      </w:r>
    </w:p>
    <w:p w:rsidRPr="00EA5EB0" w:rsidR="00EA5EB0" w:rsidP="00F859A4" w:rsidRDefault="00EA5EB0" w14:paraId="670D5F8A" w14:textId="4BBA05CD">
      <w:pPr>
        <w:pStyle w:val="ListParagraph"/>
        <w:numPr>
          <w:ilvl w:val="0"/>
          <w:numId w:val="33"/>
        </w:numPr>
        <w:spacing w:line="240" w:lineRule="auto"/>
        <w:ind w:left="720"/>
        <w:contextualSpacing w:val="0"/>
        <w:rPr>
          <w:szCs w:val="24"/>
        </w:rPr>
      </w:pPr>
      <w:r w:rsidRPr="00EA5EB0">
        <w:rPr>
          <w:szCs w:val="24"/>
        </w:rPr>
        <w:t>Fluorescence signatures</w:t>
      </w:r>
      <w:r w:rsidRPr="00EA5EB0">
        <w:rPr>
          <w:rFonts w:eastAsiaTheme="minorEastAsia"/>
          <w:szCs w:val="24"/>
        </w:rPr>
        <w:t>;</w:t>
      </w:r>
    </w:p>
    <w:p w:rsidRPr="00EA5EB0" w:rsidR="00EA5EB0" w:rsidP="00F859A4" w:rsidRDefault="00EA5EB0" w14:paraId="07171624" w14:textId="797CCD08">
      <w:pPr>
        <w:pStyle w:val="ListParagraph"/>
        <w:numPr>
          <w:ilvl w:val="0"/>
          <w:numId w:val="33"/>
        </w:numPr>
        <w:spacing w:line="240" w:lineRule="auto"/>
        <w:ind w:left="720"/>
        <w:contextualSpacing w:val="0"/>
        <w:rPr>
          <w:b/>
          <w:szCs w:val="24"/>
        </w:rPr>
      </w:pPr>
      <w:r w:rsidRPr="00EA5EB0">
        <w:rPr>
          <w:szCs w:val="24"/>
        </w:rPr>
        <w:t>Dissolved oxygen (subsurface only);</w:t>
      </w:r>
    </w:p>
    <w:p w:rsidRPr="00EA5EB0" w:rsidR="00EA5EB0" w:rsidP="00F859A4" w:rsidRDefault="00EA5EB0" w14:paraId="1BB910DD" w14:textId="43D297CE">
      <w:pPr>
        <w:pStyle w:val="ListParagraph"/>
        <w:numPr>
          <w:ilvl w:val="0"/>
          <w:numId w:val="33"/>
        </w:numPr>
        <w:spacing w:line="240" w:lineRule="auto"/>
        <w:ind w:left="720"/>
        <w:contextualSpacing w:val="0"/>
        <w:rPr>
          <w:szCs w:val="24"/>
        </w:rPr>
      </w:pPr>
      <w:r w:rsidRPr="00EA5EB0">
        <w:rPr>
          <w:szCs w:val="24"/>
        </w:rPr>
        <w:t>Total petroleum hydrocarbons (TPHs);</w:t>
      </w:r>
    </w:p>
    <w:p w:rsidRPr="00EA5EB0" w:rsidR="00EA5EB0" w:rsidP="00F859A4" w:rsidRDefault="00EA5EB0" w14:paraId="25C8A117" w14:textId="6FCE2405">
      <w:pPr>
        <w:pStyle w:val="ListParagraph"/>
        <w:numPr>
          <w:ilvl w:val="0"/>
          <w:numId w:val="33"/>
        </w:numPr>
        <w:spacing w:line="240" w:lineRule="auto"/>
        <w:ind w:left="720"/>
        <w:contextualSpacing w:val="0"/>
        <w:rPr>
          <w:szCs w:val="24"/>
        </w:rPr>
      </w:pPr>
      <w:r w:rsidRPr="00EA5EB0">
        <w:rPr>
          <w:szCs w:val="24"/>
        </w:rPr>
        <w:t>Methane if present (subsurface only);</w:t>
      </w:r>
    </w:p>
    <w:p w:rsidRPr="00EA5EB0" w:rsidR="00EA5EB0" w:rsidP="00F859A4" w:rsidRDefault="00EA5EB0" w14:paraId="1CD8A8AE" w14:textId="4EE95657">
      <w:pPr>
        <w:pStyle w:val="ListParagraph"/>
        <w:numPr>
          <w:ilvl w:val="0"/>
          <w:numId w:val="33"/>
        </w:numPr>
        <w:spacing w:line="240" w:lineRule="auto"/>
        <w:ind w:left="720"/>
        <w:contextualSpacing w:val="0"/>
        <w:rPr>
          <w:szCs w:val="24"/>
        </w:rPr>
      </w:pPr>
      <w:r w:rsidRPr="00EA5EB0">
        <w:rPr>
          <w:szCs w:val="24"/>
        </w:rPr>
        <w:t>Heavy metals analysis;</w:t>
      </w:r>
    </w:p>
    <w:p w:rsidRPr="00EA5EB0" w:rsidR="00EA5EB0" w:rsidP="00F859A4" w:rsidRDefault="00EA5EB0" w14:paraId="3ECBCCF7" w14:textId="2DD8D060">
      <w:pPr>
        <w:pStyle w:val="ListParagraph"/>
        <w:numPr>
          <w:ilvl w:val="0"/>
          <w:numId w:val="33"/>
        </w:numPr>
        <w:spacing w:line="240" w:lineRule="auto"/>
        <w:ind w:left="720"/>
        <w:contextualSpacing w:val="0"/>
        <w:rPr>
          <w:szCs w:val="24"/>
        </w:rPr>
      </w:pPr>
      <w:r w:rsidRPr="00EA5EB0">
        <w:rPr>
          <w:szCs w:val="24"/>
        </w:rPr>
        <w:t>Turbidity</w:t>
      </w:r>
      <w:r w:rsidRPr="00EA5EB0">
        <w:rPr>
          <w:rFonts w:eastAsiaTheme="minorEastAsia"/>
          <w:color w:val="111111"/>
          <w:szCs w:val="24"/>
        </w:rPr>
        <w:t>;</w:t>
      </w:r>
    </w:p>
    <w:p w:rsidRPr="00EA5EB0" w:rsidR="00EA5EB0" w:rsidP="00F859A4" w:rsidRDefault="00EA5EB0" w14:paraId="2B82EA96" w14:textId="3B1D2F91">
      <w:pPr>
        <w:pStyle w:val="ListParagraph"/>
        <w:numPr>
          <w:ilvl w:val="0"/>
          <w:numId w:val="33"/>
        </w:numPr>
        <w:spacing w:line="240" w:lineRule="auto"/>
        <w:ind w:left="720"/>
        <w:contextualSpacing w:val="0"/>
        <w:rPr>
          <w:szCs w:val="24"/>
        </w:rPr>
      </w:pPr>
      <w:r w:rsidRPr="00EA5EB0">
        <w:rPr>
          <w:szCs w:val="24"/>
        </w:rPr>
        <w:t>Water temperature</w:t>
      </w:r>
      <w:r w:rsidRPr="00EA5EB0">
        <w:rPr>
          <w:rFonts w:eastAsiaTheme="minorEastAsia"/>
          <w:szCs w:val="24"/>
        </w:rPr>
        <w:t xml:space="preserve">;  </w:t>
      </w:r>
    </w:p>
    <w:p w:rsidRPr="00EA5EB0" w:rsidR="00EA5EB0" w:rsidP="00F859A4" w:rsidRDefault="00EA5EB0" w14:paraId="5865454E" w14:textId="77777777">
      <w:pPr>
        <w:pStyle w:val="ListParagraph"/>
        <w:numPr>
          <w:ilvl w:val="0"/>
          <w:numId w:val="33"/>
        </w:numPr>
        <w:spacing w:line="240" w:lineRule="auto"/>
        <w:ind w:left="720"/>
        <w:contextualSpacing w:val="0"/>
        <w:rPr>
          <w:szCs w:val="24"/>
        </w:rPr>
      </w:pPr>
      <w:r w:rsidRPr="00EA5EB0">
        <w:rPr>
          <w:szCs w:val="24"/>
        </w:rPr>
        <w:t>pH; and,</w:t>
      </w:r>
    </w:p>
    <w:p w:rsidRPr="00EA5EB0" w:rsidR="00EA5EB0" w:rsidP="00F859A4" w:rsidRDefault="00EA5EB0" w14:paraId="3299BBF3" w14:textId="4A088643">
      <w:pPr>
        <w:pStyle w:val="ListParagraph"/>
        <w:numPr>
          <w:ilvl w:val="0"/>
          <w:numId w:val="33"/>
        </w:numPr>
        <w:spacing w:line="240" w:lineRule="auto"/>
        <w:ind w:left="720"/>
        <w:contextualSpacing w:val="0"/>
        <w:rPr>
          <w:szCs w:val="24"/>
        </w:rPr>
      </w:pPr>
      <w:r w:rsidRPr="00EA5EB0">
        <w:rPr>
          <w:rFonts w:eastAsiaTheme="minorEastAsia"/>
          <w:szCs w:val="24"/>
        </w:rPr>
        <w:t>Conductivity.</w:t>
      </w:r>
    </w:p>
    <w:p w:rsidR="00BA3254" w:rsidP="00BA3254" w:rsidRDefault="008B5576" w14:paraId="3D0B504E" w14:textId="4076E40E">
      <w:pPr>
        <w:pStyle w:val="Heading4"/>
        <w:jc w:val="left"/>
      </w:pPr>
      <w:r w:rsidRPr="0094091E">
        <w:t>Oil Distribution Analysis</w:t>
      </w:r>
    </w:p>
    <w:p w:rsidRPr="00BA3254" w:rsidR="00BA3254" w:rsidP="00BA3254" w:rsidRDefault="00BA3254" w14:paraId="39F376AA" w14:textId="0CBF29FD">
      <w:r w:rsidRPr="0053402C">
        <w:t xml:space="preserve">The </w:t>
      </w:r>
      <w:r>
        <w:t>final rule</w:t>
      </w:r>
      <w:r w:rsidRPr="0053402C">
        <w:t xml:space="preserve"> requires that the </w:t>
      </w:r>
      <w:r>
        <w:t>RP</w:t>
      </w:r>
      <w:r w:rsidRPr="0053402C">
        <w:t xml:space="preserve">, in consultation with the OSC and </w:t>
      </w:r>
      <w:r>
        <w:t xml:space="preserve">considering </w:t>
      </w:r>
      <w:r w:rsidRPr="0053402C">
        <w:t>available technologies, characterize the dispersant effectiveness and oil distribution, considering the condition of the oil, dispersant, and dispersed oil components from the discharge location</w:t>
      </w:r>
      <w:r>
        <w:t xml:space="preserve">. </w:t>
      </w:r>
      <w:r w:rsidRPr="0053402C">
        <w:t xml:space="preserve">The Agency </w:t>
      </w:r>
      <w:r>
        <w:t>is also requiring</w:t>
      </w:r>
      <w:r w:rsidRPr="0053402C">
        <w:t xml:space="preserve"> the </w:t>
      </w:r>
      <w:r>
        <w:t>RP</w:t>
      </w:r>
      <w:r w:rsidRPr="0053402C">
        <w:t xml:space="preserve"> </w:t>
      </w:r>
      <w:r>
        <w:t xml:space="preserve">to </w:t>
      </w:r>
      <w:r w:rsidRPr="0053402C">
        <w:t xml:space="preserve">characterize the dispersant effectiveness to </w:t>
      </w:r>
      <w:r>
        <w:t xml:space="preserve">evaluate </w:t>
      </w:r>
      <w:r w:rsidRPr="0053402C">
        <w:t>the changes in the condition of the oil due to weathering.</w:t>
      </w:r>
    </w:p>
    <w:p w:rsidR="008B5576" w:rsidP="00BA3254" w:rsidRDefault="008B5576" w14:paraId="0E921230" w14:textId="2C17B58B">
      <w:pPr>
        <w:pStyle w:val="Heading4"/>
        <w:jc w:val="left"/>
      </w:pPr>
      <w:r w:rsidRPr="0094091E">
        <w:lastRenderedPageBreak/>
        <w:t>Ecological Characterization</w:t>
      </w:r>
    </w:p>
    <w:p w:rsidR="004750BA" w:rsidP="00BA3254" w:rsidRDefault="00BA3254" w14:paraId="67603479" w14:textId="2CAB3A28">
      <w:pPr>
        <w:pStyle w:val="BodyText"/>
      </w:pPr>
      <w:r>
        <w:t xml:space="preserve">The final rule requires </w:t>
      </w:r>
      <w:r w:rsidRPr="00AE5549">
        <w:t xml:space="preserve">that the </w:t>
      </w:r>
      <w:r>
        <w:t>RP,</w:t>
      </w:r>
      <w:r w:rsidRPr="00D63F52">
        <w:t xml:space="preserve"> </w:t>
      </w:r>
      <w:r>
        <w:t xml:space="preserve">in consultation with the OSC, </w:t>
      </w:r>
      <w:r w:rsidR="004750BA">
        <w:t>develop a report characterizing</w:t>
      </w:r>
      <w:r w:rsidRPr="00AE5549">
        <w:t xml:space="preserve"> the ecological receptors (e.g. aquatic species, wildlife, and/or other biological resources), their habitats, and exposure pathways that may be present in the discharge area</w:t>
      </w:r>
      <w:r>
        <w:t xml:space="preserve">. </w:t>
      </w:r>
      <w:r w:rsidRPr="00AE5549">
        <w:t>The ecological characterization</w:t>
      </w:r>
      <w:r>
        <w:t xml:space="preserve"> </w:t>
      </w:r>
      <w:r w:rsidRPr="00AE5549">
        <w:t>include</w:t>
      </w:r>
      <w:r w:rsidR="00385238">
        <w:t>s</w:t>
      </w:r>
      <w:r>
        <w:t>, but is not limited to</w:t>
      </w:r>
      <w:r w:rsidR="004750BA">
        <w:t>:</w:t>
      </w:r>
    </w:p>
    <w:p w:rsidR="004750BA" w:rsidP="00F859A4" w:rsidRDefault="004750BA" w14:paraId="118DA0A7" w14:textId="77777777">
      <w:pPr>
        <w:pStyle w:val="BodyText"/>
        <w:numPr>
          <w:ilvl w:val="0"/>
          <w:numId w:val="28"/>
        </w:numPr>
        <w:ind w:left="720"/>
      </w:pPr>
      <w:r>
        <w:t>S</w:t>
      </w:r>
      <w:r w:rsidRPr="00AE5549" w:rsidR="00BA3254">
        <w:t>pecies that may be in sensitive life stages</w:t>
      </w:r>
      <w:r>
        <w:t>;</w:t>
      </w:r>
    </w:p>
    <w:p w:rsidR="004750BA" w:rsidP="00F859A4" w:rsidRDefault="004750BA" w14:paraId="5F8C0969" w14:textId="77777777">
      <w:pPr>
        <w:pStyle w:val="BodyText"/>
        <w:numPr>
          <w:ilvl w:val="0"/>
          <w:numId w:val="28"/>
        </w:numPr>
        <w:ind w:left="720"/>
      </w:pPr>
      <w:r>
        <w:t>Transient or migratory species;</w:t>
      </w:r>
    </w:p>
    <w:p w:rsidR="004750BA" w:rsidP="00F859A4" w:rsidRDefault="004750BA" w14:paraId="2C956A72" w14:textId="77777777">
      <w:pPr>
        <w:pStyle w:val="BodyText"/>
        <w:numPr>
          <w:ilvl w:val="0"/>
          <w:numId w:val="28"/>
        </w:numPr>
        <w:ind w:left="720"/>
      </w:pPr>
      <w:r>
        <w:t>B</w:t>
      </w:r>
      <w:r w:rsidRPr="00AE5549" w:rsidR="00BA3254">
        <w:t>reeding or breeding-related activities (e.g.,</w:t>
      </w:r>
      <w:r>
        <w:t xml:space="preserve"> embryo and larvae development); and,</w:t>
      </w:r>
    </w:p>
    <w:p w:rsidR="004750BA" w:rsidP="00F859A4" w:rsidRDefault="004750BA" w14:paraId="268A3CAD" w14:textId="77777777">
      <w:pPr>
        <w:pStyle w:val="BodyText"/>
        <w:numPr>
          <w:ilvl w:val="0"/>
          <w:numId w:val="28"/>
        </w:numPr>
        <w:ind w:left="720"/>
      </w:pPr>
      <w:r>
        <w:t>T</w:t>
      </w:r>
      <w:r w:rsidRPr="00AE5549" w:rsidR="00BA3254">
        <w:t>hreatened and/or endangered species that may be exposed to oil, dispersed oil, and dispersant</w:t>
      </w:r>
    </w:p>
    <w:p w:rsidRPr="00BA3254" w:rsidR="00BA3254" w:rsidP="004750BA" w:rsidRDefault="00BA3254" w14:paraId="0174B333" w14:textId="204670AC">
      <w:r>
        <w:t>T</w:t>
      </w:r>
      <w:r w:rsidRPr="00AE5549">
        <w:t xml:space="preserve">he </w:t>
      </w:r>
      <w:r>
        <w:t>RP</w:t>
      </w:r>
      <w:r w:rsidRPr="00AE5549">
        <w:t xml:space="preserve"> may refer to relevant sources of information such as applicable expedited decision-making plans, </w:t>
      </w:r>
      <w:r w:rsidRPr="00AE5549">
        <w:rPr>
          <w:bCs/>
        </w:rPr>
        <w:t>environmental assessments</w:t>
      </w:r>
      <w:r w:rsidRPr="00AE5549">
        <w:t xml:space="preserve"> or </w:t>
      </w:r>
      <w:r w:rsidRPr="00AE5549">
        <w:rPr>
          <w:color w:val="262626"/>
        </w:rPr>
        <w:t xml:space="preserve">statements, </w:t>
      </w:r>
      <w:r>
        <w:t>f</w:t>
      </w:r>
      <w:r w:rsidRPr="00AE5549">
        <w:t>ederal and state environmental databases or studies conducted by universities or other research institutions</w:t>
      </w:r>
      <w:r>
        <w:t>.</w:t>
      </w:r>
    </w:p>
    <w:p w:rsidR="008B5576" w:rsidP="00BA3254" w:rsidRDefault="008B5576" w14:paraId="14D075CF" w14:textId="45DE29DD">
      <w:pPr>
        <w:pStyle w:val="Heading4"/>
        <w:jc w:val="left"/>
      </w:pPr>
      <w:r w:rsidRPr="0094091E">
        <w:t>Immediate Reporting</w:t>
      </w:r>
    </w:p>
    <w:p w:rsidR="00BA3254" w:rsidP="00BA3254" w:rsidRDefault="00BA3254" w14:paraId="295AC53E" w14:textId="77777777">
      <w:pPr>
        <w:pStyle w:val="BodyText"/>
        <w:rPr>
          <w:szCs w:val="24"/>
        </w:rPr>
      </w:pPr>
      <w:r>
        <w:rPr>
          <w:szCs w:val="24"/>
        </w:rPr>
        <w:t>T</w:t>
      </w:r>
      <w:r w:rsidRPr="00696D22">
        <w:rPr>
          <w:szCs w:val="24"/>
        </w:rPr>
        <w:t>he final rule requires</w:t>
      </w:r>
      <w:r>
        <w:rPr>
          <w:szCs w:val="24"/>
        </w:rPr>
        <w:t xml:space="preserve"> immediate reporting by</w:t>
      </w:r>
      <w:r w:rsidRPr="00696D22">
        <w:rPr>
          <w:szCs w:val="24"/>
        </w:rPr>
        <w:t xml:space="preserve"> the </w:t>
      </w:r>
      <w:r>
        <w:rPr>
          <w:szCs w:val="24"/>
        </w:rPr>
        <w:t>RP</w:t>
      </w:r>
      <w:r w:rsidRPr="00696D22">
        <w:rPr>
          <w:szCs w:val="24"/>
        </w:rPr>
        <w:t xml:space="preserve"> to the OSC </w:t>
      </w:r>
      <w:r>
        <w:rPr>
          <w:szCs w:val="24"/>
        </w:rPr>
        <w:t>and, in coordination with OSC, to the applicable RRT(s):</w:t>
      </w:r>
    </w:p>
    <w:p w:rsidRPr="004750BA" w:rsidR="004750BA" w:rsidP="00F859A4" w:rsidRDefault="00BA3254" w14:paraId="1EE2EBA9" w14:textId="77777777">
      <w:pPr>
        <w:pStyle w:val="BodyText"/>
        <w:numPr>
          <w:ilvl w:val="0"/>
          <w:numId w:val="27"/>
        </w:numPr>
        <w:ind w:left="720"/>
      </w:pPr>
      <w:r w:rsidRPr="004750BA">
        <w:rPr>
          <w:szCs w:val="24"/>
        </w:rPr>
        <w:t>Any deviation of more than 10 percent of the mean hourly subsurface dispersant use rate for the total dispersant volume authorized for that 24-hour use</w:t>
      </w:r>
      <w:r w:rsidRPr="004750BA" w:rsidR="004750BA">
        <w:rPr>
          <w:szCs w:val="24"/>
        </w:rPr>
        <w:t xml:space="preserve">, and </w:t>
      </w:r>
      <w:r w:rsidRPr="004750BA">
        <w:rPr>
          <w:szCs w:val="24"/>
        </w:rPr>
        <w:t>the reason for the deviation</w:t>
      </w:r>
      <w:r w:rsidRPr="004750BA" w:rsidR="004750BA">
        <w:rPr>
          <w:szCs w:val="24"/>
        </w:rPr>
        <w:t xml:space="preserve"> (e.g., equipment malfunction); and,</w:t>
      </w:r>
    </w:p>
    <w:p w:rsidRPr="00BA3254" w:rsidR="00BA3254" w:rsidP="00F859A4" w:rsidRDefault="004750BA" w14:paraId="25DAEF1C" w14:textId="0F108468">
      <w:pPr>
        <w:pStyle w:val="BodyText"/>
        <w:numPr>
          <w:ilvl w:val="0"/>
          <w:numId w:val="27"/>
        </w:numPr>
        <w:ind w:left="720"/>
      </w:pPr>
      <w:r>
        <w:rPr>
          <w:szCs w:val="24"/>
        </w:rPr>
        <w:t>A</w:t>
      </w:r>
      <w:r w:rsidRPr="004750BA" w:rsidR="00BA3254">
        <w:rPr>
          <w:szCs w:val="24"/>
        </w:rPr>
        <w:t xml:space="preserve">ny threatened or endangered species </w:t>
      </w:r>
      <w:r w:rsidRPr="00D65E78" w:rsidR="00BA3254">
        <w:t xml:space="preserve">of environmental importance, and any other ecological receptors as </w:t>
      </w:r>
      <w:r w:rsidR="00BA3254">
        <w:t>identified</w:t>
      </w:r>
      <w:r w:rsidRPr="00D65E78" w:rsidR="00BA3254">
        <w:t xml:space="preserve"> by the OSC or the Natural Resource Trustees, </w:t>
      </w:r>
      <w:r w:rsidRPr="004750BA" w:rsidR="00BA3254">
        <w:rPr>
          <w:szCs w:val="24"/>
        </w:rPr>
        <w:t>including any threatened or endangered species.</w:t>
      </w:r>
    </w:p>
    <w:p w:rsidR="008B5576" w:rsidP="00BA3254" w:rsidRDefault="008B5576" w14:paraId="0618EB73" w14:textId="629E4253">
      <w:pPr>
        <w:pStyle w:val="Heading4"/>
        <w:jc w:val="left"/>
      </w:pPr>
      <w:r w:rsidRPr="0094091E">
        <w:t>Daily Reporting</w:t>
      </w:r>
    </w:p>
    <w:p w:rsidR="00BA3254" w:rsidP="00BA3254" w:rsidRDefault="00BA3254" w14:paraId="25ED7E57" w14:textId="4C6B77D0">
      <w:pPr>
        <w:pStyle w:val="BodyText"/>
        <w:rPr>
          <w:szCs w:val="24"/>
        </w:rPr>
      </w:pPr>
      <w:r w:rsidRPr="00696D22">
        <w:rPr>
          <w:szCs w:val="24"/>
        </w:rPr>
        <w:t xml:space="preserve">The final rule requires the </w:t>
      </w:r>
      <w:r>
        <w:rPr>
          <w:szCs w:val="24"/>
        </w:rPr>
        <w:t>RP</w:t>
      </w:r>
      <w:r w:rsidRPr="00696D22">
        <w:rPr>
          <w:szCs w:val="24"/>
        </w:rPr>
        <w:t xml:space="preserve"> to report</w:t>
      </w:r>
      <w:r>
        <w:rPr>
          <w:szCs w:val="24"/>
        </w:rPr>
        <w:t xml:space="preserve"> daily to the OSC</w:t>
      </w:r>
      <w:r w:rsidRPr="00696D22">
        <w:rPr>
          <w:szCs w:val="24"/>
        </w:rPr>
        <w:t xml:space="preserve"> </w:t>
      </w:r>
      <w:r>
        <w:rPr>
          <w:szCs w:val="24"/>
        </w:rPr>
        <w:t>and, in coordination with the OSC, to the applicable RRT(s) reporting of:</w:t>
      </w:r>
    </w:p>
    <w:p w:rsidR="00BA3254" w:rsidP="00F859A4" w:rsidRDefault="00BA3254" w14:paraId="3702EEC9" w14:textId="4AB76FF5">
      <w:pPr>
        <w:pStyle w:val="BodyText"/>
        <w:numPr>
          <w:ilvl w:val="0"/>
          <w:numId w:val="26"/>
        </w:numPr>
        <w:ind w:left="720"/>
        <w:rPr>
          <w:szCs w:val="24"/>
        </w:rPr>
      </w:pPr>
      <w:r>
        <w:rPr>
          <w:szCs w:val="24"/>
        </w:rPr>
        <w:t>D</w:t>
      </w:r>
      <w:r w:rsidRPr="00696D22">
        <w:rPr>
          <w:szCs w:val="24"/>
        </w:rPr>
        <w:t>aily transport of d</w:t>
      </w:r>
      <w:r>
        <w:rPr>
          <w:szCs w:val="24"/>
        </w:rPr>
        <w:t>ispersed and non-dispersed oil;</w:t>
      </w:r>
    </w:p>
    <w:p w:rsidR="00BA3254" w:rsidP="00F859A4" w:rsidRDefault="00BA3254" w14:paraId="1A824A4A" w14:textId="4A869DA6">
      <w:pPr>
        <w:pStyle w:val="BodyText"/>
        <w:numPr>
          <w:ilvl w:val="0"/>
          <w:numId w:val="26"/>
        </w:numPr>
        <w:ind w:left="720"/>
        <w:rPr>
          <w:szCs w:val="24"/>
        </w:rPr>
      </w:pPr>
      <w:r>
        <w:rPr>
          <w:szCs w:val="24"/>
        </w:rPr>
        <w:t>A</w:t>
      </w:r>
      <w:r w:rsidRPr="00696D22">
        <w:rPr>
          <w:szCs w:val="24"/>
        </w:rPr>
        <w:t>ssociated volatile petroleum hydrocarbons if applicable, and dispersants, using available</w:t>
      </w:r>
      <w:r>
        <w:rPr>
          <w:szCs w:val="24"/>
        </w:rPr>
        <w:t xml:space="preserve"> trajectory modeling; and,</w:t>
      </w:r>
    </w:p>
    <w:p w:rsidRPr="00152400" w:rsidR="00F220BE" w:rsidP="00F859A4" w:rsidRDefault="00BA3254" w14:paraId="0D930689" w14:textId="448307A5">
      <w:pPr>
        <w:pStyle w:val="BodyText"/>
        <w:numPr>
          <w:ilvl w:val="0"/>
          <w:numId w:val="26"/>
        </w:numPr>
        <w:ind w:left="720"/>
      </w:pPr>
      <w:r w:rsidRPr="00BA3254">
        <w:rPr>
          <w:szCs w:val="24"/>
        </w:rPr>
        <w:t xml:space="preserve">Sampling and data analyses collected within the time frame necessary to make operational decisions (e.g., within 24 hours of collection), including documented observations, photographs, video, and any other information related to dispersant use, unless an alternate time frame is authorized by the OSC. </w:t>
      </w:r>
      <w:r>
        <w:t xml:space="preserve">For each </w:t>
      </w:r>
      <w:r w:rsidRPr="001B53E5">
        <w:t xml:space="preserve">application </w:t>
      </w:r>
      <w:r>
        <w:t>platform,</w:t>
      </w:r>
      <w:r w:rsidDel="00081C7D">
        <w:t xml:space="preserve"> </w:t>
      </w:r>
      <w:r>
        <w:t>the a</w:t>
      </w:r>
      <w:r w:rsidRPr="00D8234B">
        <w:t>ctual</w:t>
      </w:r>
      <w:r>
        <w:t xml:space="preserve"> amount</w:t>
      </w:r>
      <w:r w:rsidRPr="001B53E5">
        <w:t xml:space="preserve"> </w:t>
      </w:r>
      <w:r w:rsidRPr="002222A4">
        <w:t xml:space="preserve">of dispersant used </w:t>
      </w:r>
      <w:r w:rsidRPr="009049AC">
        <w:t xml:space="preserve">for each one-hour period, </w:t>
      </w:r>
      <w:r w:rsidRPr="001B53E5">
        <w:t xml:space="preserve">and the total amount of dispersant used for the previous </w:t>
      </w:r>
      <w:r w:rsidRPr="009049AC">
        <w:t xml:space="preserve">24-hour </w:t>
      </w:r>
      <w:r w:rsidRPr="001B53E5">
        <w:t>reporting period</w:t>
      </w:r>
      <w:r>
        <w:t xml:space="preserve"> is required.</w:t>
      </w:r>
    </w:p>
    <w:p w:rsidRPr="00152400" w:rsidR="00F220BE" w:rsidP="003A79FF" w:rsidRDefault="00F220BE" w14:paraId="5C6E7A2D" w14:textId="2588D858">
      <w:pPr>
        <w:pStyle w:val="Heading1"/>
        <w:ind w:left="360"/>
      </w:pPr>
      <w:r w:rsidRPr="00152400">
        <w:lastRenderedPageBreak/>
        <w:t>A</w:t>
      </w:r>
      <w:r w:rsidR="00FA0667">
        <w:t>gency Activities, Collection Methodology, and Information Management</w:t>
      </w:r>
    </w:p>
    <w:p w:rsidRPr="00152400" w:rsidR="00F220BE" w:rsidP="00B62263" w:rsidRDefault="00F220BE" w14:paraId="07632DA2" w14:textId="28BA24D4">
      <w:pPr>
        <w:pStyle w:val="Heading2"/>
      </w:pPr>
      <w:r w:rsidRPr="00152400">
        <w:t>Agency Activities</w:t>
      </w:r>
    </w:p>
    <w:p w:rsidR="00BA157C" w:rsidP="00871EA5" w:rsidRDefault="00BA157C" w14:paraId="3E4FE06A" w14:textId="041C1ACB">
      <w:r w:rsidRPr="003327F0">
        <w:t xml:space="preserve">Under </w:t>
      </w:r>
      <w:r>
        <w:t>Subpart J, the OSC will perform activities in coordination with the RP during the course of the monitoring process</w:t>
      </w:r>
      <w:r w:rsidR="00495D03">
        <w:t xml:space="preserve"> to support information collection</w:t>
      </w:r>
      <w:r>
        <w:t>, including:</w:t>
      </w:r>
    </w:p>
    <w:p w:rsidRPr="003327F0" w:rsidR="00BA157C" w:rsidP="00495D03" w:rsidRDefault="00BA157C" w14:paraId="742347CD" w14:textId="57EE6A6A">
      <w:pPr>
        <w:pStyle w:val="StyleListParagraphBold1"/>
        <w:ind w:left="720"/>
        <w:rPr>
          <w:b w:val="0"/>
        </w:rPr>
      </w:pPr>
      <w:r w:rsidRPr="003327F0">
        <w:rPr>
          <w:b w:val="0"/>
        </w:rPr>
        <w:t xml:space="preserve">The OSC </w:t>
      </w:r>
      <w:r w:rsidRPr="003327F0" w:rsidR="00495D03">
        <w:rPr>
          <w:b w:val="0"/>
        </w:rPr>
        <w:t xml:space="preserve">must review and approve the RP’s Dispersant </w:t>
      </w:r>
      <w:r w:rsidRPr="00495D03" w:rsidR="00495D03">
        <w:rPr>
          <w:b w:val="0"/>
          <w:bCs w:val="0"/>
        </w:rPr>
        <w:t>Monitoring Quality Assurance Project Plan (DMQAPP) covering the collection of all environmental data;</w:t>
      </w:r>
    </w:p>
    <w:p w:rsidR="00495D03" w:rsidP="00495D03" w:rsidRDefault="00495D03" w14:paraId="228A8422" w14:textId="77777777">
      <w:pPr>
        <w:pStyle w:val="StyleListParagraphBold1"/>
        <w:ind w:left="720"/>
        <w:rPr>
          <w:b w:val="0"/>
        </w:rPr>
      </w:pPr>
      <w:r w:rsidRPr="003327F0">
        <w:rPr>
          <w:b w:val="0"/>
        </w:rPr>
        <w:t xml:space="preserve">The RP must consult with the OSC regarding the closest </w:t>
      </w:r>
      <w:r w:rsidRPr="00495D03">
        <w:rPr>
          <w:b w:val="0"/>
          <w:bCs w:val="0"/>
        </w:rPr>
        <w:t>safe distance from the discharge from which to collect background water samples;</w:t>
      </w:r>
    </w:p>
    <w:p w:rsidR="00495D03" w:rsidP="00495D03" w:rsidRDefault="00495D03" w14:paraId="74036DC9" w14:textId="51E6819A">
      <w:pPr>
        <w:pStyle w:val="StyleListParagraphBold1"/>
        <w:ind w:left="720"/>
        <w:rPr>
          <w:b w:val="0"/>
        </w:rPr>
      </w:pPr>
      <w:r w:rsidRPr="003327F0">
        <w:rPr>
          <w:b w:val="0"/>
        </w:rPr>
        <w:t>The RP must consult with the OSC in developing the oil distribution analysis</w:t>
      </w:r>
      <w:r w:rsidRPr="00495D03">
        <w:rPr>
          <w:b w:val="0"/>
        </w:rPr>
        <w:t xml:space="preserve"> and </w:t>
      </w:r>
      <w:r w:rsidRPr="003327F0">
        <w:rPr>
          <w:b w:val="0"/>
        </w:rPr>
        <w:t>the ecological risk characterization</w:t>
      </w:r>
      <w:r>
        <w:rPr>
          <w:b w:val="0"/>
        </w:rPr>
        <w:t>; and,</w:t>
      </w:r>
    </w:p>
    <w:p w:rsidR="00495D03" w:rsidP="00495D03" w:rsidRDefault="00495D03" w14:paraId="2D132105" w14:textId="237EE4DC">
      <w:pPr>
        <w:pStyle w:val="StyleListParagraphBold1"/>
        <w:ind w:left="720"/>
        <w:rPr>
          <w:b w:val="0"/>
        </w:rPr>
      </w:pPr>
      <w:r>
        <w:rPr>
          <w:b w:val="0"/>
        </w:rPr>
        <w:t>The OSC will review daily reports provided by the RP.</w:t>
      </w:r>
    </w:p>
    <w:p w:rsidR="00DA1BB3" w:rsidP="00DA1BB3" w:rsidRDefault="00DA1BB3" w14:paraId="0AAAD5FB" w14:textId="77777777">
      <w:pPr>
        <w:pStyle w:val="Level1"/>
        <w:numPr>
          <w:ilvl w:val="0"/>
          <w:numId w:val="0"/>
        </w:numPr>
        <w:ind w:left="1080" w:hanging="360"/>
      </w:pPr>
    </w:p>
    <w:p w:rsidRPr="00152400" w:rsidR="005C0CB9" w:rsidP="00B62263" w:rsidRDefault="005C0CB9" w14:paraId="1CB1949A" w14:textId="08239B7B">
      <w:pPr>
        <w:pStyle w:val="Heading2"/>
      </w:pPr>
      <w:r w:rsidRPr="00152400">
        <w:t>Collection Methodology and Management</w:t>
      </w:r>
    </w:p>
    <w:p w:rsidRPr="00152400" w:rsidR="005C0CB9" w:rsidP="003327F0" w:rsidRDefault="002F2D33" w14:paraId="53A2680E" w14:textId="642FE4D6">
      <w:r>
        <w:t xml:space="preserve">Respondents (RPs) are not required to submit records to EPA Headquarters or maintain monitoring records generated by complying with the final rule. However, as specified in the rule, the EPA OSC from the associated EPA Region, will 1) engage in coordinating activity with the RP during information collection, and 2) receive from the RP all documentation required by the rule (e.g., DMQAPP, ecological characterization, daily reports). </w:t>
      </w:r>
      <w:r w:rsidRPr="002F2D33">
        <w:t xml:space="preserve">The information collected </w:t>
      </w:r>
      <w:r>
        <w:t xml:space="preserve">by the OSC </w:t>
      </w:r>
      <w:r w:rsidRPr="002F2D33">
        <w:t>pursuant to this ICR will be maintained electr</w:t>
      </w:r>
      <w:r>
        <w:t>onically on secure EPA servers.</w:t>
      </w:r>
    </w:p>
    <w:p w:rsidRPr="00152400" w:rsidR="005C0CB9" w:rsidP="00B62263" w:rsidRDefault="005C0CB9" w14:paraId="4F6E97EF" w14:textId="677B9BEF">
      <w:pPr>
        <w:pStyle w:val="Heading2"/>
      </w:pPr>
      <w:bookmarkStart w:name="_Hlk32993717" w:id="8"/>
      <w:r w:rsidRPr="00152400">
        <w:t>Small Entity Flexibility</w:t>
      </w:r>
    </w:p>
    <w:p w:rsidRPr="000C1596" w:rsidR="005C0CB9" w:rsidP="000C1596" w:rsidRDefault="005C0CB9" w14:paraId="6C971C0F" w14:textId="1AA8D82A">
      <w:r w:rsidRPr="00152400">
        <w:t>Under Subpart J, small entities must follow the same collection procedures as other respondents</w:t>
      </w:r>
      <w:r w:rsidRPr="00152400" w:rsidR="00054B45">
        <w:t xml:space="preserve">. </w:t>
      </w:r>
      <w:r w:rsidRPr="00152400" w:rsidR="00F61FB4">
        <w:t>OSC</w:t>
      </w:r>
      <w:r w:rsidRPr="00152400">
        <w:t>s ne</w:t>
      </w:r>
      <w:r w:rsidR="00DA1BB3">
        <w:t>ed the required information to respond effectively and safely to</w:t>
      </w:r>
      <w:r w:rsidRPr="00152400">
        <w:t xml:space="preserve"> oil discharges. </w:t>
      </w:r>
      <w:r w:rsidRPr="009B5D8E" w:rsidR="009B5D8E">
        <w:t xml:space="preserve">As detailed </w:t>
      </w:r>
      <w:r w:rsidR="009B5D8E">
        <w:t>in the Agency’s final RIA</w:t>
      </w:r>
      <w:r w:rsidRPr="009B5D8E" w:rsidR="009B5D8E">
        <w:t xml:space="preserve">, </w:t>
      </w:r>
      <w:r w:rsidR="009B5D8E">
        <w:t>the Agency</w:t>
      </w:r>
      <w:r w:rsidRPr="009B5D8E" w:rsidR="009B5D8E">
        <w:t xml:space="preserve"> finds that affected entities include 112 to 605 small firms. </w:t>
      </w:r>
      <w:r w:rsidR="009B5D8E">
        <w:t>Annual c</w:t>
      </w:r>
      <w:r w:rsidRPr="009B5D8E" w:rsidR="009B5D8E">
        <w:t xml:space="preserve">ompliance costs do not exceed 1 percent of </w:t>
      </w:r>
      <w:r w:rsidR="009B5D8E">
        <w:t xml:space="preserve">annual </w:t>
      </w:r>
      <w:r w:rsidRPr="009B5D8E" w:rsidR="009B5D8E">
        <w:t>revenues for any potentially affected small firms</w:t>
      </w:r>
      <w:r w:rsidR="009B5D8E">
        <w:t>. Therefore, the Agency’s Regulatory Flexibility Analysis (RFA) found that t</w:t>
      </w:r>
      <w:r w:rsidRPr="00152400" w:rsidR="00043A73">
        <w:t xml:space="preserve">he </w:t>
      </w:r>
      <w:r w:rsidR="00DA1BB3">
        <w:t>monitoring-related reporting requirements will</w:t>
      </w:r>
      <w:r w:rsidRPr="00DA1BB3" w:rsidR="00DA1BB3">
        <w:t xml:space="preserve"> not have a significant economic impact on a substantial number of small businesses</w:t>
      </w:r>
      <w:r w:rsidR="00DA1BB3">
        <w:t>.</w:t>
      </w:r>
      <w:bookmarkEnd w:id="8"/>
    </w:p>
    <w:p w:rsidRPr="00152400" w:rsidR="005C0CB9" w:rsidP="000C1596" w:rsidRDefault="005C0CB9" w14:paraId="68130628" w14:textId="279EDDDD">
      <w:pPr>
        <w:pStyle w:val="Heading2"/>
      </w:pPr>
      <w:r w:rsidRPr="00152400">
        <w:t>Collection Schedule</w:t>
      </w:r>
    </w:p>
    <w:p w:rsidR="005C0CB9" w:rsidP="00B62263" w:rsidRDefault="005C0CB9" w14:paraId="3CE01668" w14:textId="023DAFD4">
      <w:r w:rsidRPr="00152400">
        <w:t>EPA requires information to be collected</w:t>
      </w:r>
      <w:r w:rsidR="00202940">
        <w:t xml:space="preserve"> </w:t>
      </w:r>
      <w:r w:rsidRPr="00152400">
        <w:t>when a</w:t>
      </w:r>
      <w:r w:rsidR="000C1596">
        <w:t xml:space="preserve"> respondent is an RP for a discharge that meets the final rule’s monitoring applicability criteria. The rule’s applicability conditions include the</w:t>
      </w:r>
      <w:r w:rsidRPr="00606389" w:rsidR="000C1596">
        <w:t xml:space="preserve"> surface use of dispersants in response to a discharge of more than 100,000 U.S. gallons occurring within 24 hours, and any surface use of dispersants for more than 96 hours in response to an oil discharge.</w:t>
      </w:r>
      <w:r w:rsidR="000C1596">
        <w:t xml:space="preserve"> As documented in the Agency’s Regulatory Impact Analysis (RIA) for the final rule, the Agency estimates that applicable discharges occur at an average rate of one every five years, or 0.2 applicable discharges per year. There is only one respondent, the RP, associated with each discharge.</w:t>
      </w:r>
      <w:r w:rsidRPr="00152400">
        <w:t xml:space="preserve"> </w:t>
      </w:r>
    </w:p>
    <w:p w:rsidRPr="00152400" w:rsidR="005C0CB9" w:rsidP="003A79FF" w:rsidRDefault="008876D5" w14:paraId="512B3511" w14:textId="4D77DA6D">
      <w:pPr>
        <w:pStyle w:val="Heading1"/>
        <w:ind w:left="360"/>
      </w:pPr>
      <w:r w:rsidRPr="00152400">
        <w:lastRenderedPageBreak/>
        <w:t>E</w:t>
      </w:r>
      <w:r w:rsidR="00B62263">
        <w:t>stimating Burden and Cost</w:t>
      </w:r>
    </w:p>
    <w:p w:rsidRPr="00152400" w:rsidR="005C0CB9" w:rsidP="00B62263" w:rsidRDefault="008876D5" w14:paraId="63A0A417" w14:textId="7BC126FE">
      <w:pPr>
        <w:pStyle w:val="Heading2"/>
      </w:pPr>
      <w:r>
        <w:t xml:space="preserve">Estimating </w:t>
      </w:r>
      <w:r w:rsidRPr="00152400" w:rsidR="005C0CB9">
        <w:t>Respondent Burden</w:t>
      </w:r>
    </w:p>
    <w:p w:rsidR="00165981" w:rsidP="00B62263" w:rsidRDefault="00165981" w14:paraId="13A12B02" w14:textId="1C6ACF65">
      <w:r>
        <w:t xml:space="preserve">Monitoring-related compliance activity is discharge-dependent and is anticipated to occur </w:t>
      </w:r>
      <w:r w:rsidR="00EF11EC">
        <w:t xml:space="preserve">for </w:t>
      </w:r>
      <w:r>
        <w:t xml:space="preserve">only one entity at a rate of approximately one discharge every five years, based on historical discharge data documented in EPA’s final rule </w:t>
      </w:r>
      <w:r w:rsidR="003327F0">
        <w:t>RIA</w:t>
      </w:r>
      <w:r>
        <w:t>. Therefore, EPA anticipates that in most years, no entities</w:t>
      </w:r>
      <w:r w:rsidDel="00CC624F">
        <w:t xml:space="preserve"> </w:t>
      </w:r>
      <w:r>
        <w:t xml:space="preserve">will incur any costs, and upon the occurrence of an applicable discharge, then only one entity (the RP) will incur costs. Given this incidence rate, </w:t>
      </w:r>
      <w:r w:rsidRPr="00B503D9" w:rsidR="005C0CB9">
        <w:t>EPA expects</w:t>
      </w:r>
      <w:r w:rsidR="00B503D9">
        <w:t xml:space="preserve"> </w:t>
      </w:r>
      <w:r w:rsidR="00FC37D6">
        <w:t xml:space="preserve">that </w:t>
      </w:r>
      <w:r w:rsidRPr="004165F0" w:rsidR="00FC37D6">
        <w:t>over the three-year period covered by this ICR,</w:t>
      </w:r>
      <w:r w:rsidR="001F282D">
        <w:t xml:space="preserve"> </w:t>
      </w:r>
      <w:r w:rsidRPr="004165F0" w:rsidR="00FC37D6">
        <w:t xml:space="preserve">an additional </w:t>
      </w:r>
      <w:r>
        <w:t>0.6</w:t>
      </w:r>
      <w:r w:rsidR="00C44181">
        <w:t xml:space="preserve"> incidents</w:t>
      </w:r>
      <w:r w:rsidRPr="004165F0" w:rsidR="00FC37D6">
        <w:t xml:space="preserve"> may </w:t>
      </w:r>
      <w:r w:rsidR="00C44181">
        <w:t>occur</w:t>
      </w:r>
      <w:r>
        <w:t>, or 0.2 per year</w:t>
      </w:r>
      <w:r w:rsidRPr="004165F0" w:rsidR="00FC37D6">
        <w:rPr>
          <w:bCs/>
        </w:rPr>
        <w:t>.</w:t>
      </w:r>
      <w:r w:rsidRPr="00152400" w:rsidR="00C31B68">
        <w:t xml:space="preserve"> </w:t>
      </w:r>
    </w:p>
    <w:p w:rsidR="00165981" w:rsidP="00165981" w:rsidRDefault="00C44181" w14:paraId="5C0AC542" w14:textId="48A30D83">
      <w:pPr>
        <w:pStyle w:val="BodyText"/>
      </w:pPr>
      <w:r>
        <w:t>The RP’s</w:t>
      </w:r>
      <w:r w:rsidRPr="00152400" w:rsidR="00C31B68">
        <w:t xml:space="preserve"> burden </w:t>
      </w:r>
      <w:r w:rsidR="00165981">
        <w:t xml:space="preserve">varies </w:t>
      </w:r>
      <w:bookmarkStart w:name="_Hlk57632373" w:id="9"/>
      <w:r w:rsidR="00165981">
        <w:t>based on the particular characteristics of the discharge.</w:t>
      </w:r>
      <w:bookmarkEnd w:id="9"/>
      <w:r w:rsidR="00165981">
        <w:t xml:space="preserve"> </w:t>
      </w:r>
      <w:r w:rsidRPr="00067CEC" w:rsidR="00165981">
        <w:t xml:space="preserve">For </w:t>
      </w:r>
      <w:r w:rsidR="00165981">
        <w:t>a discharge</w:t>
      </w:r>
      <w:r w:rsidRPr="00067CEC" w:rsidR="00165981">
        <w:t xml:space="preserve"> that meets the rule’s applicability criteria and </w:t>
      </w:r>
      <w:r w:rsidR="00165981">
        <w:t xml:space="preserve">for which </w:t>
      </w:r>
      <w:r w:rsidRPr="00067CEC" w:rsidR="00165981">
        <w:t xml:space="preserve">dispersant use is authorized, </w:t>
      </w:r>
      <w:r w:rsidR="00165981">
        <w:t xml:space="preserve">the </w:t>
      </w:r>
      <w:r w:rsidRPr="00067CEC" w:rsidR="00165981">
        <w:t xml:space="preserve">characteristics of the </w:t>
      </w:r>
      <w:r w:rsidR="00165981">
        <w:t>discharge</w:t>
      </w:r>
      <w:r w:rsidRPr="00067CEC" w:rsidR="00165981">
        <w:t xml:space="preserve"> will determine the use of dispersants, the corresponding extent of the monitoring effort and, consequently, the </w:t>
      </w:r>
      <w:r w:rsidR="00165981">
        <w:t>RPs total burden</w:t>
      </w:r>
      <w:r w:rsidRPr="00067CEC" w:rsidR="00165981">
        <w:t xml:space="preserve">. The </w:t>
      </w:r>
      <w:r w:rsidR="00165981">
        <w:t>estimated burden is therefore discharge-specific</w:t>
      </w:r>
      <w:r w:rsidRPr="00067CEC" w:rsidR="00165981">
        <w:t xml:space="preserve">. </w:t>
      </w:r>
    </w:p>
    <w:p w:rsidR="00EF11EC" w:rsidP="00EF11EC" w:rsidRDefault="00165981" w14:paraId="59FF0F4B" w14:textId="77777777">
      <w:r>
        <w:t xml:space="preserve">To account for this factor, the Agency estimates burden for a range of hypothetical discharge scenarios, summarized in </w:t>
      </w:r>
      <w:r>
        <w:fldChar w:fldCharType="begin"/>
      </w:r>
      <w:r>
        <w:instrText xml:space="preserve"> REF _Ref42427273 \h </w:instrText>
      </w:r>
      <w:r>
        <w:fldChar w:fldCharType="separate"/>
      </w:r>
      <w:r w:rsidRPr="007106F4">
        <w:t xml:space="preserve">Exhibit </w:t>
      </w:r>
      <w:r>
        <w:rPr>
          <w:noProof/>
        </w:rPr>
        <w:t>2</w:t>
      </w:r>
      <w:r>
        <w:fldChar w:fldCharType="end"/>
      </w:r>
      <w:r>
        <w:t xml:space="preserve"> (also see Sec</w:t>
      </w:r>
      <w:r w:rsidR="003327F0">
        <w:t>tion 6.1 of the final rule RIA</w:t>
      </w:r>
      <w:r>
        <w:t>).</w:t>
      </w:r>
      <w:r w:rsidR="00EF11EC">
        <w:t xml:space="preserve"> </w:t>
      </w:r>
      <w:r w:rsidRPr="007557D5" w:rsidR="00EF11EC">
        <w:t>Exhibit A-20 in Appendix A contains</w:t>
      </w:r>
      <w:r w:rsidR="00EF11EC">
        <w:t xml:space="preserve"> </w:t>
      </w:r>
      <w:r w:rsidRPr="00FD4B08" w:rsidR="00EF11EC">
        <w:t>estimates of the burden hours required to respond to each data item covered by this ICR</w:t>
      </w:r>
      <w:r w:rsidR="00EF11EC">
        <w:t xml:space="preserve"> for each model discharge scenario.</w:t>
      </w:r>
    </w:p>
    <w:p w:rsidR="00165981" w:rsidP="00165981" w:rsidRDefault="00165981" w14:paraId="243E6D77" w14:textId="28FA9EFE">
      <w:pPr>
        <w:pStyle w:val="BodyText"/>
      </w:pPr>
    </w:p>
    <w:p w:rsidR="00165981" w:rsidP="00165981" w:rsidRDefault="00165981" w14:paraId="09FA24B5" w14:textId="77777777">
      <w:pPr>
        <w:pStyle w:val="TableTitle"/>
      </w:pPr>
      <w:bookmarkStart w:name="_Ref42427273" w:id="10"/>
      <w:bookmarkStart w:name="_Toc49778140" w:id="11"/>
      <w:r w:rsidRPr="007106F4">
        <w:t xml:space="preserve">Exhibit </w:t>
      </w:r>
      <w:r>
        <w:rPr>
          <w:noProof/>
        </w:rPr>
        <w:fldChar w:fldCharType="begin"/>
      </w:r>
      <w:r>
        <w:rPr>
          <w:noProof/>
        </w:rPr>
        <w:instrText xml:space="preserve"> SEQ Exhibit \* ARABIC </w:instrText>
      </w:r>
      <w:r>
        <w:rPr>
          <w:noProof/>
        </w:rPr>
        <w:fldChar w:fldCharType="separate"/>
      </w:r>
      <w:r w:rsidR="00761318">
        <w:rPr>
          <w:noProof/>
        </w:rPr>
        <w:t>2</w:t>
      </w:r>
      <w:r>
        <w:rPr>
          <w:noProof/>
        </w:rPr>
        <w:fldChar w:fldCharType="end"/>
      </w:r>
      <w:bookmarkEnd w:id="10"/>
      <w:r w:rsidRPr="007106F4">
        <w:t xml:space="preserve">: General Model </w:t>
      </w:r>
      <w:r>
        <w:t>Discharge</w:t>
      </w:r>
      <w:r w:rsidRPr="007106F4">
        <w:t xml:space="preserve"> Assumptions</w:t>
      </w:r>
      <w:bookmarkEnd w:id="11"/>
    </w:p>
    <w:tbl>
      <w:tblPr>
        <w:tblpPr w:leftFromText="180" w:rightFromText="180" w:vertAnchor="text" w:horzAnchor="margin" w:tblpY="10"/>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35"/>
        <w:gridCol w:w="1620"/>
        <w:gridCol w:w="1710"/>
        <w:gridCol w:w="1440"/>
        <w:gridCol w:w="1345"/>
      </w:tblGrid>
      <w:tr w:rsidRPr="00201F6B" w:rsidR="00165981" w:rsidTr="00165981" w14:paraId="5AEA6940" w14:textId="77777777">
        <w:trPr>
          <w:trHeight w:val="20"/>
          <w:tblHeader/>
        </w:trPr>
        <w:tc>
          <w:tcPr>
            <w:tcW w:w="3235" w:type="dxa"/>
            <w:shd w:val="clear" w:color="auto" w:fill="D9D9D9" w:themeFill="background1" w:themeFillShade="D9"/>
            <w:noWrap/>
            <w:vAlign w:val="bottom"/>
            <w:hideMark/>
          </w:tcPr>
          <w:p w:rsidRPr="00201F6B" w:rsidR="00165981" w:rsidP="00165981" w:rsidRDefault="00165981" w14:paraId="5C5EE940" w14:textId="77777777">
            <w:pPr>
              <w:spacing w:line="240" w:lineRule="auto"/>
              <w:ind w:firstLine="0"/>
              <w:rPr>
                <w:rFonts w:ascii="Arial Narrow" w:hAnsi="Arial Narrow" w:cs="Calibri"/>
                <w:b/>
                <w:sz w:val="20"/>
                <w:szCs w:val="18"/>
              </w:rPr>
            </w:pPr>
            <w:r w:rsidRPr="00201F6B">
              <w:rPr>
                <w:rFonts w:ascii="Arial Narrow" w:hAnsi="Arial Narrow" w:cs="Calibri"/>
                <w:b/>
                <w:sz w:val="20"/>
                <w:szCs w:val="18"/>
              </w:rPr>
              <w:t>General Assumptions</w:t>
            </w:r>
          </w:p>
        </w:tc>
        <w:tc>
          <w:tcPr>
            <w:tcW w:w="1620" w:type="dxa"/>
            <w:shd w:val="clear" w:color="auto" w:fill="D9D9D9" w:themeFill="background1" w:themeFillShade="D9"/>
            <w:noWrap/>
            <w:vAlign w:val="bottom"/>
            <w:hideMark/>
          </w:tcPr>
          <w:p w:rsidRPr="00201F6B" w:rsidR="00165981" w:rsidP="00165981" w:rsidRDefault="00165981" w14:paraId="4027309D" w14:textId="77777777">
            <w:pPr>
              <w:spacing w:line="240" w:lineRule="auto"/>
              <w:ind w:firstLine="0"/>
              <w:jc w:val="center"/>
              <w:rPr>
                <w:rFonts w:ascii="Arial Narrow" w:hAnsi="Arial Narrow" w:cs="Calibri"/>
                <w:b/>
                <w:sz w:val="20"/>
                <w:szCs w:val="18"/>
              </w:rPr>
            </w:pPr>
            <w:r w:rsidRPr="00201F6B">
              <w:rPr>
                <w:rFonts w:ascii="Arial Narrow" w:hAnsi="Arial Narrow" w:cs="Calibri"/>
                <w:b/>
                <w:sz w:val="20"/>
                <w:szCs w:val="18"/>
              </w:rPr>
              <w:t>Scenario 1</w:t>
            </w:r>
          </w:p>
        </w:tc>
        <w:tc>
          <w:tcPr>
            <w:tcW w:w="1710" w:type="dxa"/>
            <w:shd w:val="clear" w:color="auto" w:fill="D9D9D9" w:themeFill="background1" w:themeFillShade="D9"/>
            <w:noWrap/>
            <w:vAlign w:val="bottom"/>
            <w:hideMark/>
          </w:tcPr>
          <w:p w:rsidRPr="00201F6B" w:rsidR="00165981" w:rsidP="00165981" w:rsidRDefault="00165981" w14:paraId="3A80D43F" w14:textId="77777777">
            <w:pPr>
              <w:spacing w:line="240" w:lineRule="auto"/>
              <w:ind w:firstLine="0"/>
              <w:jc w:val="center"/>
              <w:rPr>
                <w:rFonts w:ascii="Arial Narrow" w:hAnsi="Arial Narrow" w:cs="Calibri"/>
                <w:b/>
                <w:sz w:val="20"/>
                <w:szCs w:val="18"/>
              </w:rPr>
            </w:pPr>
            <w:r w:rsidRPr="00201F6B">
              <w:rPr>
                <w:rFonts w:ascii="Arial Narrow" w:hAnsi="Arial Narrow" w:cs="Calibri"/>
                <w:b/>
                <w:sz w:val="20"/>
                <w:szCs w:val="18"/>
              </w:rPr>
              <w:t>Scenario 2</w:t>
            </w:r>
          </w:p>
        </w:tc>
        <w:tc>
          <w:tcPr>
            <w:tcW w:w="1440" w:type="dxa"/>
            <w:shd w:val="clear" w:color="auto" w:fill="D9D9D9" w:themeFill="background1" w:themeFillShade="D9"/>
            <w:noWrap/>
            <w:vAlign w:val="bottom"/>
            <w:hideMark/>
          </w:tcPr>
          <w:p w:rsidRPr="00201F6B" w:rsidR="00165981" w:rsidP="00165981" w:rsidRDefault="00165981" w14:paraId="7B5B4D39" w14:textId="77777777">
            <w:pPr>
              <w:spacing w:line="240" w:lineRule="auto"/>
              <w:ind w:firstLine="0"/>
              <w:jc w:val="center"/>
              <w:rPr>
                <w:rFonts w:ascii="Arial Narrow" w:hAnsi="Arial Narrow" w:cs="Calibri"/>
                <w:b/>
                <w:sz w:val="20"/>
                <w:szCs w:val="18"/>
              </w:rPr>
            </w:pPr>
            <w:r w:rsidRPr="00201F6B">
              <w:rPr>
                <w:rFonts w:ascii="Arial Narrow" w:hAnsi="Arial Narrow" w:cs="Calibri"/>
                <w:b/>
                <w:sz w:val="20"/>
                <w:szCs w:val="18"/>
              </w:rPr>
              <w:t>Scenario 3</w:t>
            </w:r>
          </w:p>
        </w:tc>
        <w:tc>
          <w:tcPr>
            <w:tcW w:w="1345" w:type="dxa"/>
            <w:shd w:val="clear" w:color="auto" w:fill="D9D9D9" w:themeFill="background1" w:themeFillShade="D9"/>
          </w:tcPr>
          <w:p w:rsidRPr="00201F6B" w:rsidR="00165981" w:rsidP="00165981" w:rsidRDefault="00165981" w14:paraId="78AE89D3" w14:textId="77777777">
            <w:pPr>
              <w:spacing w:line="240" w:lineRule="auto"/>
              <w:ind w:firstLine="0"/>
              <w:jc w:val="center"/>
              <w:rPr>
                <w:rFonts w:ascii="Arial Narrow" w:hAnsi="Arial Narrow" w:cs="Calibri"/>
                <w:b/>
                <w:sz w:val="20"/>
                <w:szCs w:val="18"/>
              </w:rPr>
            </w:pPr>
            <w:r w:rsidRPr="00201F6B">
              <w:rPr>
                <w:rFonts w:ascii="Arial Narrow" w:hAnsi="Arial Narrow" w:cs="Calibri"/>
                <w:b/>
                <w:sz w:val="20"/>
                <w:szCs w:val="18"/>
              </w:rPr>
              <w:t>Scenario 4</w:t>
            </w:r>
          </w:p>
        </w:tc>
      </w:tr>
      <w:tr w:rsidRPr="00D83988" w:rsidR="00165981" w:rsidTr="00165981" w14:paraId="4F74A724" w14:textId="77777777">
        <w:trPr>
          <w:trHeight w:val="20"/>
        </w:trPr>
        <w:tc>
          <w:tcPr>
            <w:tcW w:w="3235" w:type="dxa"/>
            <w:shd w:val="clear" w:color="auto" w:fill="auto"/>
            <w:noWrap/>
            <w:vAlign w:val="center"/>
          </w:tcPr>
          <w:p w:rsidRPr="00D83988" w:rsidR="00165981" w:rsidP="00165981" w:rsidRDefault="00165981" w14:paraId="6DD490FE" w14:textId="77777777">
            <w:pPr>
              <w:spacing w:line="240" w:lineRule="auto"/>
              <w:ind w:left="157" w:firstLine="0"/>
              <w:rPr>
                <w:rFonts w:ascii="Arial Narrow" w:hAnsi="Arial Narrow" w:cs="Calibri"/>
                <w:sz w:val="20"/>
                <w:szCs w:val="18"/>
              </w:rPr>
            </w:pPr>
            <w:r>
              <w:rPr>
                <w:rFonts w:ascii="Arial Narrow" w:hAnsi="Arial Narrow" w:cs="Calibri"/>
                <w:sz w:val="20"/>
                <w:szCs w:val="18"/>
              </w:rPr>
              <w:t>Discharge Type</w:t>
            </w:r>
          </w:p>
        </w:tc>
        <w:tc>
          <w:tcPr>
            <w:tcW w:w="1620" w:type="dxa"/>
            <w:shd w:val="clear" w:color="auto" w:fill="auto"/>
            <w:noWrap/>
            <w:vAlign w:val="bottom"/>
          </w:tcPr>
          <w:p w:rsidRPr="00D83988" w:rsidR="00165981" w:rsidP="00165981" w:rsidRDefault="00165981" w14:paraId="0ECB4AD3" w14:textId="77777777">
            <w:pPr>
              <w:spacing w:line="240" w:lineRule="auto"/>
              <w:ind w:firstLine="0"/>
              <w:jc w:val="right"/>
              <w:rPr>
                <w:rFonts w:ascii="Arial Narrow" w:hAnsi="Arial Narrow" w:cs="Calibri"/>
                <w:sz w:val="20"/>
                <w:szCs w:val="18"/>
              </w:rPr>
            </w:pPr>
            <w:r w:rsidRPr="00D83988">
              <w:rPr>
                <w:rFonts w:ascii="Arial Narrow" w:hAnsi="Arial Narrow" w:cs="Calibri"/>
                <w:sz w:val="20"/>
                <w:szCs w:val="18"/>
              </w:rPr>
              <w:t>Surface</w:t>
            </w:r>
          </w:p>
        </w:tc>
        <w:tc>
          <w:tcPr>
            <w:tcW w:w="1710" w:type="dxa"/>
            <w:shd w:val="clear" w:color="auto" w:fill="auto"/>
            <w:noWrap/>
            <w:vAlign w:val="bottom"/>
          </w:tcPr>
          <w:p w:rsidRPr="00D83988" w:rsidR="00165981" w:rsidP="00165981" w:rsidRDefault="00165981" w14:paraId="28023F85" w14:textId="77777777">
            <w:pPr>
              <w:spacing w:line="240" w:lineRule="auto"/>
              <w:ind w:firstLine="0"/>
              <w:jc w:val="right"/>
              <w:rPr>
                <w:rFonts w:ascii="Arial Narrow" w:hAnsi="Arial Narrow"/>
                <w:sz w:val="20"/>
                <w:szCs w:val="18"/>
              </w:rPr>
            </w:pPr>
            <w:r w:rsidRPr="00D83988">
              <w:rPr>
                <w:rFonts w:ascii="Arial Narrow" w:hAnsi="Arial Narrow"/>
                <w:sz w:val="20"/>
                <w:szCs w:val="18"/>
              </w:rPr>
              <w:t>Surface</w:t>
            </w:r>
          </w:p>
        </w:tc>
        <w:tc>
          <w:tcPr>
            <w:tcW w:w="1440" w:type="dxa"/>
            <w:shd w:val="clear" w:color="auto" w:fill="auto"/>
            <w:noWrap/>
            <w:vAlign w:val="bottom"/>
          </w:tcPr>
          <w:p w:rsidRPr="00D83988" w:rsidR="00165981" w:rsidP="00165981" w:rsidRDefault="00165981" w14:paraId="794B9400" w14:textId="77777777">
            <w:pPr>
              <w:spacing w:line="240" w:lineRule="auto"/>
              <w:ind w:firstLine="0"/>
              <w:jc w:val="right"/>
              <w:rPr>
                <w:rFonts w:ascii="Arial Narrow" w:hAnsi="Arial Narrow"/>
                <w:sz w:val="20"/>
                <w:szCs w:val="18"/>
              </w:rPr>
            </w:pPr>
            <w:r w:rsidRPr="00D83988">
              <w:rPr>
                <w:rFonts w:ascii="Arial Narrow" w:hAnsi="Arial Narrow"/>
                <w:sz w:val="20"/>
                <w:szCs w:val="18"/>
              </w:rPr>
              <w:t>Subsurface</w:t>
            </w:r>
          </w:p>
        </w:tc>
        <w:tc>
          <w:tcPr>
            <w:tcW w:w="1345" w:type="dxa"/>
          </w:tcPr>
          <w:p w:rsidRPr="00D83988" w:rsidR="00165981" w:rsidP="00165981" w:rsidRDefault="00165981" w14:paraId="6379B72A" w14:textId="77777777">
            <w:pPr>
              <w:spacing w:line="240" w:lineRule="auto"/>
              <w:ind w:firstLine="0"/>
              <w:jc w:val="right"/>
              <w:rPr>
                <w:rFonts w:ascii="Arial Narrow" w:hAnsi="Arial Narrow"/>
                <w:sz w:val="20"/>
                <w:szCs w:val="18"/>
              </w:rPr>
            </w:pPr>
            <w:r w:rsidRPr="00FC6896">
              <w:rPr>
                <w:rFonts w:ascii="Arial Narrow" w:hAnsi="Arial Narrow"/>
                <w:sz w:val="20"/>
                <w:szCs w:val="18"/>
              </w:rPr>
              <w:t>Subsurface</w:t>
            </w:r>
          </w:p>
        </w:tc>
      </w:tr>
      <w:tr w:rsidRPr="00D83988" w:rsidR="00165981" w:rsidTr="00165981" w14:paraId="7AE68934" w14:textId="77777777">
        <w:trPr>
          <w:trHeight w:val="20"/>
        </w:trPr>
        <w:tc>
          <w:tcPr>
            <w:tcW w:w="3235" w:type="dxa"/>
            <w:shd w:val="clear" w:color="auto" w:fill="auto"/>
            <w:noWrap/>
            <w:vAlign w:val="center"/>
          </w:tcPr>
          <w:p w:rsidRPr="00D83988" w:rsidR="00165981" w:rsidP="00165981" w:rsidRDefault="00165981" w14:paraId="493CE499" w14:textId="78D26BA4">
            <w:pPr>
              <w:spacing w:line="240" w:lineRule="auto"/>
              <w:ind w:left="157" w:firstLine="0"/>
              <w:rPr>
                <w:rFonts w:ascii="Arial Narrow" w:hAnsi="Arial Narrow" w:cs="Calibri"/>
                <w:sz w:val="20"/>
                <w:szCs w:val="18"/>
              </w:rPr>
            </w:pPr>
            <w:r>
              <w:rPr>
                <w:rFonts w:ascii="Arial Narrow" w:hAnsi="Arial Narrow" w:cs="Calibri"/>
                <w:sz w:val="20"/>
                <w:szCs w:val="18"/>
              </w:rPr>
              <w:t>Discharge</w:t>
            </w:r>
            <w:r w:rsidRPr="00D83988">
              <w:rPr>
                <w:rFonts w:ascii="Arial Narrow" w:hAnsi="Arial Narrow" w:cs="Calibri"/>
                <w:sz w:val="20"/>
                <w:szCs w:val="18"/>
              </w:rPr>
              <w:t xml:space="preserve"> Size (</w:t>
            </w:r>
            <w:r>
              <w:rPr>
                <w:rFonts w:ascii="Arial Narrow" w:hAnsi="Arial Narrow" w:cs="Calibri"/>
                <w:sz w:val="20"/>
                <w:szCs w:val="18"/>
              </w:rPr>
              <w:t>U.S</w:t>
            </w:r>
            <w:r w:rsidR="00BA2410">
              <w:rPr>
                <w:rFonts w:ascii="Arial Narrow" w:hAnsi="Arial Narrow" w:cs="Calibri"/>
                <w:sz w:val="20"/>
                <w:szCs w:val="18"/>
              </w:rPr>
              <w:t xml:space="preserve">. </w:t>
            </w:r>
            <w:r>
              <w:rPr>
                <w:rFonts w:ascii="Arial Narrow" w:hAnsi="Arial Narrow" w:cs="Calibri"/>
                <w:sz w:val="20"/>
                <w:szCs w:val="18"/>
              </w:rPr>
              <w:t>g</w:t>
            </w:r>
            <w:r w:rsidRPr="00D83988">
              <w:rPr>
                <w:rFonts w:ascii="Arial Narrow" w:hAnsi="Arial Narrow" w:cs="Calibri"/>
                <w:sz w:val="20"/>
                <w:szCs w:val="18"/>
              </w:rPr>
              <w:t>allons)</w:t>
            </w:r>
          </w:p>
        </w:tc>
        <w:tc>
          <w:tcPr>
            <w:tcW w:w="1620" w:type="dxa"/>
            <w:tcBorders>
              <w:top w:val="single" w:color="auto" w:sz="4" w:space="0"/>
            </w:tcBorders>
            <w:shd w:val="clear" w:color="auto" w:fill="auto"/>
            <w:noWrap/>
            <w:vAlign w:val="bottom"/>
          </w:tcPr>
          <w:p w:rsidRPr="00D83988" w:rsidR="00165981" w:rsidP="00165981" w:rsidRDefault="00165981" w14:paraId="401A973A" w14:textId="77777777">
            <w:pPr>
              <w:spacing w:line="240" w:lineRule="auto"/>
              <w:ind w:firstLine="0"/>
              <w:jc w:val="right"/>
              <w:rPr>
                <w:rFonts w:ascii="Arial Narrow" w:hAnsi="Arial Narrow" w:cs="Calibri"/>
                <w:sz w:val="20"/>
                <w:szCs w:val="18"/>
              </w:rPr>
            </w:pPr>
            <w:r w:rsidRPr="00D83988">
              <w:rPr>
                <w:rFonts w:ascii="Arial Narrow" w:hAnsi="Arial Narrow" w:cs="Calibri"/>
                <w:sz w:val="20"/>
                <w:szCs w:val="18"/>
              </w:rPr>
              <w:t>1</w:t>
            </w:r>
            <w:r>
              <w:rPr>
                <w:rFonts w:ascii="Arial Narrow" w:hAnsi="Arial Narrow" w:cs="Calibri"/>
                <w:sz w:val="20"/>
                <w:szCs w:val="18"/>
              </w:rPr>
              <w:t>5</w:t>
            </w:r>
            <w:r w:rsidRPr="00D83988">
              <w:rPr>
                <w:rFonts w:ascii="Arial Narrow" w:hAnsi="Arial Narrow" w:cs="Calibri"/>
                <w:sz w:val="20"/>
                <w:szCs w:val="18"/>
              </w:rPr>
              <w:t>0,000</w:t>
            </w:r>
          </w:p>
        </w:tc>
        <w:tc>
          <w:tcPr>
            <w:tcW w:w="1710" w:type="dxa"/>
            <w:tcBorders>
              <w:top w:val="single" w:color="auto" w:sz="4" w:space="0"/>
            </w:tcBorders>
            <w:shd w:val="clear" w:color="auto" w:fill="auto"/>
            <w:noWrap/>
            <w:vAlign w:val="bottom"/>
          </w:tcPr>
          <w:p w:rsidRPr="00D83988" w:rsidR="00165981" w:rsidP="00165981" w:rsidRDefault="00165981" w14:paraId="57285726" w14:textId="77777777">
            <w:pPr>
              <w:spacing w:line="240" w:lineRule="auto"/>
              <w:ind w:firstLine="0"/>
              <w:jc w:val="right"/>
              <w:rPr>
                <w:rFonts w:ascii="Arial Narrow" w:hAnsi="Arial Narrow"/>
                <w:sz w:val="20"/>
                <w:szCs w:val="18"/>
              </w:rPr>
            </w:pPr>
            <w:r w:rsidRPr="00D83988">
              <w:rPr>
                <w:rFonts w:ascii="Arial Narrow" w:hAnsi="Arial Narrow"/>
                <w:sz w:val="20"/>
                <w:szCs w:val="18"/>
              </w:rPr>
              <w:t>8.</w:t>
            </w:r>
            <w:r>
              <w:rPr>
                <w:rFonts w:ascii="Arial Narrow" w:hAnsi="Arial Narrow"/>
                <w:sz w:val="20"/>
                <w:szCs w:val="18"/>
              </w:rPr>
              <w:t>0</w:t>
            </w:r>
            <w:r w:rsidRPr="00D83988">
              <w:rPr>
                <w:rFonts w:ascii="Arial Narrow" w:hAnsi="Arial Narrow"/>
                <w:sz w:val="20"/>
                <w:szCs w:val="18"/>
              </w:rPr>
              <w:t xml:space="preserve"> million</w:t>
            </w:r>
          </w:p>
        </w:tc>
        <w:tc>
          <w:tcPr>
            <w:tcW w:w="1440" w:type="dxa"/>
            <w:tcBorders>
              <w:top w:val="single" w:color="auto" w:sz="4" w:space="0"/>
            </w:tcBorders>
            <w:shd w:val="clear" w:color="auto" w:fill="auto"/>
            <w:noWrap/>
            <w:vAlign w:val="bottom"/>
          </w:tcPr>
          <w:p w:rsidRPr="00D83988" w:rsidR="00165981" w:rsidP="00165981" w:rsidRDefault="00165981" w14:paraId="41A426CB" w14:textId="77777777">
            <w:pPr>
              <w:spacing w:line="240" w:lineRule="auto"/>
              <w:ind w:firstLine="0"/>
              <w:jc w:val="right"/>
              <w:rPr>
                <w:rFonts w:ascii="Arial Narrow" w:hAnsi="Arial Narrow"/>
                <w:sz w:val="20"/>
                <w:szCs w:val="18"/>
              </w:rPr>
            </w:pPr>
            <w:r w:rsidRPr="00D83988">
              <w:rPr>
                <w:rFonts w:ascii="Arial Narrow" w:hAnsi="Arial Narrow"/>
                <w:sz w:val="20"/>
                <w:szCs w:val="18"/>
              </w:rPr>
              <w:t>170 million</w:t>
            </w:r>
          </w:p>
        </w:tc>
        <w:tc>
          <w:tcPr>
            <w:tcW w:w="1345" w:type="dxa"/>
            <w:tcBorders>
              <w:top w:val="single" w:color="auto" w:sz="4" w:space="0"/>
            </w:tcBorders>
          </w:tcPr>
          <w:p w:rsidRPr="00D83988" w:rsidR="00165981" w:rsidP="00165981" w:rsidRDefault="00165981" w14:paraId="5171195B" w14:textId="77777777">
            <w:pPr>
              <w:spacing w:line="240" w:lineRule="auto"/>
              <w:ind w:firstLine="0"/>
              <w:jc w:val="right"/>
              <w:rPr>
                <w:rFonts w:ascii="Arial Narrow" w:hAnsi="Arial Narrow"/>
                <w:sz w:val="20"/>
                <w:szCs w:val="18"/>
              </w:rPr>
            </w:pPr>
            <w:r>
              <w:rPr>
                <w:rFonts w:ascii="Arial Narrow" w:hAnsi="Arial Narrow"/>
                <w:sz w:val="20"/>
                <w:szCs w:val="18"/>
              </w:rPr>
              <w:t>1 - 3 billion</w:t>
            </w:r>
          </w:p>
        </w:tc>
      </w:tr>
      <w:tr w:rsidRPr="00D83988" w:rsidR="00165981" w:rsidTr="00165981" w14:paraId="50CD7E9F" w14:textId="77777777">
        <w:trPr>
          <w:trHeight w:val="20"/>
        </w:trPr>
        <w:tc>
          <w:tcPr>
            <w:tcW w:w="3235" w:type="dxa"/>
            <w:shd w:val="clear" w:color="auto" w:fill="auto"/>
            <w:noWrap/>
            <w:vAlign w:val="center"/>
          </w:tcPr>
          <w:p w:rsidRPr="00D83988" w:rsidR="00165981" w:rsidP="00165981" w:rsidRDefault="00165981" w14:paraId="792A853A" w14:textId="77777777">
            <w:pPr>
              <w:spacing w:line="240" w:lineRule="auto"/>
              <w:ind w:left="157" w:firstLine="0"/>
              <w:rPr>
                <w:rFonts w:ascii="Arial Narrow" w:hAnsi="Arial Narrow" w:cs="Calibri"/>
                <w:sz w:val="20"/>
                <w:szCs w:val="18"/>
              </w:rPr>
            </w:pPr>
            <w:r w:rsidRPr="00D83988">
              <w:rPr>
                <w:rFonts w:ascii="Arial Narrow" w:hAnsi="Arial Narrow" w:cs="Calibri"/>
                <w:sz w:val="20"/>
                <w:szCs w:val="18"/>
              </w:rPr>
              <w:t>Duration of active oil discharge, days</w:t>
            </w:r>
          </w:p>
        </w:tc>
        <w:tc>
          <w:tcPr>
            <w:tcW w:w="1620" w:type="dxa"/>
            <w:tcBorders>
              <w:top w:val="single" w:color="auto" w:sz="4" w:space="0"/>
            </w:tcBorders>
            <w:shd w:val="clear" w:color="auto" w:fill="auto"/>
            <w:noWrap/>
            <w:vAlign w:val="center"/>
          </w:tcPr>
          <w:p w:rsidRPr="00D83988" w:rsidR="00165981" w:rsidP="00165981" w:rsidRDefault="00165981" w14:paraId="6F45ED4A" w14:textId="77777777">
            <w:pPr>
              <w:spacing w:line="240" w:lineRule="auto"/>
              <w:ind w:firstLine="0"/>
              <w:jc w:val="right"/>
              <w:rPr>
                <w:rFonts w:ascii="Arial Narrow" w:hAnsi="Arial Narrow" w:cs="Calibri"/>
                <w:sz w:val="20"/>
                <w:szCs w:val="18"/>
              </w:rPr>
            </w:pPr>
            <w:r>
              <w:rPr>
                <w:rFonts w:ascii="Arial Narrow" w:hAnsi="Arial Narrow" w:cs="Calibri"/>
                <w:sz w:val="20"/>
                <w:szCs w:val="18"/>
              </w:rPr>
              <w:t>1</w:t>
            </w:r>
          </w:p>
        </w:tc>
        <w:tc>
          <w:tcPr>
            <w:tcW w:w="1710" w:type="dxa"/>
            <w:tcBorders>
              <w:top w:val="single" w:color="auto" w:sz="4" w:space="0"/>
            </w:tcBorders>
            <w:shd w:val="clear" w:color="auto" w:fill="auto"/>
            <w:noWrap/>
            <w:vAlign w:val="center"/>
          </w:tcPr>
          <w:p w:rsidRPr="00D83988" w:rsidR="00165981" w:rsidP="00165981" w:rsidRDefault="00165981" w14:paraId="68AD2D63" w14:textId="77777777">
            <w:pPr>
              <w:spacing w:line="240" w:lineRule="auto"/>
              <w:ind w:firstLine="0"/>
              <w:jc w:val="right"/>
              <w:rPr>
                <w:rFonts w:ascii="Arial Narrow" w:hAnsi="Arial Narrow"/>
                <w:sz w:val="20"/>
                <w:szCs w:val="18"/>
              </w:rPr>
            </w:pPr>
            <w:r>
              <w:rPr>
                <w:rFonts w:ascii="Arial Narrow" w:hAnsi="Arial Narrow"/>
                <w:sz w:val="20"/>
                <w:szCs w:val="18"/>
              </w:rPr>
              <w:t>22</w:t>
            </w:r>
          </w:p>
        </w:tc>
        <w:tc>
          <w:tcPr>
            <w:tcW w:w="1440" w:type="dxa"/>
            <w:tcBorders>
              <w:top w:val="single" w:color="auto" w:sz="4" w:space="0"/>
            </w:tcBorders>
            <w:shd w:val="clear" w:color="auto" w:fill="auto"/>
            <w:noWrap/>
            <w:vAlign w:val="center"/>
          </w:tcPr>
          <w:p w:rsidRPr="00D83988" w:rsidR="00165981" w:rsidP="00165981" w:rsidRDefault="00165981" w14:paraId="56B31265" w14:textId="77777777">
            <w:pPr>
              <w:spacing w:line="240" w:lineRule="auto"/>
              <w:ind w:firstLine="0"/>
              <w:jc w:val="right"/>
              <w:rPr>
                <w:rFonts w:ascii="Arial Narrow" w:hAnsi="Arial Narrow"/>
                <w:sz w:val="20"/>
                <w:szCs w:val="18"/>
              </w:rPr>
            </w:pPr>
            <w:r>
              <w:rPr>
                <w:rFonts w:ascii="Arial Narrow" w:hAnsi="Arial Narrow"/>
                <w:sz w:val="20"/>
                <w:szCs w:val="18"/>
              </w:rPr>
              <w:t>60</w:t>
            </w:r>
          </w:p>
        </w:tc>
        <w:tc>
          <w:tcPr>
            <w:tcW w:w="1345" w:type="dxa"/>
            <w:tcBorders>
              <w:top w:val="single" w:color="auto" w:sz="4" w:space="0"/>
            </w:tcBorders>
            <w:vAlign w:val="center"/>
          </w:tcPr>
          <w:p w:rsidRPr="00D83988" w:rsidR="00165981" w:rsidP="00165981" w:rsidRDefault="00165981" w14:paraId="2ED587F5" w14:textId="77777777">
            <w:pPr>
              <w:spacing w:line="240" w:lineRule="auto"/>
              <w:ind w:firstLine="0"/>
              <w:jc w:val="right"/>
              <w:rPr>
                <w:rFonts w:ascii="Arial Narrow" w:hAnsi="Arial Narrow"/>
                <w:sz w:val="20"/>
                <w:szCs w:val="18"/>
              </w:rPr>
            </w:pPr>
            <w:r>
              <w:rPr>
                <w:rFonts w:ascii="Arial Narrow" w:hAnsi="Arial Narrow"/>
                <w:sz w:val="20"/>
                <w:szCs w:val="18"/>
              </w:rPr>
              <w:t>85</w:t>
            </w:r>
          </w:p>
        </w:tc>
      </w:tr>
      <w:tr w:rsidRPr="00D83988" w:rsidR="00165981" w:rsidTr="00165981" w14:paraId="376E544E" w14:textId="77777777">
        <w:trPr>
          <w:trHeight w:val="20"/>
        </w:trPr>
        <w:tc>
          <w:tcPr>
            <w:tcW w:w="3235" w:type="dxa"/>
            <w:shd w:val="clear" w:color="auto" w:fill="auto"/>
            <w:noWrap/>
            <w:vAlign w:val="center"/>
          </w:tcPr>
          <w:p w:rsidRPr="00D83988" w:rsidR="00165981" w:rsidP="00165981" w:rsidRDefault="00165981" w14:paraId="767F7193" w14:textId="77777777">
            <w:pPr>
              <w:spacing w:line="240" w:lineRule="auto"/>
              <w:ind w:left="157" w:firstLine="0"/>
              <w:rPr>
                <w:rFonts w:ascii="Arial Narrow" w:hAnsi="Arial Narrow" w:cs="Calibri"/>
                <w:sz w:val="20"/>
                <w:szCs w:val="18"/>
              </w:rPr>
            </w:pPr>
            <w:r w:rsidRPr="00D83988">
              <w:rPr>
                <w:rFonts w:ascii="Arial Narrow" w:hAnsi="Arial Narrow" w:cs="Calibri"/>
                <w:sz w:val="20"/>
                <w:szCs w:val="18"/>
              </w:rPr>
              <w:t>Oil discharge rate (gallons/day)</w:t>
            </w:r>
            <w:r w:rsidRPr="00D83988">
              <w:rPr>
                <w:rFonts w:ascii="Arial Narrow" w:hAnsi="Arial Narrow" w:cs="Calibri"/>
                <w:sz w:val="20"/>
                <w:szCs w:val="18"/>
                <w:vertAlign w:val="superscript"/>
              </w:rPr>
              <w:t>1</w:t>
            </w:r>
          </w:p>
        </w:tc>
        <w:tc>
          <w:tcPr>
            <w:tcW w:w="1620" w:type="dxa"/>
            <w:tcBorders>
              <w:top w:val="single" w:color="auto" w:sz="4" w:space="0"/>
            </w:tcBorders>
            <w:shd w:val="clear" w:color="auto" w:fill="auto"/>
            <w:noWrap/>
            <w:vAlign w:val="center"/>
          </w:tcPr>
          <w:p w:rsidRPr="00D83988" w:rsidR="00165981" w:rsidP="00165981" w:rsidRDefault="00165981" w14:paraId="1235101D" w14:textId="77777777">
            <w:pPr>
              <w:spacing w:line="240" w:lineRule="auto"/>
              <w:ind w:firstLine="0"/>
              <w:jc w:val="right"/>
              <w:rPr>
                <w:rFonts w:ascii="Arial Narrow" w:hAnsi="Arial Narrow" w:cs="Calibri"/>
                <w:sz w:val="20"/>
                <w:szCs w:val="18"/>
              </w:rPr>
            </w:pPr>
            <w:r w:rsidRPr="00D83988">
              <w:rPr>
                <w:rFonts w:ascii="Arial Narrow" w:hAnsi="Arial Narrow" w:cs="Calibri"/>
                <w:sz w:val="20"/>
                <w:szCs w:val="18"/>
              </w:rPr>
              <w:t xml:space="preserve">~ 20,000 </w:t>
            </w:r>
          </w:p>
        </w:tc>
        <w:tc>
          <w:tcPr>
            <w:tcW w:w="1710" w:type="dxa"/>
            <w:tcBorders>
              <w:top w:val="single" w:color="auto" w:sz="4" w:space="0"/>
            </w:tcBorders>
            <w:shd w:val="clear" w:color="auto" w:fill="auto"/>
            <w:noWrap/>
            <w:vAlign w:val="center"/>
          </w:tcPr>
          <w:p w:rsidRPr="00D83988" w:rsidR="00165981" w:rsidP="00165981" w:rsidRDefault="00165981" w14:paraId="18B7D7D1" w14:textId="77777777">
            <w:pPr>
              <w:spacing w:line="240" w:lineRule="auto"/>
              <w:ind w:firstLine="0"/>
              <w:jc w:val="right"/>
              <w:rPr>
                <w:rFonts w:ascii="Arial Narrow" w:hAnsi="Arial Narrow"/>
                <w:sz w:val="20"/>
                <w:szCs w:val="18"/>
              </w:rPr>
            </w:pPr>
            <w:r w:rsidRPr="00D83988">
              <w:rPr>
                <w:rFonts w:ascii="Arial Narrow" w:hAnsi="Arial Narrow"/>
                <w:sz w:val="20"/>
                <w:szCs w:val="18"/>
              </w:rPr>
              <w:t>300,000 to 400,000</w:t>
            </w:r>
          </w:p>
        </w:tc>
        <w:tc>
          <w:tcPr>
            <w:tcW w:w="1440" w:type="dxa"/>
            <w:tcBorders>
              <w:top w:val="single" w:color="auto" w:sz="4" w:space="0"/>
            </w:tcBorders>
            <w:shd w:val="clear" w:color="auto" w:fill="auto"/>
            <w:noWrap/>
            <w:vAlign w:val="center"/>
          </w:tcPr>
          <w:p w:rsidRPr="00D83988" w:rsidR="00165981" w:rsidP="00165981" w:rsidRDefault="00165981" w14:paraId="5FDF3801" w14:textId="77777777">
            <w:pPr>
              <w:spacing w:line="240" w:lineRule="auto"/>
              <w:ind w:firstLine="0"/>
              <w:jc w:val="right"/>
              <w:rPr>
                <w:rFonts w:ascii="Arial Narrow" w:hAnsi="Arial Narrow"/>
                <w:sz w:val="20"/>
                <w:szCs w:val="18"/>
              </w:rPr>
            </w:pPr>
            <w:r w:rsidRPr="00D83988">
              <w:rPr>
                <w:rFonts w:ascii="Arial Narrow" w:hAnsi="Arial Narrow"/>
                <w:sz w:val="20"/>
                <w:szCs w:val="18"/>
              </w:rPr>
              <w:t>1.2 to 1.4 million</w:t>
            </w:r>
          </w:p>
        </w:tc>
        <w:tc>
          <w:tcPr>
            <w:tcW w:w="1345" w:type="dxa"/>
            <w:tcBorders>
              <w:top w:val="single" w:color="auto" w:sz="4" w:space="0"/>
            </w:tcBorders>
            <w:vAlign w:val="center"/>
          </w:tcPr>
          <w:p w:rsidRPr="00D83988" w:rsidR="00165981" w:rsidP="00165981" w:rsidRDefault="00165981" w14:paraId="1174585B" w14:textId="77777777">
            <w:pPr>
              <w:spacing w:line="240" w:lineRule="auto"/>
              <w:ind w:firstLine="0"/>
              <w:jc w:val="right"/>
              <w:rPr>
                <w:rFonts w:ascii="Arial Narrow" w:hAnsi="Arial Narrow"/>
                <w:sz w:val="20"/>
                <w:szCs w:val="18"/>
              </w:rPr>
            </w:pPr>
            <w:r>
              <w:rPr>
                <w:rFonts w:ascii="Arial Narrow" w:hAnsi="Arial Narrow"/>
                <w:sz w:val="20"/>
                <w:szCs w:val="18"/>
              </w:rPr>
              <w:t>10 to 20</w:t>
            </w:r>
            <w:r w:rsidRPr="00FC6896">
              <w:rPr>
                <w:rFonts w:ascii="Arial Narrow" w:hAnsi="Arial Narrow"/>
                <w:sz w:val="20"/>
                <w:szCs w:val="18"/>
              </w:rPr>
              <w:t xml:space="preserve"> million</w:t>
            </w:r>
          </w:p>
        </w:tc>
      </w:tr>
      <w:tr w:rsidRPr="00D83988" w:rsidR="00165981" w:rsidTr="00165981" w14:paraId="3BD03506" w14:textId="77777777">
        <w:trPr>
          <w:trHeight w:val="20"/>
        </w:trPr>
        <w:tc>
          <w:tcPr>
            <w:tcW w:w="9350" w:type="dxa"/>
            <w:gridSpan w:val="5"/>
            <w:shd w:val="clear" w:color="auto" w:fill="D9D9D9" w:themeFill="background1" w:themeFillShade="D9"/>
            <w:noWrap/>
            <w:vAlign w:val="center"/>
          </w:tcPr>
          <w:p w:rsidRPr="00D83988" w:rsidR="00165981" w:rsidP="00165981" w:rsidRDefault="00165981" w14:paraId="1EA5057C" w14:textId="77777777">
            <w:pPr>
              <w:spacing w:line="240" w:lineRule="auto"/>
              <w:ind w:firstLine="0"/>
              <w:rPr>
                <w:rFonts w:ascii="Arial Narrow" w:hAnsi="Arial Narrow"/>
                <w:color w:val="FFFFFF" w:themeColor="background1"/>
                <w:sz w:val="20"/>
                <w:szCs w:val="18"/>
              </w:rPr>
            </w:pPr>
            <w:r w:rsidRPr="00201F6B">
              <w:rPr>
                <w:rFonts w:ascii="Arial Narrow" w:hAnsi="Arial Narrow" w:cs="Calibri"/>
                <w:b/>
                <w:sz w:val="20"/>
                <w:szCs w:val="18"/>
              </w:rPr>
              <w:t>Dispersant Application</w:t>
            </w:r>
          </w:p>
        </w:tc>
      </w:tr>
      <w:tr w:rsidRPr="00D83988" w:rsidR="00165981" w:rsidTr="00165981" w14:paraId="153FDF05" w14:textId="77777777">
        <w:trPr>
          <w:trHeight w:val="20"/>
        </w:trPr>
        <w:tc>
          <w:tcPr>
            <w:tcW w:w="3235" w:type="dxa"/>
            <w:shd w:val="clear" w:color="auto" w:fill="auto"/>
            <w:noWrap/>
            <w:vAlign w:val="center"/>
          </w:tcPr>
          <w:p w:rsidRPr="00D83988" w:rsidR="00165981" w:rsidP="00165981" w:rsidRDefault="00165981" w14:paraId="3D8EEBE4" w14:textId="77777777">
            <w:pPr>
              <w:spacing w:line="240" w:lineRule="auto"/>
              <w:ind w:left="157" w:firstLine="0"/>
              <w:rPr>
                <w:rFonts w:ascii="Arial Narrow" w:hAnsi="Arial Narrow" w:cs="Calibri"/>
                <w:sz w:val="20"/>
                <w:szCs w:val="18"/>
              </w:rPr>
            </w:pPr>
            <w:r w:rsidRPr="00D83988">
              <w:rPr>
                <w:rFonts w:ascii="Arial Narrow" w:hAnsi="Arial Narrow" w:cs="Calibri"/>
                <w:sz w:val="20"/>
                <w:szCs w:val="18"/>
              </w:rPr>
              <w:t>Duration of dispersant application, days</w:t>
            </w:r>
          </w:p>
        </w:tc>
        <w:tc>
          <w:tcPr>
            <w:tcW w:w="1620" w:type="dxa"/>
            <w:tcBorders>
              <w:top w:val="single" w:color="auto" w:sz="4" w:space="0"/>
            </w:tcBorders>
            <w:shd w:val="clear" w:color="auto" w:fill="auto"/>
            <w:noWrap/>
            <w:vAlign w:val="center"/>
          </w:tcPr>
          <w:p w:rsidRPr="00D83988" w:rsidR="00165981" w:rsidP="00165981" w:rsidRDefault="00165981" w14:paraId="2EFC52F6" w14:textId="77777777">
            <w:pPr>
              <w:spacing w:line="240" w:lineRule="auto"/>
              <w:ind w:firstLine="0"/>
              <w:jc w:val="right"/>
              <w:rPr>
                <w:rFonts w:ascii="Arial Narrow" w:hAnsi="Arial Narrow" w:cs="Calibri"/>
                <w:sz w:val="20"/>
                <w:szCs w:val="18"/>
              </w:rPr>
            </w:pPr>
            <w:r>
              <w:rPr>
                <w:rFonts w:ascii="Arial Narrow" w:hAnsi="Arial Narrow" w:cs="Calibri"/>
                <w:sz w:val="20"/>
                <w:szCs w:val="18"/>
              </w:rPr>
              <w:t>3</w:t>
            </w:r>
          </w:p>
        </w:tc>
        <w:tc>
          <w:tcPr>
            <w:tcW w:w="1710" w:type="dxa"/>
            <w:tcBorders>
              <w:top w:val="single" w:color="auto" w:sz="4" w:space="0"/>
            </w:tcBorders>
            <w:shd w:val="clear" w:color="auto" w:fill="auto"/>
            <w:noWrap/>
            <w:vAlign w:val="center"/>
          </w:tcPr>
          <w:p w:rsidRPr="00D83988" w:rsidR="00165981" w:rsidP="00165981" w:rsidRDefault="00165981" w14:paraId="210765A3" w14:textId="77777777">
            <w:pPr>
              <w:spacing w:line="240" w:lineRule="auto"/>
              <w:ind w:firstLine="0"/>
              <w:jc w:val="right"/>
              <w:rPr>
                <w:rFonts w:ascii="Arial Narrow" w:hAnsi="Arial Narrow"/>
                <w:sz w:val="20"/>
                <w:szCs w:val="18"/>
              </w:rPr>
            </w:pPr>
            <w:r>
              <w:rPr>
                <w:rFonts w:ascii="Arial Narrow" w:hAnsi="Arial Narrow" w:cs="Calibri"/>
                <w:sz w:val="20"/>
                <w:szCs w:val="18"/>
              </w:rPr>
              <w:t>24</w:t>
            </w:r>
          </w:p>
        </w:tc>
        <w:tc>
          <w:tcPr>
            <w:tcW w:w="1440" w:type="dxa"/>
            <w:tcBorders>
              <w:top w:val="single" w:color="auto" w:sz="4" w:space="0"/>
            </w:tcBorders>
            <w:shd w:val="clear" w:color="auto" w:fill="auto"/>
            <w:noWrap/>
            <w:vAlign w:val="center"/>
          </w:tcPr>
          <w:p w:rsidRPr="00D83988" w:rsidR="00165981" w:rsidP="00165981" w:rsidRDefault="00165981" w14:paraId="33D2CF85" w14:textId="77777777">
            <w:pPr>
              <w:spacing w:line="240" w:lineRule="auto"/>
              <w:ind w:firstLine="0"/>
              <w:jc w:val="right"/>
              <w:rPr>
                <w:rFonts w:ascii="Arial Narrow" w:hAnsi="Arial Narrow"/>
                <w:sz w:val="20"/>
                <w:szCs w:val="18"/>
              </w:rPr>
            </w:pPr>
            <w:r>
              <w:rPr>
                <w:rFonts w:ascii="Arial Narrow" w:hAnsi="Arial Narrow" w:cs="Calibri"/>
                <w:sz w:val="20"/>
                <w:szCs w:val="18"/>
              </w:rPr>
              <w:t>65</w:t>
            </w:r>
          </w:p>
        </w:tc>
        <w:tc>
          <w:tcPr>
            <w:tcW w:w="1345" w:type="dxa"/>
            <w:tcBorders>
              <w:top w:val="single" w:color="auto" w:sz="4" w:space="0"/>
            </w:tcBorders>
            <w:vAlign w:val="center"/>
          </w:tcPr>
          <w:p w:rsidRPr="00D83988" w:rsidR="00165981" w:rsidP="00165981" w:rsidRDefault="00165981" w14:paraId="396FE8B9" w14:textId="77777777">
            <w:pPr>
              <w:spacing w:line="240" w:lineRule="auto"/>
              <w:ind w:firstLine="0"/>
              <w:jc w:val="right"/>
              <w:rPr>
                <w:rFonts w:ascii="Arial Narrow" w:hAnsi="Arial Narrow" w:cs="Calibri"/>
                <w:sz w:val="20"/>
                <w:szCs w:val="18"/>
              </w:rPr>
            </w:pPr>
            <w:r>
              <w:rPr>
                <w:rFonts w:ascii="Arial Narrow" w:hAnsi="Arial Narrow" w:cs="Calibri"/>
                <w:sz w:val="20"/>
                <w:szCs w:val="18"/>
              </w:rPr>
              <w:t>90</w:t>
            </w:r>
          </w:p>
        </w:tc>
      </w:tr>
      <w:tr w:rsidRPr="00D83988" w:rsidR="00165981" w:rsidTr="00165981" w14:paraId="7990F49A" w14:textId="77777777">
        <w:trPr>
          <w:trHeight w:val="20"/>
        </w:trPr>
        <w:tc>
          <w:tcPr>
            <w:tcW w:w="3235" w:type="dxa"/>
            <w:shd w:val="clear" w:color="auto" w:fill="auto"/>
            <w:noWrap/>
            <w:vAlign w:val="center"/>
          </w:tcPr>
          <w:p w:rsidRPr="00D83988" w:rsidR="00165981" w:rsidP="00165981" w:rsidRDefault="00165981" w14:paraId="4E5B862D" w14:textId="77777777">
            <w:pPr>
              <w:spacing w:line="240" w:lineRule="auto"/>
              <w:ind w:left="157" w:firstLine="0"/>
              <w:rPr>
                <w:rFonts w:ascii="Arial Narrow" w:hAnsi="Arial Narrow" w:cs="Calibri"/>
                <w:sz w:val="20"/>
                <w:szCs w:val="18"/>
              </w:rPr>
            </w:pPr>
            <w:r w:rsidRPr="00D83988">
              <w:rPr>
                <w:rFonts w:ascii="Arial Narrow" w:hAnsi="Arial Narrow" w:cs="Calibri"/>
                <w:sz w:val="20"/>
                <w:szCs w:val="18"/>
              </w:rPr>
              <w:t>Quantity of dispersants applied,</w:t>
            </w:r>
            <w:r>
              <w:rPr>
                <w:rFonts w:ascii="Arial Narrow" w:hAnsi="Arial Narrow" w:cs="Calibri"/>
                <w:sz w:val="20"/>
                <w:szCs w:val="18"/>
                <w:vertAlign w:val="superscript"/>
              </w:rPr>
              <w:t>2</w:t>
            </w:r>
            <w:r w:rsidRPr="00D83988">
              <w:rPr>
                <w:rFonts w:ascii="Arial Narrow" w:hAnsi="Arial Narrow" w:cs="Calibri"/>
                <w:sz w:val="20"/>
                <w:szCs w:val="18"/>
              </w:rPr>
              <w:t xml:space="preserve"> gallons</w:t>
            </w:r>
          </w:p>
        </w:tc>
        <w:tc>
          <w:tcPr>
            <w:tcW w:w="1620" w:type="dxa"/>
            <w:tcBorders>
              <w:top w:val="single" w:color="auto" w:sz="4" w:space="0"/>
            </w:tcBorders>
            <w:shd w:val="clear" w:color="auto" w:fill="auto"/>
            <w:noWrap/>
            <w:vAlign w:val="center"/>
          </w:tcPr>
          <w:p w:rsidRPr="00D83988" w:rsidR="00165981" w:rsidP="00165981" w:rsidRDefault="00165981" w14:paraId="28375181" w14:textId="77777777">
            <w:pPr>
              <w:spacing w:line="240" w:lineRule="auto"/>
              <w:ind w:firstLine="0"/>
              <w:jc w:val="right"/>
              <w:rPr>
                <w:rFonts w:ascii="Arial Narrow" w:hAnsi="Arial Narrow" w:cs="Calibri"/>
                <w:sz w:val="20"/>
                <w:szCs w:val="18"/>
              </w:rPr>
            </w:pPr>
            <w:r w:rsidRPr="00D83988">
              <w:rPr>
                <w:rFonts w:ascii="Arial Narrow" w:hAnsi="Arial Narrow" w:cs="Calibri"/>
                <w:sz w:val="20"/>
                <w:szCs w:val="18"/>
              </w:rPr>
              <w:t>5,000</w:t>
            </w:r>
          </w:p>
        </w:tc>
        <w:tc>
          <w:tcPr>
            <w:tcW w:w="1710" w:type="dxa"/>
            <w:tcBorders>
              <w:top w:val="single" w:color="auto" w:sz="4" w:space="0"/>
            </w:tcBorders>
            <w:shd w:val="clear" w:color="auto" w:fill="auto"/>
            <w:noWrap/>
            <w:vAlign w:val="center"/>
          </w:tcPr>
          <w:p w:rsidRPr="00D83988" w:rsidR="00165981" w:rsidP="00165981" w:rsidRDefault="00165981" w14:paraId="6D3E7D94" w14:textId="77777777">
            <w:pPr>
              <w:spacing w:line="240" w:lineRule="auto"/>
              <w:ind w:firstLine="0"/>
              <w:jc w:val="right"/>
              <w:rPr>
                <w:rFonts w:ascii="Arial Narrow" w:hAnsi="Arial Narrow"/>
                <w:sz w:val="20"/>
                <w:szCs w:val="18"/>
              </w:rPr>
            </w:pPr>
            <w:r w:rsidRPr="00D83988">
              <w:rPr>
                <w:rFonts w:ascii="Arial Narrow" w:hAnsi="Arial Narrow"/>
                <w:sz w:val="20"/>
                <w:szCs w:val="18"/>
              </w:rPr>
              <w:t>425,000</w:t>
            </w:r>
          </w:p>
        </w:tc>
        <w:tc>
          <w:tcPr>
            <w:tcW w:w="1440" w:type="dxa"/>
            <w:tcBorders>
              <w:top w:val="single" w:color="auto" w:sz="4" w:space="0"/>
            </w:tcBorders>
            <w:shd w:val="clear" w:color="auto" w:fill="auto"/>
            <w:noWrap/>
            <w:vAlign w:val="center"/>
          </w:tcPr>
          <w:p w:rsidRPr="00D83988" w:rsidR="00165981" w:rsidP="00165981" w:rsidRDefault="00165981" w14:paraId="11648E0E" w14:textId="77777777">
            <w:pPr>
              <w:spacing w:line="240" w:lineRule="auto"/>
              <w:ind w:firstLine="0"/>
              <w:jc w:val="right"/>
              <w:rPr>
                <w:rFonts w:ascii="Arial Narrow" w:hAnsi="Arial Narrow"/>
                <w:sz w:val="20"/>
                <w:szCs w:val="18"/>
              </w:rPr>
            </w:pPr>
            <w:r>
              <w:rPr>
                <w:rFonts w:ascii="Arial Narrow" w:hAnsi="Arial Narrow"/>
                <w:sz w:val="20"/>
                <w:szCs w:val="18"/>
              </w:rPr>
              <w:t>1.8 million</w:t>
            </w:r>
          </w:p>
        </w:tc>
        <w:tc>
          <w:tcPr>
            <w:tcW w:w="1345" w:type="dxa"/>
            <w:tcBorders>
              <w:top w:val="single" w:color="auto" w:sz="4" w:space="0"/>
            </w:tcBorders>
            <w:vAlign w:val="center"/>
          </w:tcPr>
          <w:p w:rsidRPr="00D83988" w:rsidR="00165981" w:rsidP="00165981" w:rsidRDefault="00165981" w14:paraId="59AA6927" w14:textId="77777777">
            <w:pPr>
              <w:spacing w:line="240" w:lineRule="auto"/>
              <w:ind w:firstLine="0"/>
              <w:jc w:val="right"/>
              <w:rPr>
                <w:rFonts w:ascii="Arial Narrow" w:hAnsi="Arial Narrow"/>
                <w:sz w:val="20"/>
                <w:szCs w:val="18"/>
              </w:rPr>
            </w:pPr>
            <w:r>
              <w:rPr>
                <w:rFonts w:ascii="Arial Narrow" w:hAnsi="Arial Narrow"/>
                <w:sz w:val="20"/>
                <w:szCs w:val="18"/>
              </w:rPr>
              <w:t xml:space="preserve">10 to 12 million </w:t>
            </w:r>
          </w:p>
        </w:tc>
      </w:tr>
      <w:tr w:rsidRPr="00D83988" w:rsidR="00165981" w:rsidTr="00165981" w14:paraId="7558FBD1" w14:textId="77777777">
        <w:trPr>
          <w:trHeight w:val="20"/>
        </w:trPr>
        <w:tc>
          <w:tcPr>
            <w:tcW w:w="3235" w:type="dxa"/>
            <w:shd w:val="clear" w:color="auto" w:fill="auto"/>
            <w:noWrap/>
            <w:vAlign w:val="center"/>
          </w:tcPr>
          <w:p w:rsidRPr="00D83988" w:rsidR="00165981" w:rsidP="00165981" w:rsidRDefault="00165981" w14:paraId="4904A651" w14:textId="77777777">
            <w:pPr>
              <w:spacing w:line="240" w:lineRule="auto"/>
              <w:ind w:left="157" w:firstLine="0"/>
              <w:rPr>
                <w:rFonts w:ascii="Arial Narrow" w:hAnsi="Arial Narrow" w:cs="Calibri"/>
                <w:sz w:val="20"/>
                <w:szCs w:val="18"/>
              </w:rPr>
            </w:pPr>
            <w:r>
              <w:rPr>
                <w:rFonts w:ascii="Arial Narrow" w:hAnsi="Arial Narrow" w:cs="Calibri"/>
                <w:sz w:val="20"/>
                <w:szCs w:val="18"/>
              </w:rPr>
              <w:t>Location of dispersant application</w:t>
            </w:r>
          </w:p>
        </w:tc>
        <w:tc>
          <w:tcPr>
            <w:tcW w:w="1620" w:type="dxa"/>
            <w:tcBorders>
              <w:top w:val="single" w:color="auto" w:sz="4" w:space="0"/>
            </w:tcBorders>
            <w:shd w:val="clear" w:color="auto" w:fill="auto"/>
            <w:noWrap/>
            <w:vAlign w:val="bottom"/>
          </w:tcPr>
          <w:p w:rsidRPr="00D83988" w:rsidR="00165981" w:rsidP="00165981" w:rsidRDefault="00165981" w14:paraId="526D3A55" w14:textId="77777777">
            <w:pPr>
              <w:spacing w:line="240" w:lineRule="auto"/>
              <w:ind w:firstLine="0"/>
              <w:jc w:val="right"/>
              <w:rPr>
                <w:rFonts w:ascii="Arial Narrow" w:hAnsi="Arial Narrow" w:cs="Calibri"/>
                <w:sz w:val="20"/>
                <w:szCs w:val="18"/>
              </w:rPr>
            </w:pPr>
            <w:r w:rsidRPr="00D83988">
              <w:rPr>
                <w:rFonts w:ascii="Arial Narrow" w:hAnsi="Arial Narrow" w:cs="Calibri"/>
                <w:sz w:val="20"/>
                <w:szCs w:val="18"/>
              </w:rPr>
              <w:t>Surface</w:t>
            </w:r>
          </w:p>
        </w:tc>
        <w:tc>
          <w:tcPr>
            <w:tcW w:w="1710" w:type="dxa"/>
            <w:tcBorders>
              <w:top w:val="single" w:color="auto" w:sz="4" w:space="0"/>
            </w:tcBorders>
            <w:shd w:val="clear" w:color="auto" w:fill="auto"/>
            <w:noWrap/>
            <w:vAlign w:val="bottom"/>
          </w:tcPr>
          <w:p w:rsidRPr="00D83988" w:rsidR="00165981" w:rsidP="00165981" w:rsidRDefault="00165981" w14:paraId="43639E9A" w14:textId="77777777">
            <w:pPr>
              <w:spacing w:line="240" w:lineRule="auto"/>
              <w:ind w:firstLine="0"/>
              <w:jc w:val="right"/>
              <w:rPr>
                <w:rFonts w:ascii="Arial Narrow" w:hAnsi="Arial Narrow"/>
                <w:sz w:val="20"/>
                <w:szCs w:val="18"/>
              </w:rPr>
            </w:pPr>
            <w:r w:rsidRPr="00D83988">
              <w:rPr>
                <w:rFonts w:ascii="Arial Narrow" w:hAnsi="Arial Narrow"/>
                <w:sz w:val="20"/>
                <w:szCs w:val="18"/>
              </w:rPr>
              <w:t>Surface</w:t>
            </w:r>
          </w:p>
        </w:tc>
        <w:tc>
          <w:tcPr>
            <w:tcW w:w="1440" w:type="dxa"/>
            <w:tcBorders>
              <w:top w:val="single" w:color="auto" w:sz="4" w:space="0"/>
            </w:tcBorders>
            <w:shd w:val="clear" w:color="auto" w:fill="auto"/>
            <w:noWrap/>
            <w:vAlign w:val="bottom"/>
          </w:tcPr>
          <w:p w:rsidR="00165981" w:rsidP="00165981" w:rsidRDefault="00165981" w14:paraId="5FC85DF9" w14:textId="77777777">
            <w:pPr>
              <w:spacing w:line="240" w:lineRule="auto"/>
              <w:ind w:firstLine="0"/>
              <w:jc w:val="right"/>
              <w:rPr>
                <w:rFonts w:ascii="Arial Narrow" w:hAnsi="Arial Narrow"/>
                <w:sz w:val="20"/>
                <w:szCs w:val="18"/>
              </w:rPr>
            </w:pPr>
            <w:r w:rsidRPr="00D83988">
              <w:rPr>
                <w:rFonts w:ascii="Arial Narrow" w:hAnsi="Arial Narrow"/>
                <w:sz w:val="20"/>
                <w:szCs w:val="18"/>
              </w:rPr>
              <w:t>Surface &amp; Subsurface</w:t>
            </w:r>
          </w:p>
        </w:tc>
        <w:tc>
          <w:tcPr>
            <w:tcW w:w="1345" w:type="dxa"/>
            <w:tcBorders>
              <w:top w:val="single" w:color="auto" w:sz="4" w:space="0"/>
            </w:tcBorders>
          </w:tcPr>
          <w:p w:rsidR="00165981" w:rsidP="00165981" w:rsidRDefault="00165981" w14:paraId="24CA061B" w14:textId="77777777">
            <w:pPr>
              <w:spacing w:line="240" w:lineRule="auto"/>
              <w:ind w:firstLine="0"/>
              <w:jc w:val="right"/>
              <w:rPr>
                <w:rFonts w:ascii="Arial Narrow" w:hAnsi="Arial Narrow"/>
                <w:sz w:val="20"/>
                <w:szCs w:val="18"/>
              </w:rPr>
            </w:pPr>
            <w:r w:rsidRPr="00FC6896">
              <w:rPr>
                <w:rFonts w:ascii="Arial Narrow" w:hAnsi="Arial Narrow"/>
                <w:sz w:val="20"/>
                <w:szCs w:val="18"/>
              </w:rPr>
              <w:t>Surface &amp; Subsurface</w:t>
            </w:r>
          </w:p>
        </w:tc>
      </w:tr>
      <w:tr w:rsidRPr="00201F6B" w:rsidR="00165981" w:rsidTr="00165981" w14:paraId="27A8FEFB" w14:textId="77777777">
        <w:trPr>
          <w:trHeight w:val="20"/>
        </w:trPr>
        <w:tc>
          <w:tcPr>
            <w:tcW w:w="9350" w:type="dxa"/>
            <w:gridSpan w:val="5"/>
            <w:shd w:val="clear" w:color="auto" w:fill="D9D9D9" w:themeFill="background1" w:themeFillShade="D9"/>
            <w:noWrap/>
            <w:vAlign w:val="bottom"/>
          </w:tcPr>
          <w:p w:rsidRPr="00201F6B" w:rsidR="00165981" w:rsidP="00165981" w:rsidRDefault="00165981" w14:paraId="71C18219" w14:textId="77777777">
            <w:pPr>
              <w:spacing w:line="240" w:lineRule="auto"/>
              <w:ind w:firstLine="0"/>
              <w:rPr>
                <w:rFonts w:ascii="Arial Narrow" w:hAnsi="Arial Narrow"/>
                <w:sz w:val="20"/>
                <w:szCs w:val="18"/>
              </w:rPr>
            </w:pPr>
            <w:r w:rsidRPr="00201F6B">
              <w:rPr>
                <w:rFonts w:ascii="Arial Narrow" w:hAnsi="Arial Narrow" w:cs="Calibri"/>
                <w:b/>
                <w:sz w:val="20"/>
                <w:szCs w:val="18"/>
              </w:rPr>
              <w:t>Dispersant</w:t>
            </w:r>
            <w:r w:rsidRPr="00201F6B">
              <w:rPr>
                <w:rFonts w:ascii="Arial Narrow" w:hAnsi="Arial Narrow" w:cs="Calibri"/>
                <w:sz w:val="20"/>
                <w:szCs w:val="18"/>
              </w:rPr>
              <w:t xml:space="preserve"> </w:t>
            </w:r>
            <w:r w:rsidRPr="00201F6B">
              <w:rPr>
                <w:rFonts w:ascii="Arial Narrow" w:hAnsi="Arial Narrow" w:cs="Calibri"/>
                <w:b/>
                <w:sz w:val="20"/>
                <w:szCs w:val="18"/>
              </w:rPr>
              <w:t>Monitoring</w:t>
            </w:r>
          </w:p>
        </w:tc>
      </w:tr>
      <w:tr w:rsidRPr="00D83988" w:rsidR="00165981" w:rsidTr="00165981" w14:paraId="575AFF05" w14:textId="77777777">
        <w:trPr>
          <w:trHeight w:val="20"/>
        </w:trPr>
        <w:tc>
          <w:tcPr>
            <w:tcW w:w="3235" w:type="dxa"/>
            <w:shd w:val="clear" w:color="auto" w:fill="auto"/>
            <w:noWrap/>
            <w:vAlign w:val="bottom"/>
            <w:hideMark/>
          </w:tcPr>
          <w:p w:rsidRPr="00D83988" w:rsidR="00165981" w:rsidP="00165981" w:rsidRDefault="00165981" w14:paraId="194AAD71" w14:textId="77777777">
            <w:pPr>
              <w:spacing w:line="240" w:lineRule="auto"/>
              <w:ind w:left="157" w:firstLine="0"/>
              <w:rPr>
                <w:rFonts w:ascii="Arial Narrow" w:hAnsi="Arial Narrow" w:cs="Calibri"/>
                <w:sz w:val="20"/>
                <w:szCs w:val="18"/>
              </w:rPr>
            </w:pPr>
            <w:r w:rsidRPr="00D83988">
              <w:rPr>
                <w:rFonts w:ascii="Arial Narrow" w:hAnsi="Arial Narrow" w:cs="Calibri"/>
                <w:sz w:val="20"/>
                <w:szCs w:val="18"/>
              </w:rPr>
              <w:t>Duration of dispersant monitoring, days</w:t>
            </w:r>
          </w:p>
        </w:tc>
        <w:tc>
          <w:tcPr>
            <w:tcW w:w="1620" w:type="dxa"/>
            <w:shd w:val="clear" w:color="auto" w:fill="auto"/>
            <w:noWrap/>
            <w:vAlign w:val="center"/>
          </w:tcPr>
          <w:p w:rsidRPr="00D83988" w:rsidR="00165981" w:rsidP="00165981" w:rsidRDefault="00165981" w14:paraId="60EC7BC0" w14:textId="77777777">
            <w:pPr>
              <w:spacing w:line="240" w:lineRule="auto"/>
              <w:ind w:firstLine="0"/>
              <w:jc w:val="right"/>
              <w:rPr>
                <w:rFonts w:ascii="Arial Narrow" w:hAnsi="Arial Narrow" w:cs="Calibri"/>
                <w:sz w:val="20"/>
                <w:szCs w:val="18"/>
              </w:rPr>
            </w:pPr>
            <w:r>
              <w:rPr>
                <w:rFonts w:ascii="Arial Narrow" w:hAnsi="Arial Narrow" w:cs="Calibri"/>
                <w:sz w:val="20"/>
                <w:szCs w:val="18"/>
              </w:rPr>
              <w:t>5</w:t>
            </w:r>
          </w:p>
        </w:tc>
        <w:tc>
          <w:tcPr>
            <w:tcW w:w="1710" w:type="dxa"/>
            <w:shd w:val="clear" w:color="auto" w:fill="auto"/>
            <w:noWrap/>
            <w:vAlign w:val="center"/>
          </w:tcPr>
          <w:p w:rsidRPr="00D83988" w:rsidR="00165981" w:rsidP="00165981" w:rsidRDefault="00165981" w14:paraId="6B545B53" w14:textId="77777777">
            <w:pPr>
              <w:spacing w:line="240" w:lineRule="auto"/>
              <w:ind w:firstLine="0"/>
              <w:jc w:val="right"/>
              <w:rPr>
                <w:rFonts w:ascii="Arial Narrow" w:hAnsi="Arial Narrow"/>
                <w:sz w:val="20"/>
                <w:szCs w:val="18"/>
              </w:rPr>
            </w:pPr>
            <w:r>
              <w:rPr>
                <w:rFonts w:ascii="Arial Narrow" w:hAnsi="Arial Narrow" w:cs="Calibri"/>
                <w:sz w:val="20"/>
                <w:szCs w:val="18"/>
              </w:rPr>
              <w:t>27</w:t>
            </w:r>
          </w:p>
        </w:tc>
        <w:tc>
          <w:tcPr>
            <w:tcW w:w="1440" w:type="dxa"/>
            <w:shd w:val="clear" w:color="auto" w:fill="auto"/>
            <w:noWrap/>
            <w:vAlign w:val="center"/>
          </w:tcPr>
          <w:p w:rsidRPr="00D83988" w:rsidR="00165981" w:rsidP="00165981" w:rsidRDefault="00165981" w14:paraId="1E40728B" w14:textId="77777777">
            <w:pPr>
              <w:spacing w:line="240" w:lineRule="auto"/>
              <w:ind w:firstLine="0"/>
              <w:jc w:val="right"/>
              <w:rPr>
                <w:rFonts w:ascii="Arial Narrow" w:hAnsi="Arial Narrow"/>
                <w:sz w:val="20"/>
                <w:szCs w:val="18"/>
              </w:rPr>
            </w:pPr>
            <w:r>
              <w:rPr>
                <w:rFonts w:ascii="Arial Narrow" w:hAnsi="Arial Narrow" w:cs="Calibri"/>
                <w:sz w:val="20"/>
                <w:szCs w:val="18"/>
              </w:rPr>
              <w:t>65</w:t>
            </w:r>
          </w:p>
        </w:tc>
        <w:tc>
          <w:tcPr>
            <w:tcW w:w="1345" w:type="dxa"/>
            <w:vAlign w:val="center"/>
          </w:tcPr>
          <w:p w:rsidRPr="00D83988" w:rsidR="00165981" w:rsidP="00165981" w:rsidRDefault="00165981" w14:paraId="29770DD9" w14:textId="77777777">
            <w:pPr>
              <w:spacing w:line="240" w:lineRule="auto"/>
              <w:ind w:firstLine="0"/>
              <w:jc w:val="right"/>
              <w:rPr>
                <w:rFonts w:ascii="Arial Narrow" w:hAnsi="Arial Narrow" w:cs="Calibri"/>
                <w:sz w:val="20"/>
                <w:szCs w:val="18"/>
              </w:rPr>
            </w:pPr>
            <w:r>
              <w:rPr>
                <w:rFonts w:ascii="Arial Narrow" w:hAnsi="Arial Narrow" w:cs="Calibri"/>
                <w:sz w:val="20"/>
                <w:szCs w:val="18"/>
              </w:rPr>
              <w:t>90</w:t>
            </w:r>
          </w:p>
        </w:tc>
      </w:tr>
      <w:tr w:rsidRPr="00165981" w:rsidR="00165981" w:rsidTr="00165981" w14:paraId="7F040DCB" w14:textId="77777777">
        <w:trPr>
          <w:trHeight w:val="20"/>
        </w:trPr>
        <w:tc>
          <w:tcPr>
            <w:tcW w:w="9350" w:type="dxa"/>
            <w:gridSpan w:val="5"/>
            <w:shd w:val="clear" w:color="auto" w:fill="auto"/>
            <w:noWrap/>
            <w:vAlign w:val="bottom"/>
          </w:tcPr>
          <w:p w:rsidRPr="00165981" w:rsidR="00165981" w:rsidP="00165981" w:rsidRDefault="00165981" w14:paraId="58F63DB4" w14:textId="77777777">
            <w:pPr>
              <w:spacing w:line="240" w:lineRule="auto"/>
              <w:ind w:firstLine="0"/>
              <w:rPr>
                <w:rFonts w:ascii="Arial Narrow" w:hAnsi="Arial Narrow"/>
                <w:sz w:val="20"/>
              </w:rPr>
            </w:pPr>
            <w:r w:rsidRPr="00165981">
              <w:rPr>
                <w:rFonts w:ascii="Arial Narrow" w:hAnsi="Arial Narrow"/>
                <w:sz w:val="20"/>
              </w:rPr>
              <w:t xml:space="preserve">Notes: </w:t>
            </w:r>
          </w:p>
          <w:p w:rsidRPr="00165981" w:rsidR="00165981" w:rsidP="003327F0" w:rsidRDefault="00165981" w14:paraId="79AA08E4" w14:textId="60ED57FF">
            <w:pPr>
              <w:pStyle w:val="ListParagraph"/>
              <w:numPr>
                <w:ilvl w:val="0"/>
                <w:numId w:val="32"/>
              </w:numPr>
              <w:tabs>
                <w:tab w:val="left" w:pos="347"/>
              </w:tabs>
              <w:spacing w:line="240" w:lineRule="auto"/>
              <w:ind w:left="67" w:firstLine="0"/>
              <w:contextualSpacing w:val="0"/>
              <w:rPr>
                <w:rFonts w:ascii="Arial Narrow" w:hAnsi="Arial Narrow"/>
                <w:sz w:val="20"/>
              </w:rPr>
            </w:pPr>
            <w:r w:rsidRPr="00165981">
              <w:rPr>
                <w:rFonts w:ascii="Arial Narrow" w:hAnsi="Arial Narrow"/>
                <w:sz w:val="20"/>
              </w:rPr>
              <w:t xml:space="preserve">Sources include Buchholz et al. 2016 (Buchholz, Kurt, and et al. 2016. “Worst Case Discharge Analysis (Volume I).” Washington D.C.: U.S. Department of the Interior Bureau of Safety and Environmental </w:t>
            </w:r>
            <w:r w:rsidR="003327F0">
              <w:rPr>
                <w:rFonts w:ascii="Arial Narrow" w:hAnsi="Arial Narrow"/>
                <w:sz w:val="20"/>
              </w:rPr>
              <w:t>Enforcement (BSEE), and USCG 200</w:t>
            </w:r>
            <w:r w:rsidRPr="00165981">
              <w:rPr>
                <w:rFonts w:ascii="Arial Narrow" w:hAnsi="Arial Narrow"/>
                <w:sz w:val="20"/>
              </w:rPr>
              <w:t>6 (U.S. Coast Guard, National Oceanic and Atmospheric Administration, U.S. Environmental Protection Agency, Centers for Disease Control and Prevention, Minerals Management Service. Special Monitoring of Applied Response Technologies).</w:t>
            </w:r>
          </w:p>
          <w:p w:rsidRPr="00165981" w:rsidR="00165981" w:rsidP="003327F0" w:rsidRDefault="00165981" w14:paraId="0B23FF41" w14:textId="77777777">
            <w:pPr>
              <w:pStyle w:val="ListParagraph"/>
              <w:numPr>
                <w:ilvl w:val="0"/>
                <w:numId w:val="32"/>
              </w:numPr>
              <w:tabs>
                <w:tab w:val="left" w:pos="347"/>
              </w:tabs>
              <w:spacing w:line="240" w:lineRule="auto"/>
              <w:ind w:left="67" w:firstLine="0"/>
              <w:contextualSpacing w:val="0"/>
              <w:rPr>
                <w:rFonts w:ascii="Arial Narrow" w:hAnsi="Arial Narrow"/>
                <w:sz w:val="20"/>
              </w:rPr>
            </w:pPr>
            <w:r w:rsidRPr="00165981">
              <w:rPr>
                <w:rFonts w:ascii="Arial Narrow" w:hAnsi="Arial Narrow"/>
                <w:sz w:val="20"/>
              </w:rPr>
              <w:lastRenderedPageBreak/>
              <w:t xml:space="preserve">In past discharges such as the Deepwater Horizon oil spill, approximately 40 percent of dispersants were applied to the subsurface (USCG 2011). </w:t>
            </w:r>
          </w:p>
        </w:tc>
      </w:tr>
    </w:tbl>
    <w:p w:rsidRPr="00165981" w:rsidR="00165981" w:rsidP="00B62263" w:rsidRDefault="00165981" w14:paraId="3762FE0B" w14:textId="77777777">
      <w:pPr>
        <w:rPr>
          <w:rFonts w:ascii="Arial Narrow" w:hAnsi="Arial Narrow"/>
          <w:sz w:val="20"/>
        </w:rPr>
      </w:pPr>
    </w:p>
    <w:p w:rsidRPr="00152400" w:rsidR="005C0CB9" w:rsidP="00B62263" w:rsidRDefault="005C0CB9" w14:paraId="666D1126" w14:textId="657F9255">
      <w:pPr>
        <w:pStyle w:val="Heading2"/>
      </w:pPr>
      <w:r w:rsidRPr="00C349F4">
        <w:t>Estimating Respondent Costs</w:t>
      </w:r>
    </w:p>
    <w:p w:rsidR="00EB3532" w:rsidP="00B62263" w:rsidRDefault="00EB3532" w14:paraId="53C0ED01" w14:textId="1B8D7A76">
      <w:r>
        <w:t xml:space="preserve">To estimate the labor cost for </w:t>
      </w:r>
      <w:r w:rsidR="00403BCE">
        <w:t>RPs per applicable discharge</w:t>
      </w:r>
      <w:r>
        <w:t xml:space="preserve">, the burden estimates are multiplied by the appropriate hourly wage rate category. For a detailed breakdown of </w:t>
      </w:r>
      <w:r w:rsidR="00403BCE">
        <w:t>RP</w:t>
      </w:r>
      <w:r>
        <w:t xml:space="preserve"> </w:t>
      </w:r>
      <w:r w:rsidR="007557D5">
        <w:t xml:space="preserve">response </w:t>
      </w:r>
      <w:r>
        <w:t xml:space="preserve">costs, </w:t>
      </w:r>
      <w:r w:rsidR="007557D5">
        <w:t xml:space="preserve">including labor </w:t>
      </w:r>
      <w:r w:rsidR="00EF11EC">
        <w:t xml:space="preserve">hour </w:t>
      </w:r>
      <w:r w:rsidR="007557D5">
        <w:t>and related equipment</w:t>
      </w:r>
      <w:r w:rsidR="00EF11EC">
        <w:t xml:space="preserve"> needed</w:t>
      </w:r>
      <w:r w:rsidR="007557D5">
        <w:t xml:space="preserve"> to collect the required information, </w:t>
      </w:r>
      <w:r>
        <w:t xml:space="preserve">see </w:t>
      </w:r>
      <w:r w:rsidR="007557D5">
        <w:t>Exhibit A-29</w:t>
      </w:r>
      <w:r w:rsidR="00034952">
        <w:t xml:space="preserve"> in</w:t>
      </w:r>
      <w:r w:rsidR="007557D5">
        <w:t xml:space="preserve"> </w:t>
      </w:r>
      <w:r>
        <w:t>Appendix A</w:t>
      </w:r>
      <w:r w:rsidR="003C22DB">
        <w:t>.</w:t>
      </w:r>
      <w:r w:rsidR="004408D4">
        <w:tab/>
      </w:r>
    </w:p>
    <w:p w:rsidR="005C0CB9" w:rsidP="00B62263" w:rsidRDefault="005C0CB9" w14:paraId="78D4AEB7" w14:textId="7E27C9B3">
      <w:pPr>
        <w:pStyle w:val="Heading2"/>
      </w:pPr>
      <w:r w:rsidRPr="00152400">
        <w:t>Estimating Agency Burden and Costs</w:t>
      </w:r>
    </w:p>
    <w:p w:rsidRPr="00D84482" w:rsidR="00EF7EC7" w:rsidP="00EF7EC7" w:rsidRDefault="00034952" w14:paraId="1583151E" w14:textId="1D9FCC2C">
      <w:pPr>
        <w:numPr>
          <w:ilvl w:val="12"/>
          <w:numId w:val="0"/>
        </w:numPr>
        <w:tabs>
          <w:tab w:val="left" w:pos="-1440"/>
          <w:tab w:val="left" w:pos="-1311"/>
          <w:tab w:val="left" w:pos="-720"/>
        </w:tabs>
        <w:rPr>
          <w:szCs w:val="19"/>
        </w:rPr>
      </w:pPr>
      <w:r>
        <w:tab/>
      </w:r>
      <w:r w:rsidRPr="00D84482" w:rsidR="0033018F">
        <w:t>Under Subpart J, the EPA OSC will perform activities in coordination with the RP during the course of the monitoring process to support information collection</w:t>
      </w:r>
      <w:r w:rsidRPr="00D84482" w:rsidR="00EF7EC7">
        <w:rPr>
          <w:szCs w:val="19"/>
        </w:rPr>
        <w:t xml:space="preserve">. This section presents the estimated unit burden and unit cost to </w:t>
      </w:r>
      <w:r w:rsidRPr="00D84482" w:rsidR="0033018F">
        <w:rPr>
          <w:szCs w:val="19"/>
        </w:rPr>
        <w:t>the Agency for th</w:t>
      </w:r>
      <w:r>
        <w:rPr>
          <w:szCs w:val="19"/>
        </w:rPr>
        <w:t>o</w:t>
      </w:r>
      <w:r w:rsidRPr="00D84482" w:rsidR="0033018F">
        <w:rPr>
          <w:szCs w:val="19"/>
        </w:rPr>
        <w:t>se activities that occur during the response to an applicable discharge.</w:t>
      </w:r>
      <w:r w:rsidRPr="00D84482" w:rsidR="00EF7EC7">
        <w:rPr>
          <w:szCs w:val="19"/>
        </w:rPr>
        <w:t xml:space="preserve"> </w:t>
      </w:r>
      <w:r w:rsidRPr="00D84482" w:rsidR="00D84482">
        <w:rPr>
          <w:szCs w:val="19"/>
        </w:rPr>
        <w:fldChar w:fldCharType="begin"/>
      </w:r>
      <w:r w:rsidRPr="00D84482" w:rsidR="00D84482">
        <w:rPr>
          <w:szCs w:val="19"/>
        </w:rPr>
        <w:instrText xml:space="preserve"> REF _Ref54337226 \h  \* MERGEFORMAT </w:instrText>
      </w:r>
      <w:r w:rsidRPr="00D84482" w:rsidR="00D84482">
        <w:rPr>
          <w:szCs w:val="19"/>
        </w:rPr>
      </w:r>
      <w:r w:rsidRPr="00D84482" w:rsidR="00D84482">
        <w:rPr>
          <w:szCs w:val="19"/>
        </w:rPr>
        <w:fldChar w:fldCharType="separate"/>
      </w:r>
      <w:r w:rsidRPr="00D84482" w:rsidR="00D84482">
        <w:t xml:space="preserve">Exhibit </w:t>
      </w:r>
      <w:r w:rsidRPr="00D84482" w:rsidR="00D84482">
        <w:rPr>
          <w:noProof/>
        </w:rPr>
        <w:t>3</w:t>
      </w:r>
      <w:r w:rsidRPr="00D84482" w:rsidR="00D84482">
        <w:rPr>
          <w:szCs w:val="19"/>
        </w:rPr>
        <w:fldChar w:fldCharType="end"/>
      </w:r>
      <w:r w:rsidRPr="00D84482" w:rsidR="00EF7EC7">
        <w:rPr>
          <w:szCs w:val="19"/>
        </w:rPr>
        <w:t xml:space="preserve"> shows the labor burden to </w:t>
      </w:r>
      <w:r w:rsidRPr="00D84482" w:rsidR="0033018F">
        <w:rPr>
          <w:szCs w:val="19"/>
        </w:rPr>
        <w:t>the Agency</w:t>
      </w:r>
      <w:r w:rsidRPr="00D84482" w:rsidR="00EF7EC7">
        <w:rPr>
          <w:szCs w:val="19"/>
        </w:rPr>
        <w:t xml:space="preserve"> </w:t>
      </w:r>
      <w:r w:rsidRPr="00D84482" w:rsidR="0033018F">
        <w:rPr>
          <w:szCs w:val="19"/>
        </w:rPr>
        <w:t>by</w:t>
      </w:r>
      <w:r w:rsidRPr="00D84482" w:rsidR="00EF7EC7">
        <w:rPr>
          <w:szCs w:val="19"/>
        </w:rPr>
        <w:t xml:space="preserve"> activity</w:t>
      </w:r>
      <w:r w:rsidRPr="00D84482" w:rsidR="00D84482">
        <w:rPr>
          <w:szCs w:val="19"/>
        </w:rPr>
        <w:t xml:space="preserve">. </w:t>
      </w:r>
      <w:r w:rsidRPr="00D84482" w:rsidR="0033018F">
        <w:rPr>
          <w:szCs w:val="19"/>
        </w:rPr>
        <w:t>The Agency’s</w:t>
      </w:r>
      <w:r w:rsidRPr="00D84482" w:rsidR="00EF7EC7">
        <w:rPr>
          <w:szCs w:val="19"/>
        </w:rPr>
        <w:t xml:space="preserve"> burden is estimated to be </w:t>
      </w:r>
      <w:r w:rsidRPr="00D84482" w:rsidR="00D84482">
        <w:rPr>
          <w:szCs w:val="19"/>
        </w:rPr>
        <w:t xml:space="preserve">16 </w:t>
      </w:r>
      <w:r>
        <w:rPr>
          <w:szCs w:val="19"/>
        </w:rPr>
        <w:t>to</w:t>
      </w:r>
      <w:r w:rsidR="00EF11EC">
        <w:rPr>
          <w:szCs w:val="19"/>
        </w:rPr>
        <w:t xml:space="preserve"> </w:t>
      </w:r>
      <w:r w:rsidRPr="00D84482" w:rsidR="00D84482">
        <w:rPr>
          <w:szCs w:val="19"/>
        </w:rPr>
        <w:t xml:space="preserve">40 hours, plus 3 </w:t>
      </w:r>
      <w:r>
        <w:rPr>
          <w:szCs w:val="19"/>
        </w:rPr>
        <w:t xml:space="preserve">to </w:t>
      </w:r>
      <w:r w:rsidRPr="00D84482" w:rsidR="00D84482">
        <w:rPr>
          <w:szCs w:val="19"/>
        </w:rPr>
        <w:t>5 hours per day for the duration of the oil spill response.</w:t>
      </w:r>
    </w:p>
    <w:p w:rsidRPr="00D84482" w:rsidR="00EF7EC7" w:rsidP="00EF7EC7" w:rsidRDefault="00EF7EC7" w14:paraId="56A273F9" w14:textId="112C0786">
      <w:pPr>
        <w:numPr>
          <w:ilvl w:val="12"/>
          <w:numId w:val="0"/>
        </w:numPr>
        <w:tabs>
          <w:tab w:val="left" w:pos="-1440"/>
          <w:tab w:val="left" w:pos="-1311"/>
          <w:tab w:val="left" w:pos="-720"/>
        </w:tabs>
        <w:rPr>
          <w:bCs/>
          <w:szCs w:val="19"/>
        </w:rPr>
      </w:pPr>
      <w:r w:rsidRPr="00152400">
        <w:rPr>
          <w:rFonts w:ascii="Arial" w:hAnsi="Arial" w:cs="Arial"/>
          <w:b/>
          <w:bCs/>
          <w:szCs w:val="19"/>
        </w:rPr>
        <w:tab/>
      </w:r>
      <w:r w:rsidRPr="00D84482" w:rsidR="0033018F">
        <w:rPr>
          <w:bCs/>
          <w:szCs w:val="19"/>
        </w:rPr>
        <w:t>Agency</w:t>
      </w:r>
      <w:r w:rsidRPr="00D84482">
        <w:rPr>
          <w:bCs/>
          <w:szCs w:val="19"/>
        </w:rPr>
        <w:t xml:space="preserve"> labor costs are based on the January 2020 General Schedule (GS) pay schedule</w:t>
      </w:r>
      <w:r w:rsidR="00EF11EC">
        <w:rPr>
          <w:bCs/>
          <w:szCs w:val="19"/>
        </w:rPr>
        <w:t>,</w:t>
      </w:r>
      <w:r w:rsidRPr="00D84482">
        <w:rPr>
          <w:bCs/>
          <w:szCs w:val="19"/>
        </w:rPr>
        <w:t xml:space="preserve"> </w:t>
      </w:r>
      <w:r w:rsidR="00EF11EC">
        <w:rPr>
          <w:bCs/>
          <w:szCs w:val="19"/>
        </w:rPr>
        <w:t xml:space="preserve">for a </w:t>
      </w:r>
      <w:r w:rsidRPr="00D84482">
        <w:rPr>
          <w:bCs/>
          <w:szCs w:val="19"/>
        </w:rPr>
        <w:t>GS-13 Step 1</w:t>
      </w:r>
      <w:r w:rsidRPr="00D84482" w:rsidR="00D84482">
        <w:rPr>
          <w:bCs/>
          <w:szCs w:val="19"/>
        </w:rPr>
        <w:t>0</w:t>
      </w:r>
      <w:r w:rsidRPr="00D84482">
        <w:rPr>
          <w:bCs/>
          <w:szCs w:val="19"/>
        </w:rPr>
        <w:t xml:space="preserve"> level</w:t>
      </w:r>
      <w:r w:rsidR="00EF11EC">
        <w:rPr>
          <w:bCs/>
          <w:szCs w:val="19"/>
        </w:rPr>
        <w:t xml:space="preserve"> employee</w:t>
      </w:r>
      <w:r w:rsidRPr="00D84482">
        <w:rPr>
          <w:bCs/>
          <w:szCs w:val="19"/>
        </w:rPr>
        <w:t>. Based on the pay schedule, EPA derived an hourly rate of $</w:t>
      </w:r>
      <w:r w:rsidRPr="00D84482" w:rsidR="00D84482">
        <w:rPr>
          <w:bCs/>
          <w:szCs w:val="19"/>
        </w:rPr>
        <w:t>102.67</w:t>
      </w:r>
      <w:r w:rsidRPr="00D84482">
        <w:rPr>
          <w:bCs/>
          <w:szCs w:val="19"/>
        </w:rPr>
        <w:t xml:space="preserve"> by dividing the GS-13 Step 1</w:t>
      </w:r>
      <w:r w:rsidRPr="00D84482" w:rsidR="00D84482">
        <w:rPr>
          <w:bCs/>
          <w:szCs w:val="19"/>
        </w:rPr>
        <w:t>0</w:t>
      </w:r>
      <w:r w:rsidRPr="00D84482">
        <w:rPr>
          <w:bCs/>
          <w:szCs w:val="19"/>
        </w:rPr>
        <w:t xml:space="preserve"> annual salary ($1</w:t>
      </w:r>
      <w:r w:rsidRPr="00D84482" w:rsidR="00D84482">
        <w:rPr>
          <w:bCs/>
          <w:szCs w:val="19"/>
        </w:rPr>
        <w:t>33,465)</w:t>
      </w:r>
      <w:r w:rsidRPr="00D84482" w:rsidR="00FA1809">
        <w:rPr>
          <w:rStyle w:val="FootnoteReference"/>
          <w:bCs/>
          <w:szCs w:val="19"/>
        </w:rPr>
        <w:footnoteReference w:id="3"/>
      </w:r>
      <w:r w:rsidRPr="00D84482">
        <w:rPr>
          <w:rStyle w:val="FootnoteReference"/>
          <w:bCs/>
          <w:szCs w:val="19"/>
        </w:rPr>
        <w:t xml:space="preserve"> </w:t>
      </w:r>
      <w:r w:rsidRPr="00D84482">
        <w:rPr>
          <w:bCs/>
          <w:szCs w:val="19"/>
        </w:rPr>
        <w:t xml:space="preserve">by 2,080 (the number of hours worked by a full-time EPA employee) and multiplied by the standard government overhead factor (1.6). The adjusted wage rate is multiplied by the </w:t>
      </w:r>
      <w:r w:rsidRPr="00D84482" w:rsidR="00D84482">
        <w:rPr>
          <w:bCs/>
          <w:szCs w:val="19"/>
        </w:rPr>
        <w:t xml:space="preserve">burden </w:t>
      </w:r>
      <w:r w:rsidRPr="00D84482">
        <w:rPr>
          <w:bCs/>
          <w:szCs w:val="19"/>
        </w:rPr>
        <w:t>hours in to obtain the EPA labor burden</w:t>
      </w:r>
      <w:r w:rsidRPr="00D84482" w:rsidR="00D84482">
        <w:rPr>
          <w:bCs/>
          <w:szCs w:val="19"/>
        </w:rPr>
        <w:t xml:space="preserve"> unit</w:t>
      </w:r>
      <w:r w:rsidRPr="00D84482">
        <w:rPr>
          <w:bCs/>
          <w:szCs w:val="19"/>
        </w:rPr>
        <w:t xml:space="preserve"> cost</w:t>
      </w:r>
      <w:r w:rsidRPr="00D84482" w:rsidR="00D84482">
        <w:rPr>
          <w:bCs/>
          <w:szCs w:val="19"/>
        </w:rPr>
        <w:t xml:space="preserve"> per discharge</w:t>
      </w:r>
      <w:r w:rsidRPr="00D84482">
        <w:rPr>
          <w:bCs/>
          <w:szCs w:val="19"/>
        </w:rPr>
        <w:t>.</w:t>
      </w:r>
    </w:p>
    <w:p w:rsidR="0033018F" w:rsidP="000C53E4" w:rsidRDefault="0033018F" w14:paraId="2D994691" w14:textId="5CD8141C">
      <w:pPr>
        <w:pStyle w:val="TableTitle"/>
        <w:rPr>
          <w:rFonts w:ascii="Arial" w:hAnsi="Arial" w:cs="Arial"/>
          <w:b/>
          <w:bCs/>
          <w:szCs w:val="19"/>
        </w:rPr>
      </w:pPr>
      <w:r w:rsidRPr="007106F4">
        <w:t xml:space="preserve">Exhibit </w:t>
      </w:r>
      <w:r>
        <w:rPr>
          <w:noProof/>
        </w:rPr>
        <w:fldChar w:fldCharType="begin"/>
      </w:r>
      <w:r>
        <w:rPr>
          <w:noProof/>
        </w:rPr>
        <w:instrText xml:space="preserve"> SEQ Exhibit \* ARABIC </w:instrText>
      </w:r>
      <w:r>
        <w:rPr>
          <w:noProof/>
        </w:rPr>
        <w:fldChar w:fldCharType="separate"/>
      </w:r>
      <w:r>
        <w:rPr>
          <w:noProof/>
        </w:rPr>
        <w:t>3</w:t>
      </w:r>
      <w:r>
        <w:rPr>
          <w:noProof/>
        </w:rPr>
        <w:fldChar w:fldCharType="end"/>
      </w:r>
      <w:r w:rsidRPr="007106F4">
        <w:t xml:space="preserve">: </w:t>
      </w:r>
      <w:r w:rsidRPr="00152400">
        <w:rPr>
          <w:rFonts w:ascii="Arial" w:hAnsi="Arial" w:cs="Arial"/>
          <w:b/>
          <w:bCs/>
          <w:szCs w:val="19"/>
        </w:rPr>
        <w:t>Estimated Unit Burden and Cost to EPA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05"/>
        <w:gridCol w:w="843"/>
        <w:gridCol w:w="843"/>
        <w:gridCol w:w="843"/>
        <w:gridCol w:w="843"/>
        <w:gridCol w:w="843"/>
        <w:gridCol w:w="843"/>
        <w:gridCol w:w="843"/>
        <w:gridCol w:w="844"/>
      </w:tblGrid>
      <w:tr w:rsidRPr="00BF0741" w:rsidR="00FE5AE5" w:rsidTr="00D84482" w14:paraId="727622EA" w14:textId="77777777">
        <w:trPr>
          <w:trHeight w:val="300"/>
          <w:tblHeader/>
        </w:trPr>
        <w:tc>
          <w:tcPr>
            <w:tcW w:w="2605" w:type="dxa"/>
            <w:vMerge w:val="restart"/>
            <w:shd w:val="clear" w:color="auto" w:fill="D9D9D9" w:themeFill="background1" w:themeFillShade="D9"/>
            <w:noWrap/>
            <w:vAlign w:val="center"/>
            <w:hideMark/>
          </w:tcPr>
          <w:p w:rsidRPr="00FE5AE5" w:rsidR="00FE5AE5" w:rsidP="00FE5AE5" w:rsidRDefault="00FE5AE5" w14:paraId="1A25EC97" w14:textId="4FF0353E">
            <w:pPr>
              <w:spacing w:after="0"/>
              <w:ind w:firstLine="0"/>
              <w:jc w:val="center"/>
              <w:rPr>
                <w:rFonts w:ascii="Arial Narrow" w:hAnsi="Arial Narrow" w:cs="Calibri"/>
                <w:b/>
                <w:sz w:val="20"/>
              </w:rPr>
            </w:pPr>
            <w:r w:rsidRPr="00FE5AE5">
              <w:rPr>
                <w:rFonts w:ascii="Arial Narrow" w:hAnsi="Arial Narrow" w:cs="Arial"/>
                <w:b/>
                <w:bCs/>
                <w:sz w:val="20"/>
              </w:rPr>
              <w:t>Information Collection Activity</w:t>
            </w:r>
          </w:p>
        </w:tc>
        <w:tc>
          <w:tcPr>
            <w:tcW w:w="1686" w:type="dxa"/>
            <w:gridSpan w:val="2"/>
            <w:tcBorders>
              <w:bottom w:val="single" w:color="auto" w:sz="4" w:space="0"/>
            </w:tcBorders>
            <w:shd w:val="clear" w:color="auto" w:fill="D9D9D9" w:themeFill="background1" w:themeFillShade="D9"/>
            <w:vAlign w:val="bottom"/>
          </w:tcPr>
          <w:p w:rsidRPr="00FE5AE5" w:rsidR="00FE5AE5" w:rsidP="00FE5AE5" w:rsidRDefault="00FE5AE5" w14:paraId="3BF20B9D" w14:textId="77777777">
            <w:pPr>
              <w:spacing w:after="0"/>
              <w:ind w:firstLine="0"/>
              <w:jc w:val="center"/>
              <w:rPr>
                <w:rFonts w:ascii="Arial Narrow" w:hAnsi="Arial Narrow" w:cs="Calibri"/>
                <w:b/>
                <w:sz w:val="20"/>
              </w:rPr>
            </w:pPr>
            <w:r w:rsidRPr="00FE5AE5">
              <w:rPr>
                <w:rFonts w:ascii="Arial Narrow" w:hAnsi="Arial Narrow" w:cs="Calibri"/>
                <w:b/>
                <w:sz w:val="20"/>
              </w:rPr>
              <w:t>Scenario 1</w:t>
            </w:r>
          </w:p>
        </w:tc>
        <w:tc>
          <w:tcPr>
            <w:tcW w:w="1686" w:type="dxa"/>
            <w:gridSpan w:val="2"/>
            <w:tcBorders>
              <w:bottom w:val="single" w:color="auto" w:sz="4" w:space="0"/>
            </w:tcBorders>
            <w:shd w:val="clear" w:color="auto" w:fill="D9D9D9" w:themeFill="background1" w:themeFillShade="D9"/>
            <w:noWrap/>
            <w:vAlign w:val="bottom"/>
          </w:tcPr>
          <w:p w:rsidRPr="00FE5AE5" w:rsidR="00FE5AE5" w:rsidP="00FE5AE5" w:rsidRDefault="00FE5AE5" w14:paraId="4FB45233" w14:textId="77777777">
            <w:pPr>
              <w:spacing w:after="0"/>
              <w:ind w:firstLine="0"/>
              <w:jc w:val="center"/>
              <w:rPr>
                <w:rFonts w:ascii="Arial Narrow" w:hAnsi="Arial Narrow" w:cs="Calibri"/>
                <w:b/>
                <w:sz w:val="20"/>
              </w:rPr>
            </w:pPr>
            <w:r w:rsidRPr="00FE5AE5">
              <w:rPr>
                <w:rFonts w:ascii="Arial Narrow" w:hAnsi="Arial Narrow" w:cs="Calibri"/>
                <w:b/>
                <w:sz w:val="20"/>
              </w:rPr>
              <w:t>Scenario 2</w:t>
            </w:r>
          </w:p>
        </w:tc>
        <w:tc>
          <w:tcPr>
            <w:tcW w:w="1686" w:type="dxa"/>
            <w:gridSpan w:val="2"/>
            <w:tcBorders>
              <w:bottom w:val="single" w:color="auto" w:sz="4" w:space="0"/>
            </w:tcBorders>
            <w:shd w:val="clear" w:color="auto" w:fill="D9D9D9" w:themeFill="background1" w:themeFillShade="D9"/>
            <w:noWrap/>
            <w:vAlign w:val="bottom"/>
          </w:tcPr>
          <w:p w:rsidRPr="00FE5AE5" w:rsidR="00FE5AE5" w:rsidP="00FE5AE5" w:rsidRDefault="00FE5AE5" w14:paraId="53C24DAF" w14:textId="77777777">
            <w:pPr>
              <w:spacing w:after="0"/>
              <w:ind w:firstLine="0"/>
              <w:jc w:val="center"/>
              <w:rPr>
                <w:rFonts w:ascii="Arial Narrow" w:hAnsi="Arial Narrow" w:cs="Calibri"/>
                <w:b/>
                <w:sz w:val="20"/>
              </w:rPr>
            </w:pPr>
            <w:r w:rsidRPr="00FE5AE5">
              <w:rPr>
                <w:rFonts w:ascii="Arial Narrow" w:hAnsi="Arial Narrow" w:cs="Calibri"/>
                <w:b/>
                <w:sz w:val="20"/>
              </w:rPr>
              <w:t>Scenario 3</w:t>
            </w:r>
          </w:p>
        </w:tc>
        <w:tc>
          <w:tcPr>
            <w:tcW w:w="1687" w:type="dxa"/>
            <w:gridSpan w:val="2"/>
            <w:tcBorders>
              <w:bottom w:val="single" w:color="auto" w:sz="4" w:space="0"/>
            </w:tcBorders>
            <w:shd w:val="clear" w:color="auto" w:fill="D9D9D9" w:themeFill="background1" w:themeFillShade="D9"/>
            <w:vAlign w:val="bottom"/>
          </w:tcPr>
          <w:p w:rsidRPr="00FE5AE5" w:rsidR="00FE5AE5" w:rsidP="00FE5AE5" w:rsidRDefault="00FE5AE5" w14:paraId="602B26A3" w14:textId="77777777">
            <w:pPr>
              <w:spacing w:after="0"/>
              <w:ind w:firstLine="0"/>
              <w:jc w:val="center"/>
              <w:rPr>
                <w:rFonts w:ascii="Arial Narrow" w:hAnsi="Arial Narrow" w:cs="Calibri"/>
                <w:b/>
                <w:sz w:val="20"/>
              </w:rPr>
            </w:pPr>
            <w:r w:rsidRPr="00FE5AE5">
              <w:rPr>
                <w:rFonts w:ascii="Arial Narrow" w:hAnsi="Arial Narrow" w:cs="Calibri"/>
                <w:b/>
                <w:sz w:val="20"/>
              </w:rPr>
              <w:t>Scenario 4</w:t>
            </w:r>
          </w:p>
        </w:tc>
      </w:tr>
      <w:tr w:rsidRPr="00BF0741" w:rsidR="00FE5AE5" w:rsidTr="00D84482" w14:paraId="53D94F62" w14:textId="77777777">
        <w:trPr>
          <w:trHeight w:val="300"/>
          <w:tblHeader/>
        </w:trPr>
        <w:tc>
          <w:tcPr>
            <w:tcW w:w="2605" w:type="dxa"/>
            <w:vMerge/>
            <w:shd w:val="clear" w:color="auto" w:fill="D9D9D9" w:themeFill="background1" w:themeFillShade="D9"/>
            <w:noWrap/>
            <w:vAlign w:val="bottom"/>
          </w:tcPr>
          <w:p w:rsidRPr="00FE5AE5" w:rsidR="00FE5AE5" w:rsidP="00FE5AE5" w:rsidRDefault="00FE5AE5" w14:paraId="392653D5" w14:textId="77777777">
            <w:pPr>
              <w:spacing w:after="0"/>
              <w:ind w:firstLine="0"/>
              <w:rPr>
                <w:rFonts w:ascii="Arial Narrow" w:hAnsi="Arial Narrow" w:cs="Calibri"/>
                <w:sz w:val="20"/>
              </w:rPr>
            </w:pPr>
          </w:p>
        </w:tc>
        <w:tc>
          <w:tcPr>
            <w:tcW w:w="843" w:type="dxa"/>
            <w:tcBorders>
              <w:bottom w:val="single" w:color="auto" w:sz="4" w:space="0"/>
              <w:right w:val="dotted" w:color="auto" w:sz="4" w:space="0"/>
            </w:tcBorders>
            <w:shd w:val="clear" w:color="auto" w:fill="D9D9D9" w:themeFill="background1" w:themeFillShade="D9"/>
            <w:vAlign w:val="center"/>
          </w:tcPr>
          <w:p w:rsidRPr="00FE5AE5" w:rsidR="00FE5AE5" w:rsidP="00FE5AE5" w:rsidRDefault="00FE5AE5" w14:paraId="0E6AF0B8" w14:textId="77777777">
            <w:pPr>
              <w:spacing w:after="0"/>
              <w:ind w:firstLine="0"/>
              <w:jc w:val="center"/>
              <w:rPr>
                <w:rFonts w:ascii="Arial Narrow" w:hAnsi="Arial Narrow" w:cs="Calibri"/>
                <w:b/>
                <w:sz w:val="20"/>
              </w:rPr>
            </w:pPr>
            <w:r w:rsidRPr="00FE5AE5">
              <w:rPr>
                <w:rFonts w:ascii="Arial Narrow" w:hAnsi="Arial Narrow" w:cs="Calibri"/>
                <w:b/>
                <w:sz w:val="20"/>
              </w:rPr>
              <w:t>One-Time</w:t>
            </w:r>
          </w:p>
        </w:tc>
        <w:tc>
          <w:tcPr>
            <w:tcW w:w="843" w:type="dxa"/>
            <w:tcBorders>
              <w:left w:val="dotted" w:color="auto" w:sz="4" w:space="0"/>
              <w:bottom w:val="single" w:color="auto" w:sz="4" w:space="0"/>
            </w:tcBorders>
            <w:shd w:val="clear" w:color="auto" w:fill="D9D9D9" w:themeFill="background1" w:themeFillShade="D9"/>
            <w:vAlign w:val="center"/>
          </w:tcPr>
          <w:p w:rsidRPr="00FE5AE5" w:rsidR="00FE5AE5" w:rsidP="00FE5AE5" w:rsidRDefault="00FE5AE5" w14:paraId="37A16A42" w14:textId="77777777">
            <w:pPr>
              <w:spacing w:after="0"/>
              <w:ind w:firstLine="0"/>
              <w:jc w:val="center"/>
              <w:rPr>
                <w:rFonts w:ascii="Arial Narrow" w:hAnsi="Arial Narrow" w:cs="Calibri"/>
                <w:b/>
                <w:sz w:val="20"/>
              </w:rPr>
            </w:pPr>
            <w:r w:rsidRPr="00FE5AE5">
              <w:rPr>
                <w:rFonts w:ascii="Arial Narrow" w:hAnsi="Arial Narrow" w:cs="Calibri"/>
                <w:b/>
                <w:sz w:val="20"/>
              </w:rPr>
              <w:t>Daily</w:t>
            </w:r>
          </w:p>
        </w:tc>
        <w:tc>
          <w:tcPr>
            <w:tcW w:w="843" w:type="dxa"/>
            <w:tcBorders>
              <w:bottom w:val="single" w:color="auto" w:sz="4" w:space="0"/>
              <w:right w:val="dotted" w:color="auto" w:sz="4" w:space="0"/>
            </w:tcBorders>
            <w:shd w:val="clear" w:color="auto" w:fill="D9D9D9" w:themeFill="background1" w:themeFillShade="D9"/>
            <w:noWrap/>
            <w:vAlign w:val="center"/>
          </w:tcPr>
          <w:p w:rsidRPr="00FE5AE5" w:rsidR="00FE5AE5" w:rsidP="00FE5AE5" w:rsidRDefault="00FE5AE5" w14:paraId="46762E48" w14:textId="77777777">
            <w:pPr>
              <w:spacing w:after="0"/>
              <w:ind w:firstLine="0"/>
              <w:jc w:val="center"/>
              <w:rPr>
                <w:rFonts w:ascii="Arial Narrow" w:hAnsi="Arial Narrow" w:cs="Calibri"/>
                <w:b/>
                <w:sz w:val="20"/>
              </w:rPr>
            </w:pPr>
            <w:r w:rsidRPr="00FE5AE5">
              <w:rPr>
                <w:rFonts w:ascii="Arial Narrow" w:hAnsi="Arial Narrow" w:cs="Calibri"/>
                <w:b/>
                <w:sz w:val="20"/>
              </w:rPr>
              <w:t>One-Time</w:t>
            </w:r>
          </w:p>
        </w:tc>
        <w:tc>
          <w:tcPr>
            <w:tcW w:w="843" w:type="dxa"/>
            <w:tcBorders>
              <w:left w:val="dotted" w:color="auto" w:sz="4" w:space="0"/>
              <w:bottom w:val="single" w:color="auto" w:sz="4" w:space="0"/>
            </w:tcBorders>
            <w:shd w:val="clear" w:color="auto" w:fill="D9D9D9" w:themeFill="background1" w:themeFillShade="D9"/>
            <w:noWrap/>
            <w:vAlign w:val="center"/>
          </w:tcPr>
          <w:p w:rsidRPr="00FE5AE5" w:rsidR="00FE5AE5" w:rsidP="00FE5AE5" w:rsidRDefault="00FE5AE5" w14:paraId="3EDA64DC" w14:textId="77777777">
            <w:pPr>
              <w:spacing w:after="0"/>
              <w:ind w:firstLine="0"/>
              <w:jc w:val="center"/>
              <w:rPr>
                <w:rFonts w:ascii="Arial Narrow" w:hAnsi="Arial Narrow" w:cs="Calibri"/>
                <w:b/>
                <w:sz w:val="20"/>
              </w:rPr>
            </w:pPr>
            <w:r w:rsidRPr="00FE5AE5">
              <w:rPr>
                <w:rFonts w:ascii="Arial Narrow" w:hAnsi="Arial Narrow" w:cs="Calibri"/>
                <w:b/>
                <w:sz w:val="20"/>
              </w:rPr>
              <w:t>Daily</w:t>
            </w:r>
          </w:p>
        </w:tc>
        <w:tc>
          <w:tcPr>
            <w:tcW w:w="843" w:type="dxa"/>
            <w:tcBorders>
              <w:bottom w:val="single" w:color="auto" w:sz="4" w:space="0"/>
              <w:right w:val="dotted" w:color="auto" w:sz="4" w:space="0"/>
            </w:tcBorders>
            <w:shd w:val="clear" w:color="auto" w:fill="D9D9D9" w:themeFill="background1" w:themeFillShade="D9"/>
            <w:noWrap/>
            <w:vAlign w:val="center"/>
          </w:tcPr>
          <w:p w:rsidRPr="00FE5AE5" w:rsidR="00FE5AE5" w:rsidP="00FE5AE5" w:rsidRDefault="00FE5AE5" w14:paraId="5B5C2A8E" w14:textId="77777777">
            <w:pPr>
              <w:spacing w:after="0"/>
              <w:ind w:firstLine="0"/>
              <w:jc w:val="center"/>
              <w:rPr>
                <w:rFonts w:ascii="Arial Narrow" w:hAnsi="Arial Narrow" w:cs="Calibri"/>
                <w:b/>
                <w:sz w:val="20"/>
              </w:rPr>
            </w:pPr>
            <w:r w:rsidRPr="00FE5AE5">
              <w:rPr>
                <w:rFonts w:ascii="Arial Narrow" w:hAnsi="Arial Narrow" w:cs="Calibri"/>
                <w:b/>
                <w:sz w:val="20"/>
              </w:rPr>
              <w:t>One-Time</w:t>
            </w:r>
          </w:p>
        </w:tc>
        <w:tc>
          <w:tcPr>
            <w:tcW w:w="843" w:type="dxa"/>
            <w:tcBorders>
              <w:left w:val="dotted" w:color="auto" w:sz="4" w:space="0"/>
              <w:bottom w:val="single" w:color="auto" w:sz="4" w:space="0"/>
            </w:tcBorders>
            <w:shd w:val="clear" w:color="auto" w:fill="D9D9D9" w:themeFill="background1" w:themeFillShade="D9"/>
            <w:vAlign w:val="center"/>
          </w:tcPr>
          <w:p w:rsidRPr="00FE5AE5" w:rsidR="00FE5AE5" w:rsidP="00FE5AE5" w:rsidRDefault="00FE5AE5" w14:paraId="79D9733B" w14:textId="77777777">
            <w:pPr>
              <w:spacing w:after="0"/>
              <w:ind w:firstLine="0"/>
              <w:jc w:val="center"/>
              <w:rPr>
                <w:rFonts w:ascii="Arial Narrow" w:hAnsi="Arial Narrow" w:cs="Calibri"/>
                <w:b/>
                <w:sz w:val="20"/>
              </w:rPr>
            </w:pPr>
            <w:r w:rsidRPr="00FE5AE5">
              <w:rPr>
                <w:rFonts w:ascii="Arial Narrow" w:hAnsi="Arial Narrow" w:cs="Calibri"/>
                <w:b/>
                <w:sz w:val="20"/>
              </w:rPr>
              <w:t>Daily</w:t>
            </w:r>
          </w:p>
        </w:tc>
        <w:tc>
          <w:tcPr>
            <w:tcW w:w="843" w:type="dxa"/>
            <w:tcBorders>
              <w:top w:val="nil"/>
              <w:left w:val="nil"/>
              <w:bottom w:val="single" w:color="auto" w:sz="2" w:space="0"/>
              <w:right w:val="dotted" w:color="auto" w:sz="4" w:space="0"/>
            </w:tcBorders>
            <w:shd w:val="clear" w:color="auto" w:fill="D9D9D9" w:themeFill="background1" w:themeFillShade="D9"/>
            <w:vAlign w:val="center"/>
          </w:tcPr>
          <w:p w:rsidRPr="00FE5AE5" w:rsidR="00FE5AE5" w:rsidP="00FE5AE5" w:rsidRDefault="00FE5AE5" w14:paraId="2626A2FC" w14:textId="77777777">
            <w:pPr>
              <w:spacing w:after="0"/>
              <w:ind w:firstLine="0"/>
              <w:jc w:val="center"/>
              <w:rPr>
                <w:rFonts w:ascii="Arial Narrow" w:hAnsi="Arial Narrow" w:cs="Calibri"/>
                <w:b/>
                <w:sz w:val="20"/>
              </w:rPr>
            </w:pPr>
            <w:r w:rsidRPr="00FE5AE5">
              <w:rPr>
                <w:rFonts w:ascii="Arial Narrow" w:hAnsi="Arial Narrow" w:cs="Calibri"/>
                <w:b/>
                <w:sz w:val="20"/>
              </w:rPr>
              <w:t>One-Time</w:t>
            </w:r>
          </w:p>
        </w:tc>
        <w:tc>
          <w:tcPr>
            <w:tcW w:w="844" w:type="dxa"/>
            <w:tcBorders>
              <w:top w:val="nil"/>
              <w:left w:val="nil"/>
              <w:bottom w:val="single" w:color="auto" w:sz="2" w:space="0"/>
              <w:right w:val="single" w:color="auto" w:sz="2" w:space="0"/>
            </w:tcBorders>
            <w:shd w:val="clear" w:color="auto" w:fill="D9D9D9" w:themeFill="background1" w:themeFillShade="D9"/>
            <w:vAlign w:val="center"/>
          </w:tcPr>
          <w:p w:rsidRPr="00FE5AE5" w:rsidR="00FE5AE5" w:rsidP="00FE5AE5" w:rsidRDefault="00FE5AE5" w14:paraId="33475D76" w14:textId="77777777">
            <w:pPr>
              <w:spacing w:after="0"/>
              <w:ind w:firstLine="0"/>
              <w:jc w:val="center"/>
              <w:rPr>
                <w:rFonts w:ascii="Arial Narrow" w:hAnsi="Arial Narrow" w:cs="Calibri"/>
                <w:b/>
                <w:sz w:val="20"/>
              </w:rPr>
            </w:pPr>
            <w:r w:rsidRPr="00FE5AE5">
              <w:rPr>
                <w:rFonts w:ascii="Arial Narrow" w:hAnsi="Arial Narrow" w:cs="Calibri"/>
                <w:b/>
                <w:sz w:val="20"/>
              </w:rPr>
              <w:t>Daily</w:t>
            </w:r>
          </w:p>
        </w:tc>
      </w:tr>
      <w:tr w:rsidRPr="00C97D4D" w:rsidR="00FE5AE5" w:rsidTr="00D84482" w14:paraId="0ECA386A" w14:textId="77777777">
        <w:trPr>
          <w:trHeight w:val="300"/>
        </w:trPr>
        <w:tc>
          <w:tcPr>
            <w:tcW w:w="2605" w:type="dxa"/>
            <w:shd w:val="clear" w:color="auto" w:fill="auto"/>
            <w:noWrap/>
            <w:vAlign w:val="center"/>
          </w:tcPr>
          <w:p w:rsidRPr="00FE5AE5" w:rsidR="00FE5AE5" w:rsidP="00D84482" w:rsidRDefault="00FE5AE5" w14:paraId="49C5189E" w14:textId="77777777">
            <w:pPr>
              <w:spacing w:after="0"/>
              <w:ind w:firstLine="0"/>
              <w:rPr>
                <w:rFonts w:ascii="Arial Narrow" w:hAnsi="Arial Narrow" w:cs="Arial"/>
                <w:sz w:val="20"/>
              </w:rPr>
            </w:pPr>
            <w:r w:rsidRPr="00FE5AE5">
              <w:rPr>
                <w:rFonts w:ascii="Arial Narrow" w:hAnsi="Arial Narrow" w:cs="Arial"/>
                <w:sz w:val="20"/>
              </w:rPr>
              <w:t xml:space="preserve">Review and approve the RP’s </w:t>
            </w:r>
            <w:r w:rsidRPr="00FE5AE5">
              <w:rPr>
                <w:rFonts w:ascii="Arial Narrow" w:hAnsi="Arial Narrow" w:cs="Arial"/>
                <w:bCs/>
                <w:sz w:val="20"/>
              </w:rPr>
              <w:t>DMQAPP</w:t>
            </w:r>
          </w:p>
        </w:tc>
        <w:tc>
          <w:tcPr>
            <w:tcW w:w="843" w:type="dxa"/>
            <w:tcBorders>
              <w:bottom w:val="single" w:color="auto" w:sz="4" w:space="0"/>
              <w:right w:val="dotted" w:color="auto" w:sz="4" w:space="0"/>
            </w:tcBorders>
            <w:vAlign w:val="center"/>
          </w:tcPr>
          <w:p w:rsidRPr="00FE5AE5" w:rsidR="00FE5AE5" w:rsidP="00D84482" w:rsidRDefault="00FE5AE5" w14:paraId="294E4A8E" w14:textId="2B2D8B67">
            <w:pPr>
              <w:spacing w:after="0"/>
              <w:ind w:firstLine="0"/>
              <w:jc w:val="right"/>
              <w:rPr>
                <w:rFonts w:ascii="Arial Narrow" w:hAnsi="Arial Narrow" w:cs="Arial"/>
                <w:sz w:val="20"/>
              </w:rPr>
            </w:pPr>
            <w:r w:rsidRPr="00FE5AE5">
              <w:rPr>
                <w:rFonts w:ascii="Arial Narrow" w:hAnsi="Arial Narrow" w:cs="Arial"/>
                <w:sz w:val="20"/>
              </w:rPr>
              <w:t>8</w:t>
            </w:r>
          </w:p>
        </w:tc>
        <w:tc>
          <w:tcPr>
            <w:tcW w:w="843" w:type="dxa"/>
            <w:tcBorders>
              <w:left w:val="dotted" w:color="auto" w:sz="4" w:space="0"/>
              <w:bottom w:val="single" w:color="auto" w:sz="4" w:space="0"/>
            </w:tcBorders>
            <w:vAlign w:val="center"/>
          </w:tcPr>
          <w:p w:rsidRPr="00FE5AE5" w:rsidR="00FE5AE5" w:rsidP="00D84482" w:rsidRDefault="00FE5AE5" w14:paraId="3B8EE54E" w14:textId="318A029B">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bottom w:val="single" w:color="auto" w:sz="4" w:space="0"/>
              <w:right w:val="dotted" w:color="auto" w:sz="4" w:space="0"/>
            </w:tcBorders>
            <w:shd w:val="clear" w:color="auto" w:fill="auto"/>
            <w:noWrap/>
            <w:vAlign w:val="center"/>
          </w:tcPr>
          <w:p w:rsidRPr="00FE5AE5" w:rsidR="00FE5AE5" w:rsidP="00D84482" w:rsidRDefault="00FE5AE5" w14:paraId="73FFB241" w14:textId="0D49B5AE">
            <w:pPr>
              <w:spacing w:after="0"/>
              <w:ind w:firstLine="0"/>
              <w:jc w:val="right"/>
              <w:rPr>
                <w:rFonts w:ascii="Arial Narrow" w:hAnsi="Arial Narrow" w:cs="Arial"/>
                <w:sz w:val="20"/>
              </w:rPr>
            </w:pPr>
            <w:r w:rsidRPr="00FE5AE5">
              <w:rPr>
                <w:rFonts w:ascii="Arial Narrow" w:hAnsi="Arial Narrow" w:cs="Arial"/>
                <w:sz w:val="20"/>
              </w:rPr>
              <w:t>8</w:t>
            </w:r>
          </w:p>
        </w:tc>
        <w:tc>
          <w:tcPr>
            <w:tcW w:w="843" w:type="dxa"/>
            <w:tcBorders>
              <w:left w:val="dotted" w:color="auto" w:sz="4" w:space="0"/>
              <w:bottom w:val="single" w:color="auto" w:sz="4" w:space="0"/>
            </w:tcBorders>
            <w:shd w:val="clear" w:color="auto" w:fill="auto"/>
            <w:noWrap/>
            <w:vAlign w:val="center"/>
          </w:tcPr>
          <w:p w:rsidRPr="00FE5AE5" w:rsidR="00FE5AE5" w:rsidP="00D84482" w:rsidRDefault="00FE5AE5" w14:paraId="33666E69" w14:textId="1692B713">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bottom w:val="single" w:color="auto" w:sz="4" w:space="0"/>
              <w:right w:val="dotted" w:color="auto" w:sz="4" w:space="0"/>
            </w:tcBorders>
            <w:shd w:val="clear" w:color="auto" w:fill="auto"/>
            <w:noWrap/>
            <w:vAlign w:val="center"/>
          </w:tcPr>
          <w:p w:rsidRPr="00FE5AE5" w:rsidR="00FE5AE5" w:rsidP="00D84482" w:rsidRDefault="00FE5AE5" w14:paraId="7BA6834A" w14:textId="5FCB7DB8">
            <w:pPr>
              <w:spacing w:after="0"/>
              <w:ind w:firstLine="0"/>
              <w:jc w:val="right"/>
              <w:rPr>
                <w:rFonts w:ascii="Arial Narrow" w:hAnsi="Arial Narrow" w:cs="Arial"/>
                <w:sz w:val="20"/>
              </w:rPr>
            </w:pPr>
            <w:r w:rsidRPr="00FE5AE5">
              <w:rPr>
                <w:rFonts w:ascii="Arial Narrow" w:hAnsi="Arial Narrow" w:cs="Arial"/>
                <w:sz w:val="20"/>
              </w:rPr>
              <w:t>8</w:t>
            </w:r>
          </w:p>
        </w:tc>
        <w:tc>
          <w:tcPr>
            <w:tcW w:w="843" w:type="dxa"/>
            <w:tcBorders>
              <w:left w:val="dotted" w:color="auto" w:sz="4" w:space="0"/>
              <w:bottom w:val="single" w:color="auto" w:sz="4" w:space="0"/>
            </w:tcBorders>
            <w:shd w:val="clear" w:color="auto" w:fill="auto"/>
            <w:vAlign w:val="center"/>
          </w:tcPr>
          <w:p w:rsidRPr="00FE5AE5" w:rsidR="00FE5AE5" w:rsidP="00D84482" w:rsidRDefault="00FE5AE5" w14:paraId="3E07A339" w14:textId="15860150">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FE5AE5" w:rsidP="00D84482" w:rsidRDefault="00FE5AE5" w14:paraId="460D8691" w14:textId="1CA2EDD0">
            <w:pPr>
              <w:spacing w:after="0"/>
              <w:ind w:firstLine="0"/>
              <w:jc w:val="right"/>
              <w:rPr>
                <w:rFonts w:ascii="Arial Narrow" w:hAnsi="Arial Narrow" w:cs="Arial"/>
                <w:sz w:val="20"/>
              </w:rPr>
            </w:pPr>
            <w:r w:rsidRPr="00FE5AE5">
              <w:rPr>
                <w:rFonts w:ascii="Arial Narrow" w:hAnsi="Arial Narrow" w:cs="Arial"/>
                <w:sz w:val="20"/>
              </w:rPr>
              <w:t>8</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FE5AE5" w:rsidP="00D84482" w:rsidRDefault="00FE5AE5" w14:paraId="0FF03FBF" w14:textId="50ED1063">
            <w:pPr>
              <w:spacing w:after="0"/>
              <w:ind w:firstLine="0"/>
              <w:jc w:val="right"/>
              <w:rPr>
                <w:rFonts w:ascii="Arial Narrow" w:hAnsi="Arial Narrow" w:cs="Arial"/>
                <w:sz w:val="20"/>
              </w:rPr>
            </w:pPr>
            <w:r w:rsidRPr="00FE5AE5">
              <w:rPr>
                <w:rFonts w:ascii="Arial Narrow" w:hAnsi="Arial Narrow" w:cs="Arial"/>
                <w:sz w:val="20"/>
              </w:rPr>
              <w:t>0</w:t>
            </w:r>
          </w:p>
        </w:tc>
      </w:tr>
      <w:tr w:rsidRPr="00C97D4D" w:rsidR="00FE5AE5" w:rsidTr="00D84482" w14:paraId="54CDA89D" w14:textId="77777777">
        <w:trPr>
          <w:trHeight w:val="300"/>
        </w:trPr>
        <w:tc>
          <w:tcPr>
            <w:tcW w:w="2605" w:type="dxa"/>
            <w:tcBorders>
              <w:right w:val="single" w:color="auto" w:sz="2" w:space="0"/>
            </w:tcBorders>
            <w:shd w:val="clear" w:color="auto" w:fill="auto"/>
            <w:noWrap/>
            <w:vAlign w:val="center"/>
          </w:tcPr>
          <w:p w:rsidRPr="00FE5AE5" w:rsidR="00FE5AE5" w:rsidP="00FE5AE5" w:rsidRDefault="00FE5AE5" w14:paraId="7EE2EC8E" w14:textId="77777777">
            <w:pPr>
              <w:spacing w:after="0"/>
              <w:ind w:firstLine="0"/>
              <w:rPr>
                <w:rFonts w:ascii="Arial Narrow" w:hAnsi="Arial Narrow" w:cs="Arial"/>
                <w:sz w:val="20"/>
              </w:rPr>
            </w:pPr>
            <w:r w:rsidRPr="00FE5AE5">
              <w:rPr>
                <w:rFonts w:ascii="Arial Narrow" w:hAnsi="Arial Narrow" w:cs="Arial"/>
                <w:sz w:val="20"/>
              </w:rPr>
              <w:t>Consult with RP about where to collect water samples</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FE5AE5" w:rsidP="00D84482" w:rsidRDefault="00FE5AE5" w14:paraId="629A10AD" w14:textId="319A73E4">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FE5AE5" w:rsidP="00D84482" w:rsidRDefault="00FE5AE5" w14:paraId="4B7E97E3" w14:textId="76247AF8">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5295AD8A" w14:textId="71EEED1D">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FE5AE5" w:rsidP="00D84482" w:rsidRDefault="00FE5AE5" w14:paraId="532F6B50" w14:textId="708E7FD1">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5D34B048" w14:textId="6D0C8E56">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FE5AE5" w:rsidP="00D84482" w:rsidRDefault="00FE5AE5" w14:paraId="495B9A4A" w14:textId="25CA5B5B">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FE5AE5" w:rsidP="00D84482" w:rsidRDefault="00FE5AE5" w14:paraId="5A3AE472" w14:textId="7223013A">
            <w:pPr>
              <w:spacing w:after="0"/>
              <w:ind w:firstLine="0"/>
              <w:jc w:val="right"/>
              <w:rPr>
                <w:rFonts w:ascii="Arial Narrow" w:hAnsi="Arial Narrow" w:cs="Arial"/>
                <w:b/>
                <w:sz w:val="20"/>
              </w:rPr>
            </w:pP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FE5AE5" w:rsidP="00D84482" w:rsidRDefault="00FE5AE5" w14:paraId="205AC1E8" w14:textId="5F1F7139">
            <w:pPr>
              <w:spacing w:after="0"/>
              <w:ind w:firstLine="0"/>
              <w:jc w:val="right"/>
              <w:rPr>
                <w:rFonts w:ascii="Arial Narrow" w:hAnsi="Arial Narrow" w:cs="Arial"/>
                <w:sz w:val="20"/>
              </w:rPr>
            </w:pPr>
            <w:r w:rsidRPr="00FE5AE5">
              <w:rPr>
                <w:rFonts w:ascii="Arial Narrow" w:hAnsi="Arial Narrow" w:cs="Arial"/>
                <w:sz w:val="20"/>
              </w:rPr>
              <w:t>1</w:t>
            </w:r>
          </w:p>
        </w:tc>
      </w:tr>
      <w:tr w:rsidRPr="00C97D4D" w:rsidR="00FE5AE5" w:rsidTr="00D84482" w14:paraId="17954D24" w14:textId="77777777">
        <w:trPr>
          <w:trHeight w:val="50"/>
        </w:trPr>
        <w:tc>
          <w:tcPr>
            <w:tcW w:w="2605" w:type="dxa"/>
            <w:tcBorders>
              <w:right w:val="single" w:color="auto" w:sz="2" w:space="0"/>
            </w:tcBorders>
            <w:shd w:val="clear" w:color="auto" w:fill="auto"/>
            <w:noWrap/>
            <w:vAlign w:val="center"/>
          </w:tcPr>
          <w:p w:rsidRPr="00FE5AE5" w:rsidR="00FE5AE5" w:rsidP="00FE5AE5" w:rsidRDefault="00FE5AE5" w14:paraId="3BC14DA9" w14:textId="187B8934">
            <w:pPr>
              <w:spacing w:after="0"/>
              <w:ind w:firstLine="0"/>
              <w:rPr>
                <w:rFonts w:ascii="Arial Narrow" w:hAnsi="Arial Narrow" w:cs="Arial"/>
                <w:sz w:val="20"/>
              </w:rPr>
            </w:pPr>
            <w:r w:rsidRPr="00FE5AE5">
              <w:rPr>
                <w:rFonts w:ascii="Arial Narrow" w:hAnsi="Arial Narrow" w:cs="Arial"/>
                <w:sz w:val="20"/>
              </w:rPr>
              <w:t>Consult with RP in performing the oil distribution analysis</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FE5AE5" w:rsidP="00D84482" w:rsidRDefault="00FE5AE5" w14:paraId="01CD28A3" w14:textId="203EE081">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FE5AE5" w:rsidP="00D84482" w:rsidRDefault="00FE5AE5" w14:paraId="369C9955" w14:textId="54477644">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30B31A7D" w14:textId="2737771A">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FE5AE5" w:rsidP="00D84482" w:rsidRDefault="00FE5AE5" w14:paraId="620BF843" w14:textId="5490F162">
            <w:pPr>
              <w:spacing w:after="0"/>
              <w:ind w:firstLine="0"/>
              <w:jc w:val="right"/>
              <w:rPr>
                <w:rFonts w:ascii="Arial Narrow" w:hAnsi="Arial Narrow" w:cs="Arial"/>
                <w:sz w:val="20"/>
              </w:rPr>
            </w:pPr>
            <w:r w:rsidRPr="00FE5AE5">
              <w:rPr>
                <w:rFonts w:ascii="Arial Narrow" w:hAnsi="Arial Narrow" w:cs="Arial"/>
                <w:sz w:val="20"/>
              </w:rPr>
              <w:t>2</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00400DCB" w14:textId="15E0E9CE">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FE5AE5" w:rsidP="00D84482" w:rsidRDefault="00FE5AE5" w14:paraId="345DC3FE" w14:textId="57891EE8">
            <w:pPr>
              <w:spacing w:after="0"/>
              <w:ind w:firstLine="0"/>
              <w:jc w:val="right"/>
              <w:rPr>
                <w:rFonts w:ascii="Arial Narrow" w:hAnsi="Arial Narrow" w:cs="Arial"/>
                <w:sz w:val="20"/>
              </w:rPr>
            </w:pPr>
            <w:r w:rsidRPr="00FE5AE5">
              <w:rPr>
                <w:rFonts w:ascii="Arial Narrow" w:hAnsi="Arial Narrow" w:cs="Arial"/>
                <w:sz w:val="20"/>
              </w:rPr>
              <w:t>2</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FE5AE5" w:rsidP="00D84482" w:rsidRDefault="00FE5AE5" w14:paraId="0C34B74D" w14:textId="707630A4">
            <w:pPr>
              <w:spacing w:after="0"/>
              <w:ind w:firstLine="0"/>
              <w:jc w:val="right"/>
              <w:rPr>
                <w:rFonts w:ascii="Arial Narrow" w:hAnsi="Arial Narrow" w:cs="Arial"/>
                <w:sz w:val="20"/>
              </w:rPr>
            </w:pPr>
            <w:r w:rsidRPr="00FE5AE5">
              <w:rPr>
                <w:rFonts w:ascii="Arial Narrow" w:hAnsi="Arial Narrow" w:cs="Arial"/>
                <w:sz w:val="20"/>
              </w:rPr>
              <w:t>0</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FE5AE5" w:rsidP="00D84482" w:rsidRDefault="00FE5AE5" w14:paraId="5D68C689" w14:textId="4273901C">
            <w:pPr>
              <w:spacing w:after="0"/>
              <w:ind w:firstLine="0"/>
              <w:jc w:val="right"/>
              <w:rPr>
                <w:rFonts w:ascii="Arial Narrow" w:hAnsi="Arial Narrow" w:cs="Arial"/>
                <w:sz w:val="20"/>
              </w:rPr>
            </w:pPr>
            <w:r w:rsidRPr="00FE5AE5">
              <w:rPr>
                <w:rFonts w:ascii="Arial Narrow" w:hAnsi="Arial Narrow" w:cs="Arial"/>
                <w:sz w:val="20"/>
              </w:rPr>
              <w:t>2</w:t>
            </w:r>
          </w:p>
        </w:tc>
      </w:tr>
      <w:tr w:rsidRPr="00C97D4D" w:rsidR="00FE5AE5" w:rsidTr="00D84482" w14:paraId="74A5B09E" w14:textId="77777777">
        <w:trPr>
          <w:trHeight w:val="50"/>
        </w:trPr>
        <w:tc>
          <w:tcPr>
            <w:tcW w:w="2605" w:type="dxa"/>
            <w:tcBorders>
              <w:right w:val="single" w:color="auto" w:sz="2" w:space="0"/>
            </w:tcBorders>
            <w:shd w:val="clear" w:color="auto" w:fill="auto"/>
            <w:noWrap/>
            <w:vAlign w:val="center"/>
          </w:tcPr>
          <w:p w:rsidRPr="00FE5AE5" w:rsidR="00FE5AE5" w:rsidP="00FE5AE5" w:rsidRDefault="00FE5AE5" w14:paraId="70CA65E0" w14:textId="564B4264">
            <w:pPr>
              <w:spacing w:after="0"/>
              <w:ind w:firstLine="0"/>
              <w:rPr>
                <w:rFonts w:ascii="Arial Narrow" w:hAnsi="Arial Narrow" w:cs="Arial"/>
                <w:sz w:val="20"/>
              </w:rPr>
            </w:pPr>
            <w:r w:rsidRPr="00FE5AE5">
              <w:rPr>
                <w:rFonts w:ascii="Arial Narrow" w:hAnsi="Arial Narrow" w:cs="Arial"/>
                <w:sz w:val="20"/>
              </w:rPr>
              <w:t>Consult with RP in developing the ecological characterization</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FE5AE5" w:rsidP="00D84482" w:rsidRDefault="00FE5AE5" w14:paraId="1FB33039" w14:textId="6FBD244F">
            <w:pPr>
              <w:spacing w:after="0"/>
              <w:ind w:firstLine="0"/>
              <w:jc w:val="right"/>
              <w:rPr>
                <w:rFonts w:ascii="Arial Narrow" w:hAnsi="Arial Narrow" w:cs="Arial"/>
                <w:sz w:val="20"/>
              </w:rPr>
            </w:pPr>
            <w:r w:rsidRPr="00FE5AE5">
              <w:rPr>
                <w:rFonts w:ascii="Arial Narrow" w:hAnsi="Arial Narrow" w:cs="Arial"/>
                <w:sz w:val="20"/>
              </w:rPr>
              <w:t>8</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FE5AE5" w:rsidP="00D84482" w:rsidRDefault="00FE5AE5" w14:paraId="384DB946" w14:textId="666C563D">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18C97F9C" w14:textId="4A2539B6">
            <w:pPr>
              <w:spacing w:after="0"/>
              <w:ind w:firstLine="0"/>
              <w:jc w:val="right"/>
              <w:rPr>
                <w:rFonts w:ascii="Arial Narrow" w:hAnsi="Arial Narrow" w:cs="Arial"/>
                <w:sz w:val="20"/>
              </w:rPr>
            </w:pPr>
            <w:r w:rsidRPr="00FE5AE5">
              <w:rPr>
                <w:rFonts w:ascii="Arial Narrow" w:hAnsi="Arial Narrow" w:cs="Arial"/>
                <w:sz w:val="20"/>
              </w:rPr>
              <w:t>16</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FE5AE5" w:rsidP="00D84482" w:rsidRDefault="00FE5AE5" w14:paraId="05313A99" w14:textId="65355AB8">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4CA1B887" w14:textId="25A52F94">
            <w:pPr>
              <w:spacing w:after="0"/>
              <w:ind w:firstLine="0"/>
              <w:jc w:val="right"/>
              <w:rPr>
                <w:rFonts w:ascii="Arial Narrow" w:hAnsi="Arial Narrow" w:cs="Arial"/>
                <w:sz w:val="20"/>
              </w:rPr>
            </w:pPr>
            <w:r w:rsidRPr="00FE5AE5">
              <w:rPr>
                <w:rFonts w:ascii="Arial Narrow" w:hAnsi="Arial Narrow" w:cs="Arial"/>
                <w:sz w:val="20"/>
              </w:rPr>
              <w:t>24</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FE5AE5" w:rsidP="00D84482" w:rsidRDefault="00FE5AE5" w14:paraId="7330EEAD" w14:textId="4AE628A6">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FE5AE5" w:rsidP="00D84482" w:rsidRDefault="00FE5AE5" w14:paraId="374168AC" w14:textId="41B2C93F">
            <w:pPr>
              <w:spacing w:after="0"/>
              <w:ind w:firstLine="0"/>
              <w:jc w:val="right"/>
              <w:rPr>
                <w:rFonts w:ascii="Arial Narrow" w:hAnsi="Arial Narrow" w:cs="Arial"/>
                <w:sz w:val="20"/>
              </w:rPr>
            </w:pPr>
            <w:r w:rsidRPr="00FE5AE5">
              <w:rPr>
                <w:rFonts w:ascii="Arial Narrow" w:hAnsi="Arial Narrow" w:cs="Arial"/>
                <w:sz w:val="20"/>
              </w:rPr>
              <w:t>32</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FE5AE5" w:rsidP="00D84482" w:rsidRDefault="00FE5AE5" w14:paraId="635951D8" w14:textId="7AB2400B">
            <w:pPr>
              <w:spacing w:after="0"/>
              <w:ind w:firstLine="0"/>
              <w:jc w:val="right"/>
              <w:rPr>
                <w:rFonts w:ascii="Arial Narrow" w:hAnsi="Arial Narrow" w:cs="Arial"/>
                <w:sz w:val="20"/>
              </w:rPr>
            </w:pPr>
            <w:r w:rsidRPr="00FE5AE5">
              <w:rPr>
                <w:rFonts w:ascii="Arial Narrow" w:hAnsi="Arial Narrow" w:cs="Arial"/>
                <w:sz w:val="20"/>
              </w:rPr>
              <w:t>0</w:t>
            </w:r>
          </w:p>
        </w:tc>
      </w:tr>
      <w:tr w:rsidRPr="00C97D4D" w:rsidR="00FE5AE5" w:rsidTr="00D84482" w14:paraId="1072BDF3" w14:textId="77777777">
        <w:trPr>
          <w:trHeight w:val="300"/>
        </w:trPr>
        <w:tc>
          <w:tcPr>
            <w:tcW w:w="2605" w:type="dxa"/>
            <w:tcBorders>
              <w:right w:val="single" w:color="auto" w:sz="2" w:space="0"/>
            </w:tcBorders>
            <w:shd w:val="clear" w:color="auto" w:fill="auto"/>
            <w:noWrap/>
            <w:vAlign w:val="center"/>
          </w:tcPr>
          <w:p w:rsidRPr="00FE5AE5" w:rsidR="00FE5AE5" w:rsidP="00FE5AE5" w:rsidRDefault="00FE5AE5" w14:paraId="1375A5D9" w14:textId="77777777">
            <w:pPr>
              <w:spacing w:after="0"/>
              <w:ind w:firstLine="0"/>
              <w:rPr>
                <w:rFonts w:ascii="Arial Narrow" w:hAnsi="Arial Narrow" w:cs="Arial"/>
                <w:sz w:val="20"/>
              </w:rPr>
            </w:pPr>
            <w:r w:rsidRPr="00FE5AE5">
              <w:rPr>
                <w:rFonts w:ascii="Arial Narrow" w:hAnsi="Arial Narrow" w:cs="Arial"/>
                <w:sz w:val="20"/>
              </w:rPr>
              <w:t>Review reports by the RP</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FE5AE5" w:rsidP="00D84482" w:rsidRDefault="00FE5AE5" w14:paraId="23682078" w14:textId="3F548185">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FE5AE5" w:rsidP="00D84482" w:rsidRDefault="00FE5AE5" w14:paraId="6CB25CA1" w14:textId="7E3DB912">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11987FCE" w14:textId="3083B2B8">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FE5AE5" w:rsidP="00D84482" w:rsidRDefault="00FE5AE5" w14:paraId="226BCA4B" w14:textId="7BF52E86">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FE5AE5" w:rsidP="00D84482" w:rsidRDefault="00FE5AE5" w14:paraId="1C3C6B87" w14:textId="186FCC18">
            <w:pPr>
              <w:spacing w:after="0"/>
              <w:ind w:firstLine="0"/>
              <w:jc w:val="right"/>
              <w:rPr>
                <w:rFonts w:ascii="Arial Narrow" w:hAnsi="Arial Narrow" w:cs="Arial"/>
                <w:sz w:val="20"/>
              </w:rPr>
            </w:pPr>
            <w:r w:rsidRPr="00FE5AE5">
              <w:rPr>
                <w:rFonts w:ascii="Arial Narrow" w:hAnsi="Arial Narrow" w:cs="Arial"/>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FE5AE5" w:rsidP="00D84482" w:rsidRDefault="00FE5AE5" w14:paraId="54F5CA12" w14:textId="7E2F55D0">
            <w:pPr>
              <w:spacing w:after="0"/>
              <w:ind w:firstLine="0"/>
              <w:jc w:val="right"/>
              <w:rPr>
                <w:rFonts w:ascii="Arial Narrow" w:hAnsi="Arial Narrow" w:cs="Arial"/>
                <w:sz w:val="20"/>
              </w:rPr>
            </w:pPr>
            <w:r w:rsidRPr="00FE5AE5">
              <w:rPr>
                <w:rFonts w:ascii="Arial Narrow" w:hAnsi="Arial Narrow" w:cs="Arial"/>
                <w:sz w:val="20"/>
              </w:rPr>
              <w:t>1</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FE5AE5" w:rsidP="00D84482" w:rsidRDefault="00FE5AE5" w14:paraId="7455FEEF" w14:textId="4AB0808F">
            <w:pPr>
              <w:spacing w:after="0"/>
              <w:ind w:firstLine="0"/>
              <w:jc w:val="right"/>
              <w:rPr>
                <w:rFonts w:ascii="Arial Narrow" w:hAnsi="Arial Narrow" w:cs="Arial"/>
                <w:sz w:val="20"/>
              </w:rPr>
            </w:pPr>
            <w:r w:rsidRPr="00FE5AE5">
              <w:rPr>
                <w:rFonts w:ascii="Arial Narrow" w:hAnsi="Arial Narrow" w:cs="Arial"/>
                <w:sz w:val="20"/>
              </w:rPr>
              <w:t>0</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FE5AE5" w:rsidP="00D84482" w:rsidRDefault="00FE5AE5" w14:paraId="22221455" w14:textId="7512F485">
            <w:pPr>
              <w:spacing w:after="0"/>
              <w:ind w:firstLine="0"/>
              <w:jc w:val="right"/>
              <w:rPr>
                <w:rFonts w:ascii="Arial Narrow" w:hAnsi="Arial Narrow" w:cs="Arial"/>
                <w:sz w:val="20"/>
              </w:rPr>
            </w:pPr>
            <w:r w:rsidRPr="00FE5AE5">
              <w:rPr>
                <w:rFonts w:ascii="Arial Narrow" w:hAnsi="Arial Narrow" w:cs="Arial"/>
                <w:sz w:val="20"/>
              </w:rPr>
              <w:t>2</w:t>
            </w:r>
          </w:p>
        </w:tc>
      </w:tr>
      <w:tr w:rsidR="00FE5AE5" w:rsidTr="00D84482" w14:paraId="39962619" w14:textId="77777777">
        <w:trPr>
          <w:trHeight w:val="242"/>
        </w:trPr>
        <w:tc>
          <w:tcPr>
            <w:tcW w:w="2605" w:type="dxa"/>
            <w:tcBorders>
              <w:right w:val="single" w:color="auto" w:sz="2" w:space="0"/>
            </w:tcBorders>
            <w:shd w:val="clear" w:color="auto" w:fill="F2F2F2" w:themeFill="background1" w:themeFillShade="F2"/>
            <w:noWrap/>
            <w:vAlign w:val="bottom"/>
          </w:tcPr>
          <w:p w:rsidRPr="00FE5AE5" w:rsidR="00FE5AE5" w:rsidP="00FE5AE5" w:rsidRDefault="00FE5AE5" w14:paraId="1CEDC82E" w14:textId="77777777">
            <w:pPr>
              <w:spacing w:after="0"/>
              <w:ind w:firstLine="0"/>
              <w:rPr>
                <w:rFonts w:ascii="Arial Narrow" w:hAnsi="Arial Narrow" w:cs="Arial"/>
                <w:b/>
                <w:sz w:val="20"/>
              </w:rPr>
            </w:pPr>
            <w:r w:rsidRPr="00FE5AE5">
              <w:rPr>
                <w:rFonts w:ascii="Arial Narrow" w:hAnsi="Arial Narrow" w:cs="Arial"/>
                <w:b/>
                <w:sz w:val="20"/>
              </w:rPr>
              <w:t>Total Unit Burden</w:t>
            </w:r>
          </w:p>
        </w:tc>
        <w:tc>
          <w:tcPr>
            <w:tcW w:w="843" w:type="dxa"/>
            <w:tcBorders>
              <w:top w:val="single" w:color="auto" w:sz="4" w:space="0"/>
              <w:left w:val="single" w:color="auto" w:sz="2" w:space="0"/>
              <w:bottom w:val="single" w:color="auto" w:sz="2" w:space="0"/>
              <w:right w:val="dotted" w:color="auto" w:sz="4" w:space="0"/>
            </w:tcBorders>
            <w:shd w:val="clear" w:color="auto" w:fill="F2F2F2" w:themeFill="background1" w:themeFillShade="F2"/>
            <w:vAlign w:val="center"/>
          </w:tcPr>
          <w:p w:rsidRPr="00FE5AE5" w:rsidR="00FE5AE5" w:rsidP="00D84482" w:rsidRDefault="00FE5AE5" w14:paraId="69254953" w14:textId="592A1757">
            <w:pPr>
              <w:spacing w:after="0"/>
              <w:ind w:firstLine="0"/>
              <w:jc w:val="right"/>
              <w:rPr>
                <w:rFonts w:ascii="Arial Narrow" w:hAnsi="Arial Narrow" w:cs="Arial"/>
                <w:b/>
                <w:sz w:val="20"/>
              </w:rPr>
            </w:pPr>
            <w:r w:rsidRPr="00FE5AE5">
              <w:rPr>
                <w:rFonts w:ascii="Arial Narrow" w:hAnsi="Arial Narrow" w:cs="Arial"/>
                <w:b/>
                <w:sz w:val="20"/>
              </w:rPr>
              <w:t>16</w:t>
            </w:r>
          </w:p>
        </w:tc>
        <w:tc>
          <w:tcPr>
            <w:tcW w:w="843" w:type="dxa"/>
            <w:tcBorders>
              <w:top w:val="single" w:color="auto" w:sz="4" w:space="0"/>
              <w:left w:val="dotted" w:color="auto" w:sz="4" w:space="0"/>
              <w:bottom w:val="single" w:color="auto" w:sz="2" w:space="0"/>
              <w:right w:val="single" w:color="auto" w:sz="2" w:space="0"/>
            </w:tcBorders>
            <w:shd w:val="clear" w:color="auto" w:fill="F2F2F2" w:themeFill="background1" w:themeFillShade="F2"/>
            <w:vAlign w:val="center"/>
          </w:tcPr>
          <w:p w:rsidRPr="00FE5AE5" w:rsidR="00FE5AE5" w:rsidP="00D84482" w:rsidRDefault="00FE5AE5" w14:paraId="567AF355" w14:textId="765E1CAF">
            <w:pPr>
              <w:spacing w:after="0"/>
              <w:ind w:firstLine="0"/>
              <w:jc w:val="right"/>
              <w:rPr>
                <w:rFonts w:ascii="Arial Narrow" w:hAnsi="Arial Narrow" w:cs="Arial"/>
                <w:b/>
                <w:sz w:val="20"/>
              </w:rPr>
            </w:pPr>
            <w:r w:rsidRPr="00FE5AE5">
              <w:rPr>
                <w:rFonts w:ascii="Arial Narrow" w:hAnsi="Arial Narrow" w:cs="Arial"/>
                <w:b/>
                <w:sz w:val="20"/>
              </w:rPr>
              <w:t>3</w:t>
            </w:r>
          </w:p>
        </w:tc>
        <w:tc>
          <w:tcPr>
            <w:tcW w:w="843"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FE5AE5" w:rsidR="00FE5AE5" w:rsidP="00D84482" w:rsidRDefault="00FE5AE5" w14:paraId="45D5D939" w14:textId="3663479D">
            <w:pPr>
              <w:spacing w:after="0"/>
              <w:ind w:firstLine="0"/>
              <w:jc w:val="right"/>
              <w:rPr>
                <w:rFonts w:ascii="Arial Narrow" w:hAnsi="Arial Narrow" w:cs="Arial"/>
                <w:b/>
                <w:sz w:val="20"/>
              </w:rPr>
            </w:pPr>
            <w:r w:rsidRPr="00FE5AE5">
              <w:rPr>
                <w:rFonts w:ascii="Arial Narrow" w:hAnsi="Arial Narrow" w:cs="Arial"/>
                <w:b/>
                <w:sz w:val="20"/>
              </w:rPr>
              <w:t>24</w:t>
            </w:r>
          </w:p>
        </w:tc>
        <w:tc>
          <w:tcPr>
            <w:tcW w:w="843" w:type="dxa"/>
            <w:tcBorders>
              <w:top w:val="single" w:color="auto" w:sz="4" w:space="0"/>
              <w:left w:val="dotted" w:color="auto" w:sz="4" w:space="0"/>
              <w:bottom w:val="single" w:color="auto" w:sz="2" w:space="0"/>
              <w:right w:val="single" w:color="auto" w:sz="2" w:space="0"/>
            </w:tcBorders>
            <w:shd w:val="clear" w:color="auto" w:fill="F2F2F2" w:themeFill="background1" w:themeFillShade="F2"/>
            <w:noWrap/>
            <w:vAlign w:val="center"/>
          </w:tcPr>
          <w:p w:rsidRPr="00FE5AE5" w:rsidR="00FE5AE5" w:rsidP="00D84482" w:rsidRDefault="00FE5AE5" w14:paraId="37FB3547" w14:textId="69392DA5">
            <w:pPr>
              <w:spacing w:after="0"/>
              <w:ind w:firstLine="0"/>
              <w:jc w:val="right"/>
              <w:rPr>
                <w:rFonts w:ascii="Arial Narrow" w:hAnsi="Arial Narrow" w:cs="Arial"/>
                <w:b/>
                <w:sz w:val="20"/>
              </w:rPr>
            </w:pPr>
            <w:r w:rsidRPr="00FE5AE5">
              <w:rPr>
                <w:rFonts w:ascii="Arial Narrow" w:hAnsi="Arial Narrow" w:cs="Arial"/>
                <w:b/>
                <w:sz w:val="20"/>
              </w:rPr>
              <w:t>4</w:t>
            </w:r>
          </w:p>
        </w:tc>
        <w:tc>
          <w:tcPr>
            <w:tcW w:w="843"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FE5AE5" w:rsidR="00FE5AE5" w:rsidP="00D84482" w:rsidRDefault="00FE5AE5" w14:paraId="3B37A8E7" w14:textId="54E0AF1C">
            <w:pPr>
              <w:spacing w:after="0"/>
              <w:ind w:firstLine="0"/>
              <w:jc w:val="right"/>
              <w:rPr>
                <w:rFonts w:ascii="Arial Narrow" w:hAnsi="Arial Narrow" w:cs="Arial"/>
                <w:b/>
                <w:sz w:val="20"/>
              </w:rPr>
            </w:pPr>
            <w:r w:rsidRPr="00FE5AE5">
              <w:rPr>
                <w:rFonts w:ascii="Arial Narrow" w:hAnsi="Arial Narrow" w:cs="Arial"/>
                <w:b/>
                <w:sz w:val="20"/>
              </w:rPr>
              <w:t>32</w:t>
            </w:r>
          </w:p>
        </w:tc>
        <w:tc>
          <w:tcPr>
            <w:tcW w:w="843" w:type="dxa"/>
            <w:tcBorders>
              <w:top w:val="single" w:color="auto" w:sz="4" w:space="0"/>
              <w:left w:val="dotted" w:color="auto" w:sz="4" w:space="0"/>
              <w:bottom w:val="single" w:color="auto" w:sz="2" w:space="0"/>
              <w:right w:val="single" w:color="auto" w:sz="2" w:space="0"/>
            </w:tcBorders>
            <w:shd w:val="clear" w:color="auto" w:fill="F2F2F2" w:themeFill="background1" w:themeFillShade="F2"/>
            <w:vAlign w:val="center"/>
          </w:tcPr>
          <w:p w:rsidRPr="00FE5AE5" w:rsidR="00FE5AE5" w:rsidP="00D84482" w:rsidRDefault="00FE5AE5" w14:paraId="61578407" w14:textId="57462E6B">
            <w:pPr>
              <w:spacing w:after="0"/>
              <w:ind w:firstLine="0"/>
              <w:jc w:val="right"/>
              <w:rPr>
                <w:rFonts w:ascii="Arial Narrow" w:hAnsi="Arial Narrow" w:cs="Arial"/>
                <w:b/>
                <w:sz w:val="20"/>
              </w:rPr>
            </w:pPr>
            <w:r w:rsidRPr="00FE5AE5">
              <w:rPr>
                <w:rFonts w:ascii="Arial Narrow" w:hAnsi="Arial Narrow" w:cs="Arial"/>
                <w:b/>
                <w:sz w:val="20"/>
              </w:rPr>
              <w:t>4</w:t>
            </w:r>
          </w:p>
        </w:tc>
        <w:tc>
          <w:tcPr>
            <w:tcW w:w="843" w:type="dxa"/>
            <w:tcBorders>
              <w:top w:val="single" w:color="auto" w:sz="2" w:space="0"/>
              <w:left w:val="nil"/>
              <w:bottom w:val="single" w:color="auto" w:sz="2" w:space="0"/>
              <w:right w:val="dotted" w:color="auto" w:sz="4" w:space="0"/>
            </w:tcBorders>
            <w:shd w:val="clear" w:color="auto" w:fill="F2F2F2" w:themeFill="background1" w:themeFillShade="F2"/>
            <w:vAlign w:val="center"/>
          </w:tcPr>
          <w:p w:rsidRPr="00FE5AE5" w:rsidR="00FE5AE5" w:rsidP="00D84482" w:rsidRDefault="00FE5AE5" w14:paraId="7570DFC6" w14:textId="0DB47280">
            <w:pPr>
              <w:spacing w:after="0"/>
              <w:ind w:firstLine="0"/>
              <w:jc w:val="right"/>
              <w:rPr>
                <w:rFonts w:ascii="Arial Narrow" w:hAnsi="Arial Narrow" w:cs="Arial"/>
                <w:b/>
                <w:sz w:val="20"/>
              </w:rPr>
            </w:pPr>
            <w:r w:rsidRPr="00FE5AE5">
              <w:rPr>
                <w:rFonts w:ascii="Arial Narrow" w:hAnsi="Arial Narrow" w:cs="Arial"/>
                <w:b/>
                <w:sz w:val="20"/>
              </w:rPr>
              <w:t>40</w:t>
            </w:r>
          </w:p>
        </w:tc>
        <w:tc>
          <w:tcPr>
            <w:tcW w:w="844" w:type="dxa"/>
            <w:tcBorders>
              <w:top w:val="single" w:color="auto" w:sz="2" w:space="0"/>
              <w:left w:val="nil"/>
              <w:bottom w:val="single" w:color="auto" w:sz="2" w:space="0"/>
              <w:right w:val="single" w:color="auto" w:sz="2" w:space="0"/>
            </w:tcBorders>
            <w:shd w:val="clear" w:color="auto" w:fill="F2F2F2" w:themeFill="background1" w:themeFillShade="F2"/>
            <w:vAlign w:val="center"/>
          </w:tcPr>
          <w:p w:rsidRPr="00FE5AE5" w:rsidR="00FE5AE5" w:rsidP="00D84482" w:rsidRDefault="00FE5AE5" w14:paraId="0645A9F7" w14:textId="4FB00738">
            <w:pPr>
              <w:spacing w:after="0"/>
              <w:ind w:firstLine="0"/>
              <w:jc w:val="right"/>
              <w:rPr>
                <w:rFonts w:ascii="Arial Narrow" w:hAnsi="Arial Narrow" w:cs="Arial"/>
                <w:b/>
                <w:sz w:val="20"/>
              </w:rPr>
            </w:pPr>
            <w:r w:rsidRPr="00FE5AE5">
              <w:rPr>
                <w:rFonts w:ascii="Arial Narrow" w:hAnsi="Arial Narrow" w:cs="Arial"/>
                <w:b/>
                <w:sz w:val="20"/>
              </w:rPr>
              <w:t>5</w:t>
            </w:r>
          </w:p>
        </w:tc>
      </w:tr>
      <w:tr w:rsidRPr="00C97D4D" w:rsidR="00D84482" w:rsidTr="00D84482" w14:paraId="3094D5E3" w14:textId="77777777">
        <w:trPr>
          <w:trHeight w:val="300"/>
        </w:trPr>
        <w:tc>
          <w:tcPr>
            <w:tcW w:w="2605" w:type="dxa"/>
            <w:shd w:val="clear" w:color="auto" w:fill="auto"/>
            <w:noWrap/>
            <w:vAlign w:val="center"/>
          </w:tcPr>
          <w:p w:rsidRPr="00FE5AE5" w:rsidR="00D84482" w:rsidP="00D84482" w:rsidRDefault="00D84482" w14:paraId="52C7426F" w14:textId="723EFA6B">
            <w:pPr>
              <w:spacing w:after="0"/>
              <w:ind w:firstLine="0"/>
              <w:rPr>
                <w:rFonts w:ascii="Arial Narrow" w:hAnsi="Arial Narrow" w:cs="Arial"/>
                <w:sz w:val="20"/>
              </w:rPr>
            </w:pPr>
            <w:r w:rsidRPr="00FE5AE5">
              <w:rPr>
                <w:rFonts w:ascii="Arial Narrow" w:hAnsi="Arial Narrow" w:cs="Arial"/>
                <w:sz w:val="20"/>
              </w:rPr>
              <w:t xml:space="preserve">Review and approve the RP’s </w:t>
            </w:r>
            <w:r w:rsidRPr="00FE5AE5">
              <w:rPr>
                <w:rFonts w:ascii="Arial Narrow" w:hAnsi="Arial Narrow" w:cs="Arial"/>
                <w:bCs/>
                <w:sz w:val="20"/>
              </w:rPr>
              <w:t>DMQAPP</w:t>
            </w:r>
          </w:p>
        </w:tc>
        <w:tc>
          <w:tcPr>
            <w:tcW w:w="843" w:type="dxa"/>
            <w:tcBorders>
              <w:bottom w:val="single" w:color="auto" w:sz="4" w:space="0"/>
              <w:right w:val="dotted" w:color="auto" w:sz="4" w:space="0"/>
            </w:tcBorders>
            <w:vAlign w:val="center"/>
          </w:tcPr>
          <w:p w:rsidRPr="00FE5AE5" w:rsidR="00D84482" w:rsidP="00D84482" w:rsidRDefault="00D84482" w14:paraId="414C8260" w14:textId="3D92AD89">
            <w:pPr>
              <w:spacing w:after="0"/>
              <w:ind w:firstLine="0"/>
              <w:jc w:val="right"/>
              <w:rPr>
                <w:rFonts w:ascii="Arial Narrow" w:hAnsi="Arial Narrow" w:cs="Arial"/>
                <w:sz w:val="20"/>
              </w:rPr>
            </w:pPr>
            <w:r>
              <w:rPr>
                <w:rFonts w:ascii="Arial Narrow" w:hAnsi="Arial Narrow" w:cs="Calibri"/>
                <w:color w:val="000000"/>
                <w:sz w:val="20"/>
              </w:rPr>
              <w:t>$821</w:t>
            </w:r>
          </w:p>
        </w:tc>
        <w:tc>
          <w:tcPr>
            <w:tcW w:w="843" w:type="dxa"/>
            <w:tcBorders>
              <w:left w:val="dotted" w:color="auto" w:sz="4" w:space="0"/>
              <w:bottom w:val="single" w:color="auto" w:sz="4" w:space="0"/>
            </w:tcBorders>
            <w:vAlign w:val="center"/>
          </w:tcPr>
          <w:p w:rsidRPr="00FE5AE5" w:rsidR="00D84482" w:rsidP="00D84482" w:rsidRDefault="00D84482" w14:paraId="2F3285DA" w14:textId="3F182ED8">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bottom w:val="single" w:color="auto" w:sz="4" w:space="0"/>
              <w:right w:val="dotted" w:color="auto" w:sz="4" w:space="0"/>
            </w:tcBorders>
            <w:shd w:val="clear" w:color="auto" w:fill="auto"/>
            <w:noWrap/>
            <w:vAlign w:val="center"/>
          </w:tcPr>
          <w:p w:rsidRPr="00FE5AE5" w:rsidR="00D84482" w:rsidP="00D84482" w:rsidRDefault="00D84482" w14:paraId="4045C207" w14:textId="1DC9F8A6">
            <w:pPr>
              <w:spacing w:after="0"/>
              <w:ind w:firstLine="0"/>
              <w:jc w:val="right"/>
              <w:rPr>
                <w:rFonts w:ascii="Arial Narrow" w:hAnsi="Arial Narrow" w:cs="Arial"/>
                <w:sz w:val="20"/>
              </w:rPr>
            </w:pPr>
            <w:r>
              <w:rPr>
                <w:rFonts w:ascii="Arial Narrow" w:hAnsi="Arial Narrow" w:cs="Calibri"/>
                <w:color w:val="000000"/>
                <w:sz w:val="20"/>
              </w:rPr>
              <w:t>$821</w:t>
            </w:r>
          </w:p>
        </w:tc>
        <w:tc>
          <w:tcPr>
            <w:tcW w:w="843" w:type="dxa"/>
            <w:tcBorders>
              <w:left w:val="dotted" w:color="auto" w:sz="4" w:space="0"/>
              <w:bottom w:val="single" w:color="auto" w:sz="4" w:space="0"/>
            </w:tcBorders>
            <w:shd w:val="clear" w:color="auto" w:fill="auto"/>
            <w:noWrap/>
            <w:vAlign w:val="center"/>
          </w:tcPr>
          <w:p w:rsidRPr="00FE5AE5" w:rsidR="00D84482" w:rsidP="00D84482" w:rsidRDefault="00D84482" w14:paraId="4F316B79" w14:textId="6854CC86">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bottom w:val="single" w:color="auto" w:sz="4" w:space="0"/>
              <w:right w:val="dotted" w:color="auto" w:sz="4" w:space="0"/>
            </w:tcBorders>
            <w:shd w:val="clear" w:color="auto" w:fill="auto"/>
            <w:noWrap/>
            <w:vAlign w:val="center"/>
          </w:tcPr>
          <w:p w:rsidRPr="00FE5AE5" w:rsidR="00D84482" w:rsidP="00D84482" w:rsidRDefault="00D84482" w14:paraId="35F4CE22" w14:textId="183710D1">
            <w:pPr>
              <w:spacing w:after="0"/>
              <w:ind w:firstLine="0"/>
              <w:jc w:val="right"/>
              <w:rPr>
                <w:rFonts w:ascii="Arial Narrow" w:hAnsi="Arial Narrow" w:cs="Arial"/>
                <w:sz w:val="20"/>
              </w:rPr>
            </w:pPr>
            <w:r>
              <w:rPr>
                <w:rFonts w:ascii="Arial Narrow" w:hAnsi="Arial Narrow" w:cs="Calibri"/>
                <w:color w:val="000000"/>
                <w:sz w:val="20"/>
              </w:rPr>
              <w:t>$821</w:t>
            </w:r>
          </w:p>
        </w:tc>
        <w:tc>
          <w:tcPr>
            <w:tcW w:w="843" w:type="dxa"/>
            <w:tcBorders>
              <w:left w:val="dotted" w:color="auto" w:sz="4" w:space="0"/>
              <w:bottom w:val="single" w:color="auto" w:sz="4" w:space="0"/>
            </w:tcBorders>
            <w:shd w:val="clear" w:color="auto" w:fill="auto"/>
            <w:vAlign w:val="center"/>
          </w:tcPr>
          <w:p w:rsidRPr="00FE5AE5" w:rsidR="00D84482" w:rsidP="00D84482" w:rsidRDefault="00D84482" w14:paraId="0B94CBA4" w14:textId="138CD721">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D84482" w:rsidP="00D84482" w:rsidRDefault="00D84482" w14:paraId="66550B86" w14:textId="1D25BF1E">
            <w:pPr>
              <w:spacing w:after="0"/>
              <w:ind w:firstLine="0"/>
              <w:jc w:val="right"/>
              <w:rPr>
                <w:rFonts w:ascii="Arial Narrow" w:hAnsi="Arial Narrow" w:cs="Arial"/>
                <w:b/>
                <w:sz w:val="20"/>
              </w:rPr>
            </w:pPr>
            <w:r>
              <w:rPr>
                <w:rFonts w:ascii="Arial Narrow" w:hAnsi="Arial Narrow" w:cs="Calibri"/>
                <w:color w:val="000000"/>
                <w:sz w:val="20"/>
              </w:rPr>
              <w:t>$821</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D84482" w:rsidP="00D84482" w:rsidRDefault="00D84482" w14:paraId="67A7EF51" w14:textId="4C21A93B">
            <w:pPr>
              <w:spacing w:after="0"/>
              <w:ind w:firstLine="0"/>
              <w:jc w:val="right"/>
              <w:rPr>
                <w:rFonts w:ascii="Arial Narrow" w:hAnsi="Arial Narrow" w:cs="Arial"/>
                <w:b/>
                <w:sz w:val="20"/>
              </w:rPr>
            </w:pPr>
            <w:r>
              <w:rPr>
                <w:rFonts w:ascii="Arial Narrow" w:hAnsi="Arial Narrow" w:cs="Calibri"/>
                <w:color w:val="000000"/>
                <w:sz w:val="20"/>
              </w:rPr>
              <w:t>$0</w:t>
            </w:r>
          </w:p>
        </w:tc>
      </w:tr>
      <w:tr w:rsidRPr="00C97D4D" w:rsidR="00D84482" w:rsidTr="00D84482" w14:paraId="4BC85630" w14:textId="77777777">
        <w:trPr>
          <w:trHeight w:val="300"/>
        </w:trPr>
        <w:tc>
          <w:tcPr>
            <w:tcW w:w="2605" w:type="dxa"/>
            <w:tcBorders>
              <w:right w:val="single" w:color="auto" w:sz="2" w:space="0"/>
            </w:tcBorders>
            <w:shd w:val="clear" w:color="auto" w:fill="auto"/>
            <w:noWrap/>
            <w:vAlign w:val="center"/>
          </w:tcPr>
          <w:p w:rsidRPr="00FE5AE5" w:rsidR="00D84482" w:rsidP="00D84482" w:rsidRDefault="00D84482" w14:paraId="58DE28AD" w14:textId="7AC8674D">
            <w:pPr>
              <w:spacing w:after="0"/>
              <w:ind w:firstLine="0"/>
              <w:rPr>
                <w:rFonts w:ascii="Arial Narrow" w:hAnsi="Arial Narrow" w:cs="Arial"/>
                <w:sz w:val="20"/>
              </w:rPr>
            </w:pPr>
            <w:r w:rsidRPr="00FE5AE5">
              <w:rPr>
                <w:rFonts w:ascii="Arial Narrow" w:hAnsi="Arial Narrow" w:cs="Arial"/>
                <w:sz w:val="20"/>
              </w:rPr>
              <w:t>Consult with RP about where to collect water samples</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D84482" w:rsidP="00D84482" w:rsidRDefault="00D84482" w14:paraId="5DCB4C10" w14:textId="42661347">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D84482" w:rsidP="00D84482" w:rsidRDefault="00D84482" w14:paraId="5B31EC22" w14:textId="60FE5246">
            <w:pPr>
              <w:spacing w:after="0"/>
              <w:ind w:firstLine="0"/>
              <w:jc w:val="right"/>
              <w:rPr>
                <w:rFonts w:ascii="Arial Narrow" w:hAnsi="Arial Narrow" w:cs="Arial"/>
                <w:sz w:val="20"/>
              </w:rPr>
            </w:pPr>
            <w:r>
              <w:rPr>
                <w:rFonts w:ascii="Arial Narrow" w:hAnsi="Arial Narrow" w:cs="Calibri"/>
                <w:color w:val="000000"/>
                <w:sz w:val="20"/>
              </w:rPr>
              <w:t>$103</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253CCAE4" w14:textId="17A72C36">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D84482" w:rsidP="00D84482" w:rsidRDefault="00D84482" w14:paraId="28404DF1" w14:textId="0357D2DC">
            <w:pPr>
              <w:spacing w:after="0"/>
              <w:ind w:firstLine="0"/>
              <w:jc w:val="right"/>
              <w:rPr>
                <w:rFonts w:ascii="Arial Narrow" w:hAnsi="Arial Narrow" w:cs="Arial"/>
                <w:sz w:val="20"/>
              </w:rPr>
            </w:pPr>
            <w:r>
              <w:rPr>
                <w:rFonts w:ascii="Arial Narrow" w:hAnsi="Arial Narrow" w:cs="Calibri"/>
                <w:color w:val="000000"/>
                <w:sz w:val="20"/>
              </w:rPr>
              <w:t>$103</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45FAEA78" w14:textId="5B410116">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D84482" w:rsidP="00D84482" w:rsidRDefault="00D84482" w14:paraId="4601E837" w14:textId="67D3878D">
            <w:pPr>
              <w:spacing w:after="0"/>
              <w:ind w:firstLine="0"/>
              <w:jc w:val="right"/>
              <w:rPr>
                <w:rFonts w:ascii="Arial Narrow" w:hAnsi="Arial Narrow" w:cs="Arial"/>
                <w:sz w:val="20"/>
              </w:rPr>
            </w:pPr>
            <w:r>
              <w:rPr>
                <w:rFonts w:ascii="Arial Narrow" w:hAnsi="Arial Narrow" w:cs="Calibri"/>
                <w:color w:val="000000"/>
                <w:sz w:val="20"/>
              </w:rPr>
              <w:t>$103</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D84482" w:rsidP="00D84482" w:rsidRDefault="00D84482" w14:paraId="52367207" w14:textId="39040EE7">
            <w:pPr>
              <w:spacing w:after="0"/>
              <w:ind w:firstLine="0"/>
              <w:jc w:val="right"/>
              <w:rPr>
                <w:rFonts w:ascii="Arial Narrow" w:hAnsi="Arial Narrow" w:cs="Arial"/>
                <w:b/>
                <w:sz w:val="20"/>
              </w:rPr>
            </w:pPr>
            <w:r>
              <w:rPr>
                <w:rFonts w:ascii="Arial Narrow" w:hAnsi="Arial Narrow" w:cs="Calibri"/>
                <w:color w:val="000000"/>
                <w:sz w:val="20"/>
              </w:rPr>
              <w:t>$0</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D84482" w:rsidP="00D84482" w:rsidRDefault="00D84482" w14:paraId="0DC14D8A" w14:textId="6BBC9639">
            <w:pPr>
              <w:spacing w:after="0"/>
              <w:ind w:firstLine="0"/>
              <w:jc w:val="right"/>
              <w:rPr>
                <w:rFonts w:ascii="Arial Narrow" w:hAnsi="Arial Narrow" w:cs="Arial"/>
                <w:b/>
                <w:sz w:val="20"/>
              </w:rPr>
            </w:pPr>
            <w:r>
              <w:rPr>
                <w:rFonts w:ascii="Arial Narrow" w:hAnsi="Arial Narrow" w:cs="Calibri"/>
                <w:color w:val="000000"/>
                <w:sz w:val="20"/>
              </w:rPr>
              <w:t>$103</w:t>
            </w:r>
          </w:p>
        </w:tc>
      </w:tr>
      <w:tr w:rsidRPr="00C97D4D" w:rsidR="00D84482" w:rsidTr="00D84482" w14:paraId="70FAFED7" w14:textId="77777777">
        <w:trPr>
          <w:trHeight w:val="50"/>
        </w:trPr>
        <w:tc>
          <w:tcPr>
            <w:tcW w:w="2605" w:type="dxa"/>
            <w:tcBorders>
              <w:right w:val="single" w:color="auto" w:sz="2" w:space="0"/>
            </w:tcBorders>
            <w:shd w:val="clear" w:color="auto" w:fill="auto"/>
            <w:noWrap/>
            <w:vAlign w:val="center"/>
          </w:tcPr>
          <w:p w:rsidRPr="00FE5AE5" w:rsidR="00D84482" w:rsidP="00D84482" w:rsidRDefault="00D84482" w14:paraId="5708F6DE" w14:textId="77777777">
            <w:pPr>
              <w:spacing w:after="0"/>
              <w:ind w:firstLine="0"/>
              <w:rPr>
                <w:rFonts w:ascii="Arial Narrow" w:hAnsi="Arial Narrow" w:cs="Arial"/>
                <w:sz w:val="20"/>
              </w:rPr>
            </w:pPr>
            <w:r w:rsidRPr="00FE5AE5">
              <w:rPr>
                <w:rFonts w:ascii="Arial Narrow" w:hAnsi="Arial Narrow" w:cs="Arial"/>
                <w:sz w:val="20"/>
              </w:rPr>
              <w:lastRenderedPageBreak/>
              <w:t>Consult with RP in performing the oil distribution analysis</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D84482" w:rsidP="00D84482" w:rsidRDefault="00D84482" w14:paraId="0DF39990" w14:textId="3CDBEE89">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D84482" w:rsidP="00D84482" w:rsidRDefault="00D84482" w14:paraId="5556E6E7" w14:textId="5C5AD1EA">
            <w:pPr>
              <w:spacing w:after="0"/>
              <w:ind w:firstLine="0"/>
              <w:jc w:val="right"/>
              <w:rPr>
                <w:rFonts w:ascii="Arial Narrow" w:hAnsi="Arial Narrow" w:cs="Arial"/>
                <w:b/>
                <w:sz w:val="20"/>
              </w:rPr>
            </w:pPr>
            <w:r>
              <w:rPr>
                <w:rFonts w:ascii="Arial Narrow" w:hAnsi="Arial Narrow" w:cs="Calibri"/>
                <w:color w:val="000000"/>
                <w:sz w:val="20"/>
              </w:rPr>
              <w:t>$103</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01E5119A" w14:textId="2333D72D">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D84482" w:rsidP="00D84482" w:rsidRDefault="00D84482" w14:paraId="4BE0E0B7" w14:textId="16D292AC">
            <w:pPr>
              <w:spacing w:after="0"/>
              <w:ind w:firstLine="0"/>
              <w:jc w:val="right"/>
              <w:rPr>
                <w:rFonts w:ascii="Arial Narrow" w:hAnsi="Arial Narrow" w:cs="Arial"/>
                <w:sz w:val="20"/>
              </w:rPr>
            </w:pPr>
            <w:r>
              <w:rPr>
                <w:rFonts w:ascii="Arial Narrow" w:hAnsi="Arial Narrow" w:cs="Calibri"/>
                <w:color w:val="000000"/>
                <w:sz w:val="20"/>
              </w:rPr>
              <w:t>$205</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0D19A6ED" w14:textId="2751823D">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D84482" w:rsidP="00D84482" w:rsidRDefault="00D84482" w14:paraId="2C257F6E" w14:textId="7CFE2903">
            <w:pPr>
              <w:spacing w:after="0"/>
              <w:ind w:firstLine="0"/>
              <w:jc w:val="right"/>
              <w:rPr>
                <w:rFonts w:ascii="Arial Narrow" w:hAnsi="Arial Narrow" w:cs="Arial"/>
                <w:sz w:val="20"/>
              </w:rPr>
            </w:pPr>
            <w:r>
              <w:rPr>
                <w:rFonts w:ascii="Arial Narrow" w:hAnsi="Arial Narrow" w:cs="Calibri"/>
                <w:color w:val="000000"/>
                <w:sz w:val="20"/>
              </w:rPr>
              <w:t>$205</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D84482" w:rsidP="00D84482" w:rsidRDefault="00D84482" w14:paraId="359674AE" w14:textId="3D78438A">
            <w:pPr>
              <w:spacing w:after="0"/>
              <w:ind w:firstLine="0"/>
              <w:jc w:val="right"/>
              <w:rPr>
                <w:rFonts w:ascii="Arial Narrow" w:hAnsi="Arial Narrow" w:cs="Arial"/>
                <w:sz w:val="20"/>
              </w:rPr>
            </w:pPr>
            <w:r>
              <w:rPr>
                <w:rFonts w:ascii="Arial Narrow" w:hAnsi="Arial Narrow" w:cs="Calibri"/>
                <w:color w:val="000000"/>
                <w:sz w:val="20"/>
              </w:rPr>
              <w:t>$0</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D84482" w:rsidP="00D84482" w:rsidRDefault="00D84482" w14:paraId="68070941" w14:textId="49C3CAE4">
            <w:pPr>
              <w:spacing w:after="0"/>
              <w:ind w:firstLine="0"/>
              <w:jc w:val="right"/>
              <w:rPr>
                <w:rFonts w:ascii="Arial Narrow" w:hAnsi="Arial Narrow" w:cs="Arial"/>
                <w:b/>
                <w:sz w:val="20"/>
              </w:rPr>
            </w:pPr>
            <w:r>
              <w:rPr>
                <w:rFonts w:ascii="Arial Narrow" w:hAnsi="Arial Narrow" w:cs="Calibri"/>
                <w:color w:val="000000"/>
                <w:sz w:val="20"/>
              </w:rPr>
              <w:t>$205</w:t>
            </w:r>
          </w:p>
        </w:tc>
      </w:tr>
      <w:tr w:rsidRPr="00C97D4D" w:rsidR="00D84482" w:rsidTr="00D84482" w14:paraId="05174E2F" w14:textId="77777777">
        <w:trPr>
          <w:trHeight w:val="50"/>
        </w:trPr>
        <w:tc>
          <w:tcPr>
            <w:tcW w:w="2605" w:type="dxa"/>
            <w:tcBorders>
              <w:right w:val="single" w:color="auto" w:sz="2" w:space="0"/>
            </w:tcBorders>
            <w:shd w:val="clear" w:color="auto" w:fill="auto"/>
            <w:noWrap/>
            <w:vAlign w:val="center"/>
          </w:tcPr>
          <w:p w:rsidRPr="00FE5AE5" w:rsidR="00D84482" w:rsidP="00D84482" w:rsidRDefault="00D84482" w14:paraId="680F8473" w14:textId="77777777">
            <w:pPr>
              <w:spacing w:after="0"/>
              <w:ind w:firstLine="0"/>
              <w:rPr>
                <w:rFonts w:ascii="Arial Narrow" w:hAnsi="Arial Narrow" w:cs="Arial"/>
                <w:sz w:val="20"/>
              </w:rPr>
            </w:pPr>
            <w:r w:rsidRPr="00FE5AE5">
              <w:rPr>
                <w:rFonts w:ascii="Arial Narrow" w:hAnsi="Arial Narrow" w:cs="Arial"/>
                <w:sz w:val="20"/>
              </w:rPr>
              <w:t>Consult with RP in developing the ecological characterization</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D84482" w:rsidP="00D84482" w:rsidRDefault="00D84482" w14:paraId="365923D8" w14:textId="774B6AC9">
            <w:pPr>
              <w:spacing w:after="0"/>
              <w:ind w:firstLine="0"/>
              <w:jc w:val="right"/>
              <w:rPr>
                <w:rFonts w:ascii="Arial Narrow" w:hAnsi="Arial Narrow" w:cs="Arial"/>
                <w:sz w:val="20"/>
              </w:rPr>
            </w:pPr>
            <w:r>
              <w:rPr>
                <w:rFonts w:ascii="Arial Narrow" w:hAnsi="Arial Narrow" w:cs="Calibri"/>
                <w:color w:val="000000"/>
                <w:sz w:val="20"/>
              </w:rPr>
              <w:t>$821</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D84482" w:rsidP="00D84482" w:rsidRDefault="00D84482" w14:paraId="14C0D6CF" w14:textId="234C98AF">
            <w:pPr>
              <w:spacing w:after="0"/>
              <w:ind w:firstLine="0"/>
              <w:jc w:val="right"/>
              <w:rPr>
                <w:rFonts w:ascii="Arial Narrow" w:hAnsi="Arial Narrow" w:cs="Arial"/>
                <w:b/>
                <w:sz w:val="20"/>
              </w:rPr>
            </w:pPr>
            <w:r>
              <w:rPr>
                <w:rFonts w:ascii="Arial Narrow" w:hAnsi="Arial Narrow" w:cs="Calibri"/>
                <w:color w:val="000000"/>
                <w:sz w:val="20"/>
              </w:rPr>
              <w:t>$0</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44FD85A9" w14:textId="4C8A2832">
            <w:pPr>
              <w:spacing w:after="0"/>
              <w:ind w:firstLine="0"/>
              <w:jc w:val="right"/>
              <w:rPr>
                <w:rFonts w:ascii="Arial Narrow" w:hAnsi="Arial Narrow" w:cs="Arial"/>
                <w:sz w:val="20"/>
              </w:rPr>
            </w:pPr>
            <w:r>
              <w:rPr>
                <w:rFonts w:ascii="Arial Narrow" w:hAnsi="Arial Narrow" w:cs="Calibri"/>
                <w:color w:val="000000"/>
                <w:sz w:val="20"/>
              </w:rPr>
              <w:t>$1,643</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D84482" w:rsidP="00D84482" w:rsidRDefault="00D84482" w14:paraId="4CFD82A7" w14:textId="6B34EFF6">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348A2DD7" w14:textId="68E69C7D">
            <w:pPr>
              <w:spacing w:after="0"/>
              <w:ind w:firstLine="0"/>
              <w:jc w:val="right"/>
              <w:rPr>
                <w:rFonts w:ascii="Arial Narrow" w:hAnsi="Arial Narrow" w:cs="Arial"/>
                <w:sz w:val="20"/>
              </w:rPr>
            </w:pPr>
            <w:r>
              <w:rPr>
                <w:rFonts w:ascii="Arial Narrow" w:hAnsi="Arial Narrow" w:cs="Calibri"/>
                <w:color w:val="000000"/>
                <w:sz w:val="20"/>
              </w:rPr>
              <w:t>$2,464</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D84482" w:rsidP="00D84482" w:rsidRDefault="00D84482" w14:paraId="340D5D89" w14:textId="720E4571">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D84482" w:rsidP="00D84482" w:rsidRDefault="00D84482" w14:paraId="7FCA0EBB" w14:textId="288AFEAE">
            <w:pPr>
              <w:spacing w:after="0"/>
              <w:ind w:firstLine="0"/>
              <w:jc w:val="right"/>
              <w:rPr>
                <w:rFonts w:ascii="Arial Narrow" w:hAnsi="Arial Narrow" w:cs="Arial"/>
                <w:sz w:val="20"/>
              </w:rPr>
            </w:pPr>
            <w:r>
              <w:rPr>
                <w:rFonts w:ascii="Arial Narrow" w:hAnsi="Arial Narrow" w:cs="Calibri"/>
                <w:color w:val="000000"/>
                <w:sz w:val="20"/>
              </w:rPr>
              <w:t>$3,285</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D84482" w:rsidP="00D84482" w:rsidRDefault="00D84482" w14:paraId="05A42475" w14:textId="77593226">
            <w:pPr>
              <w:spacing w:after="0"/>
              <w:ind w:firstLine="0"/>
              <w:jc w:val="right"/>
              <w:rPr>
                <w:rFonts w:ascii="Arial Narrow" w:hAnsi="Arial Narrow" w:cs="Arial"/>
                <w:b/>
                <w:sz w:val="20"/>
              </w:rPr>
            </w:pPr>
            <w:r>
              <w:rPr>
                <w:rFonts w:ascii="Arial Narrow" w:hAnsi="Arial Narrow" w:cs="Calibri"/>
                <w:color w:val="000000"/>
                <w:sz w:val="20"/>
              </w:rPr>
              <w:t>$0</w:t>
            </w:r>
          </w:p>
        </w:tc>
      </w:tr>
      <w:tr w:rsidRPr="00C97D4D" w:rsidR="00D84482" w:rsidTr="00D84482" w14:paraId="3C2AE176" w14:textId="77777777">
        <w:trPr>
          <w:trHeight w:val="300"/>
        </w:trPr>
        <w:tc>
          <w:tcPr>
            <w:tcW w:w="2605" w:type="dxa"/>
            <w:tcBorders>
              <w:right w:val="single" w:color="auto" w:sz="2" w:space="0"/>
            </w:tcBorders>
            <w:shd w:val="clear" w:color="auto" w:fill="auto"/>
            <w:noWrap/>
            <w:vAlign w:val="center"/>
          </w:tcPr>
          <w:p w:rsidRPr="00FE5AE5" w:rsidR="00D84482" w:rsidP="00D84482" w:rsidRDefault="00D84482" w14:paraId="58F6EF1A" w14:textId="49FD911F">
            <w:pPr>
              <w:spacing w:after="0"/>
              <w:ind w:firstLine="0"/>
              <w:rPr>
                <w:rFonts w:ascii="Arial Narrow" w:hAnsi="Arial Narrow" w:cs="Arial"/>
                <w:sz w:val="20"/>
              </w:rPr>
            </w:pPr>
            <w:r w:rsidRPr="00FE5AE5">
              <w:rPr>
                <w:rFonts w:ascii="Arial Narrow" w:hAnsi="Arial Narrow" w:cs="Arial"/>
                <w:sz w:val="20"/>
              </w:rPr>
              <w:t>Review reports by the RP</w:t>
            </w:r>
          </w:p>
        </w:tc>
        <w:tc>
          <w:tcPr>
            <w:tcW w:w="843" w:type="dxa"/>
            <w:tcBorders>
              <w:top w:val="single" w:color="auto" w:sz="4" w:space="0"/>
              <w:left w:val="single" w:color="auto" w:sz="2" w:space="0"/>
              <w:bottom w:val="single" w:color="auto" w:sz="4" w:space="0"/>
              <w:right w:val="dotted" w:color="auto" w:sz="4" w:space="0"/>
            </w:tcBorders>
            <w:vAlign w:val="center"/>
          </w:tcPr>
          <w:p w:rsidRPr="00FE5AE5" w:rsidR="00D84482" w:rsidP="00D84482" w:rsidRDefault="00D84482" w14:paraId="143F94D6" w14:textId="33E5CCF3">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vAlign w:val="center"/>
          </w:tcPr>
          <w:p w:rsidRPr="00FE5AE5" w:rsidR="00D84482" w:rsidP="00D84482" w:rsidRDefault="00D84482" w14:paraId="663D87CB" w14:textId="11F4448C">
            <w:pPr>
              <w:spacing w:after="0"/>
              <w:ind w:firstLine="0"/>
              <w:jc w:val="right"/>
              <w:rPr>
                <w:rFonts w:ascii="Arial Narrow" w:hAnsi="Arial Narrow" w:cs="Arial"/>
                <w:sz w:val="20"/>
              </w:rPr>
            </w:pPr>
            <w:r>
              <w:rPr>
                <w:rFonts w:ascii="Arial Narrow" w:hAnsi="Arial Narrow" w:cs="Calibri"/>
                <w:color w:val="000000"/>
                <w:sz w:val="20"/>
              </w:rPr>
              <w:t>$103</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618F5D79" w14:textId="62F66029">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FE5AE5" w:rsidR="00D84482" w:rsidP="00D84482" w:rsidRDefault="00D84482" w14:paraId="5401C5EB" w14:textId="20D3F2AB">
            <w:pPr>
              <w:spacing w:after="0"/>
              <w:ind w:firstLine="0"/>
              <w:jc w:val="right"/>
              <w:rPr>
                <w:rFonts w:ascii="Arial Narrow" w:hAnsi="Arial Narrow" w:cs="Arial"/>
                <w:sz w:val="20"/>
              </w:rPr>
            </w:pPr>
            <w:r>
              <w:rPr>
                <w:rFonts w:ascii="Arial Narrow" w:hAnsi="Arial Narrow" w:cs="Calibri"/>
                <w:color w:val="000000"/>
                <w:sz w:val="20"/>
              </w:rPr>
              <w:t>$103</w:t>
            </w:r>
          </w:p>
        </w:tc>
        <w:tc>
          <w:tcPr>
            <w:tcW w:w="843"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D84482" w:rsidP="00D84482" w:rsidRDefault="00D84482" w14:paraId="6312B5D7" w14:textId="7E114191">
            <w:pPr>
              <w:spacing w:after="0"/>
              <w:ind w:firstLine="0"/>
              <w:jc w:val="right"/>
              <w:rPr>
                <w:rFonts w:ascii="Arial Narrow" w:hAnsi="Arial Narrow" w:cs="Arial"/>
                <w:sz w:val="20"/>
              </w:rPr>
            </w:pPr>
            <w:r>
              <w:rPr>
                <w:rFonts w:ascii="Arial Narrow" w:hAnsi="Arial Narrow" w:cs="Calibri"/>
                <w:color w:val="000000"/>
                <w:sz w:val="20"/>
              </w:rPr>
              <w:t>$0</w:t>
            </w:r>
          </w:p>
        </w:tc>
        <w:tc>
          <w:tcPr>
            <w:tcW w:w="843" w:type="dxa"/>
            <w:tcBorders>
              <w:top w:val="single" w:color="auto" w:sz="4" w:space="0"/>
              <w:left w:val="dotted" w:color="auto" w:sz="4" w:space="0"/>
              <w:bottom w:val="single" w:color="auto" w:sz="4" w:space="0"/>
              <w:right w:val="single" w:color="auto" w:sz="2" w:space="0"/>
            </w:tcBorders>
            <w:shd w:val="clear" w:color="auto" w:fill="auto"/>
            <w:vAlign w:val="center"/>
          </w:tcPr>
          <w:p w:rsidRPr="00FE5AE5" w:rsidR="00D84482" w:rsidP="00D84482" w:rsidRDefault="00D84482" w14:paraId="5FD6E167" w14:textId="770D4166">
            <w:pPr>
              <w:spacing w:after="0"/>
              <w:ind w:firstLine="0"/>
              <w:jc w:val="right"/>
              <w:rPr>
                <w:rFonts w:ascii="Arial Narrow" w:hAnsi="Arial Narrow" w:cs="Arial"/>
                <w:sz w:val="20"/>
              </w:rPr>
            </w:pPr>
            <w:r>
              <w:rPr>
                <w:rFonts w:ascii="Arial Narrow" w:hAnsi="Arial Narrow" w:cs="Calibri"/>
                <w:color w:val="000000"/>
                <w:sz w:val="20"/>
              </w:rPr>
              <w:t>$103</w:t>
            </w:r>
          </w:p>
        </w:tc>
        <w:tc>
          <w:tcPr>
            <w:tcW w:w="843" w:type="dxa"/>
            <w:tcBorders>
              <w:top w:val="single" w:color="auto" w:sz="2" w:space="0"/>
              <w:left w:val="nil"/>
              <w:bottom w:val="single" w:color="auto" w:sz="2" w:space="0"/>
              <w:right w:val="dotted" w:color="auto" w:sz="4" w:space="0"/>
            </w:tcBorders>
            <w:shd w:val="clear" w:color="auto" w:fill="auto"/>
            <w:vAlign w:val="center"/>
          </w:tcPr>
          <w:p w:rsidRPr="00FE5AE5" w:rsidR="00D84482" w:rsidP="00D84482" w:rsidRDefault="00D84482" w14:paraId="519226A0" w14:textId="5292CB48">
            <w:pPr>
              <w:spacing w:after="0"/>
              <w:ind w:firstLine="0"/>
              <w:jc w:val="right"/>
              <w:rPr>
                <w:rFonts w:ascii="Arial Narrow" w:hAnsi="Arial Narrow" w:cs="Arial"/>
                <w:b/>
                <w:sz w:val="20"/>
              </w:rPr>
            </w:pPr>
            <w:r>
              <w:rPr>
                <w:rFonts w:ascii="Arial Narrow" w:hAnsi="Arial Narrow" w:cs="Calibri"/>
                <w:color w:val="000000"/>
                <w:sz w:val="20"/>
              </w:rPr>
              <w:t>$0</w:t>
            </w:r>
          </w:p>
        </w:tc>
        <w:tc>
          <w:tcPr>
            <w:tcW w:w="844" w:type="dxa"/>
            <w:tcBorders>
              <w:top w:val="single" w:color="auto" w:sz="2" w:space="0"/>
              <w:left w:val="nil"/>
              <w:bottom w:val="single" w:color="auto" w:sz="2" w:space="0"/>
              <w:right w:val="single" w:color="auto" w:sz="2" w:space="0"/>
            </w:tcBorders>
            <w:shd w:val="clear" w:color="auto" w:fill="auto"/>
            <w:vAlign w:val="center"/>
          </w:tcPr>
          <w:p w:rsidRPr="00FE5AE5" w:rsidR="00D84482" w:rsidP="00D84482" w:rsidRDefault="00D84482" w14:paraId="6EE0ABC7" w14:textId="648D7247">
            <w:pPr>
              <w:spacing w:after="0"/>
              <w:ind w:firstLine="0"/>
              <w:jc w:val="right"/>
              <w:rPr>
                <w:rFonts w:ascii="Arial Narrow" w:hAnsi="Arial Narrow" w:cs="Arial"/>
                <w:b/>
                <w:sz w:val="20"/>
              </w:rPr>
            </w:pPr>
            <w:r>
              <w:rPr>
                <w:rFonts w:ascii="Arial Narrow" w:hAnsi="Arial Narrow" w:cs="Calibri"/>
                <w:color w:val="000000"/>
                <w:sz w:val="20"/>
              </w:rPr>
              <w:t>$205</w:t>
            </w:r>
          </w:p>
        </w:tc>
      </w:tr>
      <w:tr w:rsidR="00D84482" w:rsidTr="00D84482" w14:paraId="5AFB3141" w14:textId="77777777">
        <w:trPr>
          <w:trHeight w:val="242"/>
        </w:trPr>
        <w:tc>
          <w:tcPr>
            <w:tcW w:w="2605" w:type="dxa"/>
            <w:tcBorders>
              <w:right w:val="single" w:color="auto" w:sz="2" w:space="0"/>
            </w:tcBorders>
            <w:shd w:val="clear" w:color="auto" w:fill="F2F2F2" w:themeFill="background1" w:themeFillShade="F2"/>
            <w:noWrap/>
            <w:vAlign w:val="bottom"/>
          </w:tcPr>
          <w:p w:rsidRPr="00FE5AE5" w:rsidR="00D84482" w:rsidP="00D84482" w:rsidRDefault="00D84482" w14:paraId="5418428F" w14:textId="505D6D0E">
            <w:pPr>
              <w:spacing w:after="0"/>
              <w:ind w:firstLine="0"/>
              <w:rPr>
                <w:rFonts w:ascii="Arial Narrow" w:hAnsi="Arial Narrow" w:cs="Arial"/>
                <w:b/>
                <w:sz w:val="20"/>
              </w:rPr>
            </w:pPr>
            <w:r w:rsidRPr="00FE5AE5">
              <w:rPr>
                <w:rFonts w:ascii="Arial Narrow" w:hAnsi="Arial Narrow" w:cs="Arial"/>
                <w:b/>
                <w:sz w:val="20"/>
              </w:rPr>
              <w:t>Total Unit Cost</w:t>
            </w:r>
          </w:p>
        </w:tc>
        <w:tc>
          <w:tcPr>
            <w:tcW w:w="843" w:type="dxa"/>
            <w:tcBorders>
              <w:top w:val="single" w:color="auto" w:sz="4" w:space="0"/>
              <w:left w:val="single" w:color="auto" w:sz="2" w:space="0"/>
              <w:bottom w:val="single" w:color="auto" w:sz="2" w:space="0"/>
              <w:right w:val="dotted" w:color="auto" w:sz="4" w:space="0"/>
            </w:tcBorders>
            <w:shd w:val="clear" w:color="auto" w:fill="F2F2F2" w:themeFill="background1" w:themeFillShade="F2"/>
            <w:vAlign w:val="center"/>
          </w:tcPr>
          <w:p w:rsidRPr="00FE5AE5" w:rsidR="00D84482" w:rsidP="00D84482" w:rsidRDefault="00D84482" w14:paraId="41BE47DC" w14:textId="216607EE">
            <w:pPr>
              <w:spacing w:after="0"/>
              <w:ind w:firstLine="0"/>
              <w:jc w:val="right"/>
              <w:rPr>
                <w:rFonts w:ascii="Arial Narrow" w:hAnsi="Arial Narrow" w:cs="Arial"/>
                <w:b/>
                <w:sz w:val="20"/>
              </w:rPr>
            </w:pPr>
            <w:r>
              <w:rPr>
                <w:rFonts w:ascii="Arial Narrow" w:hAnsi="Arial Narrow" w:cs="Calibri"/>
                <w:b/>
                <w:bCs/>
                <w:color w:val="000000"/>
                <w:sz w:val="20"/>
              </w:rPr>
              <w:t>$1,643</w:t>
            </w:r>
          </w:p>
        </w:tc>
        <w:tc>
          <w:tcPr>
            <w:tcW w:w="843" w:type="dxa"/>
            <w:tcBorders>
              <w:top w:val="single" w:color="auto" w:sz="4" w:space="0"/>
              <w:left w:val="dotted" w:color="auto" w:sz="4" w:space="0"/>
              <w:bottom w:val="single" w:color="auto" w:sz="2" w:space="0"/>
              <w:right w:val="single" w:color="auto" w:sz="2" w:space="0"/>
            </w:tcBorders>
            <w:shd w:val="clear" w:color="auto" w:fill="F2F2F2" w:themeFill="background1" w:themeFillShade="F2"/>
            <w:vAlign w:val="center"/>
          </w:tcPr>
          <w:p w:rsidRPr="00FE5AE5" w:rsidR="00D84482" w:rsidP="00D84482" w:rsidRDefault="00D84482" w14:paraId="3BD78994" w14:textId="624AEBC8">
            <w:pPr>
              <w:spacing w:after="0"/>
              <w:ind w:firstLine="0"/>
              <w:jc w:val="right"/>
              <w:rPr>
                <w:rFonts w:ascii="Arial Narrow" w:hAnsi="Arial Narrow" w:cs="Arial"/>
                <w:b/>
                <w:sz w:val="20"/>
              </w:rPr>
            </w:pPr>
            <w:r>
              <w:rPr>
                <w:rFonts w:ascii="Arial Narrow" w:hAnsi="Arial Narrow" w:cs="Calibri"/>
                <w:b/>
                <w:bCs/>
                <w:color w:val="000000"/>
                <w:sz w:val="20"/>
              </w:rPr>
              <w:t>$308</w:t>
            </w:r>
          </w:p>
        </w:tc>
        <w:tc>
          <w:tcPr>
            <w:tcW w:w="843"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FE5AE5" w:rsidR="00D84482" w:rsidP="00D84482" w:rsidRDefault="00D84482" w14:paraId="56C5D79E" w14:textId="6F444BF1">
            <w:pPr>
              <w:spacing w:after="0"/>
              <w:ind w:firstLine="0"/>
              <w:jc w:val="right"/>
              <w:rPr>
                <w:rFonts w:ascii="Arial Narrow" w:hAnsi="Arial Narrow" w:cs="Arial"/>
                <w:b/>
                <w:sz w:val="20"/>
              </w:rPr>
            </w:pPr>
            <w:r>
              <w:rPr>
                <w:rFonts w:ascii="Arial Narrow" w:hAnsi="Arial Narrow" w:cs="Calibri"/>
                <w:b/>
                <w:bCs/>
                <w:color w:val="000000"/>
                <w:sz w:val="20"/>
              </w:rPr>
              <w:t>$2,464</w:t>
            </w:r>
          </w:p>
        </w:tc>
        <w:tc>
          <w:tcPr>
            <w:tcW w:w="843" w:type="dxa"/>
            <w:tcBorders>
              <w:top w:val="single" w:color="auto" w:sz="4" w:space="0"/>
              <w:left w:val="dotted" w:color="auto" w:sz="4" w:space="0"/>
              <w:bottom w:val="single" w:color="auto" w:sz="2" w:space="0"/>
              <w:right w:val="single" w:color="auto" w:sz="2" w:space="0"/>
            </w:tcBorders>
            <w:shd w:val="clear" w:color="auto" w:fill="F2F2F2" w:themeFill="background1" w:themeFillShade="F2"/>
            <w:noWrap/>
            <w:vAlign w:val="center"/>
          </w:tcPr>
          <w:p w:rsidRPr="00FE5AE5" w:rsidR="00D84482" w:rsidP="00D84482" w:rsidRDefault="00D84482" w14:paraId="7EEDB4F7" w14:textId="2A225928">
            <w:pPr>
              <w:spacing w:after="0"/>
              <w:ind w:firstLine="0"/>
              <w:jc w:val="right"/>
              <w:rPr>
                <w:rFonts w:ascii="Arial Narrow" w:hAnsi="Arial Narrow" w:cs="Arial"/>
                <w:b/>
                <w:sz w:val="20"/>
              </w:rPr>
            </w:pPr>
            <w:r>
              <w:rPr>
                <w:rFonts w:ascii="Arial Narrow" w:hAnsi="Arial Narrow" w:cs="Calibri"/>
                <w:b/>
                <w:bCs/>
                <w:color w:val="000000"/>
                <w:sz w:val="20"/>
              </w:rPr>
              <w:t>$411</w:t>
            </w:r>
          </w:p>
        </w:tc>
        <w:tc>
          <w:tcPr>
            <w:tcW w:w="843"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FE5AE5" w:rsidR="00D84482" w:rsidP="00D84482" w:rsidRDefault="00D84482" w14:paraId="00446F81" w14:textId="02C33012">
            <w:pPr>
              <w:spacing w:after="0"/>
              <w:ind w:firstLine="0"/>
              <w:jc w:val="right"/>
              <w:rPr>
                <w:rFonts w:ascii="Arial Narrow" w:hAnsi="Arial Narrow" w:cs="Arial"/>
                <w:b/>
                <w:sz w:val="20"/>
              </w:rPr>
            </w:pPr>
            <w:r>
              <w:rPr>
                <w:rFonts w:ascii="Arial Narrow" w:hAnsi="Arial Narrow" w:cs="Calibri"/>
                <w:b/>
                <w:bCs/>
                <w:color w:val="000000"/>
                <w:sz w:val="20"/>
              </w:rPr>
              <w:t>$3,285</w:t>
            </w:r>
          </w:p>
        </w:tc>
        <w:tc>
          <w:tcPr>
            <w:tcW w:w="843" w:type="dxa"/>
            <w:tcBorders>
              <w:top w:val="single" w:color="auto" w:sz="4" w:space="0"/>
              <w:left w:val="dotted" w:color="auto" w:sz="4" w:space="0"/>
              <w:bottom w:val="single" w:color="auto" w:sz="2" w:space="0"/>
              <w:right w:val="single" w:color="auto" w:sz="2" w:space="0"/>
            </w:tcBorders>
            <w:shd w:val="clear" w:color="auto" w:fill="F2F2F2" w:themeFill="background1" w:themeFillShade="F2"/>
            <w:vAlign w:val="center"/>
          </w:tcPr>
          <w:p w:rsidRPr="00FE5AE5" w:rsidR="00D84482" w:rsidP="00D84482" w:rsidRDefault="00D84482" w14:paraId="5C76606F" w14:textId="1517E288">
            <w:pPr>
              <w:spacing w:after="0"/>
              <w:ind w:firstLine="0"/>
              <w:jc w:val="right"/>
              <w:rPr>
                <w:rFonts w:ascii="Arial Narrow" w:hAnsi="Arial Narrow" w:cs="Arial"/>
                <w:b/>
                <w:sz w:val="20"/>
              </w:rPr>
            </w:pPr>
            <w:r>
              <w:rPr>
                <w:rFonts w:ascii="Arial Narrow" w:hAnsi="Arial Narrow" w:cs="Calibri"/>
                <w:b/>
                <w:bCs/>
                <w:color w:val="000000"/>
                <w:sz w:val="20"/>
              </w:rPr>
              <w:t>$411</w:t>
            </w:r>
          </w:p>
        </w:tc>
        <w:tc>
          <w:tcPr>
            <w:tcW w:w="843" w:type="dxa"/>
            <w:tcBorders>
              <w:top w:val="single" w:color="auto" w:sz="2" w:space="0"/>
              <w:left w:val="nil"/>
              <w:bottom w:val="single" w:color="auto" w:sz="2" w:space="0"/>
              <w:right w:val="dotted" w:color="auto" w:sz="4" w:space="0"/>
            </w:tcBorders>
            <w:shd w:val="clear" w:color="auto" w:fill="F2F2F2" w:themeFill="background1" w:themeFillShade="F2"/>
            <w:vAlign w:val="center"/>
          </w:tcPr>
          <w:p w:rsidRPr="00FE5AE5" w:rsidR="00D84482" w:rsidP="00D84482" w:rsidRDefault="00D84482" w14:paraId="445E617C" w14:textId="505A3387">
            <w:pPr>
              <w:spacing w:after="0"/>
              <w:ind w:firstLine="0"/>
              <w:jc w:val="right"/>
              <w:rPr>
                <w:rFonts w:ascii="Arial Narrow" w:hAnsi="Arial Narrow" w:cs="Arial"/>
                <w:b/>
                <w:sz w:val="20"/>
              </w:rPr>
            </w:pPr>
            <w:r>
              <w:rPr>
                <w:rFonts w:ascii="Arial Narrow" w:hAnsi="Arial Narrow" w:cs="Calibri"/>
                <w:b/>
                <w:bCs/>
                <w:color w:val="000000"/>
                <w:sz w:val="20"/>
              </w:rPr>
              <w:t>$4,107</w:t>
            </w:r>
          </w:p>
        </w:tc>
        <w:tc>
          <w:tcPr>
            <w:tcW w:w="844" w:type="dxa"/>
            <w:tcBorders>
              <w:top w:val="single" w:color="auto" w:sz="2" w:space="0"/>
              <w:left w:val="nil"/>
              <w:bottom w:val="single" w:color="auto" w:sz="2" w:space="0"/>
              <w:right w:val="single" w:color="auto" w:sz="2" w:space="0"/>
            </w:tcBorders>
            <w:shd w:val="clear" w:color="auto" w:fill="F2F2F2" w:themeFill="background1" w:themeFillShade="F2"/>
            <w:vAlign w:val="center"/>
          </w:tcPr>
          <w:p w:rsidRPr="00FE5AE5" w:rsidR="00D84482" w:rsidP="00D84482" w:rsidRDefault="00D84482" w14:paraId="73CEAE22" w14:textId="2F77B4C2">
            <w:pPr>
              <w:spacing w:after="0"/>
              <w:ind w:firstLine="0"/>
              <w:jc w:val="right"/>
              <w:rPr>
                <w:rFonts w:ascii="Arial Narrow" w:hAnsi="Arial Narrow" w:cs="Arial"/>
                <w:b/>
                <w:sz w:val="20"/>
              </w:rPr>
            </w:pPr>
            <w:r>
              <w:rPr>
                <w:rFonts w:ascii="Arial Narrow" w:hAnsi="Arial Narrow" w:cs="Calibri"/>
                <w:b/>
                <w:bCs/>
                <w:color w:val="000000"/>
                <w:sz w:val="20"/>
              </w:rPr>
              <w:t>$513</w:t>
            </w:r>
          </w:p>
        </w:tc>
      </w:tr>
    </w:tbl>
    <w:p w:rsidR="00D84482" w:rsidP="00D84482" w:rsidRDefault="00D84482" w14:paraId="1AD74742" w14:textId="77777777">
      <w:pPr>
        <w:ind w:firstLine="0"/>
      </w:pPr>
    </w:p>
    <w:p w:rsidRPr="00FE5AE5" w:rsidR="00D84482" w:rsidP="00D84482" w:rsidRDefault="00D84482" w14:paraId="4FD57D6D" w14:textId="5AA7EA33">
      <w:pPr>
        <w:ind w:firstLine="0"/>
      </w:pPr>
      <w:r>
        <w:tab/>
      </w:r>
      <w:r>
        <w:fldChar w:fldCharType="begin"/>
      </w:r>
      <w:r>
        <w:instrText xml:space="preserve"> REF _Ref55298059 \h </w:instrText>
      </w:r>
      <w:r>
        <w:fldChar w:fldCharType="separate"/>
      </w:r>
      <w:r w:rsidRPr="007106F4">
        <w:t xml:space="preserve">Exhibit </w:t>
      </w:r>
      <w:r>
        <w:rPr>
          <w:noProof/>
        </w:rPr>
        <w:t>4</w:t>
      </w:r>
      <w:r>
        <w:fldChar w:fldCharType="end"/>
      </w:r>
      <w:r>
        <w:t xml:space="preserve"> presents the estimated total burden and cost to EPA per discharge after accounting for the number of days associated with each discharge response (S1=5 days, S2=27 days, S3=65 days, S4=90 days).</w:t>
      </w:r>
      <w:r w:rsidR="007D6CCF">
        <w:t xml:space="preserve"> The Agency’s total burden per discharge is estimate</w:t>
      </w:r>
      <w:r w:rsidR="00034952">
        <w:t>d</w:t>
      </w:r>
      <w:r w:rsidR="007D6CCF">
        <w:t xml:space="preserve"> to be 31 to 490 hours, and $3,200 to $50,000, depending on the characteristics of the discharge.</w:t>
      </w:r>
    </w:p>
    <w:p w:rsidR="00D84482" w:rsidP="000C53E4" w:rsidRDefault="00D84482" w14:paraId="596DF811" w14:textId="60A65BE7">
      <w:pPr>
        <w:pStyle w:val="TableTitle"/>
        <w:rPr>
          <w:rFonts w:ascii="Arial" w:hAnsi="Arial" w:cs="Arial"/>
          <w:b/>
          <w:bCs/>
          <w:szCs w:val="19"/>
        </w:rPr>
      </w:pPr>
      <w:bookmarkStart w:name="_Ref55298059" w:id="12"/>
      <w:r w:rsidRPr="007106F4">
        <w:t xml:space="preserve">Exhibit </w:t>
      </w:r>
      <w:r>
        <w:rPr>
          <w:noProof/>
        </w:rPr>
        <w:fldChar w:fldCharType="begin"/>
      </w:r>
      <w:r>
        <w:rPr>
          <w:noProof/>
        </w:rPr>
        <w:instrText xml:space="preserve"> SEQ Exhibit \* ARABIC </w:instrText>
      </w:r>
      <w:r>
        <w:rPr>
          <w:noProof/>
        </w:rPr>
        <w:fldChar w:fldCharType="separate"/>
      </w:r>
      <w:r>
        <w:rPr>
          <w:noProof/>
        </w:rPr>
        <w:t>4</w:t>
      </w:r>
      <w:r>
        <w:rPr>
          <w:noProof/>
        </w:rPr>
        <w:fldChar w:fldCharType="end"/>
      </w:r>
      <w:bookmarkEnd w:id="12"/>
      <w:r w:rsidRPr="007106F4">
        <w:t xml:space="preserve">: </w:t>
      </w:r>
      <w:r w:rsidRPr="00152400">
        <w:rPr>
          <w:rFonts w:ascii="Arial" w:hAnsi="Arial" w:cs="Arial"/>
          <w:b/>
          <w:bCs/>
          <w:szCs w:val="19"/>
        </w:rPr>
        <w:t xml:space="preserve">Estimated </w:t>
      </w:r>
      <w:r>
        <w:rPr>
          <w:rFonts w:ascii="Arial" w:hAnsi="Arial" w:cs="Arial"/>
          <w:b/>
          <w:bCs/>
          <w:szCs w:val="19"/>
        </w:rPr>
        <w:t xml:space="preserve">Total </w:t>
      </w:r>
      <w:r w:rsidRPr="00152400">
        <w:rPr>
          <w:rFonts w:ascii="Arial" w:hAnsi="Arial" w:cs="Arial"/>
          <w:b/>
          <w:bCs/>
          <w:szCs w:val="19"/>
        </w:rPr>
        <w:t>Burden and Cost to EPA</w:t>
      </w:r>
      <w:r>
        <w:rPr>
          <w:rFonts w:ascii="Arial" w:hAnsi="Arial" w:cs="Arial"/>
          <w:b/>
          <w:bCs/>
          <w:szCs w:val="19"/>
        </w:rPr>
        <w:t xml:space="preserve"> per Discharge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74"/>
        <w:gridCol w:w="1319"/>
        <w:gridCol w:w="1319"/>
        <w:gridCol w:w="1319"/>
        <w:gridCol w:w="1319"/>
      </w:tblGrid>
      <w:tr w:rsidRPr="00BF0741" w:rsidR="007D6CCF" w:rsidTr="007D6CCF" w14:paraId="101E80BB" w14:textId="77777777">
        <w:trPr>
          <w:trHeight w:val="350"/>
          <w:tblHeader/>
        </w:trPr>
        <w:tc>
          <w:tcPr>
            <w:tcW w:w="4074" w:type="dxa"/>
            <w:shd w:val="clear" w:color="auto" w:fill="D9D9D9" w:themeFill="background1" w:themeFillShade="D9"/>
            <w:noWrap/>
            <w:vAlign w:val="center"/>
            <w:hideMark/>
          </w:tcPr>
          <w:p w:rsidRPr="00FE5AE5" w:rsidR="007D6CCF" w:rsidP="00D84482" w:rsidRDefault="007D6CCF" w14:paraId="6AD27984" w14:textId="77777777">
            <w:pPr>
              <w:spacing w:after="0"/>
              <w:ind w:firstLine="0"/>
              <w:jc w:val="center"/>
              <w:rPr>
                <w:rFonts w:ascii="Arial Narrow" w:hAnsi="Arial Narrow" w:cs="Calibri"/>
                <w:b/>
                <w:sz w:val="20"/>
              </w:rPr>
            </w:pPr>
            <w:r w:rsidRPr="00FE5AE5">
              <w:rPr>
                <w:rFonts w:ascii="Arial Narrow" w:hAnsi="Arial Narrow" w:cs="Arial"/>
                <w:b/>
                <w:bCs/>
                <w:sz w:val="20"/>
              </w:rPr>
              <w:t>Information Collection Activity</w:t>
            </w:r>
          </w:p>
        </w:tc>
        <w:tc>
          <w:tcPr>
            <w:tcW w:w="1319" w:type="dxa"/>
            <w:shd w:val="clear" w:color="auto" w:fill="D9D9D9" w:themeFill="background1" w:themeFillShade="D9"/>
            <w:vAlign w:val="bottom"/>
          </w:tcPr>
          <w:p w:rsidRPr="00FE5AE5" w:rsidR="007D6CCF" w:rsidP="007D6CCF" w:rsidRDefault="007D6CCF" w14:paraId="2CC85C0C" w14:textId="77777777">
            <w:pPr>
              <w:spacing w:after="0"/>
              <w:ind w:firstLine="0"/>
              <w:jc w:val="center"/>
              <w:rPr>
                <w:rFonts w:ascii="Arial Narrow" w:hAnsi="Arial Narrow" w:cs="Calibri"/>
                <w:b/>
                <w:sz w:val="20"/>
              </w:rPr>
            </w:pPr>
            <w:r>
              <w:rPr>
                <w:rFonts w:ascii="Arial Narrow" w:hAnsi="Arial Narrow" w:cs="Calibri"/>
                <w:b/>
                <w:sz w:val="20"/>
              </w:rPr>
              <w:t>S</w:t>
            </w:r>
            <w:r w:rsidRPr="00FE5AE5">
              <w:rPr>
                <w:rFonts w:ascii="Arial Narrow" w:hAnsi="Arial Narrow" w:cs="Calibri"/>
                <w:b/>
                <w:sz w:val="20"/>
              </w:rPr>
              <w:t>cenario 1</w:t>
            </w:r>
          </w:p>
        </w:tc>
        <w:tc>
          <w:tcPr>
            <w:tcW w:w="1319" w:type="dxa"/>
            <w:shd w:val="clear" w:color="auto" w:fill="D9D9D9" w:themeFill="background1" w:themeFillShade="D9"/>
            <w:noWrap/>
            <w:vAlign w:val="bottom"/>
          </w:tcPr>
          <w:p w:rsidRPr="00FE5AE5" w:rsidR="007D6CCF" w:rsidP="007D6CCF" w:rsidRDefault="007D6CCF" w14:paraId="00D00867" w14:textId="77777777">
            <w:pPr>
              <w:spacing w:after="0"/>
              <w:ind w:firstLine="0"/>
              <w:jc w:val="center"/>
              <w:rPr>
                <w:rFonts w:ascii="Arial Narrow" w:hAnsi="Arial Narrow" w:cs="Calibri"/>
                <w:b/>
                <w:sz w:val="20"/>
              </w:rPr>
            </w:pPr>
            <w:r w:rsidRPr="00FE5AE5">
              <w:rPr>
                <w:rFonts w:ascii="Arial Narrow" w:hAnsi="Arial Narrow" w:cs="Calibri"/>
                <w:b/>
                <w:sz w:val="20"/>
              </w:rPr>
              <w:t>Scenario 2</w:t>
            </w:r>
          </w:p>
        </w:tc>
        <w:tc>
          <w:tcPr>
            <w:tcW w:w="1319" w:type="dxa"/>
            <w:shd w:val="clear" w:color="auto" w:fill="D9D9D9" w:themeFill="background1" w:themeFillShade="D9"/>
            <w:noWrap/>
            <w:vAlign w:val="bottom"/>
          </w:tcPr>
          <w:p w:rsidRPr="00FE5AE5" w:rsidR="007D6CCF" w:rsidP="007D6CCF" w:rsidRDefault="007D6CCF" w14:paraId="02E16EA3" w14:textId="77777777">
            <w:pPr>
              <w:spacing w:after="0"/>
              <w:ind w:firstLine="0"/>
              <w:jc w:val="center"/>
              <w:rPr>
                <w:rFonts w:ascii="Arial Narrow" w:hAnsi="Arial Narrow" w:cs="Calibri"/>
                <w:b/>
                <w:sz w:val="20"/>
              </w:rPr>
            </w:pPr>
            <w:r w:rsidRPr="00FE5AE5">
              <w:rPr>
                <w:rFonts w:ascii="Arial Narrow" w:hAnsi="Arial Narrow" w:cs="Calibri"/>
                <w:b/>
                <w:sz w:val="20"/>
              </w:rPr>
              <w:t>Scenario 3</w:t>
            </w:r>
          </w:p>
        </w:tc>
        <w:tc>
          <w:tcPr>
            <w:tcW w:w="1319" w:type="dxa"/>
            <w:shd w:val="clear" w:color="auto" w:fill="D9D9D9" w:themeFill="background1" w:themeFillShade="D9"/>
            <w:vAlign w:val="bottom"/>
          </w:tcPr>
          <w:p w:rsidRPr="00FE5AE5" w:rsidR="007D6CCF" w:rsidP="00D84482" w:rsidRDefault="007D6CCF" w14:paraId="516DAC29" w14:textId="77777777">
            <w:pPr>
              <w:spacing w:after="0"/>
              <w:ind w:firstLine="0"/>
              <w:jc w:val="center"/>
              <w:rPr>
                <w:rFonts w:ascii="Arial Narrow" w:hAnsi="Arial Narrow" w:cs="Calibri"/>
                <w:b/>
                <w:sz w:val="20"/>
              </w:rPr>
            </w:pPr>
            <w:r w:rsidRPr="00FE5AE5">
              <w:rPr>
                <w:rFonts w:ascii="Arial Narrow" w:hAnsi="Arial Narrow" w:cs="Calibri"/>
                <w:b/>
                <w:sz w:val="20"/>
              </w:rPr>
              <w:t>Scenario 4</w:t>
            </w:r>
          </w:p>
        </w:tc>
      </w:tr>
      <w:tr w:rsidRPr="00C97D4D" w:rsidR="007D6CCF" w:rsidTr="007D6CCF" w14:paraId="22E634D3" w14:textId="77777777">
        <w:trPr>
          <w:trHeight w:val="300"/>
        </w:trPr>
        <w:tc>
          <w:tcPr>
            <w:tcW w:w="4074" w:type="dxa"/>
            <w:shd w:val="clear" w:color="auto" w:fill="auto"/>
            <w:noWrap/>
            <w:vAlign w:val="center"/>
          </w:tcPr>
          <w:p w:rsidRPr="00FE5AE5" w:rsidR="007D6CCF" w:rsidP="007D6CCF" w:rsidRDefault="007D6CCF" w14:paraId="33420DD5" w14:textId="77777777">
            <w:pPr>
              <w:spacing w:after="0"/>
              <w:ind w:firstLine="0"/>
              <w:rPr>
                <w:rFonts w:ascii="Arial Narrow" w:hAnsi="Arial Narrow" w:cs="Arial"/>
                <w:sz w:val="20"/>
              </w:rPr>
            </w:pPr>
            <w:r w:rsidRPr="00FE5AE5">
              <w:rPr>
                <w:rFonts w:ascii="Arial Narrow" w:hAnsi="Arial Narrow" w:cs="Arial"/>
                <w:sz w:val="20"/>
              </w:rPr>
              <w:t xml:space="preserve">Review and approve the RP’s </w:t>
            </w:r>
            <w:r w:rsidRPr="00FE5AE5">
              <w:rPr>
                <w:rFonts w:ascii="Arial Narrow" w:hAnsi="Arial Narrow" w:cs="Arial"/>
                <w:bCs/>
                <w:sz w:val="20"/>
              </w:rPr>
              <w:t>DMQAPP</w:t>
            </w:r>
          </w:p>
        </w:tc>
        <w:tc>
          <w:tcPr>
            <w:tcW w:w="1319" w:type="dxa"/>
            <w:tcBorders>
              <w:bottom w:val="single" w:color="auto" w:sz="4" w:space="0"/>
              <w:right w:val="dotted" w:color="auto" w:sz="4" w:space="0"/>
            </w:tcBorders>
            <w:vAlign w:val="center"/>
          </w:tcPr>
          <w:p w:rsidRPr="00FE5AE5" w:rsidR="007D6CCF" w:rsidP="007D6CCF" w:rsidRDefault="007D6CCF" w14:paraId="0819712F" w14:textId="7399D33B">
            <w:pPr>
              <w:spacing w:after="0"/>
              <w:ind w:firstLine="0"/>
              <w:jc w:val="right"/>
              <w:rPr>
                <w:rFonts w:ascii="Arial Narrow" w:hAnsi="Arial Narrow" w:cs="Arial"/>
                <w:sz w:val="20"/>
              </w:rPr>
            </w:pPr>
            <w:r>
              <w:rPr>
                <w:rFonts w:ascii="Arial Narrow" w:hAnsi="Arial Narrow" w:cs="Calibri"/>
                <w:color w:val="000000"/>
                <w:sz w:val="20"/>
              </w:rPr>
              <w:t xml:space="preserve">               8 </w:t>
            </w:r>
          </w:p>
        </w:tc>
        <w:tc>
          <w:tcPr>
            <w:tcW w:w="1319" w:type="dxa"/>
            <w:tcBorders>
              <w:bottom w:val="single" w:color="auto" w:sz="4" w:space="0"/>
              <w:right w:val="dotted" w:color="auto" w:sz="4" w:space="0"/>
            </w:tcBorders>
            <w:shd w:val="clear" w:color="auto" w:fill="auto"/>
            <w:noWrap/>
            <w:vAlign w:val="center"/>
          </w:tcPr>
          <w:p w:rsidRPr="00FE5AE5" w:rsidR="007D6CCF" w:rsidP="007D6CCF" w:rsidRDefault="007D6CCF" w14:paraId="53F405DE" w14:textId="19EF12B5">
            <w:pPr>
              <w:spacing w:after="0"/>
              <w:ind w:firstLine="0"/>
              <w:jc w:val="right"/>
              <w:rPr>
                <w:rFonts w:ascii="Arial Narrow" w:hAnsi="Arial Narrow" w:cs="Arial"/>
                <w:sz w:val="20"/>
              </w:rPr>
            </w:pPr>
            <w:r>
              <w:rPr>
                <w:rFonts w:ascii="Arial Narrow" w:hAnsi="Arial Narrow" w:cs="Calibri"/>
                <w:color w:val="000000"/>
                <w:sz w:val="20"/>
              </w:rPr>
              <w:t xml:space="preserve">                  8 </w:t>
            </w:r>
          </w:p>
        </w:tc>
        <w:tc>
          <w:tcPr>
            <w:tcW w:w="1319" w:type="dxa"/>
            <w:tcBorders>
              <w:bottom w:val="single" w:color="auto" w:sz="4" w:space="0"/>
              <w:right w:val="dotted" w:color="auto" w:sz="4" w:space="0"/>
            </w:tcBorders>
            <w:shd w:val="clear" w:color="auto" w:fill="auto"/>
            <w:noWrap/>
            <w:vAlign w:val="center"/>
          </w:tcPr>
          <w:p w:rsidRPr="00FE5AE5" w:rsidR="007D6CCF" w:rsidP="007D6CCF" w:rsidRDefault="007D6CCF" w14:paraId="209A8037" w14:textId="5E281F3A">
            <w:pPr>
              <w:spacing w:after="0"/>
              <w:ind w:firstLine="0"/>
              <w:jc w:val="right"/>
              <w:rPr>
                <w:rFonts w:ascii="Arial Narrow" w:hAnsi="Arial Narrow" w:cs="Arial"/>
                <w:sz w:val="20"/>
              </w:rPr>
            </w:pPr>
            <w:r>
              <w:rPr>
                <w:rFonts w:ascii="Arial Narrow" w:hAnsi="Arial Narrow" w:cs="Calibri"/>
                <w:color w:val="000000"/>
                <w:sz w:val="20"/>
              </w:rPr>
              <w:t xml:space="preserve">               8 </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37DB40D7" w14:textId="4A01E3EA">
            <w:pPr>
              <w:spacing w:after="0"/>
              <w:ind w:firstLine="0"/>
              <w:jc w:val="right"/>
              <w:rPr>
                <w:rFonts w:ascii="Arial Narrow" w:hAnsi="Arial Narrow" w:cs="Arial"/>
                <w:sz w:val="20"/>
              </w:rPr>
            </w:pPr>
            <w:r>
              <w:rPr>
                <w:rFonts w:ascii="Arial Narrow" w:hAnsi="Arial Narrow" w:cs="Calibri"/>
                <w:color w:val="000000"/>
                <w:sz w:val="20"/>
              </w:rPr>
              <w:t xml:space="preserve">               8 </w:t>
            </w:r>
          </w:p>
        </w:tc>
      </w:tr>
      <w:tr w:rsidRPr="00C97D4D" w:rsidR="007D6CCF" w:rsidTr="007D6CCF" w14:paraId="3E924411" w14:textId="77777777">
        <w:trPr>
          <w:trHeight w:val="300"/>
        </w:trPr>
        <w:tc>
          <w:tcPr>
            <w:tcW w:w="4074" w:type="dxa"/>
            <w:tcBorders>
              <w:right w:val="single" w:color="auto" w:sz="2" w:space="0"/>
            </w:tcBorders>
            <w:shd w:val="clear" w:color="auto" w:fill="auto"/>
            <w:noWrap/>
            <w:vAlign w:val="center"/>
          </w:tcPr>
          <w:p w:rsidRPr="00FE5AE5" w:rsidR="007D6CCF" w:rsidP="007D6CCF" w:rsidRDefault="007D6CCF" w14:paraId="74853B5F" w14:textId="77777777">
            <w:pPr>
              <w:spacing w:after="0"/>
              <w:ind w:firstLine="0"/>
              <w:rPr>
                <w:rFonts w:ascii="Arial Narrow" w:hAnsi="Arial Narrow" w:cs="Arial"/>
                <w:sz w:val="20"/>
              </w:rPr>
            </w:pPr>
            <w:r w:rsidRPr="00FE5AE5">
              <w:rPr>
                <w:rFonts w:ascii="Arial Narrow" w:hAnsi="Arial Narrow" w:cs="Arial"/>
                <w:sz w:val="20"/>
              </w:rPr>
              <w:t>Consult with RP about where to collect water samples</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3643989C" w14:textId="6F496C47">
            <w:pPr>
              <w:spacing w:after="0"/>
              <w:ind w:firstLine="0"/>
              <w:jc w:val="right"/>
              <w:rPr>
                <w:rFonts w:ascii="Arial Narrow" w:hAnsi="Arial Narrow" w:cs="Arial"/>
                <w:sz w:val="20"/>
              </w:rPr>
            </w:pPr>
            <w:r>
              <w:rPr>
                <w:rFonts w:ascii="Arial Narrow" w:hAnsi="Arial Narrow" w:cs="Calibri"/>
                <w:color w:val="000000"/>
                <w:sz w:val="20"/>
              </w:rPr>
              <w:t xml:space="preserve">               5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3F220070" w14:textId="03AD5D89">
            <w:pPr>
              <w:spacing w:after="0"/>
              <w:ind w:firstLine="0"/>
              <w:jc w:val="right"/>
              <w:rPr>
                <w:rFonts w:ascii="Arial Narrow" w:hAnsi="Arial Narrow" w:cs="Arial"/>
                <w:sz w:val="20"/>
              </w:rPr>
            </w:pPr>
            <w:r>
              <w:rPr>
                <w:rFonts w:ascii="Arial Narrow" w:hAnsi="Arial Narrow" w:cs="Calibri"/>
                <w:color w:val="000000"/>
                <w:sz w:val="20"/>
              </w:rPr>
              <w:t xml:space="preserve">                 27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07D39903" w14:textId="4442DBB2">
            <w:pPr>
              <w:spacing w:after="0"/>
              <w:ind w:firstLine="0"/>
              <w:jc w:val="right"/>
              <w:rPr>
                <w:rFonts w:ascii="Arial Narrow" w:hAnsi="Arial Narrow" w:cs="Arial"/>
                <w:sz w:val="20"/>
              </w:rPr>
            </w:pPr>
            <w:r>
              <w:rPr>
                <w:rFonts w:ascii="Arial Narrow" w:hAnsi="Arial Narrow" w:cs="Calibri"/>
                <w:color w:val="000000"/>
                <w:sz w:val="20"/>
              </w:rPr>
              <w:t xml:space="preserve">             65 </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645B15BA" w14:textId="45916C90">
            <w:pPr>
              <w:spacing w:after="0"/>
              <w:ind w:firstLine="0"/>
              <w:jc w:val="right"/>
              <w:rPr>
                <w:rFonts w:ascii="Arial Narrow" w:hAnsi="Arial Narrow" w:cs="Arial"/>
                <w:b/>
                <w:sz w:val="20"/>
              </w:rPr>
            </w:pPr>
            <w:r>
              <w:rPr>
                <w:rFonts w:ascii="Arial Narrow" w:hAnsi="Arial Narrow" w:cs="Calibri"/>
                <w:color w:val="000000"/>
                <w:sz w:val="20"/>
              </w:rPr>
              <w:t xml:space="preserve">             90 </w:t>
            </w:r>
          </w:p>
        </w:tc>
      </w:tr>
      <w:tr w:rsidRPr="00C97D4D" w:rsidR="007D6CCF" w:rsidTr="007D6CCF" w14:paraId="7F873778" w14:textId="77777777">
        <w:trPr>
          <w:trHeight w:val="50"/>
        </w:trPr>
        <w:tc>
          <w:tcPr>
            <w:tcW w:w="4074" w:type="dxa"/>
            <w:tcBorders>
              <w:right w:val="single" w:color="auto" w:sz="2" w:space="0"/>
            </w:tcBorders>
            <w:shd w:val="clear" w:color="auto" w:fill="auto"/>
            <w:noWrap/>
            <w:vAlign w:val="center"/>
          </w:tcPr>
          <w:p w:rsidRPr="00FE5AE5" w:rsidR="007D6CCF" w:rsidP="007D6CCF" w:rsidRDefault="007D6CCF" w14:paraId="0C4A27CE" w14:textId="77777777">
            <w:pPr>
              <w:spacing w:after="0"/>
              <w:ind w:firstLine="0"/>
              <w:rPr>
                <w:rFonts w:ascii="Arial Narrow" w:hAnsi="Arial Narrow" w:cs="Arial"/>
                <w:sz w:val="20"/>
              </w:rPr>
            </w:pPr>
            <w:r w:rsidRPr="00FE5AE5">
              <w:rPr>
                <w:rFonts w:ascii="Arial Narrow" w:hAnsi="Arial Narrow" w:cs="Arial"/>
                <w:sz w:val="20"/>
              </w:rPr>
              <w:t>Consult with RP in performing the oil distribution analysis</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13E5C555" w14:textId="6ECBC4B8">
            <w:pPr>
              <w:spacing w:after="0"/>
              <w:ind w:firstLine="0"/>
              <w:jc w:val="right"/>
              <w:rPr>
                <w:rFonts w:ascii="Arial Narrow" w:hAnsi="Arial Narrow" w:cs="Arial"/>
                <w:sz w:val="20"/>
              </w:rPr>
            </w:pPr>
            <w:r>
              <w:rPr>
                <w:rFonts w:ascii="Arial Narrow" w:hAnsi="Arial Narrow" w:cs="Calibri"/>
                <w:color w:val="000000"/>
                <w:sz w:val="20"/>
              </w:rPr>
              <w:t xml:space="preserve">               5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781882FC" w14:textId="2CE9F197">
            <w:pPr>
              <w:spacing w:after="0"/>
              <w:ind w:firstLine="0"/>
              <w:jc w:val="right"/>
              <w:rPr>
                <w:rFonts w:ascii="Arial Narrow" w:hAnsi="Arial Narrow" w:cs="Arial"/>
                <w:sz w:val="20"/>
              </w:rPr>
            </w:pPr>
            <w:r>
              <w:rPr>
                <w:rFonts w:ascii="Arial Narrow" w:hAnsi="Arial Narrow" w:cs="Calibri"/>
                <w:color w:val="000000"/>
                <w:sz w:val="20"/>
              </w:rPr>
              <w:t xml:space="preserve">                 54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65491191" w14:textId="53F31D85">
            <w:pPr>
              <w:spacing w:after="0"/>
              <w:ind w:firstLine="0"/>
              <w:jc w:val="right"/>
              <w:rPr>
                <w:rFonts w:ascii="Arial Narrow" w:hAnsi="Arial Narrow" w:cs="Arial"/>
                <w:sz w:val="20"/>
              </w:rPr>
            </w:pPr>
            <w:r>
              <w:rPr>
                <w:rFonts w:ascii="Arial Narrow" w:hAnsi="Arial Narrow" w:cs="Calibri"/>
                <w:color w:val="000000"/>
                <w:sz w:val="20"/>
              </w:rPr>
              <w:t xml:space="preserve">           130 </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41963F7A" w14:textId="76FEA102">
            <w:pPr>
              <w:spacing w:after="0"/>
              <w:ind w:firstLine="0"/>
              <w:jc w:val="right"/>
              <w:rPr>
                <w:rFonts w:ascii="Arial Narrow" w:hAnsi="Arial Narrow" w:cs="Arial"/>
                <w:sz w:val="20"/>
              </w:rPr>
            </w:pPr>
            <w:r>
              <w:rPr>
                <w:rFonts w:ascii="Arial Narrow" w:hAnsi="Arial Narrow" w:cs="Calibri"/>
                <w:color w:val="000000"/>
                <w:sz w:val="20"/>
              </w:rPr>
              <w:t xml:space="preserve">           180 </w:t>
            </w:r>
          </w:p>
        </w:tc>
      </w:tr>
      <w:tr w:rsidRPr="00C97D4D" w:rsidR="007D6CCF" w:rsidTr="007D6CCF" w14:paraId="1FF8D2E0" w14:textId="77777777">
        <w:trPr>
          <w:trHeight w:val="50"/>
        </w:trPr>
        <w:tc>
          <w:tcPr>
            <w:tcW w:w="4074" w:type="dxa"/>
            <w:tcBorders>
              <w:right w:val="single" w:color="auto" w:sz="2" w:space="0"/>
            </w:tcBorders>
            <w:shd w:val="clear" w:color="auto" w:fill="auto"/>
            <w:noWrap/>
            <w:vAlign w:val="center"/>
          </w:tcPr>
          <w:p w:rsidRPr="00FE5AE5" w:rsidR="007D6CCF" w:rsidP="007D6CCF" w:rsidRDefault="007D6CCF" w14:paraId="0167FE85" w14:textId="77777777">
            <w:pPr>
              <w:spacing w:after="0"/>
              <w:ind w:firstLine="0"/>
              <w:rPr>
                <w:rFonts w:ascii="Arial Narrow" w:hAnsi="Arial Narrow" w:cs="Arial"/>
                <w:sz w:val="20"/>
              </w:rPr>
            </w:pPr>
            <w:r w:rsidRPr="00FE5AE5">
              <w:rPr>
                <w:rFonts w:ascii="Arial Narrow" w:hAnsi="Arial Narrow" w:cs="Arial"/>
                <w:sz w:val="20"/>
              </w:rPr>
              <w:t>Consult with RP in developing the ecological characterization</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0D9BD49D" w14:textId="1A46BA76">
            <w:pPr>
              <w:spacing w:after="0"/>
              <w:ind w:firstLine="0"/>
              <w:jc w:val="right"/>
              <w:rPr>
                <w:rFonts w:ascii="Arial Narrow" w:hAnsi="Arial Narrow" w:cs="Arial"/>
                <w:sz w:val="20"/>
              </w:rPr>
            </w:pPr>
            <w:r>
              <w:rPr>
                <w:rFonts w:ascii="Arial Narrow" w:hAnsi="Arial Narrow" w:cs="Calibri"/>
                <w:color w:val="000000"/>
                <w:sz w:val="20"/>
              </w:rPr>
              <w:t xml:space="preserve">               8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406991C1" w14:textId="25E5F6C3">
            <w:pPr>
              <w:spacing w:after="0"/>
              <w:ind w:firstLine="0"/>
              <w:jc w:val="right"/>
              <w:rPr>
                <w:rFonts w:ascii="Arial Narrow" w:hAnsi="Arial Narrow" w:cs="Arial"/>
                <w:sz w:val="20"/>
              </w:rPr>
            </w:pPr>
            <w:r>
              <w:rPr>
                <w:rFonts w:ascii="Arial Narrow" w:hAnsi="Arial Narrow" w:cs="Calibri"/>
                <w:color w:val="000000"/>
                <w:sz w:val="20"/>
              </w:rPr>
              <w:t xml:space="preserve">                 16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5C205825" w14:textId="30C059B3">
            <w:pPr>
              <w:spacing w:after="0"/>
              <w:ind w:firstLine="0"/>
              <w:jc w:val="right"/>
              <w:rPr>
                <w:rFonts w:ascii="Arial Narrow" w:hAnsi="Arial Narrow" w:cs="Arial"/>
                <w:sz w:val="20"/>
              </w:rPr>
            </w:pPr>
            <w:r>
              <w:rPr>
                <w:rFonts w:ascii="Arial Narrow" w:hAnsi="Arial Narrow" w:cs="Calibri"/>
                <w:color w:val="000000"/>
                <w:sz w:val="20"/>
              </w:rPr>
              <w:t xml:space="preserve">             24 </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0A6661BA" w14:textId="2173BB9F">
            <w:pPr>
              <w:spacing w:after="0"/>
              <w:ind w:firstLine="0"/>
              <w:jc w:val="right"/>
              <w:rPr>
                <w:rFonts w:ascii="Arial Narrow" w:hAnsi="Arial Narrow" w:cs="Arial"/>
                <w:sz w:val="20"/>
              </w:rPr>
            </w:pPr>
            <w:r>
              <w:rPr>
                <w:rFonts w:ascii="Arial Narrow" w:hAnsi="Arial Narrow" w:cs="Calibri"/>
                <w:color w:val="000000"/>
                <w:sz w:val="20"/>
              </w:rPr>
              <w:t xml:space="preserve">             32 </w:t>
            </w:r>
          </w:p>
        </w:tc>
      </w:tr>
      <w:tr w:rsidRPr="00C97D4D" w:rsidR="007D6CCF" w:rsidTr="007D6CCF" w14:paraId="5CBD3DB6" w14:textId="77777777">
        <w:trPr>
          <w:trHeight w:val="300"/>
        </w:trPr>
        <w:tc>
          <w:tcPr>
            <w:tcW w:w="4074" w:type="dxa"/>
            <w:tcBorders>
              <w:right w:val="single" w:color="auto" w:sz="2" w:space="0"/>
            </w:tcBorders>
            <w:shd w:val="clear" w:color="auto" w:fill="auto"/>
            <w:noWrap/>
            <w:vAlign w:val="center"/>
          </w:tcPr>
          <w:p w:rsidRPr="00FE5AE5" w:rsidR="007D6CCF" w:rsidP="007D6CCF" w:rsidRDefault="007D6CCF" w14:paraId="27BE9F56" w14:textId="77777777">
            <w:pPr>
              <w:spacing w:after="0"/>
              <w:ind w:firstLine="0"/>
              <w:rPr>
                <w:rFonts w:ascii="Arial Narrow" w:hAnsi="Arial Narrow" w:cs="Arial"/>
                <w:sz w:val="20"/>
              </w:rPr>
            </w:pPr>
            <w:r w:rsidRPr="00FE5AE5">
              <w:rPr>
                <w:rFonts w:ascii="Arial Narrow" w:hAnsi="Arial Narrow" w:cs="Arial"/>
                <w:sz w:val="20"/>
              </w:rPr>
              <w:t>Review reports by the RP</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56F3766A" w14:textId="266BFED6">
            <w:pPr>
              <w:spacing w:after="0"/>
              <w:ind w:firstLine="0"/>
              <w:jc w:val="right"/>
              <w:rPr>
                <w:rFonts w:ascii="Arial Narrow" w:hAnsi="Arial Narrow" w:cs="Arial"/>
                <w:sz w:val="20"/>
              </w:rPr>
            </w:pPr>
            <w:r>
              <w:rPr>
                <w:rFonts w:ascii="Arial Narrow" w:hAnsi="Arial Narrow" w:cs="Calibri"/>
                <w:color w:val="000000"/>
                <w:sz w:val="20"/>
              </w:rPr>
              <w:t xml:space="preserve">               5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47C34277" w14:textId="02386691">
            <w:pPr>
              <w:spacing w:after="0"/>
              <w:ind w:firstLine="0"/>
              <w:jc w:val="right"/>
              <w:rPr>
                <w:rFonts w:ascii="Arial Narrow" w:hAnsi="Arial Narrow" w:cs="Arial"/>
                <w:sz w:val="20"/>
              </w:rPr>
            </w:pPr>
            <w:r>
              <w:rPr>
                <w:rFonts w:ascii="Arial Narrow" w:hAnsi="Arial Narrow" w:cs="Calibri"/>
                <w:color w:val="000000"/>
                <w:sz w:val="20"/>
              </w:rPr>
              <w:t xml:space="preserve">                 27 </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43BBCC3E" w14:textId="5E3DEE75">
            <w:pPr>
              <w:spacing w:after="0"/>
              <w:ind w:firstLine="0"/>
              <w:jc w:val="right"/>
              <w:rPr>
                <w:rFonts w:ascii="Arial Narrow" w:hAnsi="Arial Narrow" w:cs="Arial"/>
                <w:sz w:val="20"/>
              </w:rPr>
            </w:pPr>
            <w:r>
              <w:rPr>
                <w:rFonts w:ascii="Arial Narrow" w:hAnsi="Arial Narrow" w:cs="Calibri"/>
                <w:color w:val="000000"/>
                <w:sz w:val="20"/>
              </w:rPr>
              <w:t xml:space="preserve">             65 </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431FC65F" w14:textId="6FF179D5">
            <w:pPr>
              <w:spacing w:after="0"/>
              <w:ind w:firstLine="0"/>
              <w:jc w:val="right"/>
              <w:rPr>
                <w:rFonts w:ascii="Arial Narrow" w:hAnsi="Arial Narrow" w:cs="Arial"/>
                <w:sz w:val="20"/>
              </w:rPr>
            </w:pPr>
            <w:r>
              <w:rPr>
                <w:rFonts w:ascii="Arial Narrow" w:hAnsi="Arial Narrow" w:cs="Calibri"/>
                <w:color w:val="000000"/>
                <w:sz w:val="20"/>
              </w:rPr>
              <w:t xml:space="preserve">           180 </w:t>
            </w:r>
          </w:p>
        </w:tc>
      </w:tr>
      <w:tr w:rsidR="007D6CCF" w:rsidTr="007D6CCF" w14:paraId="34CBB1F0" w14:textId="77777777">
        <w:trPr>
          <w:trHeight w:val="242"/>
        </w:trPr>
        <w:tc>
          <w:tcPr>
            <w:tcW w:w="4074" w:type="dxa"/>
            <w:tcBorders>
              <w:right w:val="single" w:color="auto" w:sz="2" w:space="0"/>
            </w:tcBorders>
            <w:shd w:val="clear" w:color="auto" w:fill="F2F2F2" w:themeFill="background1" w:themeFillShade="F2"/>
            <w:noWrap/>
            <w:vAlign w:val="bottom"/>
          </w:tcPr>
          <w:p w:rsidRPr="00FE5AE5" w:rsidR="007D6CCF" w:rsidP="007D6CCF" w:rsidRDefault="007D6CCF" w14:paraId="62F54D9A" w14:textId="7CFEFFBB">
            <w:pPr>
              <w:spacing w:after="0"/>
              <w:ind w:firstLine="0"/>
              <w:rPr>
                <w:rFonts w:ascii="Arial Narrow" w:hAnsi="Arial Narrow" w:cs="Arial"/>
                <w:b/>
                <w:sz w:val="20"/>
              </w:rPr>
            </w:pPr>
            <w:r>
              <w:rPr>
                <w:rFonts w:ascii="Arial Narrow" w:hAnsi="Arial Narrow" w:cs="Arial"/>
                <w:b/>
                <w:sz w:val="20"/>
              </w:rPr>
              <w:t>Total</w:t>
            </w:r>
            <w:r w:rsidRPr="00FE5AE5">
              <w:rPr>
                <w:rFonts w:ascii="Arial Narrow" w:hAnsi="Arial Narrow" w:cs="Arial"/>
                <w:b/>
                <w:sz w:val="20"/>
              </w:rPr>
              <w:t xml:space="preserve"> Burden</w:t>
            </w:r>
          </w:p>
        </w:tc>
        <w:tc>
          <w:tcPr>
            <w:tcW w:w="1319" w:type="dxa"/>
            <w:tcBorders>
              <w:top w:val="single" w:color="auto" w:sz="4" w:space="0"/>
              <w:left w:val="single" w:color="auto" w:sz="2" w:space="0"/>
              <w:bottom w:val="single" w:color="auto" w:sz="2" w:space="0"/>
              <w:right w:val="dotted" w:color="auto" w:sz="4" w:space="0"/>
            </w:tcBorders>
            <w:shd w:val="clear" w:color="auto" w:fill="F2F2F2" w:themeFill="background1" w:themeFillShade="F2"/>
            <w:vAlign w:val="center"/>
          </w:tcPr>
          <w:p w:rsidRPr="007D6CCF" w:rsidR="007D6CCF" w:rsidP="007D6CCF" w:rsidRDefault="007D6CCF" w14:paraId="77AEE8A8" w14:textId="181C138A">
            <w:pPr>
              <w:spacing w:after="0"/>
              <w:ind w:firstLine="0"/>
              <w:jc w:val="right"/>
              <w:rPr>
                <w:rFonts w:ascii="Arial Narrow" w:hAnsi="Arial Narrow" w:cs="Arial"/>
                <w:b/>
                <w:sz w:val="20"/>
              </w:rPr>
            </w:pPr>
            <w:r w:rsidRPr="007D6CCF">
              <w:rPr>
                <w:rFonts w:ascii="Arial Narrow" w:hAnsi="Arial Narrow" w:cs="Calibri"/>
                <w:b/>
                <w:color w:val="000000"/>
                <w:sz w:val="20"/>
              </w:rPr>
              <w:t xml:space="preserve">             31 </w:t>
            </w:r>
          </w:p>
        </w:tc>
        <w:tc>
          <w:tcPr>
            <w:tcW w:w="1319"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7D6CCF" w:rsidR="007D6CCF" w:rsidP="007D6CCF" w:rsidRDefault="007D6CCF" w14:paraId="50617D08" w14:textId="48C38657">
            <w:pPr>
              <w:spacing w:after="0"/>
              <w:ind w:firstLine="0"/>
              <w:jc w:val="right"/>
              <w:rPr>
                <w:rFonts w:ascii="Arial Narrow" w:hAnsi="Arial Narrow" w:cs="Arial"/>
                <w:b/>
                <w:sz w:val="20"/>
              </w:rPr>
            </w:pPr>
            <w:r w:rsidRPr="007D6CCF">
              <w:rPr>
                <w:rFonts w:ascii="Arial Narrow" w:hAnsi="Arial Narrow" w:cs="Calibri"/>
                <w:b/>
                <w:color w:val="000000"/>
                <w:sz w:val="20"/>
              </w:rPr>
              <w:t xml:space="preserve">               132 </w:t>
            </w:r>
          </w:p>
        </w:tc>
        <w:tc>
          <w:tcPr>
            <w:tcW w:w="1319"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7D6CCF" w:rsidR="007D6CCF" w:rsidP="007D6CCF" w:rsidRDefault="007D6CCF" w14:paraId="5E9509E9" w14:textId="08F1F4D2">
            <w:pPr>
              <w:spacing w:after="0"/>
              <w:ind w:firstLine="0"/>
              <w:jc w:val="right"/>
              <w:rPr>
                <w:rFonts w:ascii="Arial Narrow" w:hAnsi="Arial Narrow" w:cs="Arial"/>
                <w:b/>
                <w:sz w:val="20"/>
              </w:rPr>
            </w:pPr>
            <w:r w:rsidRPr="007D6CCF">
              <w:rPr>
                <w:rFonts w:ascii="Arial Narrow" w:hAnsi="Arial Narrow" w:cs="Calibri"/>
                <w:b/>
                <w:color w:val="000000"/>
                <w:sz w:val="20"/>
              </w:rPr>
              <w:t xml:space="preserve">           292 </w:t>
            </w:r>
          </w:p>
        </w:tc>
        <w:tc>
          <w:tcPr>
            <w:tcW w:w="1319" w:type="dxa"/>
            <w:tcBorders>
              <w:top w:val="single" w:color="auto" w:sz="2" w:space="0"/>
              <w:left w:val="nil"/>
              <w:bottom w:val="single" w:color="auto" w:sz="2" w:space="0"/>
              <w:right w:val="dotted" w:color="auto" w:sz="4" w:space="0"/>
            </w:tcBorders>
            <w:shd w:val="clear" w:color="auto" w:fill="F2F2F2" w:themeFill="background1" w:themeFillShade="F2"/>
            <w:vAlign w:val="center"/>
          </w:tcPr>
          <w:p w:rsidRPr="007D6CCF" w:rsidR="007D6CCF" w:rsidP="007D6CCF" w:rsidRDefault="007D6CCF" w14:paraId="157F7D1C" w14:textId="1DDBCDA0">
            <w:pPr>
              <w:spacing w:after="0"/>
              <w:ind w:firstLine="0"/>
              <w:jc w:val="right"/>
              <w:rPr>
                <w:rFonts w:ascii="Arial Narrow" w:hAnsi="Arial Narrow" w:cs="Arial"/>
                <w:b/>
                <w:sz w:val="20"/>
              </w:rPr>
            </w:pPr>
            <w:r w:rsidRPr="007D6CCF">
              <w:rPr>
                <w:rFonts w:ascii="Arial Narrow" w:hAnsi="Arial Narrow" w:cs="Calibri"/>
                <w:b/>
                <w:color w:val="000000"/>
                <w:sz w:val="20"/>
              </w:rPr>
              <w:t xml:space="preserve">           490 </w:t>
            </w:r>
          </w:p>
        </w:tc>
      </w:tr>
      <w:tr w:rsidRPr="00C97D4D" w:rsidR="007D6CCF" w:rsidTr="007D6CCF" w14:paraId="42C46DEA" w14:textId="77777777">
        <w:trPr>
          <w:trHeight w:val="300"/>
        </w:trPr>
        <w:tc>
          <w:tcPr>
            <w:tcW w:w="4074" w:type="dxa"/>
            <w:shd w:val="clear" w:color="auto" w:fill="auto"/>
            <w:noWrap/>
            <w:vAlign w:val="center"/>
          </w:tcPr>
          <w:p w:rsidRPr="00FE5AE5" w:rsidR="007D6CCF" w:rsidP="007D6CCF" w:rsidRDefault="007D6CCF" w14:paraId="057601A2" w14:textId="77777777">
            <w:pPr>
              <w:spacing w:after="0"/>
              <w:ind w:firstLine="0"/>
              <w:rPr>
                <w:rFonts w:ascii="Arial Narrow" w:hAnsi="Arial Narrow" w:cs="Arial"/>
                <w:sz w:val="20"/>
              </w:rPr>
            </w:pPr>
            <w:r w:rsidRPr="00FE5AE5">
              <w:rPr>
                <w:rFonts w:ascii="Arial Narrow" w:hAnsi="Arial Narrow" w:cs="Arial"/>
                <w:sz w:val="20"/>
              </w:rPr>
              <w:t xml:space="preserve">Review and approve the RP’s </w:t>
            </w:r>
            <w:r w:rsidRPr="00FE5AE5">
              <w:rPr>
                <w:rFonts w:ascii="Arial Narrow" w:hAnsi="Arial Narrow" w:cs="Arial"/>
                <w:bCs/>
                <w:sz w:val="20"/>
              </w:rPr>
              <w:t>DMQAPP</w:t>
            </w:r>
          </w:p>
        </w:tc>
        <w:tc>
          <w:tcPr>
            <w:tcW w:w="1319" w:type="dxa"/>
            <w:tcBorders>
              <w:bottom w:val="single" w:color="auto" w:sz="4" w:space="0"/>
              <w:right w:val="dotted" w:color="auto" w:sz="4" w:space="0"/>
            </w:tcBorders>
            <w:vAlign w:val="center"/>
          </w:tcPr>
          <w:p w:rsidRPr="00FE5AE5" w:rsidR="007D6CCF" w:rsidP="007D6CCF" w:rsidRDefault="007D6CCF" w14:paraId="1B29553B" w14:textId="082646AA">
            <w:pPr>
              <w:spacing w:after="0"/>
              <w:ind w:firstLine="0"/>
              <w:jc w:val="right"/>
              <w:rPr>
                <w:rFonts w:ascii="Arial Narrow" w:hAnsi="Arial Narrow" w:cs="Arial"/>
                <w:sz w:val="20"/>
              </w:rPr>
            </w:pPr>
            <w:r>
              <w:rPr>
                <w:rFonts w:ascii="Arial Narrow" w:hAnsi="Arial Narrow" w:cs="Calibri"/>
                <w:color w:val="000000"/>
                <w:sz w:val="20"/>
              </w:rPr>
              <w:t>$821</w:t>
            </w:r>
          </w:p>
        </w:tc>
        <w:tc>
          <w:tcPr>
            <w:tcW w:w="1319" w:type="dxa"/>
            <w:tcBorders>
              <w:bottom w:val="single" w:color="auto" w:sz="4" w:space="0"/>
              <w:right w:val="dotted" w:color="auto" w:sz="4" w:space="0"/>
            </w:tcBorders>
            <w:shd w:val="clear" w:color="auto" w:fill="auto"/>
            <w:noWrap/>
            <w:vAlign w:val="center"/>
          </w:tcPr>
          <w:p w:rsidRPr="00FE5AE5" w:rsidR="007D6CCF" w:rsidP="007D6CCF" w:rsidRDefault="007D6CCF" w14:paraId="6ABB8CE3" w14:textId="1005A442">
            <w:pPr>
              <w:spacing w:after="0"/>
              <w:ind w:firstLine="0"/>
              <w:jc w:val="right"/>
              <w:rPr>
                <w:rFonts w:ascii="Arial Narrow" w:hAnsi="Arial Narrow" w:cs="Arial"/>
                <w:sz w:val="20"/>
              </w:rPr>
            </w:pPr>
            <w:r>
              <w:rPr>
                <w:rFonts w:ascii="Arial Narrow" w:hAnsi="Arial Narrow" w:cs="Calibri"/>
                <w:color w:val="000000"/>
                <w:sz w:val="20"/>
              </w:rPr>
              <w:t>$821</w:t>
            </w:r>
          </w:p>
        </w:tc>
        <w:tc>
          <w:tcPr>
            <w:tcW w:w="1319" w:type="dxa"/>
            <w:tcBorders>
              <w:bottom w:val="single" w:color="auto" w:sz="4" w:space="0"/>
              <w:right w:val="dotted" w:color="auto" w:sz="4" w:space="0"/>
            </w:tcBorders>
            <w:shd w:val="clear" w:color="auto" w:fill="auto"/>
            <w:noWrap/>
            <w:vAlign w:val="center"/>
          </w:tcPr>
          <w:p w:rsidRPr="00FE5AE5" w:rsidR="007D6CCF" w:rsidP="007D6CCF" w:rsidRDefault="007D6CCF" w14:paraId="2A1FD7F2" w14:textId="4549C87F">
            <w:pPr>
              <w:spacing w:after="0"/>
              <w:ind w:firstLine="0"/>
              <w:jc w:val="right"/>
              <w:rPr>
                <w:rFonts w:ascii="Arial Narrow" w:hAnsi="Arial Narrow" w:cs="Arial"/>
                <w:sz w:val="20"/>
              </w:rPr>
            </w:pPr>
            <w:r>
              <w:rPr>
                <w:rFonts w:ascii="Arial Narrow" w:hAnsi="Arial Narrow" w:cs="Calibri"/>
                <w:color w:val="000000"/>
                <w:sz w:val="20"/>
              </w:rPr>
              <w:t>$821</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422FCB20" w14:textId="146C46AC">
            <w:pPr>
              <w:spacing w:after="0"/>
              <w:ind w:firstLine="0"/>
              <w:jc w:val="right"/>
              <w:rPr>
                <w:rFonts w:ascii="Arial Narrow" w:hAnsi="Arial Narrow" w:cs="Arial"/>
                <w:b/>
                <w:sz w:val="20"/>
              </w:rPr>
            </w:pPr>
            <w:r>
              <w:rPr>
                <w:rFonts w:ascii="Arial Narrow" w:hAnsi="Arial Narrow" w:cs="Calibri"/>
                <w:color w:val="000000"/>
                <w:sz w:val="20"/>
              </w:rPr>
              <w:t>$821</w:t>
            </w:r>
          </w:p>
        </w:tc>
      </w:tr>
      <w:tr w:rsidRPr="00C97D4D" w:rsidR="007D6CCF" w:rsidTr="007D6CCF" w14:paraId="7C092F38" w14:textId="77777777">
        <w:trPr>
          <w:trHeight w:val="300"/>
        </w:trPr>
        <w:tc>
          <w:tcPr>
            <w:tcW w:w="4074" w:type="dxa"/>
            <w:tcBorders>
              <w:right w:val="single" w:color="auto" w:sz="2" w:space="0"/>
            </w:tcBorders>
            <w:shd w:val="clear" w:color="auto" w:fill="auto"/>
            <w:noWrap/>
            <w:vAlign w:val="center"/>
          </w:tcPr>
          <w:p w:rsidRPr="00FE5AE5" w:rsidR="007D6CCF" w:rsidP="007D6CCF" w:rsidRDefault="007D6CCF" w14:paraId="04B97B62" w14:textId="77777777">
            <w:pPr>
              <w:spacing w:after="0"/>
              <w:ind w:firstLine="0"/>
              <w:rPr>
                <w:rFonts w:ascii="Arial Narrow" w:hAnsi="Arial Narrow" w:cs="Arial"/>
                <w:sz w:val="20"/>
              </w:rPr>
            </w:pPr>
            <w:r w:rsidRPr="00FE5AE5">
              <w:rPr>
                <w:rFonts w:ascii="Arial Narrow" w:hAnsi="Arial Narrow" w:cs="Arial"/>
                <w:sz w:val="20"/>
              </w:rPr>
              <w:t>Consult with RP about where to collect water samples</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5ABF1C1E" w14:textId="3F719DB5">
            <w:pPr>
              <w:spacing w:after="0"/>
              <w:ind w:firstLine="0"/>
              <w:jc w:val="right"/>
              <w:rPr>
                <w:rFonts w:ascii="Arial Narrow" w:hAnsi="Arial Narrow" w:cs="Arial"/>
                <w:sz w:val="20"/>
              </w:rPr>
            </w:pPr>
            <w:r>
              <w:rPr>
                <w:rFonts w:ascii="Arial Narrow" w:hAnsi="Arial Narrow" w:cs="Calibri"/>
                <w:color w:val="000000"/>
                <w:sz w:val="20"/>
              </w:rPr>
              <w:t>$513</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3FF9EFED" w14:textId="437B2AA1">
            <w:pPr>
              <w:spacing w:after="0"/>
              <w:ind w:firstLine="0"/>
              <w:jc w:val="right"/>
              <w:rPr>
                <w:rFonts w:ascii="Arial Narrow" w:hAnsi="Arial Narrow" w:cs="Arial"/>
                <w:sz w:val="20"/>
              </w:rPr>
            </w:pPr>
            <w:r>
              <w:rPr>
                <w:rFonts w:ascii="Arial Narrow" w:hAnsi="Arial Narrow" w:cs="Calibri"/>
                <w:color w:val="000000"/>
                <w:sz w:val="20"/>
              </w:rPr>
              <w:t>$2,772</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3B4BB858" w14:textId="3A9D906C">
            <w:pPr>
              <w:spacing w:after="0"/>
              <w:ind w:firstLine="0"/>
              <w:jc w:val="right"/>
              <w:rPr>
                <w:rFonts w:ascii="Arial Narrow" w:hAnsi="Arial Narrow" w:cs="Arial"/>
                <w:sz w:val="20"/>
              </w:rPr>
            </w:pPr>
            <w:r>
              <w:rPr>
                <w:rFonts w:ascii="Arial Narrow" w:hAnsi="Arial Narrow" w:cs="Calibri"/>
                <w:color w:val="000000"/>
                <w:sz w:val="20"/>
              </w:rPr>
              <w:t>$6,673</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0BBEB0D8" w14:textId="18DFFC45">
            <w:pPr>
              <w:spacing w:after="0"/>
              <w:ind w:firstLine="0"/>
              <w:jc w:val="right"/>
              <w:rPr>
                <w:rFonts w:ascii="Arial Narrow" w:hAnsi="Arial Narrow" w:cs="Arial"/>
                <w:b/>
                <w:sz w:val="20"/>
              </w:rPr>
            </w:pPr>
            <w:r>
              <w:rPr>
                <w:rFonts w:ascii="Arial Narrow" w:hAnsi="Arial Narrow" w:cs="Calibri"/>
                <w:color w:val="000000"/>
                <w:sz w:val="20"/>
              </w:rPr>
              <w:t>$9,240</w:t>
            </w:r>
          </w:p>
        </w:tc>
      </w:tr>
      <w:tr w:rsidRPr="00C97D4D" w:rsidR="007D6CCF" w:rsidTr="007D6CCF" w14:paraId="1F2DE994" w14:textId="77777777">
        <w:trPr>
          <w:trHeight w:val="50"/>
        </w:trPr>
        <w:tc>
          <w:tcPr>
            <w:tcW w:w="4074" w:type="dxa"/>
            <w:tcBorders>
              <w:right w:val="single" w:color="auto" w:sz="2" w:space="0"/>
            </w:tcBorders>
            <w:shd w:val="clear" w:color="auto" w:fill="auto"/>
            <w:noWrap/>
            <w:vAlign w:val="center"/>
          </w:tcPr>
          <w:p w:rsidRPr="00FE5AE5" w:rsidR="007D6CCF" w:rsidP="007D6CCF" w:rsidRDefault="007D6CCF" w14:paraId="07657F0B" w14:textId="77777777">
            <w:pPr>
              <w:spacing w:after="0"/>
              <w:ind w:firstLine="0"/>
              <w:rPr>
                <w:rFonts w:ascii="Arial Narrow" w:hAnsi="Arial Narrow" w:cs="Arial"/>
                <w:sz w:val="20"/>
              </w:rPr>
            </w:pPr>
            <w:r w:rsidRPr="00FE5AE5">
              <w:rPr>
                <w:rFonts w:ascii="Arial Narrow" w:hAnsi="Arial Narrow" w:cs="Arial"/>
                <w:sz w:val="20"/>
              </w:rPr>
              <w:t>Consult with RP in performing the oil distribution analysis</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5BC77AAC" w14:textId="04BBFA34">
            <w:pPr>
              <w:spacing w:after="0"/>
              <w:ind w:firstLine="0"/>
              <w:jc w:val="right"/>
              <w:rPr>
                <w:rFonts w:ascii="Arial Narrow" w:hAnsi="Arial Narrow" w:cs="Arial"/>
                <w:sz w:val="20"/>
              </w:rPr>
            </w:pPr>
            <w:r>
              <w:rPr>
                <w:rFonts w:ascii="Arial Narrow" w:hAnsi="Arial Narrow" w:cs="Calibri"/>
                <w:color w:val="000000"/>
                <w:sz w:val="20"/>
              </w:rPr>
              <w:t>$513</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1107AF81" w14:textId="671F343C">
            <w:pPr>
              <w:spacing w:after="0"/>
              <w:ind w:firstLine="0"/>
              <w:jc w:val="right"/>
              <w:rPr>
                <w:rFonts w:ascii="Arial Narrow" w:hAnsi="Arial Narrow" w:cs="Arial"/>
                <w:sz w:val="20"/>
              </w:rPr>
            </w:pPr>
            <w:r>
              <w:rPr>
                <w:rFonts w:ascii="Arial Narrow" w:hAnsi="Arial Narrow" w:cs="Calibri"/>
                <w:color w:val="000000"/>
                <w:sz w:val="20"/>
              </w:rPr>
              <w:t>$5,544</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55D16BA0" w14:textId="49BA425F">
            <w:pPr>
              <w:spacing w:after="0"/>
              <w:ind w:firstLine="0"/>
              <w:jc w:val="right"/>
              <w:rPr>
                <w:rFonts w:ascii="Arial Narrow" w:hAnsi="Arial Narrow" w:cs="Arial"/>
                <w:sz w:val="20"/>
              </w:rPr>
            </w:pPr>
            <w:r>
              <w:rPr>
                <w:rFonts w:ascii="Arial Narrow" w:hAnsi="Arial Narrow" w:cs="Calibri"/>
                <w:color w:val="000000"/>
                <w:sz w:val="20"/>
              </w:rPr>
              <w:t>$13,347</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445E5C3A" w14:textId="63DD96FD">
            <w:pPr>
              <w:spacing w:after="0"/>
              <w:ind w:firstLine="0"/>
              <w:jc w:val="right"/>
              <w:rPr>
                <w:rFonts w:ascii="Arial Narrow" w:hAnsi="Arial Narrow" w:cs="Arial"/>
                <w:sz w:val="20"/>
              </w:rPr>
            </w:pPr>
            <w:r>
              <w:rPr>
                <w:rFonts w:ascii="Arial Narrow" w:hAnsi="Arial Narrow" w:cs="Calibri"/>
                <w:color w:val="000000"/>
                <w:sz w:val="20"/>
              </w:rPr>
              <w:t>$18,480</w:t>
            </w:r>
          </w:p>
        </w:tc>
      </w:tr>
      <w:tr w:rsidRPr="00C97D4D" w:rsidR="007D6CCF" w:rsidTr="007D6CCF" w14:paraId="523EAC7B" w14:textId="77777777">
        <w:trPr>
          <w:trHeight w:val="50"/>
        </w:trPr>
        <w:tc>
          <w:tcPr>
            <w:tcW w:w="4074" w:type="dxa"/>
            <w:tcBorders>
              <w:right w:val="single" w:color="auto" w:sz="2" w:space="0"/>
            </w:tcBorders>
            <w:shd w:val="clear" w:color="auto" w:fill="auto"/>
            <w:noWrap/>
            <w:vAlign w:val="center"/>
          </w:tcPr>
          <w:p w:rsidRPr="00FE5AE5" w:rsidR="007D6CCF" w:rsidP="007D6CCF" w:rsidRDefault="007D6CCF" w14:paraId="3F669FB8" w14:textId="77777777">
            <w:pPr>
              <w:spacing w:after="0"/>
              <w:ind w:firstLine="0"/>
              <w:rPr>
                <w:rFonts w:ascii="Arial Narrow" w:hAnsi="Arial Narrow" w:cs="Arial"/>
                <w:sz w:val="20"/>
              </w:rPr>
            </w:pPr>
            <w:r w:rsidRPr="00FE5AE5">
              <w:rPr>
                <w:rFonts w:ascii="Arial Narrow" w:hAnsi="Arial Narrow" w:cs="Arial"/>
                <w:sz w:val="20"/>
              </w:rPr>
              <w:t>Consult with RP in developing the ecological characterization</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5F0A1E39" w14:textId="3A7A6160">
            <w:pPr>
              <w:spacing w:after="0"/>
              <w:ind w:firstLine="0"/>
              <w:jc w:val="right"/>
              <w:rPr>
                <w:rFonts w:ascii="Arial Narrow" w:hAnsi="Arial Narrow" w:cs="Arial"/>
                <w:sz w:val="20"/>
              </w:rPr>
            </w:pPr>
            <w:r>
              <w:rPr>
                <w:rFonts w:ascii="Arial Narrow" w:hAnsi="Arial Narrow" w:cs="Calibri"/>
                <w:color w:val="000000"/>
                <w:sz w:val="20"/>
              </w:rPr>
              <w:t>$821</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1A82CFC1" w14:textId="3323C228">
            <w:pPr>
              <w:spacing w:after="0"/>
              <w:ind w:firstLine="0"/>
              <w:jc w:val="right"/>
              <w:rPr>
                <w:rFonts w:ascii="Arial Narrow" w:hAnsi="Arial Narrow" w:cs="Arial"/>
                <w:sz w:val="20"/>
              </w:rPr>
            </w:pPr>
            <w:r>
              <w:rPr>
                <w:rFonts w:ascii="Arial Narrow" w:hAnsi="Arial Narrow" w:cs="Calibri"/>
                <w:color w:val="000000"/>
                <w:sz w:val="20"/>
              </w:rPr>
              <w:t>$1,643</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7DD0A097" w14:textId="099106C3">
            <w:pPr>
              <w:spacing w:after="0"/>
              <w:ind w:firstLine="0"/>
              <w:jc w:val="right"/>
              <w:rPr>
                <w:rFonts w:ascii="Arial Narrow" w:hAnsi="Arial Narrow" w:cs="Arial"/>
                <w:sz w:val="20"/>
              </w:rPr>
            </w:pPr>
            <w:r>
              <w:rPr>
                <w:rFonts w:ascii="Arial Narrow" w:hAnsi="Arial Narrow" w:cs="Calibri"/>
                <w:color w:val="000000"/>
                <w:sz w:val="20"/>
              </w:rPr>
              <w:t>$2,464</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6E97FC6B" w14:textId="46F66364">
            <w:pPr>
              <w:spacing w:after="0"/>
              <w:ind w:firstLine="0"/>
              <w:jc w:val="right"/>
              <w:rPr>
                <w:rFonts w:ascii="Arial Narrow" w:hAnsi="Arial Narrow" w:cs="Arial"/>
                <w:sz w:val="20"/>
              </w:rPr>
            </w:pPr>
            <w:r>
              <w:rPr>
                <w:rFonts w:ascii="Arial Narrow" w:hAnsi="Arial Narrow" w:cs="Calibri"/>
                <w:color w:val="000000"/>
                <w:sz w:val="20"/>
              </w:rPr>
              <w:t>$3,285</w:t>
            </w:r>
          </w:p>
        </w:tc>
      </w:tr>
      <w:tr w:rsidRPr="00C97D4D" w:rsidR="007D6CCF" w:rsidTr="007D6CCF" w14:paraId="4C681008" w14:textId="77777777">
        <w:trPr>
          <w:trHeight w:val="300"/>
        </w:trPr>
        <w:tc>
          <w:tcPr>
            <w:tcW w:w="4074" w:type="dxa"/>
            <w:tcBorders>
              <w:right w:val="single" w:color="auto" w:sz="2" w:space="0"/>
            </w:tcBorders>
            <w:shd w:val="clear" w:color="auto" w:fill="auto"/>
            <w:noWrap/>
            <w:vAlign w:val="center"/>
          </w:tcPr>
          <w:p w:rsidRPr="00FE5AE5" w:rsidR="007D6CCF" w:rsidP="007D6CCF" w:rsidRDefault="007D6CCF" w14:paraId="496BBA8F" w14:textId="77777777">
            <w:pPr>
              <w:spacing w:after="0"/>
              <w:ind w:firstLine="0"/>
              <w:rPr>
                <w:rFonts w:ascii="Arial Narrow" w:hAnsi="Arial Narrow" w:cs="Arial"/>
                <w:sz w:val="20"/>
              </w:rPr>
            </w:pPr>
            <w:r w:rsidRPr="00FE5AE5">
              <w:rPr>
                <w:rFonts w:ascii="Arial Narrow" w:hAnsi="Arial Narrow" w:cs="Arial"/>
                <w:sz w:val="20"/>
              </w:rPr>
              <w:t>Review reports by the RP</w:t>
            </w:r>
          </w:p>
        </w:tc>
        <w:tc>
          <w:tcPr>
            <w:tcW w:w="1319" w:type="dxa"/>
            <w:tcBorders>
              <w:top w:val="single" w:color="auto" w:sz="4" w:space="0"/>
              <w:left w:val="single" w:color="auto" w:sz="2" w:space="0"/>
              <w:bottom w:val="single" w:color="auto" w:sz="4" w:space="0"/>
              <w:right w:val="dotted" w:color="auto" w:sz="4" w:space="0"/>
            </w:tcBorders>
            <w:vAlign w:val="center"/>
          </w:tcPr>
          <w:p w:rsidRPr="00FE5AE5" w:rsidR="007D6CCF" w:rsidP="007D6CCF" w:rsidRDefault="007D6CCF" w14:paraId="44E0CB8D" w14:textId="03F67A78">
            <w:pPr>
              <w:spacing w:after="0"/>
              <w:ind w:firstLine="0"/>
              <w:jc w:val="right"/>
              <w:rPr>
                <w:rFonts w:ascii="Arial Narrow" w:hAnsi="Arial Narrow" w:cs="Arial"/>
                <w:sz w:val="20"/>
              </w:rPr>
            </w:pPr>
            <w:r>
              <w:rPr>
                <w:rFonts w:ascii="Arial Narrow" w:hAnsi="Arial Narrow" w:cs="Calibri"/>
                <w:color w:val="000000"/>
                <w:sz w:val="20"/>
              </w:rPr>
              <w:t>$513</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029D1741" w14:textId="7DDC42A2">
            <w:pPr>
              <w:spacing w:after="0"/>
              <w:ind w:firstLine="0"/>
              <w:jc w:val="right"/>
              <w:rPr>
                <w:rFonts w:ascii="Arial Narrow" w:hAnsi="Arial Narrow" w:cs="Arial"/>
                <w:sz w:val="20"/>
              </w:rPr>
            </w:pPr>
            <w:r>
              <w:rPr>
                <w:rFonts w:ascii="Arial Narrow" w:hAnsi="Arial Narrow" w:cs="Calibri"/>
                <w:color w:val="000000"/>
                <w:sz w:val="20"/>
              </w:rPr>
              <w:t>$2,772</w:t>
            </w:r>
          </w:p>
        </w:tc>
        <w:tc>
          <w:tcPr>
            <w:tcW w:w="1319"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FE5AE5" w:rsidR="007D6CCF" w:rsidP="007D6CCF" w:rsidRDefault="007D6CCF" w14:paraId="76696A5F" w14:textId="1BBD2EEC">
            <w:pPr>
              <w:spacing w:after="0"/>
              <w:ind w:firstLine="0"/>
              <w:jc w:val="right"/>
              <w:rPr>
                <w:rFonts w:ascii="Arial Narrow" w:hAnsi="Arial Narrow" w:cs="Arial"/>
                <w:sz w:val="20"/>
              </w:rPr>
            </w:pPr>
            <w:r>
              <w:rPr>
                <w:rFonts w:ascii="Arial Narrow" w:hAnsi="Arial Narrow" w:cs="Calibri"/>
                <w:color w:val="000000"/>
                <w:sz w:val="20"/>
              </w:rPr>
              <w:t>$6,673</w:t>
            </w:r>
          </w:p>
        </w:tc>
        <w:tc>
          <w:tcPr>
            <w:tcW w:w="1319" w:type="dxa"/>
            <w:tcBorders>
              <w:top w:val="single" w:color="auto" w:sz="2" w:space="0"/>
              <w:left w:val="nil"/>
              <w:bottom w:val="single" w:color="auto" w:sz="2" w:space="0"/>
              <w:right w:val="dotted" w:color="auto" w:sz="4" w:space="0"/>
            </w:tcBorders>
            <w:shd w:val="clear" w:color="auto" w:fill="auto"/>
            <w:vAlign w:val="center"/>
          </w:tcPr>
          <w:p w:rsidRPr="00FE5AE5" w:rsidR="007D6CCF" w:rsidP="007D6CCF" w:rsidRDefault="007D6CCF" w14:paraId="62069820" w14:textId="754FDA5A">
            <w:pPr>
              <w:spacing w:after="0"/>
              <w:ind w:firstLine="0"/>
              <w:jc w:val="right"/>
              <w:rPr>
                <w:rFonts w:ascii="Arial Narrow" w:hAnsi="Arial Narrow" w:cs="Arial"/>
                <w:b/>
                <w:sz w:val="20"/>
              </w:rPr>
            </w:pPr>
            <w:r>
              <w:rPr>
                <w:rFonts w:ascii="Arial Narrow" w:hAnsi="Arial Narrow" w:cs="Calibri"/>
                <w:color w:val="000000"/>
                <w:sz w:val="20"/>
              </w:rPr>
              <w:t>$18,480</w:t>
            </w:r>
          </w:p>
        </w:tc>
      </w:tr>
      <w:tr w:rsidR="007D6CCF" w:rsidTr="007D6CCF" w14:paraId="58F4891A" w14:textId="77777777">
        <w:trPr>
          <w:trHeight w:val="242"/>
        </w:trPr>
        <w:tc>
          <w:tcPr>
            <w:tcW w:w="4074" w:type="dxa"/>
            <w:tcBorders>
              <w:right w:val="single" w:color="auto" w:sz="2" w:space="0"/>
            </w:tcBorders>
            <w:shd w:val="clear" w:color="auto" w:fill="F2F2F2" w:themeFill="background1" w:themeFillShade="F2"/>
            <w:noWrap/>
            <w:vAlign w:val="bottom"/>
          </w:tcPr>
          <w:p w:rsidRPr="00FE5AE5" w:rsidR="007D6CCF" w:rsidP="007D6CCF" w:rsidRDefault="007D6CCF" w14:paraId="4F3BE06B" w14:textId="4EB19C66">
            <w:pPr>
              <w:spacing w:after="0"/>
              <w:ind w:firstLine="0"/>
              <w:rPr>
                <w:rFonts w:ascii="Arial Narrow" w:hAnsi="Arial Narrow" w:cs="Arial"/>
                <w:b/>
                <w:sz w:val="20"/>
              </w:rPr>
            </w:pPr>
            <w:r>
              <w:rPr>
                <w:rFonts w:ascii="Arial Narrow" w:hAnsi="Arial Narrow" w:cs="Arial"/>
                <w:b/>
                <w:sz w:val="20"/>
              </w:rPr>
              <w:t xml:space="preserve">Total </w:t>
            </w:r>
            <w:r w:rsidRPr="00FE5AE5">
              <w:rPr>
                <w:rFonts w:ascii="Arial Narrow" w:hAnsi="Arial Narrow" w:cs="Arial"/>
                <w:b/>
                <w:sz w:val="20"/>
              </w:rPr>
              <w:t>Cost</w:t>
            </w:r>
          </w:p>
        </w:tc>
        <w:tc>
          <w:tcPr>
            <w:tcW w:w="1319" w:type="dxa"/>
            <w:tcBorders>
              <w:top w:val="single" w:color="auto" w:sz="4" w:space="0"/>
              <w:left w:val="single" w:color="auto" w:sz="2" w:space="0"/>
              <w:bottom w:val="single" w:color="auto" w:sz="2" w:space="0"/>
              <w:right w:val="dotted" w:color="auto" w:sz="4" w:space="0"/>
            </w:tcBorders>
            <w:shd w:val="clear" w:color="auto" w:fill="F2F2F2" w:themeFill="background1" w:themeFillShade="F2"/>
            <w:vAlign w:val="center"/>
          </w:tcPr>
          <w:p w:rsidRPr="007D6CCF" w:rsidR="007D6CCF" w:rsidP="007D6CCF" w:rsidRDefault="007D6CCF" w14:paraId="471D36B9" w14:textId="21C4F1DC">
            <w:pPr>
              <w:spacing w:after="0"/>
              <w:ind w:firstLine="0"/>
              <w:jc w:val="right"/>
              <w:rPr>
                <w:rFonts w:ascii="Arial Narrow" w:hAnsi="Arial Narrow" w:cs="Arial"/>
                <w:b/>
                <w:sz w:val="20"/>
              </w:rPr>
            </w:pPr>
            <w:r w:rsidRPr="007D6CCF">
              <w:rPr>
                <w:rFonts w:ascii="Arial Narrow" w:hAnsi="Arial Narrow" w:cs="Calibri"/>
                <w:b/>
                <w:color w:val="000000"/>
                <w:sz w:val="20"/>
              </w:rPr>
              <w:t>$3,183</w:t>
            </w:r>
          </w:p>
        </w:tc>
        <w:tc>
          <w:tcPr>
            <w:tcW w:w="1319"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7D6CCF" w:rsidR="007D6CCF" w:rsidP="007D6CCF" w:rsidRDefault="007D6CCF" w14:paraId="2DD61D45" w14:textId="05F53359">
            <w:pPr>
              <w:spacing w:after="0"/>
              <w:ind w:firstLine="0"/>
              <w:jc w:val="right"/>
              <w:rPr>
                <w:rFonts w:ascii="Arial Narrow" w:hAnsi="Arial Narrow" w:cs="Arial"/>
                <w:b/>
                <w:sz w:val="20"/>
              </w:rPr>
            </w:pPr>
            <w:r w:rsidRPr="007D6CCF">
              <w:rPr>
                <w:rFonts w:ascii="Arial Narrow" w:hAnsi="Arial Narrow" w:cs="Calibri"/>
                <w:b/>
                <w:color w:val="000000"/>
                <w:sz w:val="20"/>
              </w:rPr>
              <w:t>$13,552</w:t>
            </w:r>
          </w:p>
        </w:tc>
        <w:tc>
          <w:tcPr>
            <w:tcW w:w="1319" w:type="dxa"/>
            <w:tcBorders>
              <w:top w:val="single" w:color="auto" w:sz="4" w:space="0"/>
              <w:left w:val="single" w:color="auto" w:sz="2" w:space="0"/>
              <w:bottom w:val="single" w:color="auto" w:sz="2" w:space="0"/>
              <w:right w:val="dotted" w:color="auto" w:sz="4" w:space="0"/>
            </w:tcBorders>
            <w:shd w:val="clear" w:color="auto" w:fill="F2F2F2" w:themeFill="background1" w:themeFillShade="F2"/>
            <w:noWrap/>
            <w:vAlign w:val="center"/>
          </w:tcPr>
          <w:p w:rsidRPr="007D6CCF" w:rsidR="007D6CCF" w:rsidP="007D6CCF" w:rsidRDefault="007D6CCF" w14:paraId="1248643F" w14:textId="43BDE388">
            <w:pPr>
              <w:spacing w:after="0"/>
              <w:ind w:firstLine="0"/>
              <w:jc w:val="right"/>
              <w:rPr>
                <w:rFonts w:ascii="Arial Narrow" w:hAnsi="Arial Narrow" w:cs="Arial"/>
                <w:b/>
                <w:sz w:val="20"/>
              </w:rPr>
            </w:pPr>
            <w:r w:rsidRPr="007D6CCF">
              <w:rPr>
                <w:rFonts w:ascii="Arial Narrow" w:hAnsi="Arial Narrow" w:cs="Calibri"/>
                <w:b/>
                <w:color w:val="000000"/>
                <w:sz w:val="20"/>
              </w:rPr>
              <w:t>$29,978</w:t>
            </w:r>
          </w:p>
        </w:tc>
        <w:tc>
          <w:tcPr>
            <w:tcW w:w="1319" w:type="dxa"/>
            <w:tcBorders>
              <w:top w:val="single" w:color="auto" w:sz="2" w:space="0"/>
              <w:left w:val="nil"/>
              <w:bottom w:val="single" w:color="auto" w:sz="2" w:space="0"/>
              <w:right w:val="dotted" w:color="auto" w:sz="4" w:space="0"/>
            </w:tcBorders>
            <w:shd w:val="clear" w:color="auto" w:fill="F2F2F2" w:themeFill="background1" w:themeFillShade="F2"/>
            <w:vAlign w:val="center"/>
          </w:tcPr>
          <w:p w:rsidRPr="007D6CCF" w:rsidR="007D6CCF" w:rsidP="007D6CCF" w:rsidRDefault="007D6CCF" w14:paraId="2778534F" w14:textId="1378A589">
            <w:pPr>
              <w:spacing w:after="0"/>
              <w:ind w:firstLine="0"/>
              <w:jc w:val="right"/>
              <w:rPr>
                <w:rFonts w:ascii="Arial Narrow" w:hAnsi="Arial Narrow" w:cs="Arial"/>
                <w:b/>
                <w:sz w:val="20"/>
              </w:rPr>
            </w:pPr>
            <w:r w:rsidRPr="007D6CCF">
              <w:rPr>
                <w:rFonts w:ascii="Arial Narrow" w:hAnsi="Arial Narrow" w:cs="Calibri"/>
                <w:b/>
                <w:color w:val="000000"/>
                <w:sz w:val="20"/>
              </w:rPr>
              <w:t>$50,306</w:t>
            </w:r>
          </w:p>
        </w:tc>
      </w:tr>
    </w:tbl>
    <w:p w:rsidRPr="00FE5AE5" w:rsidR="00D84482" w:rsidP="00D84482" w:rsidRDefault="00D84482" w14:paraId="383C955E" w14:textId="77777777"/>
    <w:p w:rsidRPr="009F1E81" w:rsidR="00EF7EC7" w:rsidP="00EF7EC7" w:rsidRDefault="00034952" w14:paraId="34C6DA44" w14:textId="0C535595">
      <w:pPr>
        <w:numPr>
          <w:ilvl w:val="12"/>
          <w:numId w:val="0"/>
        </w:numPr>
        <w:tabs>
          <w:tab w:val="left" w:pos="-1440"/>
          <w:tab w:val="left" w:pos="-1311"/>
          <w:tab w:val="left" w:pos="-720"/>
        </w:tabs>
        <w:rPr>
          <w:szCs w:val="19"/>
        </w:rPr>
      </w:pPr>
      <w:r>
        <w:rPr>
          <w:szCs w:val="19"/>
        </w:rPr>
        <w:tab/>
      </w:r>
      <w:r w:rsidRPr="009F1E81" w:rsidR="00EF7EC7">
        <w:rPr>
          <w:szCs w:val="19"/>
        </w:rPr>
        <w:t xml:space="preserve">The annual </w:t>
      </w:r>
      <w:r w:rsidR="000C53E4">
        <w:rPr>
          <w:szCs w:val="19"/>
        </w:rPr>
        <w:t xml:space="preserve">burden and </w:t>
      </w:r>
      <w:r w:rsidRPr="009F1E81" w:rsidR="00EF7EC7">
        <w:rPr>
          <w:szCs w:val="19"/>
        </w:rPr>
        <w:t>costs to</w:t>
      </w:r>
      <w:r w:rsidR="009F1E81">
        <w:rPr>
          <w:szCs w:val="19"/>
        </w:rPr>
        <w:t xml:space="preserve"> the Agency</w:t>
      </w:r>
      <w:r w:rsidRPr="009F1E81" w:rsidR="00EF7EC7">
        <w:rPr>
          <w:szCs w:val="19"/>
        </w:rPr>
        <w:t xml:space="preserve"> under Subpart J</w:t>
      </w:r>
      <w:r w:rsidR="00954781">
        <w:rPr>
          <w:szCs w:val="19"/>
        </w:rPr>
        <w:t xml:space="preserve"> for the monitoring requirements</w:t>
      </w:r>
      <w:r w:rsidRPr="009F1E81" w:rsidR="00EF7EC7">
        <w:rPr>
          <w:szCs w:val="19"/>
        </w:rPr>
        <w:t xml:space="preserve"> are presented in </w:t>
      </w:r>
      <w:r w:rsidR="009F1E81">
        <w:rPr>
          <w:szCs w:val="19"/>
        </w:rPr>
        <w:fldChar w:fldCharType="begin"/>
      </w:r>
      <w:r w:rsidR="009F1E81">
        <w:rPr>
          <w:szCs w:val="19"/>
        </w:rPr>
        <w:instrText xml:space="preserve"> REF _Ref55298867 \h </w:instrText>
      </w:r>
      <w:r w:rsidR="009F1E81">
        <w:rPr>
          <w:szCs w:val="19"/>
        </w:rPr>
      </w:r>
      <w:r w:rsidR="009F1E81">
        <w:rPr>
          <w:szCs w:val="19"/>
        </w:rPr>
        <w:fldChar w:fldCharType="separate"/>
      </w:r>
      <w:r w:rsidR="009F1E81">
        <w:t xml:space="preserve">Exhibit </w:t>
      </w:r>
      <w:r w:rsidR="009F1E81">
        <w:rPr>
          <w:noProof/>
        </w:rPr>
        <w:t>5</w:t>
      </w:r>
      <w:r w:rsidR="009F1E81">
        <w:rPr>
          <w:szCs w:val="19"/>
        </w:rPr>
        <w:fldChar w:fldCharType="end"/>
      </w:r>
      <w:r w:rsidRPr="009F1E81" w:rsidR="00EF7EC7">
        <w:rPr>
          <w:szCs w:val="19"/>
        </w:rPr>
        <w:t>.</w:t>
      </w:r>
      <w:r w:rsidR="009F1E81">
        <w:rPr>
          <w:szCs w:val="19"/>
        </w:rPr>
        <w:t xml:space="preserve"> Agency cost is estimated to be </w:t>
      </w:r>
      <w:r w:rsidR="00161046">
        <w:rPr>
          <w:szCs w:val="19"/>
        </w:rPr>
        <w:t>in the range of</w:t>
      </w:r>
      <w:r w:rsidR="009F1E81">
        <w:rPr>
          <w:szCs w:val="19"/>
        </w:rPr>
        <w:t xml:space="preserve"> $637</w:t>
      </w:r>
      <w:r w:rsidR="00161046">
        <w:rPr>
          <w:szCs w:val="19"/>
        </w:rPr>
        <w:t xml:space="preserve"> to $10,000 per year; or, $1,900 to $30,000 over the three-year </w:t>
      </w:r>
      <w:r w:rsidR="001F5467">
        <w:rPr>
          <w:szCs w:val="19"/>
        </w:rPr>
        <w:t>perio</w:t>
      </w:r>
      <w:r w:rsidR="00E36D6A">
        <w:rPr>
          <w:szCs w:val="19"/>
        </w:rPr>
        <w:t>d</w:t>
      </w:r>
      <w:r w:rsidR="00161046">
        <w:rPr>
          <w:szCs w:val="19"/>
        </w:rPr>
        <w:t xml:space="preserve"> of this ICR.</w:t>
      </w:r>
    </w:p>
    <w:p w:rsidR="009F1E81" w:rsidP="009F1E81" w:rsidRDefault="009F1E81" w14:paraId="37626921" w14:textId="3C78398E">
      <w:pPr>
        <w:pStyle w:val="TableTitle"/>
      </w:pPr>
      <w:bookmarkStart w:name="_Ref55298867" w:id="13"/>
      <w:r>
        <w:t xml:space="preserve">Exhibit </w:t>
      </w:r>
      <w:r>
        <w:rPr>
          <w:noProof/>
        </w:rPr>
        <w:fldChar w:fldCharType="begin"/>
      </w:r>
      <w:r>
        <w:rPr>
          <w:noProof/>
        </w:rPr>
        <w:instrText xml:space="preserve"> SEQ Exhibit \* ARABIC </w:instrText>
      </w:r>
      <w:r>
        <w:rPr>
          <w:noProof/>
        </w:rPr>
        <w:fldChar w:fldCharType="separate"/>
      </w:r>
      <w:r>
        <w:rPr>
          <w:noProof/>
        </w:rPr>
        <w:t>5</w:t>
      </w:r>
      <w:r>
        <w:rPr>
          <w:noProof/>
        </w:rPr>
        <w:fldChar w:fldCharType="end"/>
      </w:r>
      <w:bookmarkEnd w:id="13"/>
      <w:r>
        <w:t>: Annual and Three-Year Labor Burden and Cost for EPA ($2019)</w:t>
      </w:r>
      <w: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92"/>
        <w:gridCol w:w="1539"/>
        <w:gridCol w:w="1540"/>
        <w:gridCol w:w="1539"/>
        <w:gridCol w:w="1540"/>
      </w:tblGrid>
      <w:tr w:rsidRPr="001273D6" w:rsidR="009F1E81" w:rsidTr="00E5609D" w14:paraId="52DA311B" w14:textId="77777777">
        <w:trPr>
          <w:trHeight w:val="300"/>
          <w:jc w:val="center"/>
        </w:trPr>
        <w:tc>
          <w:tcPr>
            <w:tcW w:w="3192" w:type="dxa"/>
            <w:tcBorders>
              <w:bottom w:val="single" w:color="auto" w:sz="4" w:space="0"/>
            </w:tcBorders>
            <w:shd w:val="clear" w:color="auto" w:fill="auto"/>
            <w:noWrap/>
            <w:vAlign w:val="bottom"/>
          </w:tcPr>
          <w:p w:rsidR="009F1E81" w:rsidP="00E5609D" w:rsidRDefault="009F1E81" w14:paraId="5567E0F1" w14:textId="77777777">
            <w:pPr>
              <w:rPr>
                <w:rFonts w:ascii="Arial Narrow" w:hAnsi="Arial Narrow" w:cs="Calibri"/>
                <w:color w:val="000000"/>
                <w:szCs w:val="22"/>
              </w:rPr>
            </w:pPr>
          </w:p>
        </w:tc>
        <w:tc>
          <w:tcPr>
            <w:tcW w:w="1539" w:type="dxa"/>
            <w:tcBorders>
              <w:bottom w:val="single" w:color="auto" w:sz="4" w:space="0"/>
            </w:tcBorders>
            <w:shd w:val="clear" w:color="auto" w:fill="auto"/>
            <w:noWrap/>
            <w:vAlign w:val="center"/>
          </w:tcPr>
          <w:p w:rsidRPr="00DC2643" w:rsidR="009F1E81" w:rsidP="00E5609D" w:rsidRDefault="009F1E81" w14:paraId="0D2D621C" w14:textId="77777777">
            <w:pPr>
              <w:spacing w:after="0"/>
              <w:ind w:firstLine="0"/>
              <w:jc w:val="center"/>
              <w:rPr>
                <w:rFonts w:ascii="Arial Narrow" w:hAnsi="Arial Narrow" w:cs="Calibri"/>
                <w:b/>
                <w:color w:val="000000"/>
                <w:sz w:val="20"/>
                <w:szCs w:val="22"/>
              </w:rPr>
            </w:pPr>
            <w:r w:rsidRPr="00DC2643">
              <w:rPr>
                <w:rFonts w:ascii="Arial Narrow" w:hAnsi="Arial Narrow" w:cs="Calibri"/>
                <w:b/>
                <w:color w:val="000000"/>
                <w:sz w:val="20"/>
                <w:szCs w:val="22"/>
              </w:rPr>
              <w:t>Scenario 1</w:t>
            </w:r>
          </w:p>
        </w:tc>
        <w:tc>
          <w:tcPr>
            <w:tcW w:w="1540" w:type="dxa"/>
            <w:tcBorders>
              <w:bottom w:val="single" w:color="auto" w:sz="4" w:space="0"/>
            </w:tcBorders>
            <w:shd w:val="clear" w:color="auto" w:fill="auto"/>
            <w:vAlign w:val="center"/>
          </w:tcPr>
          <w:p w:rsidRPr="001743F1" w:rsidR="009F1E81" w:rsidP="00E5609D" w:rsidRDefault="009F1E81" w14:paraId="21197682" w14:textId="77777777">
            <w:pPr>
              <w:spacing w:after="0"/>
              <w:ind w:firstLine="0"/>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2</w:t>
            </w:r>
          </w:p>
        </w:tc>
        <w:tc>
          <w:tcPr>
            <w:tcW w:w="1539" w:type="dxa"/>
            <w:tcBorders>
              <w:bottom w:val="single" w:color="auto" w:sz="4" w:space="0"/>
            </w:tcBorders>
            <w:shd w:val="clear" w:color="auto" w:fill="auto"/>
            <w:vAlign w:val="center"/>
          </w:tcPr>
          <w:p w:rsidRPr="001743F1" w:rsidR="009F1E81" w:rsidP="00E5609D" w:rsidRDefault="009F1E81" w14:paraId="68E424C1" w14:textId="77777777">
            <w:pPr>
              <w:spacing w:after="0"/>
              <w:ind w:firstLine="0"/>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3</w:t>
            </w:r>
          </w:p>
        </w:tc>
        <w:tc>
          <w:tcPr>
            <w:tcW w:w="1540" w:type="dxa"/>
            <w:tcBorders>
              <w:bottom w:val="single" w:color="auto" w:sz="4" w:space="0"/>
            </w:tcBorders>
            <w:shd w:val="clear" w:color="auto" w:fill="auto"/>
            <w:vAlign w:val="center"/>
          </w:tcPr>
          <w:p w:rsidRPr="001743F1" w:rsidR="009F1E81" w:rsidP="00E5609D" w:rsidRDefault="009F1E81" w14:paraId="1362DD8D" w14:textId="77777777">
            <w:pPr>
              <w:spacing w:after="0"/>
              <w:ind w:firstLine="0"/>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4</w:t>
            </w:r>
          </w:p>
        </w:tc>
      </w:tr>
      <w:tr w:rsidRPr="00DC2643" w:rsidR="009F1E81" w:rsidTr="00E5609D" w14:paraId="133EC6BC" w14:textId="77777777">
        <w:trPr>
          <w:trHeight w:val="300"/>
          <w:jc w:val="center"/>
        </w:trPr>
        <w:tc>
          <w:tcPr>
            <w:tcW w:w="3192" w:type="dxa"/>
            <w:tcBorders>
              <w:bottom w:val="dotted" w:color="auto" w:sz="4" w:space="0"/>
            </w:tcBorders>
            <w:shd w:val="clear" w:color="auto" w:fill="auto"/>
            <w:noWrap/>
            <w:vAlign w:val="bottom"/>
          </w:tcPr>
          <w:p w:rsidRPr="00761318" w:rsidR="009F1E81" w:rsidP="009F1E81" w:rsidRDefault="009F1E81" w14:paraId="179AAC35"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Annual Number of Respondents and Responses</w:t>
            </w:r>
          </w:p>
        </w:tc>
        <w:tc>
          <w:tcPr>
            <w:tcW w:w="1539" w:type="dxa"/>
            <w:tcBorders>
              <w:bottom w:val="dotted" w:color="auto" w:sz="4" w:space="0"/>
            </w:tcBorders>
            <w:shd w:val="clear" w:color="auto" w:fill="auto"/>
            <w:noWrap/>
            <w:vAlign w:val="center"/>
          </w:tcPr>
          <w:p w:rsidRPr="00761318" w:rsidR="009F1E81" w:rsidP="009F1E81" w:rsidRDefault="009F1E81" w14:paraId="23CD271A" w14:textId="22F95644">
            <w:pPr>
              <w:spacing w:after="0" w:line="240" w:lineRule="auto"/>
              <w:jc w:val="right"/>
              <w:rPr>
                <w:rFonts w:ascii="Arial Narrow" w:hAnsi="Arial Narrow" w:cs="Calibri"/>
                <w:color w:val="000000"/>
                <w:sz w:val="20"/>
              </w:rPr>
            </w:pPr>
            <w:r>
              <w:rPr>
                <w:rFonts w:ascii="Arial Narrow" w:hAnsi="Arial Narrow" w:cs="Calibri"/>
                <w:color w:val="000000"/>
                <w:sz w:val="20"/>
              </w:rPr>
              <w:t>0.2</w:t>
            </w:r>
          </w:p>
        </w:tc>
        <w:tc>
          <w:tcPr>
            <w:tcW w:w="1540" w:type="dxa"/>
            <w:tcBorders>
              <w:bottom w:val="dotted" w:color="auto" w:sz="4" w:space="0"/>
            </w:tcBorders>
            <w:shd w:val="clear" w:color="auto" w:fill="auto"/>
            <w:vAlign w:val="center"/>
          </w:tcPr>
          <w:p w:rsidRPr="00761318" w:rsidR="009F1E81" w:rsidP="009F1E81" w:rsidRDefault="009F1E81" w14:paraId="1061CC9E" w14:textId="1002C7E8">
            <w:pPr>
              <w:spacing w:after="0" w:line="240" w:lineRule="auto"/>
              <w:jc w:val="right"/>
              <w:rPr>
                <w:rFonts w:ascii="Arial Narrow" w:hAnsi="Arial Narrow" w:cs="Calibri"/>
                <w:color w:val="000000"/>
                <w:sz w:val="20"/>
              </w:rPr>
            </w:pPr>
            <w:r>
              <w:rPr>
                <w:rFonts w:ascii="Arial Narrow" w:hAnsi="Arial Narrow" w:cs="Calibri"/>
                <w:color w:val="000000"/>
                <w:sz w:val="20"/>
              </w:rPr>
              <w:t>0.2</w:t>
            </w:r>
          </w:p>
        </w:tc>
        <w:tc>
          <w:tcPr>
            <w:tcW w:w="1539" w:type="dxa"/>
            <w:tcBorders>
              <w:bottom w:val="dotted" w:color="auto" w:sz="4" w:space="0"/>
            </w:tcBorders>
            <w:shd w:val="clear" w:color="auto" w:fill="auto"/>
            <w:vAlign w:val="center"/>
          </w:tcPr>
          <w:p w:rsidRPr="00761318" w:rsidR="009F1E81" w:rsidP="009F1E81" w:rsidRDefault="009F1E81" w14:paraId="12F37768" w14:textId="2144E5F7">
            <w:pPr>
              <w:spacing w:after="0" w:line="240" w:lineRule="auto"/>
              <w:jc w:val="right"/>
              <w:rPr>
                <w:rFonts w:ascii="Arial Narrow" w:hAnsi="Arial Narrow" w:cs="Calibri"/>
                <w:color w:val="000000"/>
                <w:sz w:val="20"/>
              </w:rPr>
            </w:pPr>
            <w:r>
              <w:rPr>
                <w:rFonts w:ascii="Arial Narrow" w:hAnsi="Arial Narrow" w:cs="Calibri"/>
                <w:color w:val="000000"/>
                <w:sz w:val="20"/>
              </w:rPr>
              <w:t>0.2</w:t>
            </w:r>
          </w:p>
        </w:tc>
        <w:tc>
          <w:tcPr>
            <w:tcW w:w="1540" w:type="dxa"/>
            <w:tcBorders>
              <w:bottom w:val="dotted" w:color="auto" w:sz="4" w:space="0"/>
            </w:tcBorders>
            <w:shd w:val="clear" w:color="auto" w:fill="auto"/>
            <w:vAlign w:val="center"/>
          </w:tcPr>
          <w:p w:rsidRPr="00761318" w:rsidR="009F1E81" w:rsidP="009F1E81" w:rsidRDefault="009F1E81" w14:paraId="2138987D" w14:textId="39A42F4F">
            <w:pPr>
              <w:spacing w:after="0" w:line="240" w:lineRule="auto"/>
              <w:jc w:val="right"/>
              <w:rPr>
                <w:rFonts w:ascii="Arial Narrow" w:hAnsi="Arial Narrow" w:cs="Calibri"/>
                <w:color w:val="000000"/>
                <w:sz w:val="20"/>
              </w:rPr>
            </w:pPr>
            <w:r>
              <w:rPr>
                <w:rFonts w:ascii="Arial Narrow" w:hAnsi="Arial Narrow" w:cs="Calibri"/>
                <w:color w:val="000000"/>
                <w:sz w:val="20"/>
              </w:rPr>
              <w:t>0.2</w:t>
            </w:r>
          </w:p>
        </w:tc>
      </w:tr>
      <w:tr w:rsidRPr="00DC2643" w:rsidR="009F1E81" w:rsidTr="00E5609D" w14:paraId="61EBC60E" w14:textId="77777777">
        <w:trPr>
          <w:trHeight w:val="300"/>
          <w:jc w:val="center"/>
        </w:trPr>
        <w:tc>
          <w:tcPr>
            <w:tcW w:w="3192" w:type="dxa"/>
            <w:tcBorders>
              <w:top w:val="dotted" w:color="auto" w:sz="4" w:space="0"/>
              <w:bottom w:val="dotted" w:color="auto" w:sz="4" w:space="0"/>
            </w:tcBorders>
            <w:shd w:val="clear" w:color="auto" w:fill="auto"/>
            <w:noWrap/>
            <w:vAlign w:val="bottom"/>
            <w:hideMark/>
          </w:tcPr>
          <w:p w:rsidRPr="00761318" w:rsidR="009F1E81" w:rsidP="009F1E81" w:rsidRDefault="009F1E81" w14:paraId="6A5ACD2C"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Annual Burden (hours)</w:t>
            </w:r>
          </w:p>
        </w:tc>
        <w:tc>
          <w:tcPr>
            <w:tcW w:w="1539" w:type="dxa"/>
            <w:tcBorders>
              <w:top w:val="dotted" w:color="auto" w:sz="4" w:space="0"/>
              <w:bottom w:val="dotted" w:color="auto" w:sz="4" w:space="0"/>
            </w:tcBorders>
            <w:shd w:val="clear" w:color="auto" w:fill="auto"/>
            <w:noWrap/>
            <w:vAlign w:val="center"/>
          </w:tcPr>
          <w:p w:rsidRPr="00761318" w:rsidR="009F1E81" w:rsidP="009F1E81" w:rsidRDefault="009F1E81" w14:paraId="387DF7A3" w14:textId="2754B92C">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          6 </w:t>
            </w:r>
          </w:p>
        </w:tc>
        <w:tc>
          <w:tcPr>
            <w:tcW w:w="1540" w:type="dxa"/>
            <w:tcBorders>
              <w:top w:val="dotted" w:color="auto" w:sz="4" w:space="0"/>
              <w:bottom w:val="dotted" w:color="auto" w:sz="4" w:space="0"/>
            </w:tcBorders>
            <w:shd w:val="clear" w:color="auto" w:fill="auto"/>
            <w:vAlign w:val="center"/>
          </w:tcPr>
          <w:p w:rsidRPr="00761318" w:rsidR="009F1E81" w:rsidP="009F1E81" w:rsidRDefault="009F1E81" w14:paraId="5391FC35" w14:textId="71BA5AD3">
            <w:pPr>
              <w:spacing w:after="0" w:line="240" w:lineRule="auto"/>
              <w:jc w:val="right"/>
              <w:rPr>
                <w:rFonts w:ascii="Arial Narrow" w:hAnsi="Arial Narrow" w:cs="Calibri"/>
                <w:color w:val="000000"/>
                <w:sz w:val="20"/>
              </w:rPr>
            </w:pPr>
            <w:r>
              <w:rPr>
                <w:rFonts w:ascii="Arial Narrow" w:hAnsi="Arial Narrow" w:cs="Calibri"/>
                <w:color w:val="000000"/>
                <w:sz w:val="20"/>
              </w:rPr>
              <w:t xml:space="preserve">26 </w:t>
            </w:r>
          </w:p>
        </w:tc>
        <w:tc>
          <w:tcPr>
            <w:tcW w:w="1539" w:type="dxa"/>
            <w:tcBorders>
              <w:top w:val="dotted" w:color="auto" w:sz="4" w:space="0"/>
              <w:bottom w:val="dotted" w:color="auto" w:sz="4" w:space="0"/>
            </w:tcBorders>
            <w:shd w:val="clear" w:color="auto" w:fill="auto"/>
            <w:vAlign w:val="center"/>
          </w:tcPr>
          <w:p w:rsidRPr="00761318" w:rsidR="009F1E81" w:rsidP="009F1E81" w:rsidRDefault="009F1E81" w14:paraId="22856ED9" w14:textId="2BB556EA">
            <w:pPr>
              <w:spacing w:after="0" w:line="240" w:lineRule="auto"/>
              <w:jc w:val="right"/>
              <w:rPr>
                <w:rFonts w:ascii="Arial Narrow" w:hAnsi="Arial Narrow" w:cs="Calibri"/>
                <w:color w:val="000000"/>
                <w:sz w:val="20"/>
              </w:rPr>
            </w:pPr>
            <w:r>
              <w:rPr>
                <w:rFonts w:ascii="Arial Narrow" w:hAnsi="Arial Narrow" w:cs="Calibri"/>
                <w:color w:val="000000"/>
                <w:sz w:val="20"/>
              </w:rPr>
              <w:t xml:space="preserve">58 </w:t>
            </w:r>
          </w:p>
        </w:tc>
        <w:tc>
          <w:tcPr>
            <w:tcW w:w="1540" w:type="dxa"/>
            <w:tcBorders>
              <w:top w:val="dotted" w:color="auto" w:sz="4" w:space="0"/>
              <w:bottom w:val="dotted" w:color="auto" w:sz="4" w:space="0"/>
            </w:tcBorders>
            <w:shd w:val="clear" w:color="auto" w:fill="auto"/>
            <w:vAlign w:val="center"/>
          </w:tcPr>
          <w:p w:rsidRPr="00761318" w:rsidR="009F1E81" w:rsidP="009F1E81" w:rsidRDefault="009F1E81" w14:paraId="73FA3C64" w14:textId="226123A6">
            <w:pPr>
              <w:spacing w:after="0" w:line="240" w:lineRule="auto"/>
              <w:jc w:val="right"/>
              <w:rPr>
                <w:rFonts w:ascii="Arial Narrow" w:hAnsi="Arial Narrow" w:cs="Calibri"/>
                <w:color w:val="000000"/>
                <w:sz w:val="20"/>
              </w:rPr>
            </w:pPr>
            <w:r>
              <w:rPr>
                <w:rFonts w:ascii="Arial Narrow" w:hAnsi="Arial Narrow" w:cs="Calibri"/>
                <w:color w:val="000000"/>
                <w:sz w:val="20"/>
              </w:rPr>
              <w:t xml:space="preserve">98 </w:t>
            </w:r>
          </w:p>
        </w:tc>
      </w:tr>
      <w:tr w:rsidRPr="00DC2643" w:rsidR="009F1E81" w:rsidTr="00E5609D" w14:paraId="108FDE3F" w14:textId="77777777">
        <w:trPr>
          <w:trHeight w:val="300"/>
          <w:jc w:val="center"/>
        </w:trPr>
        <w:tc>
          <w:tcPr>
            <w:tcW w:w="3192" w:type="dxa"/>
            <w:tcBorders>
              <w:top w:val="dotted" w:color="auto" w:sz="4" w:space="0"/>
              <w:bottom w:val="single" w:color="auto" w:sz="8" w:space="0"/>
            </w:tcBorders>
            <w:shd w:val="clear" w:color="auto" w:fill="auto"/>
            <w:noWrap/>
            <w:vAlign w:val="bottom"/>
            <w:hideMark/>
          </w:tcPr>
          <w:p w:rsidRPr="00761318" w:rsidR="009F1E81" w:rsidP="009F1E81" w:rsidRDefault="009F1E81" w14:paraId="2D19FF7F"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Annual Cost</w:t>
            </w:r>
          </w:p>
        </w:tc>
        <w:tc>
          <w:tcPr>
            <w:tcW w:w="1539" w:type="dxa"/>
            <w:tcBorders>
              <w:top w:val="dotted" w:color="auto" w:sz="4" w:space="0"/>
              <w:bottom w:val="single" w:color="auto" w:sz="8" w:space="0"/>
            </w:tcBorders>
            <w:shd w:val="clear" w:color="auto" w:fill="auto"/>
            <w:noWrap/>
            <w:vAlign w:val="center"/>
          </w:tcPr>
          <w:p w:rsidRPr="00761318" w:rsidR="009F1E81" w:rsidP="009F1E81" w:rsidRDefault="009F1E81" w14:paraId="596B8101" w14:textId="14D77DD3">
            <w:pPr>
              <w:spacing w:after="0" w:line="240" w:lineRule="auto"/>
              <w:jc w:val="right"/>
              <w:rPr>
                <w:rFonts w:ascii="Arial Narrow" w:hAnsi="Arial Narrow" w:cs="Calibri"/>
                <w:color w:val="000000"/>
                <w:sz w:val="20"/>
              </w:rPr>
            </w:pPr>
            <w:r>
              <w:rPr>
                <w:rFonts w:ascii="Arial Narrow" w:hAnsi="Arial Narrow" w:cs="Calibri"/>
                <w:color w:val="000000"/>
                <w:sz w:val="20"/>
              </w:rPr>
              <w:t xml:space="preserve">$637 </w:t>
            </w:r>
          </w:p>
        </w:tc>
        <w:tc>
          <w:tcPr>
            <w:tcW w:w="1540" w:type="dxa"/>
            <w:tcBorders>
              <w:top w:val="dotted" w:color="auto" w:sz="4" w:space="0"/>
              <w:bottom w:val="single" w:color="auto" w:sz="8" w:space="0"/>
            </w:tcBorders>
            <w:shd w:val="clear" w:color="auto" w:fill="auto"/>
            <w:vAlign w:val="center"/>
          </w:tcPr>
          <w:p w:rsidRPr="00761318" w:rsidR="009F1E81" w:rsidP="009F1E81" w:rsidRDefault="009F1E81" w14:paraId="0C40E35A" w14:textId="4824B7E4">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$2,710 </w:t>
            </w:r>
          </w:p>
        </w:tc>
        <w:tc>
          <w:tcPr>
            <w:tcW w:w="1539" w:type="dxa"/>
            <w:tcBorders>
              <w:top w:val="dotted" w:color="auto" w:sz="4" w:space="0"/>
              <w:bottom w:val="single" w:color="auto" w:sz="8" w:space="0"/>
            </w:tcBorders>
            <w:shd w:val="clear" w:color="auto" w:fill="auto"/>
            <w:vAlign w:val="center"/>
          </w:tcPr>
          <w:p w:rsidRPr="00761318" w:rsidR="009F1E81" w:rsidP="009F1E81" w:rsidRDefault="009F1E81" w14:paraId="305E9AF6" w14:textId="3D548538">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$5,996 </w:t>
            </w:r>
          </w:p>
        </w:tc>
        <w:tc>
          <w:tcPr>
            <w:tcW w:w="1540" w:type="dxa"/>
            <w:tcBorders>
              <w:top w:val="dotted" w:color="auto" w:sz="4" w:space="0"/>
              <w:bottom w:val="single" w:color="auto" w:sz="8" w:space="0"/>
            </w:tcBorders>
            <w:shd w:val="clear" w:color="auto" w:fill="auto"/>
            <w:vAlign w:val="center"/>
          </w:tcPr>
          <w:p w:rsidRPr="00761318" w:rsidR="009F1E81" w:rsidP="009F1E81" w:rsidRDefault="009F1E81" w14:paraId="386B89BD" w14:textId="5F6D8830">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$10,061 </w:t>
            </w:r>
          </w:p>
        </w:tc>
      </w:tr>
      <w:tr w:rsidRPr="00DC2643" w:rsidR="009F1E81" w:rsidTr="00E5609D" w14:paraId="25C4B60D" w14:textId="77777777">
        <w:trPr>
          <w:trHeight w:val="300"/>
          <w:jc w:val="center"/>
        </w:trPr>
        <w:tc>
          <w:tcPr>
            <w:tcW w:w="3192" w:type="dxa"/>
            <w:tcBorders>
              <w:top w:val="single" w:color="auto" w:sz="8" w:space="0"/>
              <w:bottom w:val="dotted" w:color="auto" w:sz="4" w:space="0"/>
            </w:tcBorders>
            <w:shd w:val="clear" w:color="auto" w:fill="auto"/>
            <w:noWrap/>
            <w:vAlign w:val="bottom"/>
          </w:tcPr>
          <w:p w:rsidRPr="00761318" w:rsidR="009F1E81" w:rsidP="009F1E81" w:rsidRDefault="009F1E81" w14:paraId="7A4DCE68"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lastRenderedPageBreak/>
              <w:t>Three-Year Total Number of Respondents and Responses</w:t>
            </w:r>
          </w:p>
        </w:tc>
        <w:tc>
          <w:tcPr>
            <w:tcW w:w="1539" w:type="dxa"/>
            <w:tcBorders>
              <w:top w:val="single" w:color="auto" w:sz="8" w:space="0"/>
              <w:bottom w:val="dotted" w:color="auto" w:sz="4" w:space="0"/>
            </w:tcBorders>
            <w:shd w:val="clear" w:color="auto" w:fill="auto"/>
            <w:noWrap/>
            <w:vAlign w:val="center"/>
          </w:tcPr>
          <w:p w:rsidRPr="00761318" w:rsidR="009F1E81" w:rsidP="009F1E81" w:rsidRDefault="009F1E81" w14:paraId="15F45C7A" w14:textId="2F186911">
            <w:pPr>
              <w:spacing w:after="0" w:line="240" w:lineRule="auto"/>
              <w:jc w:val="right"/>
              <w:rPr>
                <w:rFonts w:ascii="Arial Narrow" w:hAnsi="Arial Narrow" w:cs="Calibri"/>
                <w:color w:val="000000"/>
                <w:sz w:val="20"/>
              </w:rPr>
            </w:pPr>
            <w:r>
              <w:rPr>
                <w:rFonts w:ascii="Arial Narrow" w:hAnsi="Arial Narrow" w:cs="Calibri"/>
                <w:color w:val="000000"/>
                <w:sz w:val="20"/>
              </w:rPr>
              <w:t>0.6</w:t>
            </w:r>
          </w:p>
        </w:tc>
        <w:tc>
          <w:tcPr>
            <w:tcW w:w="1540" w:type="dxa"/>
            <w:tcBorders>
              <w:top w:val="single" w:color="auto" w:sz="8" w:space="0"/>
              <w:bottom w:val="dotted" w:color="auto" w:sz="4" w:space="0"/>
            </w:tcBorders>
            <w:shd w:val="clear" w:color="auto" w:fill="auto"/>
            <w:vAlign w:val="center"/>
          </w:tcPr>
          <w:p w:rsidRPr="00761318" w:rsidR="009F1E81" w:rsidP="009F1E81" w:rsidRDefault="009F1E81" w14:paraId="5A8C6EFD" w14:textId="0EC0F268">
            <w:pPr>
              <w:spacing w:after="0" w:line="240" w:lineRule="auto"/>
              <w:jc w:val="right"/>
              <w:rPr>
                <w:rFonts w:ascii="Arial Narrow" w:hAnsi="Arial Narrow" w:cs="Calibri"/>
                <w:color w:val="000000"/>
                <w:sz w:val="20"/>
              </w:rPr>
            </w:pPr>
            <w:r>
              <w:rPr>
                <w:rFonts w:ascii="Arial Narrow" w:hAnsi="Arial Narrow" w:cs="Calibri"/>
                <w:color w:val="000000"/>
                <w:sz w:val="20"/>
              </w:rPr>
              <w:t>0.6</w:t>
            </w:r>
          </w:p>
        </w:tc>
        <w:tc>
          <w:tcPr>
            <w:tcW w:w="1539" w:type="dxa"/>
            <w:tcBorders>
              <w:top w:val="single" w:color="auto" w:sz="8" w:space="0"/>
              <w:bottom w:val="dotted" w:color="auto" w:sz="4" w:space="0"/>
            </w:tcBorders>
            <w:shd w:val="clear" w:color="auto" w:fill="auto"/>
            <w:noWrap/>
            <w:vAlign w:val="center"/>
          </w:tcPr>
          <w:p w:rsidRPr="00761318" w:rsidR="009F1E81" w:rsidP="009F1E81" w:rsidRDefault="009F1E81" w14:paraId="588AC25D" w14:textId="3C9205B4">
            <w:pPr>
              <w:spacing w:after="0" w:line="240" w:lineRule="auto"/>
              <w:jc w:val="right"/>
              <w:rPr>
                <w:rFonts w:ascii="Arial Narrow" w:hAnsi="Arial Narrow" w:cs="Calibri"/>
                <w:color w:val="000000"/>
                <w:sz w:val="20"/>
              </w:rPr>
            </w:pPr>
            <w:r>
              <w:rPr>
                <w:rFonts w:ascii="Arial Narrow" w:hAnsi="Arial Narrow" w:cs="Calibri"/>
                <w:color w:val="000000"/>
                <w:sz w:val="20"/>
              </w:rPr>
              <w:t>0.6</w:t>
            </w:r>
          </w:p>
        </w:tc>
        <w:tc>
          <w:tcPr>
            <w:tcW w:w="1540" w:type="dxa"/>
            <w:tcBorders>
              <w:top w:val="single" w:color="auto" w:sz="8" w:space="0"/>
              <w:bottom w:val="dotted" w:color="auto" w:sz="4" w:space="0"/>
            </w:tcBorders>
            <w:shd w:val="clear" w:color="auto" w:fill="auto"/>
            <w:vAlign w:val="center"/>
          </w:tcPr>
          <w:p w:rsidRPr="00761318" w:rsidR="009F1E81" w:rsidP="009F1E81" w:rsidRDefault="009F1E81" w14:paraId="5E4F5D8C" w14:textId="7661DDB1">
            <w:pPr>
              <w:spacing w:after="0" w:line="240" w:lineRule="auto"/>
              <w:jc w:val="right"/>
              <w:rPr>
                <w:rFonts w:ascii="Arial Narrow" w:hAnsi="Arial Narrow" w:cs="Calibri"/>
                <w:color w:val="000000"/>
                <w:sz w:val="20"/>
              </w:rPr>
            </w:pPr>
            <w:r>
              <w:rPr>
                <w:rFonts w:ascii="Arial Narrow" w:hAnsi="Arial Narrow" w:cs="Calibri"/>
                <w:color w:val="000000"/>
                <w:sz w:val="20"/>
              </w:rPr>
              <w:t>0.6</w:t>
            </w:r>
          </w:p>
        </w:tc>
      </w:tr>
      <w:tr w:rsidRPr="00DC2643" w:rsidR="009F1E81" w:rsidTr="00E5609D" w14:paraId="6F7ED0EC" w14:textId="77777777">
        <w:trPr>
          <w:trHeight w:val="300"/>
          <w:jc w:val="center"/>
        </w:trPr>
        <w:tc>
          <w:tcPr>
            <w:tcW w:w="3192" w:type="dxa"/>
            <w:tcBorders>
              <w:top w:val="dotted" w:color="auto" w:sz="4" w:space="0"/>
              <w:bottom w:val="dotted" w:color="auto" w:sz="4" w:space="0"/>
            </w:tcBorders>
            <w:shd w:val="clear" w:color="auto" w:fill="auto"/>
            <w:noWrap/>
            <w:vAlign w:val="bottom"/>
          </w:tcPr>
          <w:p w:rsidRPr="00761318" w:rsidR="009F1E81" w:rsidP="009F1E81" w:rsidRDefault="009F1E81" w14:paraId="0688E3AC"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Three-Year Total Burden (hours)</w:t>
            </w:r>
          </w:p>
        </w:tc>
        <w:tc>
          <w:tcPr>
            <w:tcW w:w="1539" w:type="dxa"/>
            <w:tcBorders>
              <w:top w:val="dotted" w:color="auto" w:sz="4" w:space="0"/>
              <w:bottom w:val="dotted" w:color="auto" w:sz="4" w:space="0"/>
            </w:tcBorders>
            <w:shd w:val="clear" w:color="auto" w:fill="auto"/>
            <w:noWrap/>
            <w:vAlign w:val="center"/>
          </w:tcPr>
          <w:p w:rsidRPr="00761318" w:rsidR="009F1E81" w:rsidP="009F1E81" w:rsidRDefault="009F1E81" w14:paraId="4C92F3E2" w14:textId="5A2E92B2">
            <w:pPr>
              <w:spacing w:after="0" w:line="240" w:lineRule="auto"/>
              <w:jc w:val="right"/>
              <w:rPr>
                <w:rFonts w:ascii="Arial Narrow" w:hAnsi="Arial Narrow" w:cs="Calibri"/>
                <w:color w:val="000000"/>
                <w:sz w:val="20"/>
              </w:rPr>
            </w:pPr>
            <w:r>
              <w:rPr>
                <w:rFonts w:ascii="Arial Narrow" w:hAnsi="Arial Narrow" w:cs="Calibri"/>
                <w:color w:val="000000"/>
                <w:sz w:val="20"/>
              </w:rPr>
              <w:t>19</w:t>
            </w:r>
          </w:p>
        </w:tc>
        <w:tc>
          <w:tcPr>
            <w:tcW w:w="1540" w:type="dxa"/>
            <w:tcBorders>
              <w:top w:val="dotted" w:color="auto" w:sz="4" w:space="0"/>
              <w:bottom w:val="dotted" w:color="auto" w:sz="4" w:space="0"/>
            </w:tcBorders>
            <w:shd w:val="clear" w:color="auto" w:fill="auto"/>
            <w:vAlign w:val="center"/>
          </w:tcPr>
          <w:p w:rsidRPr="00761318" w:rsidR="009F1E81" w:rsidP="009F1E81" w:rsidRDefault="009F1E81" w14:paraId="3CA2F9FF" w14:textId="77FC1107">
            <w:pPr>
              <w:spacing w:after="0" w:line="240" w:lineRule="auto"/>
              <w:jc w:val="right"/>
              <w:rPr>
                <w:rFonts w:ascii="Arial Narrow" w:hAnsi="Arial Narrow" w:cs="Calibri"/>
                <w:color w:val="000000"/>
                <w:sz w:val="20"/>
              </w:rPr>
            </w:pPr>
            <w:r>
              <w:rPr>
                <w:rFonts w:ascii="Arial Narrow" w:hAnsi="Arial Narrow" w:cs="Calibri"/>
                <w:color w:val="000000"/>
                <w:sz w:val="20"/>
              </w:rPr>
              <w:t>79</w:t>
            </w:r>
          </w:p>
        </w:tc>
        <w:tc>
          <w:tcPr>
            <w:tcW w:w="1539" w:type="dxa"/>
            <w:tcBorders>
              <w:top w:val="dotted" w:color="auto" w:sz="4" w:space="0"/>
              <w:bottom w:val="dotted" w:color="auto" w:sz="4" w:space="0"/>
            </w:tcBorders>
            <w:shd w:val="clear" w:color="auto" w:fill="auto"/>
            <w:noWrap/>
            <w:vAlign w:val="center"/>
          </w:tcPr>
          <w:p w:rsidRPr="00761318" w:rsidR="009F1E81" w:rsidP="009F1E81" w:rsidRDefault="009F1E81" w14:paraId="535D7DC2" w14:textId="1B2379FF">
            <w:pPr>
              <w:spacing w:after="0" w:line="240" w:lineRule="auto"/>
              <w:jc w:val="right"/>
              <w:rPr>
                <w:rFonts w:ascii="Arial Narrow" w:hAnsi="Arial Narrow" w:cs="Calibri"/>
                <w:color w:val="000000"/>
                <w:sz w:val="20"/>
              </w:rPr>
            </w:pPr>
            <w:r>
              <w:rPr>
                <w:rFonts w:ascii="Arial Narrow" w:hAnsi="Arial Narrow" w:cs="Calibri"/>
                <w:color w:val="000000"/>
                <w:sz w:val="20"/>
              </w:rPr>
              <w:t>175</w:t>
            </w:r>
          </w:p>
        </w:tc>
        <w:tc>
          <w:tcPr>
            <w:tcW w:w="1540" w:type="dxa"/>
            <w:tcBorders>
              <w:top w:val="dotted" w:color="auto" w:sz="4" w:space="0"/>
              <w:bottom w:val="dotted" w:color="auto" w:sz="4" w:space="0"/>
            </w:tcBorders>
            <w:shd w:val="clear" w:color="auto" w:fill="auto"/>
            <w:vAlign w:val="center"/>
          </w:tcPr>
          <w:p w:rsidRPr="00761318" w:rsidR="009F1E81" w:rsidP="009F1E81" w:rsidRDefault="009F1E81" w14:paraId="44AE5850" w14:textId="521F05D6">
            <w:pPr>
              <w:spacing w:after="0" w:line="240" w:lineRule="auto"/>
              <w:jc w:val="right"/>
              <w:rPr>
                <w:rFonts w:ascii="Arial Narrow" w:hAnsi="Arial Narrow" w:cs="Calibri"/>
                <w:color w:val="000000"/>
                <w:sz w:val="20"/>
              </w:rPr>
            </w:pPr>
            <w:r>
              <w:rPr>
                <w:rFonts w:ascii="Arial Narrow" w:hAnsi="Arial Narrow" w:cs="Calibri"/>
                <w:color w:val="000000"/>
                <w:sz w:val="20"/>
              </w:rPr>
              <w:t>294</w:t>
            </w:r>
          </w:p>
        </w:tc>
      </w:tr>
      <w:tr w:rsidRPr="00DC2643" w:rsidR="009F1E81" w:rsidTr="00E5609D" w14:paraId="31E3D0D8" w14:textId="77777777">
        <w:trPr>
          <w:trHeight w:val="300"/>
          <w:jc w:val="center"/>
        </w:trPr>
        <w:tc>
          <w:tcPr>
            <w:tcW w:w="3192" w:type="dxa"/>
            <w:tcBorders>
              <w:top w:val="dotted" w:color="auto" w:sz="4" w:space="0"/>
            </w:tcBorders>
            <w:shd w:val="clear" w:color="auto" w:fill="auto"/>
            <w:noWrap/>
            <w:vAlign w:val="bottom"/>
          </w:tcPr>
          <w:p w:rsidRPr="00761318" w:rsidR="009F1E81" w:rsidP="009F1E81" w:rsidRDefault="009F1E81" w14:paraId="6F21E218"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Three-Year Total Cost</w:t>
            </w:r>
          </w:p>
        </w:tc>
        <w:tc>
          <w:tcPr>
            <w:tcW w:w="1539" w:type="dxa"/>
            <w:tcBorders>
              <w:top w:val="dotted" w:color="auto" w:sz="4" w:space="0"/>
            </w:tcBorders>
            <w:shd w:val="clear" w:color="auto" w:fill="auto"/>
            <w:noWrap/>
            <w:vAlign w:val="center"/>
          </w:tcPr>
          <w:p w:rsidRPr="00761318" w:rsidR="009F1E81" w:rsidP="009F1E81" w:rsidRDefault="009F1E81" w14:paraId="01EBB65F" w14:textId="409C1AB9">
            <w:pPr>
              <w:spacing w:after="0" w:line="240" w:lineRule="auto"/>
              <w:jc w:val="right"/>
              <w:rPr>
                <w:rFonts w:ascii="Arial Narrow" w:hAnsi="Arial Narrow" w:cs="Calibri"/>
                <w:color w:val="000000"/>
                <w:sz w:val="20"/>
              </w:rPr>
            </w:pPr>
            <w:r>
              <w:rPr>
                <w:rFonts w:ascii="Arial Narrow" w:hAnsi="Arial Narrow" w:cs="Calibri"/>
                <w:color w:val="000000"/>
                <w:sz w:val="20"/>
              </w:rPr>
              <w:t xml:space="preserve">$1,910 </w:t>
            </w:r>
          </w:p>
        </w:tc>
        <w:tc>
          <w:tcPr>
            <w:tcW w:w="1540" w:type="dxa"/>
            <w:tcBorders>
              <w:top w:val="dotted" w:color="auto" w:sz="4" w:space="0"/>
            </w:tcBorders>
            <w:shd w:val="clear" w:color="auto" w:fill="auto"/>
            <w:vAlign w:val="center"/>
          </w:tcPr>
          <w:p w:rsidRPr="00761318" w:rsidR="009F1E81" w:rsidP="009F1E81" w:rsidRDefault="009F1E81" w14:paraId="4AC01388" w14:textId="60ADB485">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$8,131 </w:t>
            </w:r>
          </w:p>
        </w:tc>
        <w:tc>
          <w:tcPr>
            <w:tcW w:w="1539" w:type="dxa"/>
            <w:tcBorders>
              <w:top w:val="dotted" w:color="auto" w:sz="4" w:space="0"/>
            </w:tcBorders>
            <w:shd w:val="clear" w:color="auto" w:fill="auto"/>
            <w:noWrap/>
            <w:vAlign w:val="center"/>
          </w:tcPr>
          <w:p w:rsidRPr="00761318" w:rsidR="009F1E81" w:rsidP="009F1E81" w:rsidRDefault="009F1E81" w14:paraId="45BA2B04" w14:textId="45C0EE67">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$17,987 </w:t>
            </w:r>
          </w:p>
        </w:tc>
        <w:tc>
          <w:tcPr>
            <w:tcW w:w="1540" w:type="dxa"/>
            <w:tcBorders>
              <w:top w:val="dotted" w:color="auto" w:sz="4" w:space="0"/>
            </w:tcBorders>
            <w:shd w:val="clear" w:color="auto" w:fill="auto"/>
            <w:vAlign w:val="center"/>
          </w:tcPr>
          <w:p w:rsidRPr="00761318" w:rsidR="009F1E81" w:rsidP="009F1E81" w:rsidRDefault="009F1E81" w14:paraId="1211046F" w14:textId="6C531BEF">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$30,184 </w:t>
            </w:r>
          </w:p>
        </w:tc>
      </w:tr>
    </w:tbl>
    <w:p w:rsidRPr="005B525B" w:rsidR="00EF7EC7" w:rsidP="00161046" w:rsidRDefault="00EF7EC7" w14:paraId="4BB040E3" w14:textId="77777777"/>
    <w:p w:rsidRPr="00152400" w:rsidR="005C0CB9" w:rsidP="00B62263" w:rsidRDefault="005C0CB9" w14:paraId="6C185BE7" w14:textId="3EB2B56C">
      <w:pPr>
        <w:pStyle w:val="Heading2"/>
      </w:pPr>
      <w:r w:rsidRPr="00152400">
        <w:t>Estimating the Respondent Universe and Total Burden an</w:t>
      </w:r>
      <w:r w:rsidR="000C321B">
        <w:t>d</w:t>
      </w:r>
      <w:r w:rsidRPr="00152400">
        <w:t xml:space="preserve"> Costs</w:t>
      </w:r>
    </w:p>
    <w:p w:rsidRPr="00EF29EA" w:rsidR="005C0CB9" w:rsidP="00EF29EA" w:rsidRDefault="00761318" w14:paraId="314D06AC" w14:textId="486C901A">
      <w:bookmarkStart w:name="_Hlk38962245" w:id="14"/>
      <w:bookmarkStart w:name="_Hlk36110908" w:id="15"/>
      <w:r>
        <w:t>Monitoring-related reporting will not occur at regular intervals</w:t>
      </w:r>
      <w:r w:rsidR="00161046">
        <w:t xml:space="preserve">. </w:t>
      </w:r>
      <w:r>
        <w:t>EPA has estimated a 20 percent probability of an applicable discharge, per year</w:t>
      </w:r>
      <w:r w:rsidR="006F2594">
        <w:t>, so in most years, there will be no reporting by respondents</w:t>
      </w:r>
      <w:r>
        <w:t xml:space="preserve">. </w:t>
      </w:r>
      <w:r w:rsidR="00FE4015">
        <w:t xml:space="preserve">EPA </w:t>
      </w:r>
      <w:r>
        <w:t xml:space="preserve">therefore </w:t>
      </w:r>
      <w:r w:rsidR="00FE4015">
        <w:t xml:space="preserve">estimates an </w:t>
      </w:r>
      <w:r>
        <w:t xml:space="preserve">annual equivalent value of </w:t>
      </w:r>
      <w:r w:rsidR="00EF29EA">
        <w:t>0.2</w:t>
      </w:r>
      <w:r w:rsidR="00135258">
        <w:t xml:space="preserve"> </w:t>
      </w:r>
      <w:r w:rsidR="00711E1A">
        <w:t>res</w:t>
      </w:r>
      <w:r>
        <w:t xml:space="preserve">pondents </w:t>
      </w:r>
      <w:r w:rsidR="00135258">
        <w:t xml:space="preserve">will </w:t>
      </w:r>
      <w:r w:rsidR="00711E1A">
        <w:t xml:space="preserve">submit </w:t>
      </w:r>
      <w:r w:rsidR="008D0F80">
        <w:t>information</w:t>
      </w:r>
      <w:r w:rsidR="00EF29EA">
        <w:t xml:space="preserve"> under the monitoring requirements in </w:t>
      </w:r>
      <w:r w:rsidRPr="00696D22" w:rsidR="00EF29EA">
        <w:rPr>
          <w:rFonts w:eastAsia="Arial"/>
          <w:szCs w:val="24"/>
        </w:rPr>
        <w:t>§</w:t>
      </w:r>
      <w:r w:rsidR="00EF29EA">
        <w:rPr>
          <w:rFonts w:eastAsia="Arial"/>
          <w:szCs w:val="24"/>
        </w:rPr>
        <w:t xml:space="preserve"> </w:t>
      </w:r>
      <w:r w:rsidRPr="00696D22" w:rsidR="00EF29EA">
        <w:rPr>
          <w:rFonts w:eastAsia="Arial"/>
          <w:szCs w:val="24"/>
        </w:rPr>
        <w:t>300.913</w:t>
      </w:r>
      <w:r w:rsidR="00FE4015">
        <w:t xml:space="preserve"> </w:t>
      </w:r>
      <w:r w:rsidR="00BD573F">
        <w:t xml:space="preserve">each year </w:t>
      </w:r>
      <w:r w:rsidR="00FE4015">
        <w:t>for the three years of this ICR</w:t>
      </w:r>
      <w:bookmarkEnd w:id="14"/>
      <w:r w:rsidR="00A718BB">
        <w:t xml:space="preserve"> a</w:t>
      </w:r>
      <w:r w:rsidR="00FE4015">
        <w:t>s show</w:t>
      </w:r>
      <w:r w:rsidRPr="002B411C" w:rsidR="00FE4015">
        <w:t xml:space="preserve">n in </w:t>
      </w:r>
      <w:r>
        <w:rPr>
          <w:highlight w:val="yellow"/>
        </w:rPr>
        <w:fldChar w:fldCharType="begin"/>
      </w:r>
      <w:r>
        <w:instrText xml:space="preserve"> REF _Ref54337226 \h </w:instrText>
      </w:r>
      <w:r>
        <w:rPr>
          <w:highlight w:val="yellow"/>
        </w:rPr>
      </w:r>
      <w:r>
        <w:rPr>
          <w:highlight w:val="yellow"/>
        </w:rPr>
        <w:fldChar w:fldCharType="separate"/>
      </w:r>
      <w:r>
        <w:t xml:space="preserve">Exhibit </w:t>
      </w:r>
      <w:r>
        <w:rPr>
          <w:noProof/>
        </w:rPr>
        <w:t>3</w:t>
      </w:r>
      <w:r>
        <w:rPr>
          <w:highlight w:val="yellow"/>
        </w:rPr>
        <w:fldChar w:fldCharType="end"/>
      </w:r>
      <w:r w:rsidR="00A718BB">
        <w:t>.</w:t>
      </w:r>
      <w:r w:rsidR="000C321B">
        <w:t xml:space="preserve"> </w:t>
      </w:r>
      <w:bookmarkEnd w:id="15"/>
      <w:r w:rsidRPr="00B56EEE" w:rsidR="00893906">
        <w:t>Therefore</w:t>
      </w:r>
      <w:r w:rsidRPr="00B56EEE" w:rsidR="00797B5F">
        <w:t>,</w:t>
      </w:r>
      <w:r w:rsidRPr="00B56EEE" w:rsidR="00893906">
        <w:t xml:space="preserve"> the total </w:t>
      </w:r>
      <w:r w:rsidRPr="00B56EEE" w:rsidR="00DA092C">
        <w:t>number</w:t>
      </w:r>
      <w:r w:rsidR="006C6640">
        <w:t xml:space="preserve"> of respondents is </w:t>
      </w:r>
      <w:r w:rsidR="00EF29EA">
        <w:t xml:space="preserve">0.6 </w:t>
      </w:r>
      <w:r w:rsidR="006C6640">
        <w:t>and the number of responses</w:t>
      </w:r>
      <w:r w:rsidRPr="00B56EEE" w:rsidR="00DA092C">
        <w:t xml:space="preserve"> is estimated to</w:t>
      </w:r>
      <w:r w:rsidRPr="00B56EEE" w:rsidR="00893906">
        <w:t xml:space="preserve"> be </w:t>
      </w:r>
      <w:r w:rsidR="00EF29EA">
        <w:t>0.6</w:t>
      </w:r>
      <w:r w:rsidRPr="00B56EEE" w:rsidR="00893906">
        <w:t>.</w:t>
      </w:r>
      <w:r w:rsidRPr="00B56EEE" w:rsidR="00B56EEE">
        <w:t xml:space="preserve"> For a detailed breakdown of </w:t>
      </w:r>
      <w:r w:rsidR="00B56EEE">
        <w:t xml:space="preserve">average </w:t>
      </w:r>
      <w:r w:rsidRPr="00B56EEE" w:rsidR="00B56EEE">
        <w:t>annual burden and costs</w:t>
      </w:r>
      <w:r w:rsidRPr="002B411C" w:rsidR="00B56EEE">
        <w:t>,</w:t>
      </w:r>
      <w:r w:rsidRPr="00761318" w:rsidR="00B56EEE">
        <w:t xml:space="preserve"> see </w:t>
      </w:r>
      <w:r w:rsidRPr="00761318">
        <w:t xml:space="preserve">Exhibit A-30 </w:t>
      </w:r>
      <w:r w:rsidRPr="00761318" w:rsidR="00B56EEE">
        <w:t>in Appendix A.</w:t>
      </w:r>
    </w:p>
    <w:p w:rsidRPr="00152400" w:rsidR="005C0CB9" w:rsidP="00B62263" w:rsidRDefault="005C0CB9" w14:paraId="3670BCE6" w14:textId="62324CA1">
      <w:pPr>
        <w:pStyle w:val="Heading2"/>
      </w:pPr>
      <w:r w:rsidRPr="00152400">
        <w:t>Bottom Line Burden Hours and Cost</w:t>
      </w:r>
      <w:r w:rsidR="008876D5">
        <w:t xml:space="preserve"> Table</w:t>
      </w:r>
      <w:r w:rsidRPr="00152400">
        <w:t>s</w:t>
      </w:r>
    </w:p>
    <w:p w:rsidRPr="00152400" w:rsidR="00C2536D" w:rsidP="00B62263" w:rsidRDefault="005C0CB9" w14:paraId="3B4C43C6" w14:textId="386BC3D7">
      <w:r w:rsidRPr="00152400">
        <w:t>The total annual</w:t>
      </w:r>
      <w:r w:rsidR="001F5467">
        <w:t xml:space="preserve"> estimated</w:t>
      </w:r>
      <w:r w:rsidRPr="00152400">
        <w:t xml:space="preserve"> burden and costs for each of the three years of the ICR period </w:t>
      </w:r>
      <w:r w:rsidR="00161046">
        <w:t xml:space="preserve">for respondents </w:t>
      </w:r>
      <w:r w:rsidRPr="00152400">
        <w:t xml:space="preserve">are </w:t>
      </w:r>
      <w:r w:rsidR="001F5467">
        <w:t>presented</w:t>
      </w:r>
      <w:r w:rsidRPr="00152400">
        <w:t xml:space="preserve"> in </w:t>
      </w:r>
      <w:r w:rsidR="00761318">
        <w:rPr>
          <w:highlight w:val="yellow"/>
        </w:rPr>
        <w:fldChar w:fldCharType="begin"/>
      </w:r>
      <w:r w:rsidR="00761318">
        <w:instrText xml:space="preserve"> REF _Ref54337226 \h </w:instrText>
      </w:r>
      <w:r w:rsidR="00761318">
        <w:rPr>
          <w:highlight w:val="yellow"/>
        </w:rPr>
      </w:r>
      <w:r w:rsidR="00761318">
        <w:rPr>
          <w:highlight w:val="yellow"/>
        </w:rPr>
        <w:fldChar w:fldCharType="separate"/>
      </w:r>
      <w:r w:rsidR="00161046">
        <w:t xml:space="preserve">Exhibit </w:t>
      </w:r>
      <w:r w:rsidR="00161046">
        <w:rPr>
          <w:noProof/>
        </w:rPr>
        <w:t>6</w:t>
      </w:r>
      <w:r w:rsidR="00761318">
        <w:rPr>
          <w:highlight w:val="yellow"/>
        </w:rPr>
        <w:fldChar w:fldCharType="end"/>
      </w:r>
      <w:r w:rsidR="006555EE">
        <w:t>. T</w:t>
      </w:r>
      <w:r w:rsidRPr="00152400" w:rsidR="003E48C7">
        <w:t xml:space="preserve">he </w:t>
      </w:r>
      <w:r w:rsidR="001B52A2">
        <w:t xml:space="preserve">annual </w:t>
      </w:r>
      <w:r w:rsidRPr="00152400" w:rsidR="003E48C7">
        <w:t xml:space="preserve">burden hours for respondents are </w:t>
      </w:r>
      <w:r w:rsidRPr="00761318" w:rsidR="000C53E4">
        <w:t>30 to 927</w:t>
      </w:r>
      <w:r w:rsidR="000C53E4">
        <w:t xml:space="preserve"> hours (</w:t>
      </w:r>
      <w:r w:rsidR="00761318">
        <w:t xml:space="preserve">90 </w:t>
      </w:r>
      <w:r w:rsidR="00034952">
        <w:t xml:space="preserve">to </w:t>
      </w:r>
      <w:r w:rsidR="00761318">
        <w:t>2,</w:t>
      </w:r>
      <w:r w:rsidRPr="00761318" w:rsidR="00761318">
        <w:t>781</w:t>
      </w:r>
      <w:r w:rsidRPr="00761318" w:rsidR="003E48C7">
        <w:t xml:space="preserve"> hours </w:t>
      </w:r>
      <w:r w:rsidR="000C53E4">
        <w:t xml:space="preserve">for three years) </w:t>
      </w:r>
      <w:r w:rsidR="00761318">
        <w:t xml:space="preserve">and annual respondent costs are </w:t>
      </w:r>
      <w:r w:rsidR="000C53E4">
        <w:t>$32,124 to $3,033,569 (</w:t>
      </w:r>
      <w:r w:rsidR="00761318">
        <w:t xml:space="preserve">$96,372 </w:t>
      </w:r>
      <w:r w:rsidR="00034952">
        <w:t>to</w:t>
      </w:r>
      <w:r w:rsidR="00761318">
        <w:t xml:space="preserve"> $9,</w:t>
      </w:r>
      <w:r w:rsidR="000C53E4">
        <w:t xml:space="preserve">100,707 for three </w:t>
      </w:r>
      <w:r w:rsidR="00761318">
        <w:t xml:space="preserve">years). </w:t>
      </w:r>
      <w:r w:rsidR="00034952">
        <w:t>S</w:t>
      </w:r>
      <w:r w:rsidR="00761318">
        <w:t>ee Appendix A for additional details on unit and total cost estimates.</w:t>
      </w:r>
    </w:p>
    <w:p w:rsidR="00761318" w:rsidP="00761318" w:rsidRDefault="00761318" w14:paraId="14320374" w14:textId="5D3F6904">
      <w:pPr>
        <w:pStyle w:val="TableTitle"/>
      </w:pPr>
      <w:bookmarkStart w:name="_Ref54337226" w:id="16"/>
      <w:r>
        <w:t xml:space="preserve">Exhibit </w:t>
      </w:r>
      <w:r>
        <w:rPr>
          <w:noProof/>
        </w:rPr>
        <w:fldChar w:fldCharType="begin"/>
      </w:r>
      <w:r>
        <w:rPr>
          <w:noProof/>
        </w:rPr>
        <w:instrText xml:space="preserve"> SEQ Exhibit \* ARABIC </w:instrText>
      </w:r>
      <w:r>
        <w:rPr>
          <w:noProof/>
        </w:rPr>
        <w:fldChar w:fldCharType="separate"/>
      </w:r>
      <w:r w:rsidR="00161046">
        <w:rPr>
          <w:noProof/>
        </w:rPr>
        <w:t>6</w:t>
      </w:r>
      <w:r>
        <w:rPr>
          <w:noProof/>
        </w:rPr>
        <w:fldChar w:fldCharType="end"/>
      </w:r>
      <w:bookmarkEnd w:id="16"/>
      <w:r>
        <w:t xml:space="preserve">: Annual and Three-Year </w:t>
      </w:r>
      <w:r w:rsidR="00954781">
        <w:t xml:space="preserve">Total </w:t>
      </w:r>
      <w:r w:rsidR="001F5467">
        <w:t xml:space="preserve">Estimated </w:t>
      </w:r>
      <w:r>
        <w:t>Labor Burden and Cost for Respondents ($2019)</w:t>
      </w:r>
      <w: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92"/>
        <w:gridCol w:w="1539"/>
        <w:gridCol w:w="1540"/>
        <w:gridCol w:w="1539"/>
        <w:gridCol w:w="1540"/>
      </w:tblGrid>
      <w:tr w:rsidRPr="001273D6" w:rsidR="00761318" w:rsidTr="00761318" w14:paraId="437AC3D8" w14:textId="77777777">
        <w:trPr>
          <w:trHeight w:val="300"/>
          <w:jc w:val="center"/>
        </w:trPr>
        <w:tc>
          <w:tcPr>
            <w:tcW w:w="3192" w:type="dxa"/>
            <w:tcBorders>
              <w:bottom w:val="single" w:color="auto" w:sz="4" w:space="0"/>
            </w:tcBorders>
            <w:shd w:val="clear" w:color="auto" w:fill="auto"/>
            <w:noWrap/>
            <w:vAlign w:val="bottom"/>
          </w:tcPr>
          <w:p w:rsidR="00761318" w:rsidP="00FF37AC" w:rsidRDefault="00761318" w14:paraId="467874E1" w14:textId="77777777">
            <w:pPr>
              <w:rPr>
                <w:rFonts w:ascii="Arial Narrow" w:hAnsi="Arial Narrow" w:cs="Calibri"/>
                <w:color w:val="000000"/>
                <w:szCs w:val="22"/>
              </w:rPr>
            </w:pPr>
          </w:p>
        </w:tc>
        <w:tc>
          <w:tcPr>
            <w:tcW w:w="1539" w:type="dxa"/>
            <w:tcBorders>
              <w:bottom w:val="single" w:color="auto" w:sz="4" w:space="0"/>
            </w:tcBorders>
            <w:shd w:val="clear" w:color="auto" w:fill="auto"/>
            <w:noWrap/>
            <w:vAlign w:val="center"/>
          </w:tcPr>
          <w:p w:rsidRPr="00DC2643" w:rsidR="00761318" w:rsidP="00761318" w:rsidRDefault="00761318" w14:paraId="1628C098" w14:textId="77777777">
            <w:pPr>
              <w:spacing w:after="0"/>
              <w:ind w:firstLine="0"/>
              <w:jc w:val="center"/>
              <w:rPr>
                <w:rFonts w:ascii="Arial Narrow" w:hAnsi="Arial Narrow" w:cs="Calibri"/>
                <w:b/>
                <w:color w:val="000000"/>
                <w:sz w:val="20"/>
                <w:szCs w:val="22"/>
              </w:rPr>
            </w:pPr>
            <w:r w:rsidRPr="00DC2643">
              <w:rPr>
                <w:rFonts w:ascii="Arial Narrow" w:hAnsi="Arial Narrow" w:cs="Calibri"/>
                <w:b/>
                <w:color w:val="000000"/>
                <w:sz w:val="20"/>
                <w:szCs w:val="22"/>
              </w:rPr>
              <w:t>Scenario 1</w:t>
            </w:r>
          </w:p>
        </w:tc>
        <w:tc>
          <w:tcPr>
            <w:tcW w:w="1540" w:type="dxa"/>
            <w:tcBorders>
              <w:bottom w:val="single" w:color="auto" w:sz="4" w:space="0"/>
            </w:tcBorders>
            <w:shd w:val="clear" w:color="auto" w:fill="auto"/>
            <w:vAlign w:val="center"/>
          </w:tcPr>
          <w:p w:rsidRPr="001743F1" w:rsidR="00761318" w:rsidP="00761318" w:rsidRDefault="00761318" w14:paraId="34714D6D" w14:textId="77777777">
            <w:pPr>
              <w:spacing w:after="0"/>
              <w:ind w:firstLine="0"/>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2</w:t>
            </w:r>
          </w:p>
        </w:tc>
        <w:tc>
          <w:tcPr>
            <w:tcW w:w="1539" w:type="dxa"/>
            <w:tcBorders>
              <w:bottom w:val="single" w:color="auto" w:sz="4" w:space="0"/>
            </w:tcBorders>
            <w:shd w:val="clear" w:color="auto" w:fill="auto"/>
            <w:vAlign w:val="center"/>
          </w:tcPr>
          <w:p w:rsidRPr="001743F1" w:rsidR="00761318" w:rsidP="00761318" w:rsidRDefault="00761318" w14:paraId="79B43000" w14:textId="77777777">
            <w:pPr>
              <w:spacing w:after="0"/>
              <w:ind w:firstLine="0"/>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3</w:t>
            </w:r>
          </w:p>
        </w:tc>
        <w:tc>
          <w:tcPr>
            <w:tcW w:w="1540" w:type="dxa"/>
            <w:tcBorders>
              <w:bottom w:val="single" w:color="auto" w:sz="4" w:space="0"/>
            </w:tcBorders>
            <w:shd w:val="clear" w:color="auto" w:fill="auto"/>
            <w:vAlign w:val="center"/>
          </w:tcPr>
          <w:p w:rsidRPr="001743F1" w:rsidR="00761318" w:rsidP="00761318" w:rsidRDefault="00761318" w14:paraId="10A2754D" w14:textId="77777777">
            <w:pPr>
              <w:spacing w:after="0"/>
              <w:ind w:firstLine="0"/>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4</w:t>
            </w:r>
          </w:p>
        </w:tc>
      </w:tr>
      <w:tr w:rsidRPr="00DC2643" w:rsidR="0033018F" w:rsidTr="00761318" w14:paraId="31221C99" w14:textId="77777777">
        <w:trPr>
          <w:trHeight w:val="300"/>
          <w:jc w:val="center"/>
        </w:trPr>
        <w:tc>
          <w:tcPr>
            <w:tcW w:w="3192" w:type="dxa"/>
            <w:tcBorders>
              <w:bottom w:val="dotted" w:color="auto" w:sz="4" w:space="0"/>
            </w:tcBorders>
            <w:shd w:val="clear" w:color="auto" w:fill="auto"/>
            <w:noWrap/>
            <w:vAlign w:val="bottom"/>
          </w:tcPr>
          <w:p w:rsidRPr="00761318" w:rsidR="0033018F" w:rsidP="0033018F" w:rsidRDefault="0033018F" w14:paraId="57B80A23"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Annual Number of Respondents and Responses</w:t>
            </w:r>
          </w:p>
        </w:tc>
        <w:tc>
          <w:tcPr>
            <w:tcW w:w="1539" w:type="dxa"/>
            <w:tcBorders>
              <w:bottom w:val="dotted" w:color="auto" w:sz="4" w:space="0"/>
            </w:tcBorders>
            <w:shd w:val="clear" w:color="auto" w:fill="auto"/>
            <w:noWrap/>
            <w:vAlign w:val="center"/>
          </w:tcPr>
          <w:p w:rsidRPr="00761318" w:rsidR="0033018F" w:rsidP="0033018F" w:rsidRDefault="0033018F" w14:paraId="4A69C44B" w14:textId="037A5EEA">
            <w:pPr>
              <w:spacing w:after="0" w:line="240" w:lineRule="auto"/>
              <w:jc w:val="right"/>
              <w:rPr>
                <w:rFonts w:ascii="Arial Narrow" w:hAnsi="Arial Narrow" w:cs="Calibri"/>
                <w:color w:val="000000"/>
                <w:sz w:val="20"/>
              </w:rPr>
            </w:pPr>
            <w:r>
              <w:rPr>
                <w:rFonts w:ascii="Arial Narrow" w:hAnsi="Arial Narrow" w:cs="Calibri"/>
                <w:color w:val="000000"/>
                <w:sz w:val="20"/>
              </w:rPr>
              <w:t>0.2</w:t>
            </w:r>
          </w:p>
        </w:tc>
        <w:tc>
          <w:tcPr>
            <w:tcW w:w="1540" w:type="dxa"/>
            <w:tcBorders>
              <w:bottom w:val="dotted" w:color="auto" w:sz="4" w:space="0"/>
            </w:tcBorders>
            <w:shd w:val="clear" w:color="auto" w:fill="auto"/>
            <w:vAlign w:val="center"/>
          </w:tcPr>
          <w:p w:rsidRPr="00761318" w:rsidR="0033018F" w:rsidP="0033018F" w:rsidRDefault="0033018F" w14:paraId="569C5A72" w14:textId="4505FFFF">
            <w:pPr>
              <w:spacing w:after="0" w:line="240" w:lineRule="auto"/>
              <w:jc w:val="right"/>
              <w:rPr>
                <w:rFonts w:ascii="Arial Narrow" w:hAnsi="Arial Narrow" w:cs="Calibri"/>
                <w:color w:val="000000"/>
                <w:sz w:val="20"/>
              </w:rPr>
            </w:pPr>
            <w:r>
              <w:rPr>
                <w:rFonts w:ascii="Arial Narrow" w:hAnsi="Arial Narrow" w:cs="Calibri"/>
                <w:color w:val="000000"/>
                <w:sz w:val="20"/>
              </w:rPr>
              <w:t>0.2</w:t>
            </w:r>
          </w:p>
        </w:tc>
        <w:tc>
          <w:tcPr>
            <w:tcW w:w="1539" w:type="dxa"/>
            <w:tcBorders>
              <w:bottom w:val="dotted" w:color="auto" w:sz="4" w:space="0"/>
            </w:tcBorders>
            <w:shd w:val="clear" w:color="auto" w:fill="auto"/>
            <w:vAlign w:val="center"/>
          </w:tcPr>
          <w:p w:rsidRPr="00761318" w:rsidR="0033018F" w:rsidP="0033018F" w:rsidRDefault="0033018F" w14:paraId="4746A227" w14:textId="72E14B85">
            <w:pPr>
              <w:spacing w:after="0" w:line="240" w:lineRule="auto"/>
              <w:jc w:val="right"/>
              <w:rPr>
                <w:rFonts w:ascii="Arial Narrow" w:hAnsi="Arial Narrow" w:cs="Calibri"/>
                <w:color w:val="000000"/>
                <w:sz w:val="20"/>
              </w:rPr>
            </w:pPr>
            <w:r>
              <w:rPr>
                <w:rFonts w:ascii="Arial Narrow" w:hAnsi="Arial Narrow" w:cs="Calibri"/>
                <w:color w:val="000000"/>
                <w:sz w:val="20"/>
              </w:rPr>
              <w:t>0.2</w:t>
            </w:r>
          </w:p>
        </w:tc>
        <w:tc>
          <w:tcPr>
            <w:tcW w:w="1540" w:type="dxa"/>
            <w:tcBorders>
              <w:bottom w:val="dotted" w:color="auto" w:sz="4" w:space="0"/>
            </w:tcBorders>
            <w:shd w:val="clear" w:color="auto" w:fill="auto"/>
            <w:vAlign w:val="center"/>
          </w:tcPr>
          <w:p w:rsidRPr="00761318" w:rsidR="0033018F" w:rsidP="0033018F" w:rsidRDefault="0033018F" w14:paraId="7BC78ABB" w14:textId="56940EB7">
            <w:pPr>
              <w:spacing w:after="0" w:line="240" w:lineRule="auto"/>
              <w:jc w:val="right"/>
              <w:rPr>
                <w:rFonts w:ascii="Arial Narrow" w:hAnsi="Arial Narrow" w:cs="Calibri"/>
                <w:color w:val="000000"/>
                <w:sz w:val="20"/>
              </w:rPr>
            </w:pPr>
            <w:r>
              <w:rPr>
                <w:rFonts w:ascii="Arial Narrow" w:hAnsi="Arial Narrow" w:cs="Calibri"/>
                <w:color w:val="000000"/>
                <w:sz w:val="20"/>
              </w:rPr>
              <w:t>0.2</w:t>
            </w:r>
          </w:p>
        </w:tc>
      </w:tr>
      <w:tr w:rsidRPr="00DC2643" w:rsidR="0033018F" w:rsidTr="00761318" w14:paraId="232578AD" w14:textId="77777777">
        <w:trPr>
          <w:trHeight w:val="300"/>
          <w:jc w:val="center"/>
        </w:trPr>
        <w:tc>
          <w:tcPr>
            <w:tcW w:w="3192" w:type="dxa"/>
            <w:tcBorders>
              <w:top w:val="dotted" w:color="auto" w:sz="4" w:space="0"/>
              <w:bottom w:val="dotted" w:color="auto" w:sz="4" w:space="0"/>
            </w:tcBorders>
            <w:shd w:val="clear" w:color="auto" w:fill="auto"/>
            <w:noWrap/>
            <w:vAlign w:val="bottom"/>
            <w:hideMark/>
          </w:tcPr>
          <w:p w:rsidRPr="00761318" w:rsidR="0033018F" w:rsidP="0033018F" w:rsidRDefault="0033018F" w14:paraId="04AFEC62"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Annual Burden (hours)</w:t>
            </w:r>
          </w:p>
        </w:tc>
        <w:tc>
          <w:tcPr>
            <w:tcW w:w="1539" w:type="dxa"/>
            <w:tcBorders>
              <w:top w:val="dotted" w:color="auto" w:sz="4" w:space="0"/>
              <w:bottom w:val="dotted" w:color="auto" w:sz="4" w:space="0"/>
            </w:tcBorders>
            <w:shd w:val="clear" w:color="auto" w:fill="auto"/>
            <w:noWrap/>
            <w:vAlign w:val="center"/>
          </w:tcPr>
          <w:p w:rsidRPr="00761318" w:rsidR="0033018F" w:rsidP="0033018F" w:rsidRDefault="0033018F" w14:paraId="6C0C140F" w14:textId="7B3E0D18">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30 </w:t>
            </w:r>
          </w:p>
        </w:tc>
        <w:tc>
          <w:tcPr>
            <w:tcW w:w="1540" w:type="dxa"/>
            <w:tcBorders>
              <w:top w:val="dotted" w:color="auto" w:sz="4" w:space="0"/>
              <w:bottom w:val="dotted" w:color="auto" w:sz="4" w:space="0"/>
            </w:tcBorders>
            <w:shd w:val="clear" w:color="auto" w:fill="auto"/>
            <w:vAlign w:val="center"/>
          </w:tcPr>
          <w:p w:rsidRPr="00761318" w:rsidR="0033018F" w:rsidP="0033018F" w:rsidRDefault="0033018F" w14:paraId="266A86F3" w14:textId="16893BF8">
            <w:pPr>
              <w:spacing w:after="0" w:line="240" w:lineRule="auto"/>
              <w:jc w:val="right"/>
              <w:rPr>
                <w:rFonts w:ascii="Arial Narrow" w:hAnsi="Arial Narrow" w:cs="Calibri"/>
                <w:color w:val="000000"/>
                <w:sz w:val="20"/>
              </w:rPr>
            </w:pPr>
            <w:r>
              <w:rPr>
                <w:rFonts w:ascii="Arial Narrow" w:hAnsi="Arial Narrow" w:cs="Calibri"/>
                <w:color w:val="000000"/>
                <w:sz w:val="20"/>
              </w:rPr>
              <w:t xml:space="preserve">142 </w:t>
            </w:r>
          </w:p>
        </w:tc>
        <w:tc>
          <w:tcPr>
            <w:tcW w:w="1539" w:type="dxa"/>
            <w:tcBorders>
              <w:top w:val="dotted" w:color="auto" w:sz="4" w:space="0"/>
              <w:bottom w:val="dotted" w:color="auto" w:sz="4" w:space="0"/>
            </w:tcBorders>
            <w:shd w:val="clear" w:color="auto" w:fill="auto"/>
            <w:vAlign w:val="center"/>
          </w:tcPr>
          <w:p w:rsidRPr="00761318" w:rsidR="0033018F" w:rsidP="0033018F" w:rsidRDefault="0033018F" w14:paraId="5FC7E9B9" w14:textId="29CE6273">
            <w:pPr>
              <w:spacing w:after="0" w:line="240" w:lineRule="auto"/>
              <w:jc w:val="right"/>
              <w:rPr>
                <w:rFonts w:ascii="Arial Narrow" w:hAnsi="Arial Narrow" w:cs="Calibri"/>
                <w:color w:val="000000"/>
                <w:sz w:val="20"/>
              </w:rPr>
            </w:pPr>
            <w:r>
              <w:rPr>
                <w:rFonts w:ascii="Arial Narrow" w:hAnsi="Arial Narrow" w:cs="Calibri"/>
                <w:color w:val="000000"/>
                <w:sz w:val="20"/>
              </w:rPr>
              <w:t xml:space="preserve">500 </w:t>
            </w:r>
          </w:p>
        </w:tc>
        <w:tc>
          <w:tcPr>
            <w:tcW w:w="1540" w:type="dxa"/>
            <w:tcBorders>
              <w:top w:val="dotted" w:color="auto" w:sz="4" w:space="0"/>
              <w:bottom w:val="dotted" w:color="auto" w:sz="4" w:space="0"/>
            </w:tcBorders>
            <w:shd w:val="clear" w:color="auto" w:fill="auto"/>
            <w:vAlign w:val="center"/>
          </w:tcPr>
          <w:p w:rsidRPr="00761318" w:rsidR="0033018F" w:rsidP="0033018F" w:rsidRDefault="0033018F" w14:paraId="135E490F" w14:textId="40FF984C">
            <w:pPr>
              <w:spacing w:after="0" w:line="240" w:lineRule="auto"/>
              <w:jc w:val="right"/>
              <w:rPr>
                <w:rFonts w:ascii="Arial Narrow" w:hAnsi="Arial Narrow" w:cs="Calibri"/>
                <w:color w:val="000000"/>
                <w:sz w:val="20"/>
              </w:rPr>
            </w:pPr>
            <w:r>
              <w:rPr>
                <w:rFonts w:ascii="Arial Narrow" w:hAnsi="Arial Narrow" w:cs="Calibri"/>
                <w:color w:val="000000"/>
                <w:sz w:val="20"/>
              </w:rPr>
              <w:t xml:space="preserve">927 </w:t>
            </w:r>
          </w:p>
        </w:tc>
      </w:tr>
      <w:tr w:rsidRPr="00DC2643" w:rsidR="0033018F" w:rsidTr="00761318" w14:paraId="09E0EC5B" w14:textId="77777777">
        <w:trPr>
          <w:trHeight w:val="300"/>
          <w:jc w:val="center"/>
        </w:trPr>
        <w:tc>
          <w:tcPr>
            <w:tcW w:w="3192" w:type="dxa"/>
            <w:tcBorders>
              <w:top w:val="dotted" w:color="auto" w:sz="4" w:space="0"/>
              <w:bottom w:val="single" w:color="auto" w:sz="8" w:space="0"/>
            </w:tcBorders>
            <w:shd w:val="clear" w:color="auto" w:fill="auto"/>
            <w:noWrap/>
            <w:vAlign w:val="bottom"/>
            <w:hideMark/>
          </w:tcPr>
          <w:p w:rsidRPr="00761318" w:rsidR="0033018F" w:rsidP="0033018F" w:rsidRDefault="0033018F" w14:paraId="6F934F79"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Annual Cost</w:t>
            </w:r>
          </w:p>
        </w:tc>
        <w:tc>
          <w:tcPr>
            <w:tcW w:w="1539" w:type="dxa"/>
            <w:tcBorders>
              <w:top w:val="dotted" w:color="auto" w:sz="4" w:space="0"/>
              <w:bottom w:val="single" w:color="auto" w:sz="8" w:space="0"/>
            </w:tcBorders>
            <w:shd w:val="clear" w:color="auto" w:fill="auto"/>
            <w:noWrap/>
            <w:vAlign w:val="center"/>
          </w:tcPr>
          <w:p w:rsidRPr="00761318" w:rsidR="0033018F" w:rsidP="0033018F" w:rsidRDefault="0033018F" w14:paraId="015CD1DE" w14:textId="5CE5B32E">
            <w:pPr>
              <w:spacing w:after="0" w:line="240" w:lineRule="auto"/>
              <w:jc w:val="right"/>
              <w:rPr>
                <w:rFonts w:ascii="Arial Narrow" w:hAnsi="Arial Narrow" w:cs="Calibri"/>
                <w:color w:val="000000"/>
                <w:sz w:val="20"/>
              </w:rPr>
            </w:pPr>
            <w:r>
              <w:rPr>
                <w:rFonts w:ascii="Arial Narrow" w:hAnsi="Arial Narrow" w:cs="Calibri"/>
                <w:color w:val="000000"/>
                <w:sz w:val="20"/>
              </w:rPr>
              <w:t>$32,124</w:t>
            </w:r>
          </w:p>
        </w:tc>
        <w:tc>
          <w:tcPr>
            <w:tcW w:w="1540" w:type="dxa"/>
            <w:tcBorders>
              <w:top w:val="dotted" w:color="auto" w:sz="4" w:space="0"/>
              <w:bottom w:val="single" w:color="auto" w:sz="8" w:space="0"/>
            </w:tcBorders>
            <w:shd w:val="clear" w:color="auto" w:fill="auto"/>
            <w:vAlign w:val="center"/>
          </w:tcPr>
          <w:p w:rsidRPr="00761318" w:rsidR="0033018F" w:rsidP="0033018F" w:rsidRDefault="0033018F" w14:paraId="60EBDD54" w14:textId="7563BCF7">
            <w:pPr>
              <w:spacing w:after="0" w:line="240" w:lineRule="auto"/>
              <w:ind w:firstLine="0"/>
              <w:jc w:val="right"/>
              <w:rPr>
                <w:rFonts w:ascii="Arial Narrow" w:hAnsi="Arial Narrow" w:cs="Calibri"/>
                <w:color w:val="000000"/>
                <w:sz w:val="20"/>
              </w:rPr>
            </w:pPr>
            <w:r>
              <w:rPr>
                <w:rFonts w:ascii="Arial Narrow" w:hAnsi="Arial Narrow" w:cs="Calibri"/>
                <w:color w:val="000000"/>
                <w:sz w:val="20"/>
              </w:rPr>
              <w:t>$277,251</w:t>
            </w:r>
          </w:p>
        </w:tc>
        <w:tc>
          <w:tcPr>
            <w:tcW w:w="1539" w:type="dxa"/>
            <w:tcBorders>
              <w:top w:val="dotted" w:color="auto" w:sz="4" w:space="0"/>
              <w:bottom w:val="single" w:color="auto" w:sz="8" w:space="0"/>
            </w:tcBorders>
            <w:shd w:val="clear" w:color="auto" w:fill="auto"/>
            <w:vAlign w:val="center"/>
          </w:tcPr>
          <w:p w:rsidRPr="00761318" w:rsidR="0033018F" w:rsidP="0033018F" w:rsidRDefault="0033018F" w14:paraId="5396DBBF" w14:textId="77EE6C54">
            <w:pPr>
              <w:spacing w:after="0" w:line="240" w:lineRule="auto"/>
              <w:ind w:firstLine="0"/>
              <w:jc w:val="right"/>
              <w:rPr>
                <w:rFonts w:ascii="Arial Narrow" w:hAnsi="Arial Narrow" w:cs="Calibri"/>
                <w:color w:val="000000"/>
                <w:sz w:val="20"/>
              </w:rPr>
            </w:pPr>
            <w:r>
              <w:rPr>
                <w:rFonts w:ascii="Arial Narrow" w:hAnsi="Arial Narrow" w:cs="Calibri"/>
                <w:color w:val="000000"/>
                <w:sz w:val="20"/>
              </w:rPr>
              <w:t>$1,289,488</w:t>
            </w:r>
          </w:p>
        </w:tc>
        <w:tc>
          <w:tcPr>
            <w:tcW w:w="1540" w:type="dxa"/>
            <w:tcBorders>
              <w:top w:val="dotted" w:color="auto" w:sz="4" w:space="0"/>
              <w:bottom w:val="single" w:color="auto" w:sz="8" w:space="0"/>
            </w:tcBorders>
            <w:shd w:val="clear" w:color="auto" w:fill="auto"/>
            <w:vAlign w:val="center"/>
          </w:tcPr>
          <w:p w:rsidRPr="00761318" w:rsidR="0033018F" w:rsidP="0033018F" w:rsidRDefault="0033018F" w14:paraId="5D7919D5" w14:textId="0416C9A0">
            <w:pPr>
              <w:spacing w:after="0" w:line="240" w:lineRule="auto"/>
              <w:ind w:firstLine="0"/>
              <w:jc w:val="right"/>
              <w:rPr>
                <w:rFonts w:ascii="Arial Narrow" w:hAnsi="Arial Narrow" w:cs="Calibri"/>
                <w:color w:val="000000"/>
                <w:sz w:val="20"/>
              </w:rPr>
            </w:pPr>
            <w:r>
              <w:rPr>
                <w:rFonts w:ascii="Arial Narrow" w:hAnsi="Arial Narrow" w:cs="Calibri"/>
                <w:color w:val="000000"/>
                <w:sz w:val="20"/>
              </w:rPr>
              <w:t>$3,033,569</w:t>
            </w:r>
          </w:p>
        </w:tc>
      </w:tr>
      <w:tr w:rsidRPr="00DC2643" w:rsidR="0033018F" w:rsidTr="00761318" w14:paraId="2CCB7D18" w14:textId="77777777">
        <w:trPr>
          <w:trHeight w:val="300"/>
          <w:jc w:val="center"/>
        </w:trPr>
        <w:tc>
          <w:tcPr>
            <w:tcW w:w="3192" w:type="dxa"/>
            <w:tcBorders>
              <w:top w:val="single" w:color="auto" w:sz="8" w:space="0"/>
              <w:bottom w:val="dotted" w:color="auto" w:sz="4" w:space="0"/>
            </w:tcBorders>
            <w:shd w:val="clear" w:color="auto" w:fill="auto"/>
            <w:noWrap/>
            <w:vAlign w:val="bottom"/>
          </w:tcPr>
          <w:p w:rsidRPr="00761318" w:rsidR="0033018F" w:rsidP="0033018F" w:rsidRDefault="0033018F" w14:paraId="14D808B9"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Three-Year Total Number of Respondents and Responses</w:t>
            </w:r>
          </w:p>
        </w:tc>
        <w:tc>
          <w:tcPr>
            <w:tcW w:w="1539" w:type="dxa"/>
            <w:tcBorders>
              <w:top w:val="single" w:color="auto" w:sz="8" w:space="0"/>
              <w:bottom w:val="dotted" w:color="auto" w:sz="4" w:space="0"/>
            </w:tcBorders>
            <w:shd w:val="clear" w:color="auto" w:fill="auto"/>
            <w:noWrap/>
            <w:vAlign w:val="center"/>
          </w:tcPr>
          <w:p w:rsidRPr="00761318" w:rsidR="0033018F" w:rsidP="0033018F" w:rsidRDefault="0033018F" w14:paraId="3ED35462" w14:textId="695C24E2">
            <w:pPr>
              <w:spacing w:after="0" w:line="240" w:lineRule="auto"/>
              <w:jc w:val="right"/>
              <w:rPr>
                <w:rFonts w:ascii="Arial Narrow" w:hAnsi="Arial Narrow" w:cs="Calibri"/>
                <w:color w:val="000000"/>
                <w:sz w:val="20"/>
              </w:rPr>
            </w:pPr>
            <w:r>
              <w:rPr>
                <w:rFonts w:ascii="Arial Narrow" w:hAnsi="Arial Narrow" w:cs="Calibri"/>
                <w:color w:val="000000"/>
                <w:sz w:val="20"/>
              </w:rPr>
              <w:t>0.6</w:t>
            </w:r>
          </w:p>
        </w:tc>
        <w:tc>
          <w:tcPr>
            <w:tcW w:w="1540" w:type="dxa"/>
            <w:tcBorders>
              <w:top w:val="single" w:color="auto" w:sz="8" w:space="0"/>
              <w:bottom w:val="dotted" w:color="auto" w:sz="4" w:space="0"/>
            </w:tcBorders>
            <w:shd w:val="clear" w:color="auto" w:fill="auto"/>
            <w:vAlign w:val="center"/>
          </w:tcPr>
          <w:p w:rsidRPr="00761318" w:rsidR="0033018F" w:rsidP="0033018F" w:rsidRDefault="0033018F" w14:paraId="4C590FC3" w14:textId="06ACE950">
            <w:pPr>
              <w:spacing w:after="0" w:line="240" w:lineRule="auto"/>
              <w:jc w:val="right"/>
              <w:rPr>
                <w:rFonts w:ascii="Arial Narrow" w:hAnsi="Arial Narrow" w:cs="Calibri"/>
                <w:color w:val="000000"/>
                <w:sz w:val="20"/>
              </w:rPr>
            </w:pPr>
            <w:r>
              <w:rPr>
                <w:rFonts w:ascii="Arial Narrow" w:hAnsi="Arial Narrow" w:cs="Calibri"/>
                <w:color w:val="000000"/>
                <w:sz w:val="20"/>
              </w:rPr>
              <w:t>0.6</w:t>
            </w:r>
          </w:p>
        </w:tc>
        <w:tc>
          <w:tcPr>
            <w:tcW w:w="1539" w:type="dxa"/>
            <w:tcBorders>
              <w:top w:val="single" w:color="auto" w:sz="8" w:space="0"/>
              <w:bottom w:val="dotted" w:color="auto" w:sz="4" w:space="0"/>
            </w:tcBorders>
            <w:shd w:val="clear" w:color="auto" w:fill="auto"/>
            <w:noWrap/>
            <w:vAlign w:val="center"/>
          </w:tcPr>
          <w:p w:rsidRPr="00761318" w:rsidR="0033018F" w:rsidP="0033018F" w:rsidRDefault="0033018F" w14:paraId="0FBE95B7" w14:textId="59776703">
            <w:pPr>
              <w:spacing w:after="0" w:line="240" w:lineRule="auto"/>
              <w:jc w:val="right"/>
              <w:rPr>
                <w:rFonts w:ascii="Arial Narrow" w:hAnsi="Arial Narrow" w:cs="Calibri"/>
                <w:color w:val="000000"/>
                <w:sz w:val="20"/>
              </w:rPr>
            </w:pPr>
            <w:r>
              <w:rPr>
                <w:rFonts w:ascii="Arial Narrow" w:hAnsi="Arial Narrow" w:cs="Calibri"/>
                <w:color w:val="000000"/>
                <w:sz w:val="20"/>
              </w:rPr>
              <w:t>0.6</w:t>
            </w:r>
          </w:p>
        </w:tc>
        <w:tc>
          <w:tcPr>
            <w:tcW w:w="1540" w:type="dxa"/>
            <w:tcBorders>
              <w:top w:val="single" w:color="auto" w:sz="8" w:space="0"/>
              <w:bottom w:val="dotted" w:color="auto" w:sz="4" w:space="0"/>
            </w:tcBorders>
            <w:shd w:val="clear" w:color="auto" w:fill="auto"/>
            <w:vAlign w:val="center"/>
          </w:tcPr>
          <w:p w:rsidRPr="00761318" w:rsidR="0033018F" w:rsidP="0033018F" w:rsidRDefault="0033018F" w14:paraId="1D825A36" w14:textId="27ECAD91">
            <w:pPr>
              <w:spacing w:after="0" w:line="240" w:lineRule="auto"/>
              <w:jc w:val="right"/>
              <w:rPr>
                <w:rFonts w:ascii="Arial Narrow" w:hAnsi="Arial Narrow" w:cs="Calibri"/>
                <w:color w:val="000000"/>
                <w:sz w:val="20"/>
              </w:rPr>
            </w:pPr>
            <w:r>
              <w:rPr>
                <w:rFonts w:ascii="Arial Narrow" w:hAnsi="Arial Narrow" w:cs="Calibri"/>
                <w:color w:val="000000"/>
                <w:sz w:val="20"/>
              </w:rPr>
              <w:t>0.6</w:t>
            </w:r>
          </w:p>
        </w:tc>
      </w:tr>
      <w:tr w:rsidRPr="00DC2643" w:rsidR="0033018F" w:rsidTr="00D84482" w14:paraId="7ECDBF96" w14:textId="77777777">
        <w:trPr>
          <w:trHeight w:val="300"/>
          <w:jc w:val="center"/>
        </w:trPr>
        <w:tc>
          <w:tcPr>
            <w:tcW w:w="3192" w:type="dxa"/>
            <w:tcBorders>
              <w:top w:val="dotted" w:color="auto" w:sz="4" w:space="0"/>
              <w:bottom w:val="dotted" w:color="auto" w:sz="4" w:space="0"/>
            </w:tcBorders>
            <w:shd w:val="clear" w:color="auto" w:fill="auto"/>
            <w:noWrap/>
            <w:vAlign w:val="bottom"/>
          </w:tcPr>
          <w:p w:rsidRPr="00761318" w:rsidR="0033018F" w:rsidP="0033018F" w:rsidRDefault="0033018F" w14:paraId="158AD365"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Three-Year Total Burden (hours)</w:t>
            </w:r>
          </w:p>
        </w:tc>
        <w:tc>
          <w:tcPr>
            <w:tcW w:w="1539" w:type="dxa"/>
            <w:tcBorders>
              <w:top w:val="dotted" w:color="auto" w:sz="4" w:space="0"/>
              <w:bottom w:val="dotted" w:color="auto" w:sz="4" w:space="0"/>
            </w:tcBorders>
            <w:shd w:val="clear" w:color="auto" w:fill="auto"/>
            <w:noWrap/>
            <w:vAlign w:val="center"/>
          </w:tcPr>
          <w:p w:rsidRPr="00761318" w:rsidR="0033018F" w:rsidP="0033018F" w:rsidRDefault="0033018F" w14:paraId="09DC7CB9" w14:textId="3AAEF241">
            <w:pPr>
              <w:spacing w:after="0" w:line="240" w:lineRule="auto"/>
              <w:jc w:val="right"/>
              <w:rPr>
                <w:rFonts w:ascii="Arial Narrow" w:hAnsi="Arial Narrow" w:cs="Calibri"/>
                <w:color w:val="000000"/>
                <w:sz w:val="20"/>
              </w:rPr>
            </w:pPr>
            <w:r>
              <w:rPr>
                <w:rFonts w:ascii="Arial Narrow" w:hAnsi="Arial Narrow" w:cs="Calibri"/>
                <w:color w:val="000000"/>
                <w:sz w:val="20"/>
              </w:rPr>
              <w:t>90</w:t>
            </w:r>
          </w:p>
        </w:tc>
        <w:tc>
          <w:tcPr>
            <w:tcW w:w="1540" w:type="dxa"/>
            <w:tcBorders>
              <w:top w:val="dotted" w:color="auto" w:sz="4" w:space="0"/>
              <w:bottom w:val="dotted" w:color="auto" w:sz="4" w:space="0"/>
            </w:tcBorders>
            <w:shd w:val="clear" w:color="auto" w:fill="auto"/>
            <w:vAlign w:val="center"/>
          </w:tcPr>
          <w:p w:rsidRPr="00761318" w:rsidR="0033018F" w:rsidP="0033018F" w:rsidRDefault="0033018F" w14:paraId="6AA96D11" w14:textId="15D75B6C">
            <w:pPr>
              <w:spacing w:after="0" w:line="240" w:lineRule="auto"/>
              <w:jc w:val="right"/>
              <w:rPr>
                <w:rFonts w:ascii="Arial Narrow" w:hAnsi="Arial Narrow" w:cs="Calibri"/>
                <w:color w:val="000000"/>
                <w:sz w:val="20"/>
              </w:rPr>
            </w:pPr>
            <w:r>
              <w:rPr>
                <w:rFonts w:ascii="Arial Narrow" w:hAnsi="Arial Narrow" w:cs="Calibri"/>
                <w:color w:val="000000"/>
                <w:sz w:val="20"/>
              </w:rPr>
              <w:t>425</w:t>
            </w:r>
          </w:p>
        </w:tc>
        <w:tc>
          <w:tcPr>
            <w:tcW w:w="1539" w:type="dxa"/>
            <w:tcBorders>
              <w:top w:val="dotted" w:color="auto" w:sz="4" w:space="0"/>
              <w:bottom w:val="dotted" w:color="auto" w:sz="4" w:space="0"/>
            </w:tcBorders>
            <w:shd w:val="clear" w:color="auto" w:fill="auto"/>
            <w:noWrap/>
            <w:vAlign w:val="center"/>
          </w:tcPr>
          <w:p w:rsidRPr="00761318" w:rsidR="0033018F" w:rsidP="0033018F" w:rsidRDefault="0033018F" w14:paraId="00CA174C" w14:textId="464CB23D">
            <w:pPr>
              <w:spacing w:after="0" w:line="240" w:lineRule="auto"/>
              <w:jc w:val="right"/>
              <w:rPr>
                <w:rFonts w:ascii="Arial Narrow" w:hAnsi="Arial Narrow" w:cs="Calibri"/>
                <w:color w:val="000000"/>
                <w:sz w:val="20"/>
              </w:rPr>
            </w:pPr>
            <w:r>
              <w:rPr>
                <w:rFonts w:ascii="Arial Narrow" w:hAnsi="Arial Narrow" w:cs="Calibri"/>
                <w:color w:val="000000"/>
                <w:sz w:val="20"/>
              </w:rPr>
              <w:t>1,500</w:t>
            </w:r>
          </w:p>
        </w:tc>
        <w:tc>
          <w:tcPr>
            <w:tcW w:w="1540" w:type="dxa"/>
            <w:tcBorders>
              <w:top w:val="dotted" w:color="auto" w:sz="4" w:space="0"/>
              <w:bottom w:val="dotted" w:color="auto" w:sz="4" w:space="0"/>
            </w:tcBorders>
            <w:shd w:val="clear" w:color="auto" w:fill="auto"/>
            <w:vAlign w:val="center"/>
          </w:tcPr>
          <w:p w:rsidRPr="00761318" w:rsidR="0033018F" w:rsidP="0033018F" w:rsidRDefault="0033018F" w14:paraId="63EC6439" w14:textId="564BA612">
            <w:pPr>
              <w:spacing w:after="0" w:line="240" w:lineRule="auto"/>
              <w:jc w:val="right"/>
              <w:rPr>
                <w:rFonts w:ascii="Arial Narrow" w:hAnsi="Arial Narrow" w:cs="Calibri"/>
                <w:color w:val="000000"/>
                <w:sz w:val="20"/>
              </w:rPr>
            </w:pPr>
            <w:r>
              <w:rPr>
                <w:rFonts w:ascii="Arial Narrow" w:hAnsi="Arial Narrow" w:cs="Calibri"/>
                <w:color w:val="000000"/>
                <w:sz w:val="20"/>
              </w:rPr>
              <w:t>2,781</w:t>
            </w:r>
          </w:p>
        </w:tc>
      </w:tr>
      <w:tr w:rsidRPr="00DC2643" w:rsidR="0033018F" w:rsidTr="00761318" w14:paraId="21F5307E" w14:textId="77777777">
        <w:trPr>
          <w:trHeight w:val="300"/>
          <w:jc w:val="center"/>
        </w:trPr>
        <w:tc>
          <w:tcPr>
            <w:tcW w:w="3192" w:type="dxa"/>
            <w:tcBorders>
              <w:top w:val="dotted" w:color="auto" w:sz="4" w:space="0"/>
            </w:tcBorders>
            <w:shd w:val="clear" w:color="auto" w:fill="auto"/>
            <w:noWrap/>
            <w:vAlign w:val="bottom"/>
          </w:tcPr>
          <w:p w:rsidRPr="00761318" w:rsidR="0033018F" w:rsidP="0033018F" w:rsidRDefault="0033018F" w14:paraId="363BE3D7" w14:textId="77777777">
            <w:pPr>
              <w:spacing w:after="0" w:line="240" w:lineRule="auto"/>
              <w:ind w:firstLine="0"/>
              <w:rPr>
                <w:rFonts w:ascii="Arial Narrow" w:hAnsi="Arial Narrow" w:cs="Calibri"/>
                <w:color w:val="000000"/>
                <w:sz w:val="20"/>
              </w:rPr>
            </w:pPr>
            <w:r w:rsidRPr="00761318">
              <w:rPr>
                <w:rFonts w:ascii="Arial Narrow" w:hAnsi="Arial Narrow" w:cs="Calibri"/>
                <w:color w:val="000000"/>
                <w:sz w:val="20"/>
              </w:rPr>
              <w:t>Three-Year Total Cost</w:t>
            </w:r>
          </w:p>
        </w:tc>
        <w:tc>
          <w:tcPr>
            <w:tcW w:w="1539" w:type="dxa"/>
            <w:tcBorders>
              <w:top w:val="dotted" w:color="auto" w:sz="4" w:space="0"/>
            </w:tcBorders>
            <w:shd w:val="clear" w:color="auto" w:fill="auto"/>
            <w:noWrap/>
            <w:vAlign w:val="center"/>
          </w:tcPr>
          <w:p w:rsidRPr="00761318" w:rsidR="0033018F" w:rsidP="0033018F" w:rsidRDefault="0033018F" w14:paraId="32A07CCF" w14:textId="332930A9">
            <w:pPr>
              <w:spacing w:after="0" w:line="240" w:lineRule="auto"/>
              <w:jc w:val="right"/>
              <w:rPr>
                <w:rFonts w:ascii="Arial Narrow" w:hAnsi="Arial Narrow" w:cs="Calibri"/>
                <w:color w:val="000000"/>
                <w:sz w:val="20"/>
              </w:rPr>
            </w:pPr>
            <w:r>
              <w:rPr>
                <w:rFonts w:ascii="Arial Narrow" w:hAnsi="Arial Narrow" w:cs="Calibri"/>
                <w:color w:val="000000"/>
                <w:sz w:val="20"/>
              </w:rPr>
              <w:t xml:space="preserve">$96,372 </w:t>
            </w:r>
          </w:p>
        </w:tc>
        <w:tc>
          <w:tcPr>
            <w:tcW w:w="1540" w:type="dxa"/>
            <w:tcBorders>
              <w:top w:val="dotted" w:color="auto" w:sz="4" w:space="0"/>
            </w:tcBorders>
            <w:shd w:val="clear" w:color="auto" w:fill="auto"/>
            <w:vAlign w:val="center"/>
          </w:tcPr>
          <w:p w:rsidRPr="00761318" w:rsidR="0033018F" w:rsidP="0033018F" w:rsidRDefault="0033018F" w14:paraId="51E0D289" w14:textId="0701319E">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$831,753 </w:t>
            </w:r>
          </w:p>
        </w:tc>
        <w:tc>
          <w:tcPr>
            <w:tcW w:w="1539" w:type="dxa"/>
            <w:tcBorders>
              <w:top w:val="dotted" w:color="auto" w:sz="4" w:space="0"/>
            </w:tcBorders>
            <w:shd w:val="clear" w:color="auto" w:fill="auto"/>
            <w:noWrap/>
            <w:vAlign w:val="center"/>
          </w:tcPr>
          <w:p w:rsidRPr="00761318" w:rsidR="0033018F" w:rsidP="0033018F" w:rsidRDefault="0033018F" w14:paraId="38F9BA98" w14:textId="4F73C885">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$3,868,464 </w:t>
            </w:r>
          </w:p>
        </w:tc>
        <w:tc>
          <w:tcPr>
            <w:tcW w:w="1540" w:type="dxa"/>
            <w:tcBorders>
              <w:top w:val="dotted" w:color="auto" w:sz="4" w:space="0"/>
            </w:tcBorders>
            <w:shd w:val="clear" w:color="auto" w:fill="auto"/>
            <w:vAlign w:val="center"/>
          </w:tcPr>
          <w:p w:rsidRPr="00761318" w:rsidR="0033018F" w:rsidP="0033018F" w:rsidRDefault="0033018F" w14:paraId="5F78377A" w14:textId="66E56F97">
            <w:pPr>
              <w:spacing w:after="0" w:line="240" w:lineRule="auto"/>
              <w:ind w:firstLine="0"/>
              <w:jc w:val="right"/>
              <w:rPr>
                <w:rFonts w:ascii="Arial Narrow" w:hAnsi="Arial Narrow" w:cs="Calibri"/>
                <w:color w:val="000000"/>
                <w:sz w:val="20"/>
              </w:rPr>
            </w:pPr>
            <w:r>
              <w:rPr>
                <w:rFonts w:ascii="Arial Narrow" w:hAnsi="Arial Narrow" w:cs="Calibri"/>
                <w:color w:val="000000"/>
                <w:sz w:val="20"/>
              </w:rPr>
              <w:t xml:space="preserve">$9,100,707 </w:t>
            </w:r>
          </w:p>
        </w:tc>
      </w:tr>
    </w:tbl>
    <w:p w:rsidR="00F32141" w:rsidP="00596735" w:rsidRDefault="00F32141" w14:paraId="2A871EA5" w14:textId="77777777">
      <w:pPr>
        <w:numPr>
          <w:ilvl w:val="12"/>
          <w:numId w:val="0"/>
        </w:numPr>
        <w:rPr>
          <w:rFonts w:ascii="Arial" w:hAnsi="Arial" w:cs="Arial"/>
          <w:szCs w:val="19"/>
          <w:vertAlign w:val="superscript"/>
        </w:rPr>
      </w:pPr>
    </w:p>
    <w:p w:rsidRPr="00152400" w:rsidR="00EF7EC7" w:rsidP="00E36D6A" w:rsidRDefault="00EF7EC7" w14:paraId="0844E5B4" w14:textId="1F077240">
      <w:pPr>
        <w:pStyle w:val="BodyText"/>
        <w:rPr>
          <w:rFonts w:ascii="Arial" w:hAnsi="Arial" w:cs="Arial"/>
          <w:vertAlign w:val="superscript"/>
        </w:rPr>
      </w:pPr>
      <w:r w:rsidRPr="00161046">
        <w:t xml:space="preserve">As shown in </w:t>
      </w:r>
      <w:r w:rsidRPr="00161046" w:rsidR="00161046">
        <w:fldChar w:fldCharType="begin"/>
      </w:r>
      <w:r w:rsidRPr="00161046" w:rsidR="00161046">
        <w:instrText xml:space="preserve"> REF _Ref55298867 \h </w:instrText>
      </w:r>
      <w:r w:rsidR="00161046">
        <w:instrText xml:space="preserve"> \* MERGEFORMAT </w:instrText>
      </w:r>
      <w:r w:rsidRPr="00161046" w:rsidR="00161046">
        <w:fldChar w:fldCharType="separate"/>
      </w:r>
      <w:r w:rsidRPr="00161046" w:rsidR="00161046">
        <w:t xml:space="preserve">Exhibit </w:t>
      </w:r>
      <w:r w:rsidRPr="00161046" w:rsidR="00161046">
        <w:rPr>
          <w:noProof/>
        </w:rPr>
        <w:t>5</w:t>
      </w:r>
      <w:r w:rsidRPr="00161046" w:rsidR="00161046">
        <w:fldChar w:fldCharType="end"/>
      </w:r>
      <w:r w:rsidRPr="00161046">
        <w:t>, the Sub</w:t>
      </w:r>
      <w:r w:rsidRPr="00161046" w:rsidR="00161046">
        <w:t xml:space="preserve">part J </w:t>
      </w:r>
      <w:r w:rsidR="00034952">
        <w:t xml:space="preserve">monitoring requirements’ </w:t>
      </w:r>
      <w:r w:rsidRPr="00161046" w:rsidR="00161046">
        <w:t>annual burden for EPA range</w:t>
      </w:r>
      <w:r w:rsidR="00034952">
        <w:t>s from</w:t>
      </w:r>
      <w:r w:rsidRPr="00161046" w:rsidR="00161046">
        <w:t xml:space="preserve"> 6 to 98 hours</w:t>
      </w:r>
      <w:r w:rsidRPr="00161046">
        <w:t xml:space="preserve">. Therefore, the total burden hours for EPA during the three-year ICR period are </w:t>
      </w:r>
      <w:r w:rsidRPr="00161046" w:rsidR="00161046">
        <w:t>18 to 294 hours</w:t>
      </w:r>
      <w:r w:rsidRPr="00161046">
        <w:t>. The total annual labor costs for EPA are</w:t>
      </w:r>
      <w:r w:rsidRPr="00161046" w:rsidR="00161046">
        <w:t xml:space="preserve"> in the</w:t>
      </w:r>
      <w:r w:rsidRPr="00161046">
        <w:t xml:space="preserve"> </w:t>
      </w:r>
      <w:r w:rsidRPr="00161046" w:rsidR="00161046">
        <w:t xml:space="preserve">range of $637 to $10,000 per year; or, $1,900 to $30,000 over the three-year </w:t>
      </w:r>
      <w:r w:rsidR="00954781">
        <w:t>period</w:t>
      </w:r>
      <w:r w:rsidRPr="00161046" w:rsidR="00161046">
        <w:t xml:space="preserve"> of this ICR</w:t>
      </w:r>
      <w:r w:rsidRPr="00161046">
        <w:t>.</w:t>
      </w:r>
    </w:p>
    <w:p w:rsidR="005C0CB9" w:rsidP="00B62263" w:rsidRDefault="00B62263" w14:paraId="15B17201" w14:textId="3DD9F77C">
      <w:pPr>
        <w:pStyle w:val="Heading2"/>
      </w:pPr>
      <w:r>
        <w:tab/>
      </w:r>
      <w:r w:rsidRPr="00152400" w:rsidR="005C0CB9">
        <w:t>Reasons for the Change in Burden</w:t>
      </w:r>
    </w:p>
    <w:p w:rsidR="00F72C8A" w:rsidP="00B62263" w:rsidRDefault="00F72C8A" w14:paraId="2978682C" w14:textId="31B63BA0">
      <w:bookmarkStart w:name="_Hlk39066213" w:id="17"/>
      <w:r w:rsidRPr="00C17CB0">
        <w:rPr>
          <w:bCs/>
          <w:color w:val="111111"/>
          <w:szCs w:val="24"/>
          <w:lang w:val="en"/>
        </w:rPr>
        <w:t>Th</w:t>
      </w:r>
      <w:r w:rsidR="00A566BA">
        <w:rPr>
          <w:bCs/>
          <w:color w:val="111111"/>
          <w:szCs w:val="24"/>
          <w:lang w:val="en"/>
        </w:rPr>
        <w:t xml:space="preserve">ere was a change in burden of an estimated additional 400 annual hours and an additional estimated annual cost of $1,600,000 due to the additional regulatory requirements </w:t>
      </w:r>
      <w:r w:rsidR="00CB3ABD">
        <w:rPr>
          <w:bCs/>
          <w:color w:val="111111"/>
          <w:szCs w:val="24"/>
          <w:lang w:val="en"/>
        </w:rPr>
        <w:t xml:space="preserve">of the </w:t>
      </w:r>
      <w:r w:rsidRPr="00CB3ABD" w:rsidR="00CB3ABD">
        <w:rPr>
          <w:bCs/>
          <w:color w:val="111111"/>
          <w:szCs w:val="24"/>
          <w:lang w:val="en"/>
        </w:rPr>
        <w:t>National Oil and Hazardous Substances Pollution Contingency Plan, Subpart J (40 CFR 300.900)</w:t>
      </w:r>
      <w:r w:rsidR="00CB3ABD">
        <w:rPr>
          <w:bCs/>
          <w:color w:val="111111"/>
          <w:szCs w:val="24"/>
          <w:lang w:val="en"/>
        </w:rPr>
        <w:t xml:space="preserve"> (Final Rule).</w:t>
      </w:r>
    </w:p>
    <w:bookmarkEnd w:id="17"/>
    <w:p w:rsidRPr="00152400" w:rsidR="005C0CB9" w:rsidP="00B62263" w:rsidRDefault="005C0CB9" w14:paraId="69B1216B" w14:textId="63F5E070">
      <w:pPr>
        <w:pStyle w:val="Heading2"/>
      </w:pPr>
      <w:r w:rsidRPr="00152400">
        <w:lastRenderedPageBreak/>
        <w:t>Burden Statement</w:t>
      </w:r>
    </w:p>
    <w:p w:rsidRPr="00AA5C37" w:rsidR="005C0CB9" w:rsidP="00B62263" w:rsidRDefault="005C0CB9" w14:paraId="24845706" w14:textId="4A14F4B8">
      <w:r w:rsidRPr="00AA5C37">
        <w:t xml:space="preserve">The collection of information required to </w:t>
      </w:r>
      <w:r w:rsidR="003A79FF">
        <w:t>comply with the discharge dispersant monitoring requirements</w:t>
      </w:r>
      <w:r w:rsidRPr="00AA5C37">
        <w:t xml:space="preserve"> is estimated to have a public reporting burden of </w:t>
      </w:r>
      <w:r w:rsidR="003A79FF">
        <w:t>30 to 927</w:t>
      </w:r>
      <w:r w:rsidRPr="00AA5C37">
        <w:t xml:space="preserve"> hours per response </w:t>
      </w:r>
      <w:r w:rsidR="003A79FF">
        <w:t xml:space="preserve">(and $32,000 </w:t>
      </w:r>
      <w:r w:rsidR="007A1EAD">
        <w:t>to</w:t>
      </w:r>
      <w:r w:rsidR="003A79FF">
        <w:t xml:space="preserve"> $3,000,000 in total cost) </w:t>
      </w:r>
      <w:r w:rsidRPr="00AA5C37">
        <w:t xml:space="preserve">in the first year and subsequent years, depending on the </w:t>
      </w:r>
      <w:r w:rsidR="003A79FF">
        <w:t>frequency of occurrence of applicable discharges.</w:t>
      </w:r>
      <w:r w:rsidRPr="00AA5C37">
        <w:t xml:space="preserve">  </w:t>
      </w:r>
    </w:p>
    <w:p w:rsidRPr="00152400" w:rsidR="005C0CB9" w:rsidP="00B62263" w:rsidRDefault="005C0CB9" w14:paraId="40F4F468" w14:textId="5E92BFA9">
      <w:r w:rsidRPr="00152400">
        <w:t xml:space="preserve">Burden means the total time, effort, or financial resources expended by persons to generate, maintain, retain, or disclose or provide information to or for a </w:t>
      </w:r>
      <w:r w:rsidRPr="00152400" w:rsidR="00CE1FC9">
        <w:t>f</w:t>
      </w:r>
      <w:r w:rsidRPr="00152400">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152400" w:rsidR="00054B45">
        <w:t xml:space="preserve">. </w:t>
      </w:r>
      <w:r w:rsidRPr="00152400">
        <w:t>An agency may not conduct or sponsor, and a person is not required to respond to, a collection of information unless it displays a currently valid OMB control number</w:t>
      </w:r>
      <w:r w:rsidRPr="00152400" w:rsidR="00054B45">
        <w:t xml:space="preserve">. </w:t>
      </w:r>
      <w:r w:rsidRPr="00152400">
        <w:t>The OMB control numbers for EPA regulations are listed in 40 CFR part 9 and 48 CFR chapter 15</w:t>
      </w:r>
      <w:r w:rsidRPr="00152400" w:rsidR="00054B45">
        <w:t xml:space="preserve">. </w:t>
      </w:r>
    </w:p>
    <w:p w:rsidR="00161046" w:rsidP="00B62263" w:rsidRDefault="00161046" w14:paraId="4FB9AAC2" w14:textId="76771332">
      <w:r>
        <w:t xml:space="preserve">To comment on the Agency’s need for this information, the accuracy of the provided burden estimates, and </w:t>
      </w:r>
      <w:r w:rsidRPr="006555EE">
        <w:t xml:space="preserve">any suggested methods for minimizing respondent burden, including the use of automated collection techniques, EPA has established a public docket for this ICR under Docket ID Number </w:t>
      </w:r>
      <w:r w:rsidRPr="006555EE">
        <w:rPr>
          <w:szCs w:val="24"/>
        </w:rPr>
        <w:t>EPA-HQ-OPA-</w:t>
      </w:r>
      <w:r w:rsidRPr="006555EE">
        <w:t xml:space="preserve"> 2007-00</w:t>
      </w:r>
      <w:r w:rsidRPr="006555EE" w:rsidR="006555EE">
        <w:t>90</w:t>
      </w:r>
      <w:r w:rsidRPr="006555EE">
        <w:t>, which is</w:t>
      </w:r>
      <w:r w:rsidRPr="00161046">
        <w:t xml:space="preserve"> available for online viewing at </w:t>
      </w:r>
      <w:hyperlink w:history="1" r:id="rId14">
        <w:r w:rsidRPr="00161046">
          <w:rPr>
            <w:rStyle w:val="Hyperlink"/>
          </w:rPr>
          <w:t>www.regulations.gov</w:t>
        </w:r>
      </w:hyperlink>
      <w:r w:rsidRPr="00161046">
        <w:t>. If you are unable to find a document you</w:t>
      </w:r>
      <w:r>
        <w:t xml:space="preserve"> would like to review in Regulations.gov, call the Reading Room (202) 566-1744 or the Superfund Docket (202) 566-0276 for assistance in obtaining your document.</w:t>
      </w:r>
    </w:p>
    <w:sectPr w:rsidR="00161046" w:rsidSect="0023254C">
      <w:headerReference w:type="even" r:id="rId15"/>
      <w:headerReference w:type="default" r:id="rId16"/>
      <w:footerReference w:type="default" r:id="rId17"/>
      <w:headerReference w:type="first" r:id="rId18"/>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F7EE" w14:textId="77777777" w:rsidR="0032245A" w:rsidRDefault="0032245A">
      <w:r>
        <w:separator/>
      </w:r>
    </w:p>
  </w:endnote>
  <w:endnote w:type="continuationSeparator" w:id="0">
    <w:p w14:paraId="6E41A266" w14:textId="77777777" w:rsidR="0032245A" w:rsidRDefault="0032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318876"/>
      <w:docPartObj>
        <w:docPartGallery w:val="Page Numbers (Bottom of Page)"/>
        <w:docPartUnique/>
      </w:docPartObj>
    </w:sdtPr>
    <w:sdtEndPr>
      <w:rPr>
        <w:noProof/>
      </w:rPr>
    </w:sdtEndPr>
    <w:sdtContent>
      <w:p w14:paraId="29B786D5" w14:textId="76231E87" w:rsidR="009A6F98" w:rsidRDefault="009A6F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4B4C494" w14:textId="717ED4D3" w:rsidR="009A6F98" w:rsidRDefault="009A6F98">
    <w:pPr>
      <w:tabs>
        <w:tab w:val="right" w:pos="9360"/>
      </w:tabs>
      <w:rPr>
        <w:i/>
        <w:i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48AF" w14:textId="77777777" w:rsidR="0032245A" w:rsidRDefault="0032245A">
      <w:r>
        <w:separator/>
      </w:r>
    </w:p>
  </w:footnote>
  <w:footnote w:type="continuationSeparator" w:id="0">
    <w:p w14:paraId="60B336E4" w14:textId="77777777" w:rsidR="0032245A" w:rsidRDefault="0032245A">
      <w:r>
        <w:continuationSeparator/>
      </w:r>
    </w:p>
  </w:footnote>
  <w:footnote w:id="1">
    <w:p w14:paraId="37080577" w14:textId="2D9383B8" w:rsidR="009A6F98" w:rsidRDefault="009A6F98" w:rsidP="00411C0A">
      <w:pPr>
        <w:pStyle w:val="FootnoteText"/>
        <w:ind w:firstLine="0"/>
      </w:pPr>
      <w:r>
        <w:rPr>
          <w:rStyle w:val="FootnoteReference"/>
        </w:rPr>
        <w:footnoteRef/>
      </w:r>
      <w:r>
        <w:t xml:space="preserve"> National Oil and Hazardous Substances Pollution Contingency Plan; Subpart J Monitoring Requirements (RIN 2050-AH16). Final Rule Regulatory Impact Analysis</w:t>
      </w:r>
      <w:r w:rsidRPr="00BA2410">
        <w:t>, DATE TBD, Docket</w:t>
      </w:r>
      <w:r>
        <w:t xml:space="preserve"> ID EPA-HQ-OPA-2006-0090.</w:t>
      </w:r>
    </w:p>
  </w:footnote>
  <w:footnote w:id="2">
    <w:p w14:paraId="3FC74E67" w14:textId="663FF6EA" w:rsidR="009A6F98" w:rsidRDefault="009A6F98" w:rsidP="00F859A4">
      <w:pPr>
        <w:pStyle w:val="FootnoteText"/>
        <w:ind w:firstLine="0"/>
      </w:pPr>
      <w:r>
        <w:rPr>
          <w:rStyle w:val="FootnoteReference"/>
        </w:rPr>
        <w:footnoteRef/>
      </w:r>
      <w:r>
        <w:t xml:space="preserve"> National Oil and Hazardous Substances Pollution Contingency Plan; Subpart J Monitoring Requirements (RIN 2050-AH16). Final Rule Regulatory Impact </w:t>
      </w:r>
      <w:r w:rsidRPr="00BA2410">
        <w:t>Analysis, DATE TBD, Docket</w:t>
      </w:r>
      <w:r>
        <w:t xml:space="preserve"> ID EPA-HQ-OPA-2006-0090.</w:t>
      </w:r>
    </w:p>
  </w:footnote>
  <w:footnote w:id="3">
    <w:p w14:paraId="51273461" w14:textId="473C6F0A" w:rsidR="009A6F98" w:rsidRDefault="009A6F98" w:rsidP="00FA1809">
      <w:pPr>
        <w:pStyle w:val="FootnoteText"/>
        <w:ind w:firstLine="0"/>
      </w:pPr>
      <w:r>
        <w:rPr>
          <w:rStyle w:val="FootnoteReference"/>
        </w:rPr>
        <w:footnoteRef/>
      </w:r>
      <w:r>
        <w:t xml:space="preserve"> </w:t>
      </w:r>
      <w:r w:rsidRPr="00FA1809">
        <w:rPr>
          <w:sz w:val="18"/>
          <w:szCs w:val="18"/>
        </w:rPr>
        <w:t>U.S. Office of Personnel Management. 2020 General Schedule – DCB: Effective January 2020. (</w:t>
      </w:r>
      <w:hyperlink r:id="rId1" w:history="1">
        <w:r w:rsidRPr="00FA1809">
          <w:rPr>
            <w:rStyle w:val="Hyperlink"/>
            <w:sz w:val="18"/>
            <w:szCs w:val="18"/>
          </w:rPr>
          <w:t>https://www.opm.gov/policy-data-oversight/pay-leave/salaries-wages/salary-tables/20Tables/html/DCB.aspx</w:t>
        </w:r>
      </w:hyperlink>
      <w:r w:rsidRPr="00FA180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54DE" w14:textId="6EE70BCB" w:rsidR="009A6F98" w:rsidRDefault="009A6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0797" w14:textId="33B4EE89" w:rsidR="009A6F98" w:rsidRDefault="009A6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6523" w14:textId="14BB4231" w:rsidR="009A6F98" w:rsidRDefault="009A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AC4BE24"/>
    <w:lvl w:ilvl="0">
      <w:numFmt w:val="decimal"/>
      <w:lvlText w:val="*"/>
      <w:lvlJc w:val="left"/>
    </w:lvl>
  </w:abstractNum>
  <w:abstractNum w:abstractNumId="1" w15:restartNumberingAfterBreak="0">
    <w:nsid w:val="03FC0EA1"/>
    <w:multiLevelType w:val="hybridMultilevel"/>
    <w:tmpl w:val="C8748A94"/>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D60F9"/>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3" w15:restartNumberingAfterBreak="0">
    <w:nsid w:val="07544973"/>
    <w:multiLevelType w:val="hybridMultilevel"/>
    <w:tmpl w:val="715A2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CD8"/>
    <w:multiLevelType w:val="hybridMultilevel"/>
    <w:tmpl w:val="2C88B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616E9"/>
    <w:multiLevelType w:val="hybridMultilevel"/>
    <w:tmpl w:val="37B23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797885"/>
    <w:multiLevelType w:val="hybridMultilevel"/>
    <w:tmpl w:val="88F6BA8A"/>
    <w:lvl w:ilvl="0" w:tplc="794CF02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EC265B"/>
    <w:multiLevelType w:val="hybridMultilevel"/>
    <w:tmpl w:val="380A4790"/>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93FFC"/>
    <w:multiLevelType w:val="hybridMultilevel"/>
    <w:tmpl w:val="EDB4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D0F33"/>
    <w:multiLevelType w:val="hybridMultilevel"/>
    <w:tmpl w:val="E856E5AE"/>
    <w:lvl w:ilvl="0" w:tplc="3C701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2353B"/>
    <w:multiLevelType w:val="multilevel"/>
    <w:tmpl w:val="6672C068"/>
    <w:lvl w:ilvl="0">
      <w:start w:val="1"/>
      <w:numFmt w:val="decimal"/>
      <w:pStyle w:val="Heading1"/>
      <w:lvlText w:val="%1."/>
      <w:lvlJc w:val="left"/>
      <w:pPr>
        <w:ind w:left="360" w:hanging="360"/>
      </w:pPr>
      <w:rPr>
        <w:rFonts w:hint="default"/>
      </w:rPr>
    </w:lvl>
    <w:lvl w:ilvl="1">
      <w:start w:val="1"/>
      <w:numFmt w:val="lowerLetter"/>
      <w:pStyle w:val="Heading2"/>
      <w:lvlText w:val="%1(%2)"/>
      <w:lvlJc w:val="left"/>
      <w:pPr>
        <w:ind w:left="720" w:hanging="360"/>
      </w:pPr>
      <w:rPr>
        <w:rFonts w:hint="default"/>
      </w:rPr>
    </w:lvl>
    <w:lvl w:ilvl="2">
      <w:start w:val="1"/>
      <w:numFmt w:val="lowerRoman"/>
      <w:pStyle w:val="Heading3"/>
      <w:lvlText w:val="(%3)"/>
      <w:lvlJc w:val="left"/>
      <w:pPr>
        <w:ind w:left="1080" w:hanging="360"/>
      </w:pPr>
      <w:rPr>
        <w:rFonts w:hint="default"/>
      </w:rPr>
    </w:lvl>
    <w:lvl w:ilvl="3">
      <w:start w:val="1"/>
      <w:numFmt w:val="none"/>
      <w:pStyle w:val="Heading4"/>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1C64A9"/>
    <w:multiLevelType w:val="hybridMultilevel"/>
    <w:tmpl w:val="0AE6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787D3E"/>
    <w:multiLevelType w:val="hybridMultilevel"/>
    <w:tmpl w:val="215082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1A40B9C"/>
    <w:multiLevelType w:val="hybridMultilevel"/>
    <w:tmpl w:val="27E4D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0F5C53"/>
    <w:multiLevelType w:val="hybridMultilevel"/>
    <w:tmpl w:val="4434E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A494A"/>
    <w:multiLevelType w:val="hybridMultilevel"/>
    <w:tmpl w:val="1158A348"/>
    <w:lvl w:ilvl="0" w:tplc="81BC7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37220"/>
    <w:multiLevelType w:val="hybridMultilevel"/>
    <w:tmpl w:val="B9DA91C6"/>
    <w:lvl w:ilvl="0" w:tplc="0FF47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C34D0"/>
    <w:multiLevelType w:val="hybridMultilevel"/>
    <w:tmpl w:val="025A78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A0E3F85"/>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19" w15:restartNumberingAfterBreak="0">
    <w:nsid w:val="4A101ADC"/>
    <w:multiLevelType w:val="hybridMultilevel"/>
    <w:tmpl w:val="2C1CB6D8"/>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15:restartNumberingAfterBreak="0">
    <w:nsid w:val="4BB810B0"/>
    <w:multiLevelType w:val="hybridMultilevel"/>
    <w:tmpl w:val="35ECE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0557CF"/>
    <w:multiLevelType w:val="hybridMultilevel"/>
    <w:tmpl w:val="944E0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61BEA"/>
    <w:multiLevelType w:val="hybridMultilevel"/>
    <w:tmpl w:val="09C410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2E33F7"/>
    <w:multiLevelType w:val="hybridMultilevel"/>
    <w:tmpl w:val="DDCEAE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BB059F"/>
    <w:multiLevelType w:val="hybridMultilevel"/>
    <w:tmpl w:val="8786868C"/>
    <w:lvl w:ilvl="0" w:tplc="9050DF2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51D7C"/>
    <w:multiLevelType w:val="hybridMultilevel"/>
    <w:tmpl w:val="2B50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EA0E1B"/>
    <w:multiLevelType w:val="hybridMultilevel"/>
    <w:tmpl w:val="14788E56"/>
    <w:lvl w:ilvl="0" w:tplc="865CED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005202"/>
    <w:multiLevelType w:val="hybridMultilevel"/>
    <w:tmpl w:val="9566187C"/>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734799"/>
    <w:multiLevelType w:val="hybridMultilevel"/>
    <w:tmpl w:val="0C4AF6D8"/>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9" w15:restartNumberingAfterBreak="0">
    <w:nsid w:val="79B15D2F"/>
    <w:multiLevelType w:val="hybridMultilevel"/>
    <w:tmpl w:val="17521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EC6CC3"/>
    <w:multiLevelType w:val="hybridMultilevel"/>
    <w:tmpl w:val="7AE06B18"/>
    <w:lvl w:ilvl="0" w:tplc="65FE56A8">
      <w:start w:val="1"/>
      <w:numFmt w:val="bullet"/>
      <w:pStyle w:val="StyleListParagraphBold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843655"/>
    <w:multiLevelType w:val="hybridMultilevel"/>
    <w:tmpl w:val="56206C78"/>
    <w:lvl w:ilvl="0" w:tplc="8A0212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0"/>
    <w:lvlOverride w:ilvl="0">
      <w:lvl w:ilvl="0">
        <w:start w:val="3"/>
        <w:numFmt w:val="bullet"/>
        <w:lvlText w:val="•"/>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2"/>
  </w:num>
  <w:num w:numId="5">
    <w:abstractNumId w:val="7"/>
  </w:num>
  <w:num w:numId="6">
    <w:abstractNumId w:val="31"/>
  </w:num>
  <w:num w:numId="7">
    <w:abstractNumId w:val="24"/>
  </w:num>
  <w:num w:numId="8">
    <w:abstractNumId w:val="1"/>
  </w:num>
  <w:num w:numId="9">
    <w:abstractNumId w:val="27"/>
  </w:num>
  <w:num w:numId="10">
    <w:abstractNumId w:val="28"/>
  </w:num>
  <w:num w:numId="11">
    <w:abstractNumId w:val="3"/>
  </w:num>
  <w:num w:numId="12">
    <w:abstractNumId w:val="4"/>
  </w:num>
  <w:num w:numId="13">
    <w:abstractNumId w:val="16"/>
  </w:num>
  <w:num w:numId="14">
    <w:abstractNumId w:val="21"/>
  </w:num>
  <w:num w:numId="15">
    <w:abstractNumId w:val="17"/>
  </w:num>
  <w:num w:numId="16">
    <w:abstractNumId w:val="11"/>
  </w:num>
  <w:num w:numId="17">
    <w:abstractNumId w:val="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23"/>
  </w:num>
  <w:num w:numId="22">
    <w:abstractNumId w:val="10"/>
  </w:num>
  <w:num w:numId="23">
    <w:abstractNumId w:val="26"/>
  </w:num>
  <w:num w:numId="24">
    <w:abstractNumId w:val="13"/>
  </w:num>
  <w:num w:numId="25">
    <w:abstractNumId w:val="30"/>
  </w:num>
  <w:num w:numId="26">
    <w:abstractNumId w:val="29"/>
  </w:num>
  <w:num w:numId="27">
    <w:abstractNumId w:val="12"/>
  </w:num>
  <w:num w:numId="28">
    <w:abstractNumId w:val="5"/>
  </w:num>
  <w:num w:numId="29">
    <w:abstractNumId w:val="20"/>
  </w:num>
  <w:num w:numId="30">
    <w:abstractNumId w:val="14"/>
  </w:num>
  <w:num w:numId="31">
    <w:abstractNumId w:val="8"/>
  </w:num>
  <w:num w:numId="32">
    <w:abstractNumId w:val="22"/>
  </w:num>
  <w:num w:numId="33">
    <w:abstractNumId w:val="1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68"/>
    <w:rsid w:val="00002819"/>
    <w:rsid w:val="00003A23"/>
    <w:rsid w:val="000041E1"/>
    <w:rsid w:val="00004E73"/>
    <w:rsid w:val="000055B0"/>
    <w:rsid w:val="00007CB2"/>
    <w:rsid w:val="000106A7"/>
    <w:rsid w:val="00012F5C"/>
    <w:rsid w:val="0001523B"/>
    <w:rsid w:val="0003442E"/>
    <w:rsid w:val="00034952"/>
    <w:rsid w:val="00034F4E"/>
    <w:rsid w:val="0004019A"/>
    <w:rsid w:val="00042E68"/>
    <w:rsid w:val="00043A73"/>
    <w:rsid w:val="00045545"/>
    <w:rsid w:val="000516D0"/>
    <w:rsid w:val="00053D9E"/>
    <w:rsid w:val="00054B45"/>
    <w:rsid w:val="00060066"/>
    <w:rsid w:val="00061DFD"/>
    <w:rsid w:val="00062092"/>
    <w:rsid w:val="00063562"/>
    <w:rsid w:val="00066D66"/>
    <w:rsid w:val="00073EFF"/>
    <w:rsid w:val="000742F2"/>
    <w:rsid w:val="00075A21"/>
    <w:rsid w:val="000777DA"/>
    <w:rsid w:val="0008441F"/>
    <w:rsid w:val="00085142"/>
    <w:rsid w:val="00090574"/>
    <w:rsid w:val="00090C34"/>
    <w:rsid w:val="0009372D"/>
    <w:rsid w:val="00095FAC"/>
    <w:rsid w:val="00097470"/>
    <w:rsid w:val="000A088E"/>
    <w:rsid w:val="000A0BDA"/>
    <w:rsid w:val="000A29B4"/>
    <w:rsid w:val="000B0147"/>
    <w:rsid w:val="000B132C"/>
    <w:rsid w:val="000B50D0"/>
    <w:rsid w:val="000C1596"/>
    <w:rsid w:val="000C2EE9"/>
    <w:rsid w:val="000C321B"/>
    <w:rsid w:val="000C53E4"/>
    <w:rsid w:val="000D1213"/>
    <w:rsid w:val="000D53A4"/>
    <w:rsid w:val="000E076C"/>
    <w:rsid w:val="000E2F04"/>
    <w:rsid w:val="000E310A"/>
    <w:rsid w:val="000E328D"/>
    <w:rsid w:val="000E387E"/>
    <w:rsid w:val="000F3ED3"/>
    <w:rsid w:val="000F47E4"/>
    <w:rsid w:val="0010215E"/>
    <w:rsid w:val="00111B28"/>
    <w:rsid w:val="00116F5D"/>
    <w:rsid w:val="00121125"/>
    <w:rsid w:val="00122F69"/>
    <w:rsid w:val="00124A95"/>
    <w:rsid w:val="0012541C"/>
    <w:rsid w:val="00132452"/>
    <w:rsid w:val="001325AB"/>
    <w:rsid w:val="00132A5E"/>
    <w:rsid w:val="00132BE6"/>
    <w:rsid w:val="00135258"/>
    <w:rsid w:val="00137746"/>
    <w:rsid w:val="001420D3"/>
    <w:rsid w:val="00152400"/>
    <w:rsid w:val="001539F3"/>
    <w:rsid w:val="00157016"/>
    <w:rsid w:val="00161046"/>
    <w:rsid w:val="0016233F"/>
    <w:rsid w:val="00165981"/>
    <w:rsid w:val="001811CC"/>
    <w:rsid w:val="00182B30"/>
    <w:rsid w:val="001841BE"/>
    <w:rsid w:val="00184E61"/>
    <w:rsid w:val="00196A56"/>
    <w:rsid w:val="001A4E44"/>
    <w:rsid w:val="001A56B7"/>
    <w:rsid w:val="001A6D30"/>
    <w:rsid w:val="001A7100"/>
    <w:rsid w:val="001B1348"/>
    <w:rsid w:val="001B1C03"/>
    <w:rsid w:val="001B52A2"/>
    <w:rsid w:val="001C0C8E"/>
    <w:rsid w:val="001C2671"/>
    <w:rsid w:val="001C3917"/>
    <w:rsid w:val="001C3A14"/>
    <w:rsid w:val="001C3A8B"/>
    <w:rsid w:val="001D1F7B"/>
    <w:rsid w:val="001D4CC3"/>
    <w:rsid w:val="001D5925"/>
    <w:rsid w:val="001E0055"/>
    <w:rsid w:val="001E2719"/>
    <w:rsid w:val="001E38C8"/>
    <w:rsid w:val="001E444F"/>
    <w:rsid w:val="001E59E2"/>
    <w:rsid w:val="001F17C2"/>
    <w:rsid w:val="001F1CF4"/>
    <w:rsid w:val="001F282D"/>
    <w:rsid w:val="001F5467"/>
    <w:rsid w:val="00201A6C"/>
    <w:rsid w:val="00202940"/>
    <w:rsid w:val="00203A6D"/>
    <w:rsid w:val="0020671F"/>
    <w:rsid w:val="00207F9F"/>
    <w:rsid w:val="0021105A"/>
    <w:rsid w:val="002117B6"/>
    <w:rsid w:val="00211EF2"/>
    <w:rsid w:val="00224C18"/>
    <w:rsid w:val="0023254C"/>
    <w:rsid w:val="002325BC"/>
    <w:rsid w:val="002347E0"/>
    <w:rsid w:val="0024603F"/>
    <w:rsid w:val="00246471"/>
    <w:rsid w:val="00246850"/>
    <w:rsid w:val="002478A0"/>
    <w:rsid w:val="00247E60"/>
    <w:rsid w:val="00247F65"/>
    <w:rsid w:val="00255497"/>
    <w:rsid w:val="00256251"/>
    <w:rsid w:val="0026323C"/>
    <w:rsid w:val="00264EEA"/>
    <w:rsid w:val="00267BB5"/>
    <w:rsid w:val="00272592"/>
    <w:rsid w:val="002736DE"/>
    <w:rsid w:val="00277647"/>
    <w:rsid w:val="00280371"/>
    <w:rsid w:val="0028240E"/>
    <w:rsid w:val="00282B20"/>
    <w:rsid w:val="002853A3"/>
    <w:rsid w:val="002859DC"/>
    <w:rsid w:val="00286D3A"/>
    <w:rsid w:val="00291DF2"/>
    <w:rsid w:val="00292B8E"/>
    <w:rsid w:val="00293BAC"/>
    <w:rsid w:val="002940B9"/>
    <w:rsid w:val="00294487"/>
    <w:rsid w:val="00296818"/>
    <w:rsid w:val="002A2D83"/>
    <w:rsid w:val="002A316F"/>
    <w:rsid w:val="002B30E6"/>
    <w:rsid w:val="002B411C"/>
    <w:rsid w:val="002B47AC"/>
    <w:rsid w:val="002B4F89"/>
    <w:rsid w:val="002C365F"/>
    <w:rsid w:val="002C7112"/>
    <w:rsid w:val="002C7E97"/>
    <w:rsid w:val="002D3139"/>
    <w:rsid w:val="002D47B7"/>
    <w:rsid w:val="002D6FD7"/>
    <w:rsid w:val="002E1F3D"/>
    <w:rsid w:val="002E4E99"/>
    <w:rsid w:val="002E6A1E"/>
    <w:rsid w:val="002F2D33"/>
    <w:rsid w:val="002F4A6D"/>
    <w:rsid w:val="00302008"/>
    <w:rsid w:val="00302264"/>
    <w:rsid w:val="00302470"/>
    <w:rsid w:val="00302565"/>
    <w:rsid w:val="00302B9A"/>
    <w:rsid w:val="00304910"/>
    <w:rsid w:val="0030573F"/>
    <w:rsid w:val="003061A6"/>
    <w:rsid w:val="00310606"/>
    <w:rsid w:val="00310696"/>
    <w:rsid w:val="00310C18"/>
    <w:rsid w:val="00311131"/>
    <w:rsid w:val="00311FFC"/>
    <w:rsid w:val="00313F48"/>
    <w:rsid w:val="00314B54"/>
    <w:rsid w:val="003160B2"/>
    <w:rsid w:val="003172E4"/>
    <w:rsid w:val="00320EDA"/>
    <w:rsid w:val="0032245A"/>
    <w:rsid w:val="0033018F"/>
    <w:rsid w:val="00331D53"/>
    <w:rsid w:val="00332298"/>
    <w:rsid w:val="003327F0"/>
    <w:rsid w:val="00336E54"/>
    <w:rsid w:val="0034028F"/>
    <w:rsid w:val="00341410"/>
    <w:rsid w:val="00343654"/>
    <w:rsid w:val="00344C06"/>
    <w:rsid w:val="00344D6F"/>
    <w:rsid w:val="00347AC3"/>
    <w:rsid w:val="00355125"/>
    <w:rsid w:val="0035632E"/>
    <w:rsid w:val="0035675B"/>
    <w:rsid w:val="00360E99"/>
    <w:rsid w:val="00365B15"/>
    <w:rsid w:val="00372E60"/>
    <w:rsid w:val="003748A5"/>
    <w:rsid w:val="00385106"/>
    <w:rsid w:val="00385238"/>
    <w:rsid w:val="00385588"/>
    <w:rsid w:val="00391584"/>
    <w:rsid w:val="00396BAF"/>
    <w:rsid w:val="003972A7"/>
    <w:rsid w:val="003A3129"/>
    <w:rsid w:val="003A396C"/>
    <w:rsid w:val="003A39DF"/>
    <w:rsid w:val="003A46A5"/>
    <w:rsid w:val="003A79FF"/>
    <w:rsid w:val="003B48F6"/>
    <w:rsid w:val="003B637A"/>
    <w:rsid w:val="003B6B0B"/>
    <w:rsid w:val="003B7665"/>
    <w:rsid w:val="003C22DB"/>
    <w:rsid w:val="003C4ACB"/>
    <w:rsid w:val="003D02EE"/>
    <w:rsid w:val="003D07C9"/>
    <w:rsid w:val="003D0F8A"/>
    <w:rsid w:val="003D1F8A"/>
    <w:rsid w:val="003D2EBD"/>
    <w:rsid w:val="003D4F15"/>
    <w:rsid w:val="003D757D"/>
    <w:rsid w:val="003E18E8"/>
    <w:rsid w:val="003E26A9"/>
    <w:rsid w:val="003E2CC2"/>
    <w:rsid w:val="003E30C9"/>
    <w:rsid w:val="003E48C7"/>
    <w:rsid w:val="003F3E15"/>
    <w:rsid w:val="003F4A10"/>
    <w:rsid w:val="0040196F"/>
    <w:rsid w:val="004039EB"/>
    <w:rsid w:val="00403BCE"/>
    <w:rsid w:val="00404BA2"/>
    <w:rsid w:val="00411C0A"/>
    <w:rsid w:val="0041275A"/>
    <w:rsid w:val="00412D7A"/>
    <w:rsid w:val="00414F76"/>
    <w:rsid w:val="00415498"/>
    <w:rsid w:val="00415C89"/>
    <w:rsid w:val="004165F0"/>
    <w:rsid w:val="004200BE"/>
    <w:rsid w:val="00420F7F"/>
    <w:rsid w:val="00425368"/>
    <w:rsid w:val="00430AB6"/>
    <w:rsid w:val="004332BD"/>
    <w:rsid w:val="00435D05"/>
    <w:rsid w:val="004408D4"/>
    <w:rsid w:val="00441198"/>
    <w:rsid w:val="00446A26"/>
    <w:rsid w:val="00446EE4"/>
    <w:rsid w:val="00450031"/>
    <w:rsid w:val="00451799"/>
    <w:rsid w:val="00453136"/>
    <w:rsid w:val="00453964"/>
    <w:rsid w:val="00456487"/>
    <w:rsid w:val="00460918"/>
    <w:rsid w:val="00462439"/>
    <w:rsid w:val="00465392"/>
    <w:rsid w:val="004750BA"/>
    <w:rsid w:val="00475D2C"/>
    <w:rsid w:val="00475D87"/>
    <w:rsid w:val="00477219"/>
    <w:rsid w:val="00481ED8"/>
    <w:rsid w:val="004955F9"/>
    <w:rsid w:val="00495D03"/>
    <w:rsid w:val="004B0C19"/>
    <w:rsid w:val="004B1618"/>
    <w:rsid w:val="004B22FF"/>
    <w:rsid w:val="004B3B13"/>
    <w:rsid w:val="004B3C14"/>
    <w:rsid w:val="004B3E9F"/>
    <w:rsid w:val="004B5709"/>
    <w:rsid w:val="004B6113"/>
    <w:rsid w:val="004B6AFC"/>
    <w:rsid w:val="004B6B2D"/>
    <w:rsid w:val="004C383E"/>
    <w:rsid w:val="004C6A5F"/>
    <w:rsid w:val="004C6D42"/>
    <w:rsid w:val="004C7058"/>
    <w:rsid w:val="004D0E7D"/>
    <w:rsid w:val="004D2A15"/>
    <w:rsid w:val="004D7BEE"/>
    <w:rsid w:val="004E1B7D"/>
    <w:rsid w:val="004E7CBD"/>
    <w:rsid w:val="004F14F5"/>
    <w:rsid w:val="004F4213"/>
    <w:rsid w:val="0050026A"/>
    <w:rsid w:val="005043FB"/>
    <w:rsid w:val="00504702"/>
    <w:rsid w:val="00506408"/>
    <w:rsid w:val="0051144F"/>
    <w:rsid w:val="00514DA5"/>
    <w:rsid w:val="0051689D"/>
    <w:rsid w:val="00522DE6"/>
    <w:rsid w:val="00531FA8"/>
    <w:rsid w:val="00533D24"/>
    <w:rsid w:val="00554764"/>
    <w:rsid w:val="005554FE"/>
    <w:rsid w:val="005622EA"/>
    <w:rsid w:val="0056603D"/>
    <w:rsid w:val="00567D78"/>
    <w:rsid w:val="00573568"/>
    <w:rsid w:val="00574889"/>
    <w:rsid w:val="0057651F"/>
    <w:rsid w:val="00582C84"/>
    <w:rsid w:val="00585B00"/>
    <w:rsid w:val="00587862"/>
    <w:rsid w:val="005933FF"/>
    <w:rsid w:val="00593738"/>
    <w:rsid w:val="00594066"/>
    <w:rsid w:val="00596603"/>
    <w:rsid w:val="00596735"/>
    <w:rsid w:val="00596DC0"/>
    <w:rsid w:val="005972EE"/>
    <w:rsid w:val="005A0C0E"/>
    <w:rsid w:val="005A5585"/>
    <w:rsid w:val="005A7C7D"/>
    <w:rsid w:val="005B414F"/>
    <w:rsid w:val="005B525B"/>
    <w:rsid w:val="005B6061"/>
    <w:rsid w:val="005B6B8D"/>
    <w:rsid w:val="005B73A8"/>
    <w:rsid w:val="005B7E9B"/>
    <w:rsid w:val="005C0CB9"/>
    <w:rsid w:val="005C0CEA"/>
    <w:rsid w:val="005C0E73"/>
    <w:rsid w:val="005C2E60"/>
    <w:rsid w:val="005C74F0"/>
    <w:rsid w:val="005D0C0B"/>
    <w:rsid w:val="005D10C7"/>
    <w:rsid w:val="005D1D0C"/>
    <w:rsid w:val="005D1E47"/>
    <w:rsid w:val="005D449E"/>
    <w:rsid w:val="005E0745"/>
    <w:rsid w:val="005E1134"/>
    <w:rsid w:val="005E26D8"/>
    <w:rsid w:val="005E2BDD"/>
    <w:rsid w:val="005E4F63"/>
    <w:rsid w:val="005F1340"/>
    <w:rsid w:val="005F2D42"/>
    <w:rsid w:val="005F4C64"/>
    <w:rsid w:val="005F55A6"/>
    <w:rsid w:val="005F5D49"/>
    <w:rsid w:val="00601756"/>
    <w:rsid w:val="00601C16"/>
    <w:rsid w:val="00604997"/>
    <w:rsid w:val="00606389"/>
    <w:rsid w:val="00606FEE"/>
    <w:rsid w:val="00611A43"/>
    <w:rsid w:val="00614012"/>
    <w:rsid w:val="00614DB1"/>
    <w:rsid w:val="0061509E"/>
    <w:rsid w:val="00621675"/>
    <w:rsid w:val="00622A22"/>
    <w:rsid w:val="00631511"/>
    <w:rsid w:val="00631F59"/>
    <w:rsid w:val="00641E81"/>
    <w:rsid w:val="00642F52"/>
    <w:rsid w:val="00652A70"/>
    <w:rsid w:val="00652D8F"/>
    <w:rsid w:val="006555EE"/>
    <w:rsid w:val="006576C5"/>
    <w:rsid w:val="006610D6"/>
    <w:rsid w:val="00663301"/>
    <w:rsid w:val="0066670E"/>
    <w:rsid w:val="00666D84"/>
    <w:rsid w:val="0067029D"/>
    <w:rsid w:val="00670890"/>
    <w:rsid w:val="00670978"/>
    <w:rsid w:val="006714AC"/>
    <w:rsid w:val="006753CF"/>
    <w:rsid w:val="0069204D"/>
    <w:rsid w:val="00694ADC"/>
    <w:rsid w:val="00695269"/>
    <w:rsid w:val="006A1876"/>
    <w:rsid w:val="006A5907"/>
    <w:rsid w:val="006B0171"/>
    <w:rsid w:val="006B1F8F"/>
    <w:rsid w:val="006B3191"/>
    <w:rsid w:val="006B451B"/>
    <w:rsid w:val="006C1109"/>
    <w:rsid w:val="006C178B"/>
    <w:rsid w:val="006C23BB"/>
    <w:rsid w:val="006C261A"/>
    <w:rsid w:val="006C3731"/>
    <w:rsid w:val="006C6640"/>
    <w:rsid w:val="006C7FB6"/>
    <w:rsid w:val="006D3831"/>
    <w:rsid w:val="006D732E"/>
    <w:rsid w:val="006E0054"/>
    <w:rsid w:val="006E691B"/>
    <w:rsid w:val="006F2594"/>
    <w:rsid w:val="006F3AA8"/>
    <w:rsid w:val="006F43A2"/>
    <w:rsid w:val="006F4BD0"/>
    <w:rsid w:val="006F530D"/>
    <w:rsid w:val="006F6E14"/>
    <w:rsid w:val="006F7998"/>
    <w:rsid w:val="007003BA"/>
    <w:rsid w:val="00700913"/>
    <w:rsid w:val="00703F7F"/>
    <w:rsid w:val="00705C7F"/>
    <w:rsid w:val="00707AF9"/>
    <w:rsid w:val="007100BF"/>
    <w:rsid w:val="007105BF"/>
    <w:rsid w:val="00711CF8"/>
    <w:rsid w:val="00711E1A"/>
    <w:rsid w:val="007126C7"/>
    <w:rsid w:val="00712F9E"/>
    <w:rsid w:val="00721516"/>
    <w:rsid w:val="00722C91"/>
    <w:rsid w:val="00723A21"/>
    <w:rsid w:val="007279D8"/>
    <w:rsid w:val="00732F5E"/>
    <w:rsid w:val="00734C0B"/>
    <w:rsid w:val="00735C66"/>
    <w:rsid w:val="00735FEC"/>
    <w:rsid w:val="0074013C"/>
    <w:rsid w:val="0074539C"/>
    <w:rsid w:val="00746FD9"/>
    <w:rsid w:val="00750624"/>
    <w:rsid w:val="00750B4E"/>
    <w:rsid w:val="00751665"/>
    <w:rsid w:val="00751C93"/>
    <w:rsid w:val="00753598"/>
    <w:rsid w:val="007553CF"/>
    <w:rsid w:val="007557D5"/>
    <w:rsid w:val="0075702F"/>
    <w:rsid w:val="00757159"/>
    <w:rsid w:val="007607FE"/>
    <w:rsid w:val="00760B96"/>
    <w:rsid w:val="00761318"/>
    <w:rsid w:val="00765808"/>
    <w:rsid w:val="0077153A"/>
    <w:rsid w:val="007728E7"/>
    <w:rsid w:val="0077414F"/>
    <w:rsid w:val="00781179"/>
    <w:rsid w:val="00792C08"/>
    <w:rsid w:val="00792F27"/>
    <w:rsid w:val="007940BB"/>
    <w:rsid w:val="00795047"/>
    <w:rsid w:val="00796AB5"/>
    <w:rsid w:val="00797B5F"/>
    <w:rsid w:val="007A03A3"/>
    <w:rsid w:val="007A1EAD"/>
    <w:rsid w:val="007A547E"/>
    <w:rsid w:val="007A7DF9"/>
    <w:rsid w:val="007B22F1"/>
    <w:rsid w:val="007B330D"/>
    <w:rsid w:val="007B4AE2"/>
    <w:rsid w:val="007B672F"/>
    <w:rsid w:val="007C0FAB"/>
    <w:rsid w:val="007C6F25"/>
    <w:rsid w:val="007D1013"/>
    <w:rsid w:val="007D3117"/>
    <w:rsid w:val="007D6CCF"/>
    <w:rsid w:val="007E064C"/>
    <w:rsid w:val="007E3045"/>
    <w:rsid w:val="007E6580"/>
    <w:rsid w:val="007E72F9"/>
    <w:rsid w:val="007E7D84"/>
    <w:rsid w:val="007F4508"/>
    <w:rsid w:val="007F7DA5"/>
    <w:rsid w:val="008014E3"/>
    <w:rsid w:val="008068D4"/>
    <w:rsid w:val="008151F3"/>
    <w:rsid w:val="008172A5"/>
    <w:rsid w:val="00826E85"/>
    <w:rsid w:val="00833D86"/>
    <w:rsid w:val="00840E6E"/>
    <w:rsid w:val="00843E82"/>
    <w:rsid w:val="008462F2"/>
    <w:rsid w:val="00853A29"/>
    <w:rsid w:val="00853E2E"/>
    <w:rsid w:val="008557F5"/>
    <w:rsid w:val="008623B5"/>
    <w:rsid w:val="00864ACB"/>
    <w:rsid w:val="00865A35"/>
    <w:rsid w:val="008702AE"/>
    <w:rsid w:val="00871DA5"/>
    <w:rsid w:val="00871EA5"/>
    <w:rsid w:val="008728F8"/>
    <w:rsid w:val="00876E0B"/>
    <w:rsid w:val="008770E1"/>
    <w:rsid w:val="00880CC6"/>
    <w:rsid w:val="0088152E"/>
    <w:rsid w:val="00882E62"/>
    <w:rsid w:val="00883ABD"/>
    <w:rsid w:val="00885BC1"/>
    <w:rsid w:val="008876D5"/>
    <w:rsid w:val="0089014B"/>
    <w:rsid w:val="0089131B"/>
    <w:rsid w:val="00893906"/>
    <w:rsid w:val="00897F92"/>
    <w:rsid w:val="008A1088"/>
    <w:rsid w:val="008A1270"/>
    <w:rsid w:val="008A171A"/>
    <w:rsid w:val="008A3CD8"/>
    <w:rsid w:val="008A4451"/>
    <w:rsid w:val="008B0698"/>
    <w:rsid w:val="008B1ADA"/>
    <w:rsid w:val="008B5576"/>
    <w:rsid w:val="008B7140"/>
    <w:rsid w:val="008B7B25"/>
    <w:rsid w:val="008C3456"/>
    <w:rsid w:val="008C726B"/>
    <w:rsid w:val="008C75A0"/>
    <w:rsid w:val="008D0F80"/>
    <w:rsid w:val="008D4803"/>
    <w:rsid w:val="008D5631"/>
    <w:rsid w:val="008E23EC"/>
    <w:rsid w:val="008E38B4"/>
    <w:rsid w:val="008E567B"/>
    <w:rsid w:val="008E607B"/>
    <w:rsid w:val="008E65C4"/>
    <w:rsid w:val="008E7006"/>
    <w:rsid w:val="008F14F4"/>
    <w:rsid w:val="008F17FE"/>
    <w:rsid w:val="008F3005"/>
    <w:rsid w:val="008F753E"/>
    <w:rsid w:val="00902476"/>
    <w:rsid w:val="00902B84"/>
    <w:rsid w:val="00907CC7"/>
    <w:rsid w:val="0091445F"/>
    <w:rsid w:val="00914677"/>
    <w:rsid w:val="009233B2"/>
    <w:rsid w:val="0092497A"/>
    <w:rsid w:val="0092581A"/>
    <w:rsid w:val="00926F73"/>
    <w:rsid w:val="00931EB2"/>
    <w:rsid w:val="00932336"/>
    <w:rsid w:val="0093447F"/>
    <w:rsid w:val="00935A88"/>
    <w:rsid w:val="0094091E"/>
    <w:rsid w:val="009425D7"/>
    <w:rsid w:val="009454C2"/>
    <w:rsid w:val="00947532"/>
    <w:rsid w:val="00947582"/>
    <w:rsid w:val="009524DE"/>
    <w:rsid w:val="00954781"/>
    <w:rsid w:val="00956463"/>
    <w:rsid w:val="00960BFC"/>
    <w:rsid w:val="0096286C"/>
    <w:rsid w:val="009676C3"/>
    <w:rsid w:val="00967771"/>
    <w:rsid w:val="00977168"/>
    <w:rsid w:val="00980384"/>
    <w:rsid w:val="00981B99"/>
    <w:rsid w:val="009839B4"/>
    <w:rsid w:val="00994C82"/>
    <w:rsid w:val="0099679A"/>
    <w:rsid w:val="009A2F8D"/>
    <w:rsid w:val="009A3F5C"/>
    <w:rsid w:val="009A52DA"/>
    <w:rsid w:val="009A5867"/>
    <w:rsid w:val="009A6F98"/>
    <w:rsid w:val="009B04C3"/>
    <w:rsid w:val="009B04D0"/>
    <w:rsid w:val="009B0956"/>
    <w:rsid w:val="009B1A57"/>
    <w:rsid w:val="009B2AF7"/>
    <w:rsid w:val="009B4C7C"/>
    <w:rsid w:val="009B4CFF"/>
    <w:rsid w:val="009B5389"/>
    <w:rsid w:val="009B5D8E"/>
    <w:rsid w:val="009B6284"/>
    <w:rsid w:val="009C1569"/>
    <w:rsid w:val="009C4AB4"/>
    <w:rsid w:val="009C4E19"/>
    <w:rsid w:val="009C5D23"/>
    <w:rsid w:val="009C72A0"/>
    <w:rsid w:val="009D1417"/>
    <w:rsid w:val="009D69A6"/>
    <w:rsid w:val="009D70D5"/>
    <w:rsid w:val="009D7D43"/>
    <w:rsid w:val="009E0E88"/>
    <w:rsid w:val="009E2BCE"/>
    <w:rsid w:val="009E48B9"/>
    <w:rsid w:val="009E4D65"/>
    <w:rsid w:val="009E5233"/>
    <w:rsid w:val="009E6171"/>
    <w:rsid w:val="009F1653"/>
    <w:rsid w:val="009F1E81"/>
    <w:rsid w:val="009F2CC2"/>
    <w:rsid w:val="009F5463"/>
    <w:rsid w:val="00A01571"/>
    <w:rsid w:val="00A068B0"/>
    <w:rsid w:val="00A07447"/>
    <w:rsid w:val="00A07B50"/>
    <w:rsid w:val="00A11054"/>
    <w:rsid w:val="00A11652"/>
    <w:rsid w:val="00A12785"/>
    <w:rsid w:val="00A13342"/>
    <w:rsid w:val="00A164AC"/>
    <w:rsid w:val="00A2037C"/>
    <w:rsid w:val="00A25A1D"/>
    <w:rsid w:val="00A26BBE"/>
    <w:rsid w:val="00A3035B"/>
    <w:rsid w:val="00A31B46"/>
    <w:rsid w:val="00A32B45"/>
    <w:rsid w:val="00A45291"/>
    <w:rsid w:val="00A4686F"/>
    <w:rsid w:val="00A502CE"/>
    <w:rsid w:val="00A50AE4"/>
    <w:rsid w:val="00A566BA"/>
    <w:rsid w:val="00A617B0"/>
    <w:rsid w:val="00A61B68"/>
    <w:rsid w:val="00A624FE"/>
    <w:rsid w:val="00A62F46"/>
    <w:rsid w:val="00A632BA"/>
    <w:rsid w:val="00A704BF"/>
    <w:rsid w:val="00A70B16"/>
    <w:rsid w:val="00A71368"/>
    <w:rsid w:val="00A718BB"/>
    <w:rsid w:val="00A76B65"/>
    <w:rsid w:val="00A803C5"/>
    <w:rsid w:val="00A807C9"/>
    <w:rsid w:val="00A81E06"/>
    <w:rsid w:val="00A859E4"/>
    <w:rsid w:val="00A862AE"/>
    <w:rsid w:val="00A863AC"/>
    <w:rsid w:val="00A865B5"/>
    <w:rsid w:val="00A86CD4"/>
    <w:rsid w:val="00A93E67"/>
    <w:rsid w:val="00A971DC"/>
    <w:rsid w:val="00AA25AE"/>
    <w:rsid w:val="00AA4051"/>
    <w:rsid w:val="00AA51A5"/>
    <w:rsid w:val="00AA5C37"/>
    <w:rsid w:val="00AB665B"/>
    <w:rsid w:val="00AC1500"/>
    <w:rsid w:val="00AC6EDB"/>
    <w:rsid w:val="00AE2E4E"/>
    <w:rsid w:val="00AE513E"/>
    <w:rsid w:val="00AE526E"/>
    <w:rsid w:val="00AE5ACA"/>
    <w:rsid w:val="00AE704B"/>
    <w:rsid w:val="00AF2E1F"/>
    <w:rsid w:val="00AF3750"/>
    <w:rsid w:val="00AF44F4"/>
    <w:rsid w:val="00B016BA"/>
    <w:rsid w:val="00B02E3D"/>
    <w:rsid w:val="00B03A0E"/>
    <w:rsid w:val="00B06207"/>
    <w:rsid w:val="00B10780"/>
    <w:rsid w:val="00B11CB9"/>
    <w:rsid w:val="00B14083"/>
    <w:rsid w:val="00B22331"/>
    <w:rsid w:val="00B2501B"/>
    <w:rsid w:val="00B30B96"/>
    <w:rsid w:val="00B3109D"/>
    <w:rsid w:val="00B31FAE"/>
    <w:rsid w:val="00B332D8"/>
    <w:rsid w:val="00B33558"/>
    <w:rsid w:val="00B33890"/>
    <w:rsid w:val="00B45667"/>
    <w:rsid w:val="00B45C48"/>
    <w:rsid w:val="00B503D9"/>
    <w:rsid w:val="00B52A5F"/>
    <w:rsid w:val="00B53243"/>
    <w:rsid w:val="00B5504C"/>
    <w:rsid w:val="00B56EEE"/>
    <w:rsid w:val="00B62263"/>
    <w:rsid w:val="00B63CB8"/>
    <w:rsid w:val="00B662E4"/>
    <w:rsid w:val="00B663DA"/>
    <w:rsid w:val="00B70ECC"/>
    <w:rsid w:val="00B7338E"/>
    <w:rsid w:val="00B733B4"/>
    <w:rsid w:val="00B74A26"/>
    <w:rsid w:val="00B755FB"/>
    <w:rsid w:val="00B803BB"/>
    <w:rsid w:val="00B82655"/>
    <w:rsid w:val="00B83A25"/>
    <w:rsid w:val="00B85E7F"/>
    <w:rsid w:val="00B8600B"/>
    <w:rsid w:val="00B87AF1"/>
    <w:rsid w:val="00B87BC5"/>
    <w:rsid w:val="00B912A7"/>
    <w:rsid w:val="00B9427D"/>
    <w:rsid w:val="00B94408"/>
    <w:rsid w:val="00B94AB3"/>
    <w:rsid w:val="00BA157C"/>
    <w:rsid w:val="00BA2410"/>
    <w:rsid w:val="00BA311E"/>
    <w:rsid w:val="00BA3254"/>
    <w:rsid w:val="00BA4BCB"/>
    <w:rsid w:val="00BA7160"/>
    <w:rsid w:val="00BB1EC9"/>
    <w:rsid w:val="00BB2B5C"/>
    <w:rsid w:val="00BB5967"/>
    <w:rsid w:val="00BB72F3"/>
    <w:rsid w:val="00BB77AC"/>
    <w:rsid w:val="00BC5850"/>
    <w:rsid w:val="00BD3121"/>
    <w:rsid w:val="00BD573F"/>
    <w:rsid w:val="00BE0AE4"/>
    <w:rsid w:val="00BE2436"/>
    <w:rsid w:val="00BE2674"/>
    <w:rsid w:val="00BF30C2"/>
    <w:rsid w:val="00BF388A"/>
    <w:rsid w:val="00BF5F41"/>
    <w:rsid w:val="00C00C66"/>
    <w:rsid w:val="00C10B4F"/>
    <w:rsid w:val="00C11C29"/>
    <w:rsid w:val="00C11F33"/>
    <w:rsid w:val="00C120A7"/>
    <w:rsid w:val="00C13896"/>
    <w:rsid w:val="00C15ABD"/>
    <w:rsid w:val="00C2536D"/>
    <w:rsid w:val="00C31B68"/>
    <w:rsid w:val="00C32396"/>
    <w:rsid w:val="00C337FA"/>
    <w:rsid w:val="00C33C08"/>
    <w:rsid w:val="00C349F4"/>
    <w:rsid w:val="00C36C9F"/>
    <w:rsid w:val="00C372C6"/>
    <w:rsid w:val="00C40F90"/>
    <w:rsid w:val="00C44181"/>
    <w:rsid w:val="00C44ABC"/>
    <w:rsid w:val="00C50DD1"/>
    <w:rsid w:val="00C55D14"/>
    <w:rsid w:val="00C5618E"/>
    <w:rsid w:val="00C60145"/>
    <w:rsid w:val="00C60844"/>
    <w:rsid w:val="00C63FA6"/>
    <w:rsid w:val="00C674A5"/>
    <w:rsid w:val="00C67CF0"/>
    <w:rsid w:val="00C80057"/>
    <w:rsid w:val="00C81E4C"/>
    <w:rsid w:val="00C9096C"/>
    <w:rsid w:val="00C90D6F"/>
    <w:rsid w:val="00C9424F"/>
    <w:rsid w:val="00C94DF2"/>
    <w:rsid w:val="00CA1B99"/>
    <w:rsid w:val="00CA5252"/>
    <w:rsid w:val="00CA665F"/>
    <w:rsid w:val="00CB3ABD"/>
    <w:rsid w:val="00CB75D5"/>
    <w:rsid w:val="00CC1C7D"/>
    <w:rsid w:val="00CC5DC1"/>
    <w:rsid w:val="00CD0101"/>
    <w:rsid w:val="00CD3CAE"/>
    <w:rsid w:val="00CD78C0"/>
    <w:rsid w:val="00CE1F6D"/>
    <w:rsid w:val="00CE1FC9"/>
    <w:rsid w:val="00CE47ED"/>
    <w:rsid w:val="00CE4A5E"/>
    <w:rsid w:val="00CF2E49"/>
    <w:rsid w:val="00CF42C5"/>
    <w:rsid w:val="00CF5139"/>
    <w:rsid w:val="00CF5CDF"/>
    <w:rsid w:val="00D00E59"/>
    <w:rsid w:val="00D01A50"/>
    <w:rsid w:val="00D01BBF"/>
    <w:rsid w:val="00D03D0F"/>
    <w:rsid w:val="00D048B9"/>
    <w:rsid w:val="00D06BD5"/>
    <w:rsid w:val="00D0734B"/>
    <w:rsid w:val="00D1221A"/>
    <w:rsid w:val="00D21EC1"/>
    <w:rsid w:val="00D257B4"/>
    <w:rsid w:val="00D27C75"/>
    <w:rsid w:val="00D31DCC"/>
    <w:rsid w:val="00D33E9D"/>
    <w:rsid w:val="00D3628F"/>
    <w:rsid w:val="00D376AE"/>
    <w:rsid w:val="00D475C3"/>
    <w:rsid w:val="00D51231"/>
    <w:rsid w:val="00D5157F"/>
    <w:rsid w:val="00D53B7F"/>
    <w:rsid w:val="00D54C8B"/>
    <w:rsid w:val="00D55B70"/>
    <w:rsid w:val="00D713D2"/>
    <w:rsid w:val="00D71B2D"/>
    <w:rsid w:val="00D74B80"/>
    <w:rsid w:val="00D8065F"/>
    <w:rsid w:val="00D809AE"/>
    <w:rsid w:val="00D80E82"/>
    <w:rsid w:val="00D83CF7"/>
    <w:rsid w:val="00D84146"/>
    <w:rsid w:val="00D84482"/>
    <w:rsid w:val="00D91A90"/>
    <w:rsid w:val="00D939E3"/>
    <w:rsid w:val="00D95A1C"/>
    <w:rsid w:val="00D96D20"/>
    <w:rsid w:val="00DA092C"/>
    <w:rsid w:val="00DA1BB3"/>
    <w:rsid w:val="00DA1E7E"/>
    <w:rsid w:val="00DA240F"/>
    <w:rsid w:val="00DA550A"/>
    <w:rsid w:val="00DB0A4C"/>
    <w:rsid w:val="00DC1D2A"/>
    <w:rsid w:val="00DC3965"/>
    <w:rsid w:val="00DC7296"/>
    <w:rsid w:val="00DC7B05"/>
    <w:rsid w:val="00DD68C1"/>
    <w:rsid w:val="00DD7196"/>
    <w:rsid w:val="00DE2326"/>
    <w:rsid w:val="00DE626F"/>
    <w:rsid w:val="00DF094C"/>
    <w:rsid w:val="00DF232A"/>
    <w:rsid w:val="00DF51FE"/>
    <w:rsid w:val="00DF6E60"/>
    <w:rsid w:val="00E009A4"/>
    <w:rsid w:val="00E0378F"/>
    <w:rsid w:val="00E078FD"/>
    <w:rsid w:val="00E13D96"/>
    <w:rsid w:val="00E144A8"/>
    <w:rsid w:val="00E16AA9"/>
    <w:rsid w:val="00E20069"/>
    <w:rsid w:val="00E201F9"/>
    <w:rsid w:val="00E2143D"/>
    <w:rsid w:val="00E22E7C"/>
    <w:rsid w:val="00E35225"/>
    <w:rsid w:val="00E36D6A"/>
    <w:rsid w:val="00E40164"/>
    <w:rsid w:val="00E41474"/>
    <w:rsid w:val="00E41A6C"/>
    <w:rsid w:val="00E41E28"/>
    <w:rsid w:val="00E4516C"/>
    <w:rsid w:val="00E45B59"/>
    <w:rsid w:val="00E5154C"/>
    <w:rsid w:val="00E54637"/>
    <w:rsid w:val="00E5609D"/>
    <w:rsid w:val="00E57B3E"/>
    <w:rsid w:val="00E618C2"/>
    <w:rsid w:val="00E61C92"/>
    <w:rsid w:val="00E62199"/>
    <w:rsid w:val="00E65B96"/>
    <w:rsid w:val="00E66DBB"/>
    <w:rsid w:val="00E67892"/>
    <w:rsid w:val="00E67AFD"/>
    <w:rsid w:val="00E67B4E"/>
    <w:rsid w:val="00E67E6B"/>
    <w:rsid w:val="00E70B84"/>
    <w:rsid w:val="00E7389E"/>
    <w:rsid w:val="00E739EB"/>
    <w:rsid w:val="00E758DD"/>
    <w:rsid w:val="00E75E0E"/>
    <w:rsid w:val="00E811B2"/>
    <w:rsid w:val="00E84393"/>
    <w:rsid w:val="00E84398"/>
    <w:rsid w:val="00E85DED"/>
    <w:rsid w:val="00E90A04"/>
    <w:rsid w:val="00EA3008"/>
    <w:rsid w:val="00EA3129"/>
    <w:rsid w:val="00EA5AD8"/>
    <w:rsid w:val="00EA5EB0"/>
    <w:rsid w:val="00EA6A7E"/>
    <w:rsid w:val="00EA6ED6"/>
    <w:rsid w:val="00EB1E92"/>
    <w:rsid w:val="00EB3532"/>
    <w:rsid w:val="00EB4F0D"/>
    <w:rsid w:val="00EB5ED1"/>
    <w:rsid w:val="00EB7050"/>
    <w:rsid w:val="00EB76E8"/>
    <w:rsid w:val="00EC06EA"/>
    <w:rsid w:val="00EC1064"/>
    <w:rsid w:val="00ED0285"/>
    <w:rsid w:val="00ED058C"/>
    <w:rsid w:val="00ED1825"/>
    <w:rsid w:val="00ED21AE"/>
    <w:rsid w:val="00ED6050"/>
    <w:rsid w:val="00ED6E73"/>
    <w:rsid w:val="00EE0500"/>
    <w:rsid w:val="00EE08BB"/>
    <w:rsid w:val="00EF11EC"/>
    <w:rsid w:val="00EF29EA"/>
    <w:rsid w:val="00EF5F9A"/>
    <w:rsid w:val="00EF660D"/>
    <w:rsid w:val="00EF7EC7"/>
    <w:rsid w:val="00F00726"/>
    <w:rsid w:val="00F05A29"/>
    <w:rsid w:val="00F067C6"/>
    <w:rsid w:val="00F0752F"/>
    <w:rsid w:val="00F118E7"/>
    <w:rsid w:val="00F11CD5"/>
    <w:rsid w:val="00F220BE"/>
    <w:rsid w:val="00F2230F"/>
    <w:rsid w:val="00F23D93"/>
    <w:rsid w:val="00F2405A"/>
    <w:rsid w:val="00F27E12"/>
    <w:rsid w:val="00F32141"/>
    <w:rsid w:val="00F33B3E"/>
    <w:rsid w:val="00F342A5"/>
    <w:rsid w:val="00F3540B"/>
    <w:rsid w:val="00F357B8"/>
    <w:rsid w:val="00F4128B"/>
    <w:rsid w:val="00F432D1"/>
    <w:rsid w:val="00F45527"/>
    <w:rsid w:val="00F520FC"/>
    <w:rsid w:val="00F53B40"/>
    <w:rsid w:val="00F54BD9"/>
    <w:rsid w:val="00F55E04"/>
    <w:rsid w:val="00F564DC"/>
    <w:rsid w:val="00F57F8D"/>
    <w:rsid w:val="00F61FB4"/>
    <w:rsid w:val="00F655AE"/>
    <w:rsid w:val="00F6790C"/>
    <w:rsid w:val="00F70F24"/>
    <w:rsid w:val="00F72C8A"/>
    <w:rsid w:val="00F72F87"/>
    <w:rsid w:val="00F73FCE"/>
    <w:rsid w:val="00F750AE"/>
    <w:rsid w:val="00F859A4"/>
    <w:rsid w:val="00F91FCE"/>
    <w:rsid w:val="00F93A05"/>
    <w:rsid w:val="00F944D2"/>
    <w:rsid w:val="00F96441"/>
    <w:rsid w:val="00FA0667"/>
    <w:rsid w:val="00FA1809"/>
    <w:rsid w:val="00FB1142"/>
    <w:rsid w:val="00FB1C72"/>
    <w:rsid w:val="00FB1E5A"/>
    <w:rsid w:val="00FB1F32"/>
    <w:rsid w:val="00FB72C2"/>
    <w:rsid w:val="00FC0A3D"/>
    <w:rsid w:val="00FC37D6"/>
    <w:rsid w:val="00FC573C"/>
    <w:rsid w:val="00FD4B08"/>
    <w:rsid w:val="00FE3459"/>
    <w:rsid w:val="00FE4015"/>
    <w:rsid w:val="00FE5AE5"/>
    <w:rsid w:val="00FE7C31"/>
    <w:rsid w:val="00FF02A5"/>
    <w:rsid w:val="00FF32D5"/>
    <w:rsid w:val="00FF37AC"/>
    <w:rsid w:val="00FF6CFE"/>
    <w:rsid w:val="00FF7A0E"/>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B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E9F"/>
    <w:pPr>
      <w:spacing w:after="120" w:line="259" w:lineRule="auto"/>
      <w:ind w:firstLine="720"/>
    </w:pPr>
    <w:rPr>
      <w:sz w:val="24"/>
    </w:rPr>
  </w:style>
  <w:style w:type="paragraph" w:styleId="Heading1">
    <w:name w:val="heading 1"/>
    <w:basedOn w:val="Normal"/>
    <w:next w:val="Normal"/>
    <w:qFormat/>
    <w:rsid w:val="00601756"/>
    <w:pPr>
      <w:keepNext/>
      <w:numPr>
        <w:numId w:val="22"/>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80"/>
      <w:outlineLvl w:val="0"/>
    </w:pPr>
    <w:rPr>
      <w:b/>
      <w:sz w:val="28"/>
      <w:szCs w:val="19"/>
    </w:rPr>
  </w:style>
  <w:style w:type="paragraph" w:styleId="Heading2">
    <w:name w:val="heading 2"/>
    <w:basedOn w:val="Normal"/>
    <w:next w:val="Normal"/>
    <w:qFormat/>
    <w:rsid w:val="00871EA5"/>
    <w:pPr>
      <w:keepNext/>
      <w:numPr>
        <w:ilvl w:val="1"/>
        <w:numId w:val="22"/>
      </w:numPr>
      <w:tabs>
        <w:tab w:val="left" w:pos="-1440"/>
        <w:tab w:val="left" w:pos="-1311"/>
        <w:tab w:val="left" w:pos="-720"/>
        <w:tab w:val="left" w:pos="0"/>
        <w:tab w:val="left" w:pos="720"/>
      </w:tabs>
      <w:spacing w:before="120"/>
      <w:ind w:left="1080"/>
      <w:outlineLvl w:val="1"/>
    </w:pPr>
    <w:rPr>
      <w:b/>
      <w:bCs/>
      <w:szCs w:val="19"/>
    </w:rPr>
  </w:style>
  <w:style w:type="paragraph" w:styleId="Heading3">
    <w:name w:val="heading 3"/>
    <w:basedOn w:val="Normal"/>
    <w:next w:val="Normal"/>
    <w:qFormat/>
    <w:rsid w:val="0023254C"/>
    <w:pPr>
      <w:keepNext/>
      <w:numPr>
        <w:ilvl w:val="2"/>
        <w:numId w:val="22"/>
      </w:numPr>
      <w:outlineLvl w:val="2"/>
    </w:pPr>
    <w:rPr>
      <w:b/>
      <w:bCs/>
      <w:szCs w:val="19"/>
    </w:rPr>
  </w:style>
  <w:style w:type="paragraph" w:styleId="Heading4">
    <w:name w:val="heading 4"/>
    <w:basedOn w:val="Normal"/>
    <w:next w:val="Normal"/>
    <w:qFormat/>
    <w:rsid w:val="00B62263"/>
    <w:pPr>
      <w:keepNext/>
      <w:numPr>
        <w:ilvl w:val="3"/>
        <w:numId w:val="22"/>
      </w:numPr>
      <w:spacing w:before="120"/>
      <w:ind w:right="144"/>
      <w:jc w:val="center"/>
      <w:outlineLvl w:val="3"/>
    </w:pPr>
    <w:rPr>
      <w:rFonts w:cs="Arial"/>
      <w:b/>
      <w:bCs/>
      <w:i/>
    </w:rPr>
  </w:style>
  <w:style w:type="paragraph" w:styleId="Heading5">
    <w:name w:val="heading 5"/>
    <w:basedOn w:val="Normal"/>
    <w:next w:val="Normal"/>
    <w:qFormat/>
    <w:rsid w:val="0023254C"/>
    <w:pPr>
      <w:keepNext/>
      <w:autoSpaceDE w:val="0"/>
      <w:autoSpaceDN w:val="0"/>
      <w:adjustRightInd w:val="0"/>
      <w:spacing w:before="120"/>
      <w:ind w:left="144" w:right="144"/>
      <w:jc w:val="center"/>
      <w:outlineLvl w:val="4"/>
    </w:pPr>
    <w:rPr>
      <w:b/>
      <w:bCs/>
      <w:color w:val="000000"/>
      <w:sz w:val="20"/>
    </w:rPr>
  </w:style>
  <w:style w:type="paragraph" w:styleId="Heading6">
    <w:name w:val="heading 6"/>
    <w:basedOn w:val="Normal"/>
    <w:next w:val="Normal"/>
    <w:qFormat/>
    <w:rsid w:val="0023254C"/>
    <w:pPr>
      <w:keepNext/>
      <w:spacing w:before="120"/>
      <w:ind w:left="144" w:right="144"/>
      <w:outlineLvl w:val="5"/>
    </w:pPr>
    <w:rPr>
      <w:b/>
      <w:bCs/>
      <w:i/>
      <w:iCs/>
      <w:sz w:val="20"/>
    </w:rPr>
  </w:style>
  <w:style w:type="paragraph" w:styleId="Heading7">
    <w:name w:val="heading 7"/>
    <w:basedOn w:val="Normal"/>
    <w:next w:val="Normal"/>
    <w:qFormat/>
    <w:rsid w:val="0023254C"/>
    <w:pPr>
      <w:keepNext/>
      <w:spacing w:before="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23254C"/>
    <w:pPr>
      <w:numPr>
        <w:ilvl w:val="12"/>
      </w:numPr>
      <w:ind w:firstLine="720"/>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line="264" w:lineRule="auto"/>
      <w:jc w:val="center"/>
    </w:pPr>
    <w:rPr>
      <w:rFonts w:ascii="Arial" w:hAnsi="Arial"/>
      <w:b/>
      <w:bCs/>
      <w:sz w:val="22"/>
    </w:rPr>
  </w:style>
  <w:style w:type="paragraph" w:styleId="Header">
    <w:name w:val="header"/>
    <w:basedOn w:val="Normal"/>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aliases w:val="MC-PRE Footnote Text,MC-PRE,Footnote Text Char Char,Footnote Text Char1 Char Char,Footnote Text Char Char Char Char,Footnote Text Char Char1,ALTS FOOTNOTE,fn,Char,Char4,Footnote Text - Preamble,Char2,Footnote Text - Preamble1,Char3,f,fn1"/>
    <w:basedOn w:val="Normal"/>
    <w:link w:val="FootnoteTextChar"/>
    <w:rsid w:val="0023254C"/>
    <w:rPr>
      <w:sz w:val="20"/>
    </w:rPr>
  </w:style>
  <w:style w:type="character" w:styleId="FootnoteReference">
    <w:name w:val="footnote reference"/>
    <w:aliases w:val="MC-PRE Footnote Reference"/>
    <w:basedOn w:val="DefaultParagraphFont"/>
    <w:qFormat/>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 w:type="paragraph" w:styleId="ListParagraph">
    <w:name w:val="List Paragraph"/>
    <w:basedOn w:val="Normal"/>
    <w:uiPriority w:val="34"/>
    <w:qFormat/>
    <w:rsid w:val="00F45527"/>
    <w:pPr>
      <w:ind w:left="720"/>
      <w:contextualSpacing/>
    </w:pPr>
  </w:style>
  <w:style w:type="paragraph" w:customStyle="1" w:styleId="Default">
    <w:name w:val="Default"/>
    <w:rsid w:val="00CF5CDF"/>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462F2"/>
    <w:rPr>
      <w:sz w:val="24"/>
    </w:rPr>
  </w:style>
  <w:style w:type="paragraph" w:styleId="Revision">
    <w:name w:val="Revision"/>
    <w:hidden/>
    <w:uiPriority w:val="99"/>
    <w:semiHidden/>
    <w:rsid w:val="00B94AB3"/>
    <w:rPr>
      <w:sz w:val="24"/>
    </w:rPr>
  </w:style>
  <w:style w:type="paragraph" w:customStyle="1" w:styleId="StyleListParagraphBold">
    <w:name w:val="Style List Paragraph + Bold"/>
    <w:basedOn w:val="ListParagraph"/>
    <w:rsid w:val="0094091E"/>
    <w:pPr>
      <w:ind w:firstLine="0"/>
      <w:contextualSpacing w:val="0"/>
    </w:pPr>
    <w:rPr>
      <w:b/>
      <w:bCs/>
    </w:rPr>
  </w:style>
  <w:style w:type="paragraph" w:customStyle="1" w:styleId="StyleListParagraphBold1">
    <w:name w:val="Style List Paragraph + Bold1"/>
    <w:basedOn w:val="ListParagraph"/>
    <w:rsid w:val="0094091E"/>
    <w:pPr>
      <w:numPr>
        <w:numId w:val="25"/>
      </w:numPr>
      <w:contextualSpacing w:val="0"/>
    </w:pPr>
    <w:rPr>
      <w:b/>
      <w:bCs/>
    </w:rPr>
  </w:style>
  <w:style w:type="table" w:styleId="TableGrid">
    <w:name w:val="Table Grid"/>
    <w:basedOn w:val="TableNormal"/>
    <w:uiPriority w:val="39"/>
    <w:rsid w:val="001B1C0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link w:val="TableTitleChar"/>
    <w:rsid w:val="001B1C03"/>
    <w:pPr>
      <w:keepNext/>
      <w:keepLines/>
      <w:spacing w:after="0" w:line="264" w:lineRule="auto"/>
      <w:ind w:firstLine="0"/>
    </w:pPr>
    <w:rPr>
      <w:rFonts w:ascii="Arial Bold" w:hAnsi="Arial Bold"/>
      <w:sz w:val="20"/>
      <w:szCs w:val="22"/>
    </w:rPr>
  </w:style>
  <w:style w:type="character" w:customStyle="1" w:styleId="TableTitleChar">
    <w:name w:val="Table Title Char"/>
    <w:link w:val="TableTitle"/>
    <w:locked/>
    <w:rsid w:val="001B1C03"/>
    <w:rPr>
      <w:rFonts w:ascii="Arial Bold" w:hAnsi="Arial Bold"/>
      <w:szCs w:val="22"/>
    </w:rPr>
  </w:style>
  <w:style w:type="character" w:styleId="Emphasis">
    <w:name w:val="Emphasis"/>
    <w:uiPriority w:val="20"/>
    <w:qFormat/>
    <w:rsid w:val="00BA3254"/>
    <w:rPr>
      <w:i/>
      <w:iCs/>
    </w:rPr>
  </w:style>
  <w:style w:type="character" w:customStyle="1" w:styleId="FootnoteTextChar">
    <w:name w:val="Footnote Text Char"/>
    <w:aliases w:val="MC-PRE Footnote Text Char,MC-PRE Char,Footnote Text Char Char Char,Footnote Text Char1 Char Char Char,Footnote Text Char Char Char Char Char,Footnote Text Char Char1 Char,ALTS FOOTNOTE Char,fn Char,Char Char,Char4 Char,Char2 Char"/>
    <w:link w:val="FootnoteText"/>
    <w:uiPriority w:val="99"/>
    <w:rsid w:val="00BA3254"/>
  </w:style>
  <w:style w:type="character" w:styleId="Strong">
    <w:name w:val="Strong"/>
    <w:basedOn w:val="DefaultParagraphFont"/>
    <w:uiPriority w:val="22"/>
    <w:qFormat/>
    <w:rsid w:val="0082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62546">
      <w:bodyDiv w:val="1"/>
      <w:marLeft w:val="0"/>
      <w:marRight w:val="0"/>
      <w:marTop w:val="0"/>
      <w:marBottom w:val="0"/>
      <w:divBdr>
        <w:top w:val="none" w:sz="0" w:space="0" w:color="auto"/>
        <w:left w:val="none" w:sz="0" w:space="0" w:color="auto"/>
        <w:bottom w:val="none" w:sz="0" w:space="0" w:color="auto"/>
        <w:right w:val="none" w:sz="0" w:space="0" w:color="auto"/>
      </w:divBdr>
    </w:div>
    <w:div w:id="636959505">
      <w:bodyDiv w:val="1"/>
      <w:marLeft w:val="0"/>
      <w:marRight w:val="0"/>
      <w:marTop w:val="0"/>
      <w:marBottom w:val="0"/>
      <w:divBdr>
        <w:top w:val="none" w:sz="0" w:space="0" w:color="auto"/>
        <w:left w:val="none" w:sz="0" w:space="0" w:color="auto"/>
        <w:bottom w:val="none" w:sz="0" w:space="0" w:color="auto"/>
        <w:right w:val="none" w:sz="0" w:space="0" w:color="auto"/>
      </w:divBdr>
    </w:div>
    <w:div w:id="684332649">
      <w:bodyDiv w:val="1"/>
      <w:marLeft w:val="0"/>
      <w:marRight w:val="0"/>
      <w:marTop w:val="0"/>
      <w:marBottom w:val="0"/>
      <w:divBdr>
        <w:top w:val="none" w:sz="0" w:space="0" w:color="auto"/>
        <w:left w:val="none" w:sz="0" w:space="0" w:color="auto"/>
        <w:bottom w:val="none" w:sz="0" w:space="0" w:color="auto"/>
        <w:right w:val="none" w:sz="0" w:space="0" w:color="auto"/>
      </w:divBdr>
    </w:div>
    <w:div w:id="803237549">
      <w:bodyDiv w:val="1"/>
      <w:marLeft w:val="0"/>
      <w:marRight w:val="0"/>
      <w:marTop w:val="0"/>
      <w:marBottom w:val="0"/>
      <w:divBdr>
        <w:top w:val="none" w:sz="0" w:space="0" w:color="auto"/>
        <w:left w:val="none" w:sz="0" w:space="0" w:color="auto"/>
        <w:bottom w:val="none" w:sz="0" w:space="0" w:color="auto"/>
        <w:right w:val="none" w:sz="0" w:space="0" w:color="auto"/>
      </w:divBdr>
    </w:div>
    <w:div w:id="826021859">
      <w:bodyDiv w:val="1"/>
      <w:marLeft w:val="0"/>
      <w:marRight w:val="0"/>
      <w:marTop w:val="0"/>
      <w:marBottom w:val="0"/>
      <w:divBdr>
        <w:top w:val="none" w:sz="0" w:space="0" w:color="auto"/>
        <w:left w:val="none" w:sz="0" w:space="0" w:color="auto"/>
        <w:bottom w:val="none" w:sz="0" w:space="0" w:color="auto"/>
        <w:right w:val="none" w:sz="0" w:space="0" w:color="auto"/>
      </w:divBdr>
    </w:div>
    <w:div w:id="1109735956">
      <w:bodyDiv w:val="1"/>
      <w:marLeft w:val="0"/>
      <w:marRight w:val="0"/>
      <w:marTop w:val="0"/>
      <w:marBottom w:val="0"/>
      <w:divBdr>
        <w:top w:val="none" w:sz="0" w:space="0" w:color="auto"/>
        <w:left w:val="none" w:sz="0" w:space="0" w:color="auto"/>
        <w:bottom w:val="none" w:sz="0" w:space="0" w:color="auto"/>
        <w:right w:val="none" w:sz="0" w:space="0" w:color="auto"/>
      </w:divBdr>
      <w:divsChild>
        <w:div w:id="1968269434">
          <w:marLeft w:val="0"/>
          <w:marRight w:val="0"/>
          <w:marTop w:val="0"/>
          <w:marBottom w:val="0"/>
          <w:divBdr>
            <w:top w:val="none" w:sz="0" w:space="0" w:color="auto"/>
            <w:left w:val="none" w:sz="0" w:space="0" w:color="auto"/>
            <w:bottom w:val="none" w:sz="0" w:space="0" w:color="auto"/>
            <w:right w:val="none" w:sz="0" w:space="0" w:color="auto"/>
          </w:divBdr>
          <w:divsChild>
            <w:div w:id="2088722532">
              <w:marLeft w:val="0"/>
              <w:marRight w:val="0"/>
              <w:marTop w:val="0"/>
              <w:marBottom w:val="0"/>
              <w:divBdr>
                <w:top w:val="none" w:sz="0" w:space="0" w:color="auto"/>
                <w:left w:val="none" w:sz="0" w:space="0" w:color="auto"/>
                <w:bottom w:val="none" w:sz="0" w:space="0" w:color="auto"/>
                <w:right w:val="none" w:sz="0" w:space="0" w:color="auto"/>
              </w:divBdr>
              <w:divsChild>
                <w:div w:id="1689213484">
                  <w:marLeft w:val="0"/>
                  <w:marRight w:val="0"/>
                  <w:marTop w:val="0"/>
                  <w:marBottom w:val="0"/>
                  <w:divBdr>
                    <w:top w:val="none" w:sz="0" w:space="0" w:color="auto"/>
                    <w:left w:val="none" w:sz="0" w:space="0" w:color="auto"/>
                    <w:bottom w:val="none" w:sz="0" w:space="0" w:color="auto"/>
                    <w:right w:val="none" w:sz="0" w:space="0" w:color="auto"/>
                  </w:divBdr>
                  <w:divsChild>
                    <w:div w:id="119766377">
                      <w:marLeft w:val="0"/>
                      <w:marRight w:val="0"/>
                      <w:marTop w:val="0"/>
                      <w:marBottom w:val="0"/>
                      <w:divBdr>
                        <w:top w:val="none" w:sz="0" w:space="0" w:color="auto"/>
                        <w:left w:val="none" w:sz="0" w:space="0" w:color="auto"/>
                        <w:bottom w:val="none" w:sz="0" w:space="0" w:color="auto"/>
                        <w:right w:val="none" w:sz="0" w:space="0" w:color="auto"/>
                      </w:divBdr>
                      <w:divsChild>
                        <w:div w:id="2069956875">
                          <w:marLeft w:val="0"/>
                          <w:marRight w:val="0"/>
                          <w:marTop w:val="0"/>
                          <w:marBottom w:val="0"/>
                          <w:divBdr>
                            <w:top w:val="none" w:sz="0" w:space="0" w:color="auto"/>
                            <w:left w:val="none" w:sz="0" w:space="0" w:color="auto"/>
                            <w:bottom w:val="none" w:sz="0" w:space="0" w:color="auto"/>
                            <w:right w:val="none" w:sz="0" w:space="0" w:color="auto"/>
                          </w:divBdr>
                          <w:divsChild>
                            <w:div w:id="439763405">
                              <w:marLeft w:val="0"/>
                              <w:marRight w:val="0"/>
                              <w:marTop w:val="0"/>
                              <w:marBottom w:val="0"/>
                              <w:divBdr>
                                <w:top w:val="none" w:sz="0" w:space="0" w:color="auto"/>
                                <w:left w:val="none" w:sz="0" w:space="0" w:color="auto"/>
                                <w:bottom w:val="none" w:sz="0" w:space="0" w:color="auto"/>
                                <w:right w:val="none" w:sz="0" w:space="0" w:color="auto"/>
                              </w:divBdr>
                              <w:divsChild>
                                <w:div w:id="1680615831">
                                  <w:marLeft w:val="0"/>
                                  <w:marRight w:val="0"/>
                                  <w:marTop w:val="0"/>
                                  <w:marBottom w:val="0"/>
                                  <w:divBdr>
                                    <w:top w:val="none" w:sz="0" w:space="0" w:color="auto"/>
                                    <w:left w:val="none" w:sz="0" w:space="0" w:color="auto"/>
                                    <w:bottom w:val="none" w:sz="0" w:space="0" w:color="auto"/>
                                    <w:right w:val="none" w:sz="0" w:space="0" w:color="auto"/>
                                  </w:divBdr>
                                  <w:divsChild>
                                    <w:div w:id="124929955">
                                      <w:marLeft w:val="0"/>
                                      <w:marRight w:val="0"/>
                                      <w:marTop w:val="0"/>
                                      <w:marBottom w:val="0"/>
                                      <w:divBdr>
                                        <w:top w:val="none" w:sz="0" w:space="0" w:color="auto"/>
                                        <w:left w:val="none" w:sz="0" w:space="0" w:color="auto"/>
                                        <w:bottom w:val="none" w:sz="0" w:space="0" w:color="auto"/>
                                        <w:right w:val="none" w:sz="0" w:space="0" w:color="auto"/>
                                      </w:divBdr>
                                      <w:divsChild>
                                        <w:div w:id="14032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902526">
      <w:bodyDiv w:val="1"/>
      <w:marLeft w:val="0"/>
      <w:marRight w:val="0"/>
      <w:marTop w:val="0"/>
      <w:marBottom w:val="0"/>
      <w:divBdr>
        <w:top w:val="none" w:sz="0" w:space="0" w:color="auto"/>
        <w:left w:val="none" w:sz="0" w:space="0" w:color="auto"/>
        <w:bottom w:val="none" w:sz="0" w:space="0" w:color="auto"/>
        <w:right w:val="none" w:sz="0" w:space="0" w:color="auto"/>
      </w:divBdr>
    </w:div>
    <w:div w:id="1418476939">
      <w:bodyDiv w:val="1"/>
      <w:marLeft w:val="0"/>
      <w:marRight w:val="0"/>
      <w:marTop w:val="0"/>
      <w:marBottom w:val="0"/>
      <w:divBdr>
        <w:top w:val="none" w:sz="0" w:space="0" w:color="auto"/>
        <w:left w:val="none" w:sz="0" w:space="0" w:color="auto"/>
        <w:bottom w:val="none" w:sz="0" w:space="0" w:color="auto"/>
        <w:right w:val="none" w:sz="0" w:space="0" w:color="auto"/>
      </w:divBdr>
    </w:div>
    <w:div w:id="1520506722">
      <w:bodyDiv w:val="1"/>
      <w:marLeft w:val="0"/>
      <w:marRight w:val="0"/>
      <w:marTop w:val="0"/>
      <w:marBottom w:val="0"/>
      <w:divBdr>
        <w:top w:val="none" w:sz="0" w:space="0" w:color="auto"/>
        <w:left w:val="none" w:sz="0" w:space="0" w:color="auto"/>
        <w:bottom w:val="none" w:sz="0" w:space="0" w:color="auto"/>
        <w:right w:val="none" w:sz="0" w:space="0" w:color="auto"/>
      </w:divBdr>
    </w:div>
    <w:div w:id="1842886334">
      <w:bodyDiv w:val="1"/>
      <w:marLeft w:val="0"/>
      <w:marRight w:val="0"/>
      <w:marTop w:val="0"/>
      <w:marBottom w:val="0"/>
      <w:divBdr>
        <w:top w:val="none" w:sz="0" w:space="0" w:color="auto"/>
        <w:left w:val="none" w:sz="0" w:space="0" w:color="auto"/>
        <w:bottom w:val="none" w:sz="0" w:space="0" w:color="auto"/>
        <w:right w:val="none" w:sz="0" w:space="0" w:color="auto"/>
      </w:divBdr>
    </w:div>
    <w:div w:id="20060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EA6B2104E93498B3F52C46ACD91DD" ma:contentTypeVersion="14" ma:contentTypeDescription="Create a new document." ma:contentTypeScope="" ma:versionID="00c54f7c5618361e98ac45307ddf9cc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3d7b375-5aa5-4381-a622-38650f444283" xmlns:ns7="e43e935c-7411-4ee9-b355-18f3a1f4f286" targetNamespace="http://schemas.microsoft.com/office/2006/metadata/properties" ma:root="true" ma:fieldsID="118e55dd491440d91ac4e6ec0f4fce32" ns1:_="" ns3:_="" ns4:_="" ns5:_="" ns6:_="" ns7:_="">
    <xsd:import namespace="http://schemas.microsoft.com/sharepoint/v3"/>
    <xsd:import namespace="4ffa91fb-a0ff-4ac5-b2db-65c790d184a4"/>
    <xsd:import namespace="http://schemas.microsoft.com/sharepoint.v3"/>
    <xsd:import namespace="http://schemas.microsoft.com/sharepoint/v3/fields"/>
    <xsd:import namespace="b3d7b375-5aa5-4381-a622-38650f444283"/>
    <xsd:import namespace="e43e935c-7411-4ee9-b355-18f3a1f4f28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9a94484-3f2e-4acd-94f4-2907dffa1c7f}" ma:internalName="TaxCatchAllLabel" ma:readOnly="true" ma:showField="CatchAllDataLabel" ma:web="e43e935c-7411-4ee9-b355-18f3a1f4f28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9a94484-3f2e-4acd-94f4-2907dffa1c7f}" ma:internalName="TaxCatchAll" ma:showField="CatchAllData" ma:web="e43e935c-7411-4ee9-b355-18f3a1f4f2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7b375-5aa5-4381-a622-38650f44428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e935c-7411-4ee9-b355-18f3a1f4f2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SharingHintHash" ma:index="35" nillable="true" ma:displayName="Sharing Hint Hash" ma:hidden="true" ma:internalName="SharingHintHash" ma:readOnly="true">
      <xsd:simpleType>
        <xsd:restriction base="dms:Text"/>
      </xsd:simpleType>
    </xsd:element>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Status xmlns="e43e935c-7411-4ee9-b355-18f3a1f4f286">Pending</Records_x0020_Status>
    <Records_x0020_Date xmlns="e43e935c-7411-4ee9-b355-18f3a1f4f286" xsi:nil="true"/>
    <Rights xmlns="4ffa91fb-a0ff-4ac5-b2db-65c790d184a4" xsi:nil="true"/>
    <Document_x0020_Creation_x0020_Date xmlns="4ffa91fb-a0ff-4ac5-b2db-65c790d184a4">2020-06-15T14:45:13+00:00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7E444-F608-441C-B5D6-3410A3BE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d7b375-5aa5-4381-a622-38650f444283"/>
    <ds:schemaRef ds:uri="e43e935c-7411-4ee9-b355-18f3a1f4f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3D73F-7447-46BE-B804-86744187CE0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e43e935c-7411-4ee9-b355-18f3a1f4f286"/>
    <ds:schemaRef ds:uri="http://schemas.microsoft.com/sharepoint.v3"/>
  </ds:schemaRefs>
</ds:datastoreItem>
</file>

<file path=customXml/itemProps3.xml><?xml version="1.0" encoding="utf-8"?>
<ds:datastoreItem xmlns:ds="http://schemas.openxmlformats.org/officeDocument/2006/customXml" ds:itemID="{02F70151-3461-4783-B17A-55FA38EAF622}">
  <ds:schemaRefs>
    <ds:schemaRef ds:uri="http://schemas.openxmlformats.org/officeDocument/2006/bibliography"/>
  </ds:schemaRefs>
</ds:datastoreItem>
</file>

<file path=customXml/itemProps4.xml><?xml version="1.0" encoding="utf-8"?>
<ds:datastoreItem xmlns:ds="http://schemas.openxmlformats.org/officeDocument/2006/customXml" ds:itemID="{5102E3C3-FD03-473C-8D34-CE5839613102}">
  <ds:schemaRefs>
    <ds:schemaRef ds:uri="Microsoft.SharePoint.Taxonomy.ContentTypeSync"/>
  </ds:schemaRefs>
</ds:datastoreItem>
</file>

<file path=customXml/itemProps5.xml><?xml version="1.0" encoding="utf-8"?>
<ds:datastoreItem xmlns:ds="http://schemas.openxmlformats.org/officeDocument/2006/customXml" ds:itemID="{5DD0A4B8-F579-4EFA-ADE0-0FCBF19A9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5579</Words>
  <Characters>32157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2020-11-17T13:18:00Z</dcterms:created>
  <dcterms:modified xsi:type="dcterms:W3CDTF">2022-07-19T13:55:00Z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0x01010046BEA6B2104E93498B3F52C46ACD91DD</vt:lpwstr>
  </property>
</Properties>
</file>