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E13B1" w:rsidP="006C7FAE" w:rsidRDefault="009E13B1" w14:paraId="09829E29" w14:textId="77777777">
      <w:pPr>
        <w:jc w:val="center"/>
        <w:rPr>
          <w:b/>
          <w:sz w:val="24"/>
          <w:szCs w:val="24"/>
        </w:rPr>
      </w:pPr>
      <w:r w:rsidRPr="00167E53">
        <w:rPr>
          <w:b/>
          <w:sz w:val="24"/>
          <w:szCs w:val="24"/>
        </w:rPr>
        <w:t>Supporting Statement for Paperwork Reduction Act Submissions</w:t>
      </w:r>
    </w:p>
    <w:p w:rsidRPr="003B2333" w:rsidR="008160BB" w:rsidP="008160BB" w:rsidRDefault="008160BB" w14:paraId="72FA42F0" w14:textId="77777777">
      <w:pPr>
        <w:pStyle w:val="NoSpacing"/>
        <w:jc w:val="center"/>
        <w:rPr>
          <w:rFonts w:ascii="Times New Roman" w:hAnsi="Times New Roman"/>
          <w:b/>
          <w:sz w:val="24"/>
          <w:szCs w:val="24"/>
        </w:rPr>
      </w:pPr>
      <w:bookmarkStart w:name="_Hlk109205147" w:id="0"/>
      <w:r w:rsidRPr="003B0718">
        <w:rPr>
          <w:rFonts w:ascii="Times New Roman" w:hAnsi="Times New Roman"/>
          <w:b/>
          <w:sz w:val="24"/>
          <w:szCs w:val="24"/>
        </w:rPr>
        <w:t>HUD-Administered Small Cities Program Performance Assessment Report</w:t>
      </w:r>
      <w:bookmarkEnd w:id="0"/>
    </w:p>
    <w:p w:rsidRPr="00167E53" w:rsidR="00167E53" w:rsidRDefault="00167E53" w14:paraId="05E6EC4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167E53">
        <w:rPr>
          <w:b/>
          <w:sz w:val="24"/>
          <w:szCs w:val="24"/>
        </w:rPr>
        <w:t>OMB</w:t>
      </w:r>
      <w:r w:rsidR="008160BB">
        <w:rPr>
          <w:b/>
          <w:sz w:val="24"/>
          <w:szCs w:val="24"/>
        </w:rPr>
        <w:t xml:space="preserve"> Control N</w:t>
      </w:r>
      <w:r w:rsidR="009574EC">
        <w:rPr>
          <w:b/>
          <w:sz w:val="24"/>
          <w:szCs w:val="24"/>
        </w:rPr>
        <w:t>umber:</w:t>
      </w:r>
      <w:r w:rsidRPr="00167E53">
        <w:rPr>
          <w:b/>
          <w:sz w:val="24"/>
          <w:szCs w:val="24"/>
        </w:rPr>
        <w:t xml:space="preserve"> </w:t>
      </w:r>
      <w:r w:rsidR="008160BB">
        <w:rPr>
          <w:b/>
          <w:sz w:val="24"/>
          <w:szCs w:val="24"/>
        </w:rPr>
        <w:t>2506-0020</w:t>
      </w:r>
    </w:p>
    <w:p w:rsidRPr="00167E53" w:rsidR="009E13B1" w:rsidP="006C7FAE" w:rsidRDefault="009E13B1" w14:paraId="0703E3DF" w14:textId="77777777">
      <w:pPr>
        <w:rPr>
          <w:b/>
          <w:sz w:val="24"/>
          <w:szCs w:val="24"/>
        </w:rPr>
      </w:pPr>
    </w:p>
    <w:p w:rsidRPr="006C7FAE" w:rsidR="009E13B1" w:rsidRDefault="009E13B1" w14:paraId="3B49A7B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Pr="006C7FAE" w:rsidR="009E13B1" w:rsidRDefault="009E13B1" w14:paraId="13B32EA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9E13B1" w:rsidRDefault="009E13B1" w14:paraId="5C11B873" w14:textId="77777777">
      <w:pPr>
        <w:keepLines/>
        <w:tabs>
          <w:tab w:val="left" w:pos="360"/>
        </w:tabs>
        <w:spacing w:after="80"/>
        <w:ind w:left="360" w:hanging="360"/>
        <w:rPr>
          <w:sz w:val="24"/>
          <w:szCs w:val="24"/>
        </w:rPr>
      </w:pPr>
      <w:r w:rsidRPr="006C7FAE">
        <w:rPr>
          <w:sz w:val="24"/>
          <w:szCs w:val="24"/>
        </w:rPr>
        <w:t>1.</w:t>
      </w:r>
      <w:r w:rsidRPr="006C7FAE">
        <w:rPr>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8160BB" w:rsidP="008160BB" w:rsidRDefault="008160BB" w14:paraId="2EDDF051" w14:textId="77777777">
      <w:pPr>
        <w:pStyle w:val="NoSpacing"/>
        <w:ind w:left="360"/>
        <w:rPr>
          <w:rFonts w:ascii="Times New Roman" w:hAnsi="Times New Roman"/>
          <w:sz w:val="24"/>
          <w:szCs w:val="24"/>
        </w:rPr>
      </w:pPr>
    </w:p>
    <w:p w:rsidRPr="003B0718" w:rsidR="008160BB" w:rsidP="008160BB" w:rsidRDefault="008160BB" w14:paraId="1359136B" w14:textId="77777777">
      <w:pPr>
        <w:pStyle w:val="NoSpacing"/>
        <w:ind w:left="360"/>
        <w:rPr>
          <w:rFonts w:ascii="Times New Roman" w:hAnsi="Times New Roman"/>
          <w:sz w:val="24"/>
          <w:szCs w:val="24"/>
        </w:rPr>
      </w:pPr>
      <w:r w:rsidRPr="003B0718">
        <w:rPr>
          <w:rFonts w:ascii="Times New Roman" w:hAnsi="Times New Roman"/>
          <w:sz w:val="24"/>
          <w:szCs w:val="24"/>
        </w:rPr>
        <w:t>Title I of the Housing and Community Development Act of 1974, as amended, established the Community Development Block Grant (CDBG) Program.  The Program has two components – an entitlement component for metropolitan cities and urban counties and a non-entitlement component for small cities and rural areas.  The Omnibus Budget Reconciliation Act of 1981 gave states the opportunity to assume administration of the entitlement component.  Section 104(e) of the Housing and Community Development Act (HCDA) of 1974 require that each grantee must submit a performance and evaluation report to HUD.</w:t>
      </w:r>
    </w:p>
    <w:p w:rsidRPr="003B0718" w:rsidR="008160BB" w:rsidP="008160BB" w:rsidRDefault="008160BB" w14:paraId="5B4AA7FE" w14:textId="77777777">
      <w:pPr>
        <w:pStyle w:val="NoSpacing"/>
        <w:ind w:left="360"/>
        <w:rPr>
          <w:rFonts w:ascii="Times New Roman" w:hAnsi="Times New Roman"/>
          <w:sz w:val="24"/>
          <w:szCs w:val="24"/>
        </w:rPr>
      </w:pPr>
    </w:p>
    <w:p w:rsidRPr="003B0718" w:rsidR="008160BB" w:rsidP="008160BB" w:rsidRDefault="008160BB" w14:paraId="5A1B96FC" w14:textId="77777777">
      <w:pPr>
        <w:pStyle w:val="NoSpacing"/>
        <w:ind w:left="360"/>
        <w:jc w:val="both"/>
        <w:rPr>
          <w:rFonts w:ascii="Times New Roman" w:hAnsi="Times New Roman"/>
          <w:sz w:val="24"/>
          <w:szCs w:val="24"/>
        </w:rPr>
      </w:pPr>
      <w:r w:rsidRPr="003B0718">
        <w:rPr>
          <w:rFonts w:ascii="Times New Roman" w:hAnsi="Times New Roman"/>
          <w:sz w:val="24"/>
          <w:szCs w:val="24"/>
        </w:rPr>
        <w:t>Forty-nine states (including Puerto Rico) administer the non</w:t>
      </w:r>
      <w:r>
        <w:rPr>
          <w:rFonts w:ascii="Times New Roman" w:hAnsi="Times New Roman"/>
          <w:sz w:val="24"/>
          <w:szCs w:val="24"/>
        </w:rPr>
        <w:t>-</w:t>
      </w:r>
      <w:r w:rsidRPr="003B0718">
        <w:rPr>
          <w:rFonts w:ascii="Times New Roman" w:hAnsi="Times New Roman"/>
          <w:sz w:val="24"/>
          <w:szCs w:val="24"/>
        </w:rPr>
        <w:t>entitlement, or State, CDBG program.  The State of New York assumed administration of its State CDBG program in Fiscal Year 2000, leaving only the State of Hawaii administered by HUD.  HUD is statutorily required to administer the non</w:t>
      </w:r>
      <w:r>
        <w:rPr>
          <w:rFonts w:ascii="Times New Roman" w:hAnsi="Times New Roman"/>
          <w:sz w:val="24"/>
          <w:szCs w:val="24"/>
        </w:rPr>
        <w:t>-</w:t>
      </w:r>
      <w:r w:rsidRPr="003B0718">
        <w:rPr>
          <w:rFonts w:ascii="Times New Roman" w:hAnsi="Times New Roman"/>
          <w:sz w:val="24"/>
          <w:szCs w:val="24"/>
        </w:rPr>
        <w:t>entitlement component (commonly known as the “Small Cities Program”) in any state which does not assume administration of the program.  However, if any of the states currently administering the State CDBG program should decide not to administer the program, the allocation for that state would be equally divided among the remaining states.</w:t>
      </w:r>
    </w:p>
    <w:p w:rsidRPr="003B0718" w:rsidR="008160BB" w:rsidP="008160BB" w:rsidRDefault="008160BB" w14:paraId="6F7C27F9" w14:textId="77777777">
      <w:pPr>
        <w:pStyle w:val="NoSpacing"/>
        <w:ind w:left="360"/>
        <w:jc w:val="both"/>
        <w:rPr>
          <w:rFonts w:ascii="Times New Roman" w:hAnsi="Times New Roman"/>
          <w:sz w:val="24"/>
          <w:szCs w:val="24"/>
        </w:rPr>
      </w:pPr>
    </w:p>
    <w:p w:rsidRPr="003B0718" w:rsidR="008160BB" w:rsidP="008160BB" w:rsidRDefault="008160BB" w14:paraId="091660EA" w14:textId="77777777">
      <w:pPr>
        <w:pStyle w:val="NoSpacing"/>
        <w:ind w:left="360"/>
        <w:jc w:val="both"/>
        <w:rPr>
          <w:rFonts w:ascii="Times New Roman" w:hAnsi="Times New Roman"/>
          <w:sz w:val="24"/>
          <w:szCs w:val="24"/>
        </w:rPr>
      </w:pPr>
      <w:r>
        <w:rPr>
          <w:rFonts w:ascii="Times New Roman" w:hAnsi="Times New Roman"/>
          <w:sz w:val="24"/>
          <w:szCs w:val="24"/>
        </w:rPr>
        <w:t xml:space="preserve">An extension without change of a currently </w:t>
      </w:r>
      <w:r w:rsidRPr="003B0718">
        <w:rPr>
          <w:rFonts w:ascii="Times New Roman" w:hAnsi="Times New Roman"/>
          <w:sz w:val="24"/>
          <w:szCs w:val="24"/>
        </w:rPr>
        <w:t>approved collection is requested for the annual performance assessment report, submitted by the grantees in the Small Cities program enabling HUD to track program progress.  Approximately 40 localities under the jurisdiction of the HUD-administered program (those funded prior to New York’s takeover of its Small Cities program)</w:t>
      </w:r>
      <w:r>
        <w:rPr>
          <w:rFonts w:ascii="Times New Roman" w:hAnsi="Times New Roman"/>
          <w:sz w:val="24"/>
          <w:szCs w:val="24"/>
        </w:rPr>
        <w:t xml:space="preserve"> require only 4 hours (reduced from 8 hours) to complete the Performance Assessment Report</w:t>
      </w:r>
      <w:r w:rsidRPr="003B0718">
        <w:rPr>
          <w:rFonts w:ascii="Times New Roman" w:hAnsi="Times New Roman"/>
          <w:sz w:val="24"/>
          <w:szCs w:val="24"/>
        </w:rPr>
        <w:t xml:space="preserve">.  Since each of the localities have completed the expenditure of their original HUD grant, </w:t>
      </w:r>
      <w:r>
        <w:rPr>
          <w:rFonts w:ascii="Times New Roman" w:hAnsi="Times New Roman"/>
          <w:sz w:val="24"/>
          <w:szCs w:val="24"/>
        </w:rPr>
        <w:t>all</w:t>
      </w:r>
      <w:r w:rsidRPr="003B0718">
        <w:rPr>
          <w:rFonts w:ascii="Times New Roman" w:hAnsi="Times New Roman"/>
          <w:sz w:val="24"/>
          <w:szCs w:val="24"/>
        </w:rPr>
        <w:t xml:space="preserve"> Small Cities Programs are being funded with Program Income.</w:t>
      </w:r>
    </w:p>
    <w:p w:rsidRPr="003B0718" w:rsidR="008160BB" w:rsidP="008160BB" w:rsidRDefault="008160BB" w14:paraId="3A90A263" w14:textId="77777777">
      <w:pPr>
        <w:pStyle w:val="NoSpacing"/>
        <w:ind w:left="360"/>
        <w:jc w:val="both"/>
        <w:rPr>
          <w:rFonts w:ascii="Times New Roman" w:hAnsi="Times New Roman"/>
          <w:sz w:val="24"/>
          <w:szCs w:val="24"/>
        </w:rPr>
      </w:pPr>
    </w:p>
    <w:p w:rsidRPr="003B0718" w:rsidR="008160BB" w:rsidP="008160BB" w:rsidRDefault="008160BB" w14:paraId="59B27E57" w14:textId="77777777">
      <w:pPr>
        <w:pStyle w:val="NoSpacing"/>
        <w:ind w:left="360"/>
        <w:jc w:val="both"/>
        <w:rPr>
          <w:rFonts w:ascii="Times New Roman" w:hAnsi="Times New Roman"/>
          <w:sz w:val="24"/>
          <w:szCs w:val="24"/>
        </w:rPr>
      </w:pPr>
      <w:r w:rsidRPr="003B0718">
        <w:rPr>
          <w:rFonts w:ascii="Times New Roman" w:hAnsi="Times New Roman"/>
          <w:sz w:val="24"/>
          <w:szCs w:val="24"/>
        </w:rPr>
        <w:t>Because the state administers the non-entitlement CDBG funding in New York, HUD does not accept applications for annual funding competitions.</w:t>
      </w:r>
    </w:p>
    <w:p w:rsidRPr="006C7FAE" w:rsidR="009E13B1" w:rsidRDefault="009E13B1" w14:paraId="2FA5A94C" w14:textId="77777777">
      <w:pPr>
        <w:tabs>
          <w:tab w:val="left" w:pos="360"/>
        </w:tabs>
        <w:ind w:left="360" w:hanging="360"/>
        <w:rPr>
          <w:sz w:val="24"/>
          <w:szCs w:val="24"/>
        </w:rPr>
      </w:pPr>
    </w:p>
    <w:p w:rsidRPr="006C7FAE" w:rsidR="009E13B1" w:rsidRDefault="009E13B1" w14:paraId="015C8C59" w14:textId="77777777">
      <w:pPr>
        <w:keepLines/>
        <w:tabs>
          <w:tab w:val="left" w:pos="360"/>
        </w:tabs>
        <w:spacing w:after="80"/>
        <w:ind w:left="360" w:hanging="360"/>
        <w:rPr>
          <w:sz w:val="24"/>
          <w:szCs w:val="24"/>
        </w:rPr>
      </w:pPr>
      <w:r w:rsidRPr="006C7FAE">
        <w:rPr>
          <w:sz w:val="24"/>
          <w:szCs w:val="24"/>
        </w:rPr>
        <w:t>2.</w:t>
      </w:r>
      <w:r w:rsidRPr="006C7FAE">
        <w:rPr>
          <w:sz w:val="24"/>
          <w:szCs w:val="24"/>
        </w:rPr>
        <w:tab/>
        <w:t>Indicate how, by whom and for what purpose the information is to be used.  Except for a new collection, indicate the actual use the agency has made of the information received from the current collection.</w:t>
      </w:r>
    </w:p>
    <w:p w:rsidR="009E13B1" w:rsidRDefault="009E13B1" w14:paraId="5680ED99" w14:textId="77777777">
      <w:pPr>
        <w:keepLines/>
        <w:tabs>
          <w:tab w:val="left" w:pos="360"/>
          <w:tab w:val="left" w:pos="720"/>
        </w:tabs>
        <w:ind w:left="360"/>
        <w:rPr>
          <w:sz w:val="24"/>
          <w:szCs w:val="24"/>
        </w:rPr>
      </w:pPr>
    </w:p>
    <w:p w:rsidRPr="00584638" w:rsidR="00584638" w:rsidP="00584638" w:rsidRDefault="00584638" w14:paraId="2B27FA6D" w14:textId="77777777">
      <w:pPr>
        <w:overflowPunct/>
        <w:autoSpaceDE/>
        <w:autoSpaceDN/>
        <w:adjustRightInd/>
        <w:ind w:left="360"/>
        <w:textAlignment w:val="auto"/>
        <w:rPr>
          <w:rFonts w:eastAsia="Calibri"/>
          <w:sz w:val="24"/>
          <w:szCs w:val="24"/>
        </w:rPr>
      </w:pPr>
      <w:r w:rsidRPr="00584638">
        <w:rPr>
          <w:rFonts w:eastAsia="Calibri"/>
          <w:sz w:val="24"/>
          <w:szCs w:val="24"/>
        </w:rPr>
        <w:t xml:space="preserve">HUD Form 4052 is the Performance Assessment Report (PAR) which grant recipients are required to submit on an annual basis to report on program progress.  HUD is statutorily required to monitor program participants for timely program progress and failure to have an approved reporting format would hamper HUD’s ability to carry out this responsibility.  The three Small Cities program </w:t>
      </w:r>
      <w:r w:rsidRPr="00584638">
        <w:rPr>
          <w:rFonts w:eastAsia="Calibri"/>
          <w:sz w:val="24"/>
          <w:szCs w:val="24"/>
        </w:rPr>
        <w:lastRenderedPageBreak/>
        <w:t>grantees in Hawaii are required to follow the reporting requirements from the CDBG Entitlement program and are covered by the OMB approval (2506-0077) for that program.</w:t>
      </w:r>
    </w:p>
    <w:p w:rsidRPr="006C7FAE" w:rsidR="00584638" w:rsidRDefault="00584638" w14:paraId="37BEDF7F" w14:textId="77777777">
      <w:pPr>
        <w:keepLines/>
        <w:tabs>
          <w:tab w:val="left" w:pos="360"/>
          <w:tab w:val="left" w:pos="720"/>
        </w:tabs>
        <w:ind w:left="360"/>
        <w:rPr>
          <w:sz w:val="24"/>
          <w:szCs w:val="24"/>
        </w:rPr>
      </w:pPr>
    </w:p>
    <w:p w:rsidR="009E13B1" w:rsidRDefault="009E13B1" w14:paraId="3090D1F2" w14:textId="77777777">
      <w:pPr>
        <w:keepLines/>
        <w:tabs>
          <w:tab w:val="left" w:pos="360"/>
        </w:tabs>
        <w:spacing w:after="80"/>
        <w:ind w:left="360" w:hanging="360"/>
        <w:rPr>
          <w:sz w:val="24"/>
          <w:szCs w:val="24"/>
        </w:rPr>
      </w:pPr>
      <w:r w:rsidRPr="006C7FAE">
        <w:rPr>
          <w:sz w:val="24"/>
          <w:szCs w:val="24"/>
        </w:rPr>
        <w:t>3.</w:t>
      </w:r>
      <w:r w:rsidRPr="006C7FAE">
        <w:rPr>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E674FA" w:rsidR="00E674FA" w:rsidP="00E674FA" w:rsidRDefault="00E674FA" w14:paraId="3ED2FD57" w14:textId="77777777">
      <w:pPr>
        <w:overflowPunct/>
        <w:autoSpaceDE/>
        <w:autoSpaceDN/>
        <w:adjustRightInd/>
        <w:ind w:left="360"/>
        <w:textAlignment w:val="auto"/>
        <w:rPr>
          <w:rFonts w:eastAsia="Calibri"/>
          <w:sz w:val="24"/>
          <w:szCs w:val="24"/>
        </w:rPr>
      </w:pPr>
      <w:r w:rsidRPr="00E674FA">
        <w:rPr>
          <w:rFonts w:eastAsia="Calibri"/>
          <w:sz w:val="24"/>
          <w:szCs w:val="24"/>
        </w:rPr>
        <w:t>There are currently no information collection technologies uniformly available which would reduce the reporting burden on all affected units of general local government.  The information collection requirements have been reduced to the minimum necessary to meet statutory requirements.  The program phased out in 2006 and so automating the form is not beneficial at this point.</w:t>
      </w:r>
    </w:p>
    <w:p w:rsidRPr="006C7FAE" w:rsidR="00584638" w:rsidRDefault="00584638" w14:paraId="3F4DD6EF" w14:textId="77777777">
      <w:pPr>
        <w:keepLines/>
        <w:tabs>
          <w:tab w:val="left" w:pos="360"/>
        </w:tabs>
        <w:spacing w:after="80"/>
        <w:ind w:left="360" w:hanging="360"/>
        <w:rPr>
          <w:sz w:val="24"/>
          <w:szCs w:val="24"/>
        </w:rPr>
      </w:pPr>
    </w:p>
    <w:p w:rsidR="009E13B1" w:rsidRDefault="009E13B1" w14:paraId="283B70FB" w14:textId="77777777">
      <w:pPr>
        <w:keepLines/>
        <w:tabs>
          <w:tab w:val="left" w:pos="360"/>
        </w:tabs>
        <w:spacing w:after="80"/>
        <w:ind w:left="360" w:hanging="360"/>
        <w:rPr>
          <w:sz w:val="24"/>
          <w:szCs w:val="24"/>
        </w:rPr>
      </w:pPr>
      <w:r w:rsidRPr="006C7FAE">
        <w:rPr>
          <w:sz w:val="24"/>
          <w:szCs w:val="24"/>
        </w:rPr>
        <w:t>4.</w:t>
      </w:r>
      <w:r w:rsidRPr="006C7FAE">
        <w:rPr>
          <w:sz w:val="24"/>
          <w:szCs w:val="24"/>
        </w:rPr>
        <w:tab/>
        <w:t>Describe efforts to identify duplication.  Show specifically why any similar information already available cannot be used or modified for use for the purposes described in Item 2 above.</w:t>
      </w:r>
    </w:p>
    <w:p w:rsidR="00EE678A" w:rsidRDefault="00EE678A" w14:paraId="0B6A2514" w14:textId="77777777">
      <w:pPr>
        <w:keepLines/>
        <w:tabs>
          <w:tab w:val="left" w:pos="360"/>
        </w:tabs>
        <w:spacing w:after="80"/>
        <w:ind w:left="360" w:hanging="360"/>
        <w:rPr>
          <w:sz w:val="24"/>
          <w:szCs w:val="24"/>
        </w:rPr>
      </w:pPr>
    </w:p>
    <w:p w:rsidRPr="00E674FA" w:rsidR="00E674FA" w:rsidP="00E674FA" w:rsidRDefault="00E674FA" w14:paraId="021D2638" w14:textId="77777777">
      <w:pPr>
        <w:overflowPunct/>
        <w:autoSpaceDE/>
        <w:autoSpaceDN/>
        <w:adjustRightInd/>
        <w:ind w:left="360"/>
        <w:textAlignment w:val="auto"/>
        <w:rPr>
          <w:rFonts w:eastAsia="Calibri"/>
          <w:sz w:val="24"/>
          <w:szCs w:val="24"/>
        </w:rPr>
      </w:pPr>
      <w:r w:rsidRPr="00E674FA">
        <w:rPr>
          <w:rFonts w:eastAsia="Calibri"/>
          <w:sz w:val="24"/>
          <w:szCs w:val="24"/>
        </w:rPr>
        <w:t>No duplication of effort is caused by this information collection request since this is the only reporting method that exists for the small cities program.</w:t>
      </w:r>
    </w:p>
    <w:p w:rsidR="00EE678A" w:rsidRDefault="00EE678A" w14:paraId="334FDD6E" w14:textId="77777777">
      <w:pPr>
        <w:keepLines/>
        <w:tabs>
          <w:tab w:val="left" w:pos="360"/>
        </w:tabs>
        <w:spacing w:after="80"/>
        <w:ind w:left="360" w:hanging="360"/>
        <w:rPr>
          <w:sz w:val="24"/>
          <w:szCs w:val="24"/>
        </w:rPr>
      </w:pPr>
    </w:p>
    <w:p w:rsidRPr="006C7FAE" w:rsidR="009E13B1" w:rsidRDefault="009E13B1" w14:paraId="19EE8973" w14:textId="77777777">
      <w:pPr>
        <w:keepLines/>
        <w:tabs>
          <w:tab w:val="left" w:pos="360"/>
        </w:tabs>
        <w:spacing w:after="80"/>
        <w:ind w:left="360" w:hanging="360"/>
        <w:rPr>
          <w:sz w:val="24"/>
          <w:szCs w:val="24"/>
        </w:rPr>
      </w:pPr>
      <w:r w:rsidRPr="006C7FAE">
        <w:rPr>
          <w:sz w:val="24"/>
          <w:szCs w:val="24"/>
        </w:rPr>
        <w:t>5.</w:t>
      </w:r>
      <w:r w:rsidRPr="006C7FAE">
        <w:rPr>
          <w:sz w:val="24"/>
          <w:szCs w:val="24"/>
        </w:rPr>
        <w:tab/>
        <w:t>If the collection of information impacts small businesses or other small entities describe any methods used to minimize burden.</w:t>
      </w:r>
    </w:p>
    <w:p w:rsidR="00E674FA" w:rsidP="00E674FA" w:rsidRDefault="00E674FA" w14:paraId="6F1BCC01" w14:textId="77777777">
      <w:pPr>
        <w:overflowPunct/>
        <w:autoSpaceDE/>
        <w:autoSpaceDN/>
        <w:adjustRightInd/>
        <w:ind w:left="360"/>
        <w:textAlignment w:val="auto"/>
        <w:rPr>
          <w:rFonts w:eastAsia="Calibri"/>
          <w:sz w:val="24"/>
          <w:szCs w:val="24"/>
        </w:rPr>
      </w:pPr>
    </w:p>
    <w:p w:rsidRPr="00E674FA" w:rsidR="00E674FA" w:rsidP="00E674FA" w:rsidRDefault="00E674FA" w14:paraId="186E2A4B" w14:textId="77777777">
      <w:pPr>
        <w:overflowPunct/>
        <w:autoSpaceDE/>
        <w:autoSpaceDN/>
        <w:adjustRightInd/>
        <w:ind w:left="360"/>
        <w:textAlignment w:val="auto"/>
        <w:rPr>
          <w:rFonts w:eastAsia="Calibri"/>
          <w:sz w:val="24"/>
          <w:szCs w:val="24"/>
        </w:rPr>
      </w:pPr>
      <w:r w:rsidRPr="00E674FA">
        <w:rPr>
          <w:rFonts w:eastAsia="Calibri"/>
          <w:sz w:val="24"/>
          <w:szCs w:val="24"/>
        </w:rPr>
        <w:t>The collection of information does not adversely impact small businesses or other small entities.</w:t>
      </w:r>
    </w:p>
    <w:p w:rsidR="009E13B1" w:rsidRDefault="009E13B1" w14:paraId="55593053" w14:textId="77777777">
      <w:pPr>
        <w:tabs>
          <w:tab w:val="left" w:pos="360"/>
        </w:tabs>
        <w:ind w:left="360" w:hanging="360"/>
        <w:rPr>
          <w:sz w:val="24"/>
          <w:szCs w:val="24"/>
        </w:rPr>
      </w:pPr>
    </w:p>
    <w:p w:rsidR="009E13B1" w:rsidRDefault="009E13B1" w14:paraId="599FB904" w14:textId="77777777">
      <w:pPr>
        <w:keepLines/>
        <w:tabs>
          <w:tab w:val="left" w:pos="360"/>
        </w:tabs>
        <w:spacing w:after="80"/>
        <w:ind w:left="360" w:hanging="360"/>
        <w:rPr>
          <w:sz w:val="24"/>
          <w:szCs w:val="24"/>
        </w:rPr>
      </w:pPr>
      <w:r w:rsidRPr="006C7FAE">
        <w:rPr>
          <w:sz w:val="24"/>
          <w:szCs w:val="24"/>
        </w:rPr>
        <w:t>6.</w:t>
      </w:r>
      <w:r w:rsidRPr="006C7FAE">
        <w:rPr>
          <w:sz w:val="24"/>
          <w:szCs w:val="24"/>
        </w:rPr>
        <w:tab/>
        <w:t>Describe the consequence to Federal program or policy activities if the collection is not conducted or is conducted less frequently, as well as any technical or legal obstacles to reducing burden.</w:t>
      </w:r>
    </w:p>
    <w:p w:rsidRPr="006C7FAE" w:rsidR="00E674FA" w:rsidRDefault="00E674FA" w14:paraId="5F89B8A0" w14:textId="77777777">
      <w:pPr>
        <w:keepLines/>
        <w:tabs>
          <w:tab w:val="left" w:pos="360"/>
        </w:tabs>
        <w:spacing w:after="80"/>
        <w:ind w:left="360" w:hanging="360"/>
        <w:rPr>
          <w:sz w:val="24"/>
          <w:szCs w:val="24"/>
        </w:rPr>
      </w:pPr>
    </w:p>
    <w:p w:rsidRPr="00E674FA" w:rsidR="00E674FA" w:rsidP="00E674FA" w:rsidRDefault="00E674FA" w14:paraId="417CBABA" w14:textId="77777777">
      <w:pPr>
        <w:overflowPunct/>
        <w:autoSpaceDE/>
        <w:autoSpaceDN/>
        <w:adjustRightInd/>
        <w:ind w:left="360"/>
        <w:textAlignment w:val="auto"/>
        <w:rPr>
          <w:rFonts w:eastAsia="Calibri"/>
          <w:sz w:val="24"/>
          <w:szCs w:val="24"/>
        </w:rPr>
      </w:pPr>
      <w:r w:rsidRPr="00E674FA">
        <w:rPr>
          <w:rFonts w:eastAsia="Calibri"/>
          <w:sz w:val="24"/>
          <w:szCs w:val="24"/>
        </w:rPr>
        <w:t>The information to be collected under this request is not available through any other source and is the only method of reporting for this information.  Without this report HUD could not track the program for program and financial compliance.</w:t>
      </w:r>
    </w:p>
    <w:p w:rsidR="009E13B1" w:rsidRDefault="009E13B1" w14:paraId="69143AEC" w14:textId="77777777">
      <w:pPr>
        <w:keepLines/>
        <w:tabs>
          <w:tab w:val="left" w:pos="360"/>
          <w:tab w:val="left" w:pos="720"/>
        </w:tabs>
        <w:ind w:left="360"/>
        <w:rPr>
          <w:sz w:val="24"/>
          <w:szCs w:val="24"/>
        </w:rPr>
      </w:pPr>
    </w:p>
    <w:p w:rsidRPr="006C7FAE" w:rsidR="00E674FA" w:rsidRDefault="00E674FA" w14:paraId="48256945" w14:textId="77777777">
      <w:pPr>
        <w:keepLines/>
        <w:tabs>
          <w:tab w:val="left" w:pos="360"/>
          <w:tab w:val="left" w:pos="720"/>
        </w:tabs>
        <w:ind w:left="360"/>
        <w:rPr>
          <w:sz w:val="24"/>
          <w:szCs w:val="24"/>
        </w:rPr>
      </w:pPr>
    </w:p>
    <w:p w:rsidRPr="006C7FAE" w:rsidR="009E13B1" w:rsidRDefault="009E13B1" w14:paraId="5E44475E" w14:textId="77777777">
      <w:pPr>
        <w:numPr>
          <w:ilvl w:val="0"/>
          <w:numId w:val="13"/>
        </w:numPr>
        <w:tabs>
          <w:tab w:val="left" w:pos="360"/>
        </w:tabs>
        <w:rPr>
          <w:sz w:val="24"/>
          <w:szCs w:val="24"/>
        </w:rPr>
      </w:pPr>
      <w:r w:rsidRPr="006C7FAE">
        <w:rPr>
          <w:sz w:val="24"/>
          <w:szCs w:val="24"/>
        </w:rPr>
        <w:t xml:space="preserve">Explain any special circumstances that would cause an information collection to be conducted in a manner: </w:t>
      </w:r>
    </w:p>
    <w:p w:rsidRPr="006C7FAE" w:rsidR="009E13B1" w:rsidRDefault="009E13B1" w14:paraId="7C72D00A" w14:textId="77777777">
      <w:pPr>
        <w:numPr>
          <w:ilvl w:val="0"/>
          <w:numId w:val="14"/>
        </w:numPr>
        <w:tabs>
          <w:tab w:val="left" w:pos="600"/>
        </w:tabs>
        <w:rPr>
          <w:sz w:val="24"/>
          <w:szCs w:val="24"/>
        </w:rPr>
      </w:pPr>
      <w:r w:rsidRPr="006C7FAE">
        <w:rPr>
          <w:sz w:val="24"/>
          <w:szCs w:val="24"/>
        </w:rPr>
        <w:t xml:space="preserve">requiring respondents to report information to the agency more than quarterly; </w:t>
      </w:r>
      <w:bookmarkStart w:name="_Hlk97204909" w:id="1"/>
      <w:r w:rsidRPr="00A256D9" w:rsidR="00A256D9">
        <w:rPr>
          <w:b/>
          <w:bCs/>
          <w:sz w:val="24"/>
          <w:szCs w:val="24"/>
        </w:rPr>
        <w:t>N/A</w:t>
      </w:r>
      <w:bookmarkEnd w:id="1"/>
    </w:p>
    <w:p w:rsidRPr="006C7FAE" w:rsidR="009E13B1" w:rsidRDefault="009E13B1" w14:paraId="5BA4093D" w14:textId="77777777">
      <w:pPr>
        <w:numPr>
          <w:ilvl w:val="0"/>
          <w:numId w:val="14"/>
        </w:numPr>
        <w:tabs>
          <w:tab w:val="left" w:pos="600"/>
        </w:tabs>
        <w:rPr>
          <w:sz w:val="24"/>
          <w:szCs w:val="24"/>
        </w:rPr>
      </w:pPr>
      <w:r w:rsidRPr="006C7FAE">
        <w:rPr>
          <w:sz w:val="24"/>
          <w:szCs w:val="24"/>
        </w:rPr>
        <w:t xml:space="preserve">requiring respondents to prepare a written response to a collection of information in fewer than 30 days after receipt of it; </w:t>
      </w:r>
      <w:r w:rsidRPr="00A256D9" w:rsidR="00A256D9">
        <w:rPr>
          <w:b/>
          <w:bCs/>
          <w:sz w:val="24"/>
          <w:szCs w:val="24"/>
        </w:rPr>
        <w:t>N/A</w:t>
      </w:r>
    </w:p>
    <w:p w:rsidRPr="006C7FAE" w:rsidR="009E13B1" w:rsidRDefault="009E13B1" w14:paraId="3F0361DF" w14:textId="77777777">
      <w:pPr>
        <w:numPr>
          <w:ilvl w:val="0"/>
          <w:numId w:val="14"/>
        </w:numPr>
        <w:tabs>
          <w:tab w:val="left" w:pos="600"/>
        </w:tabs>
        <w:rPr>
          <w:sz w:val="24"/>
          <w:szCs w:val="24"/>
        </w:rPr>
      </w:pPr>
      <w:r w:rsidRPr="006C7FAE">
        <w:rPr>
          <w:sz w:val="24"/>
          <w:szCs w:val="24"/>
        </w:rPr>
        <w:t xml:space="preserve">requiring respondents to submit more than an original and two copies of any document; </w:t>
      </w:r>
      <w:r w:rsidRPr="00A256D9" w:rsidR="00A256D9">
        <w:rPr>
          <w:b/>
          <w:bCs/>
          <w:sz w:val="24"/>
          <w:szCs w:val="24"/>
        </w:rPr>
        <w:t>N/A</w:t>
      </w:r>
    </w:p>
    <w:p w:rsidRPr="006C7FAE" w:rsidR="009E13B1" w:rsidRDefault="009E13B1" w14:paraId="7FCE7363" w14:textId="77777777">
      <w:pPr>
        <w:numPr>
          <w:ilvl w:val="0"/>
          <w:numId w:val="14"/>
        </w:numPr>
        <w:tabs>
          <w:tab w:val="left" w:pos="600"/>
        </w:tabs>
        <w:rPr>
          <w:sz w:val="24"/>
          <w:szCs w:val="24"/>
        </w:rPr>
      </w:pPr>
      <w:r w:rsidRPr="006C7FAE">
        <w:rPr>
          <w:sz w:val="24"/>
          <w:szCs w:val="24"/>
        </w:rPr>
        <w:t xml:space="preserve">requiring respondents to retain records other than health, medical, government contract, grant-in-aid, or tax records for more than three years; </w:t>
      </w:r>
      <w:r w:rsidRPr="00A256D9" w:rsidR="00A256D9">
        <w:rPr>
          <w:b/>
          <w:bCs/>
          <w:sz w:val="24"/>
          <w:szCs w:val="24"/>
        </w:rPr>
        <w:t>N/A</w:t>
      </w:r>
    </w:p>
    <w:p w:rsidRPr="006C7FAE" w:rsidR="009E13B1" w:rsidRDefault="009E13B1" w14:paraId="2E2D92D4" w14:textId="77777777">
      <w:pPr>
        <w:numPr>
          <w:ilvl w:val="0"/>
          <w:numId w:val="14"/>
        </w:numPr>
        <w:tabs>
          <w:tab w:val="left" w:pos="600"/>
        </w:tabs>
        <w:rPr>
          <w:sz w:val="24"/>
          <w:szCs w:val="24"/>
        </w:rPr>
      </w:pPr>
      <w:r w:rsidRPr="006C7FAE">
        <w:rPr>
          <w:sz w:val="24"/>
          <w:szCs w:val="24"/>
        </w:rPr>
        <w:t xml:space="preserve">in connection with a statistical survey, that is not designed to produce valid and reliable results than can be generalized to the universe of study; </w:t>
      </w:r>
      <w:r w:rsidRPr="00A256D9" w:rsidR="00A256D9">
        <w:rPr>
          <w:b/>
          <w:bCs/>
          <w:sz w:val="24"/>
          <w:szCs w:val="24"/>
        </w:rPr>
        <w:t>N/A</w:t>
      </w:r>
    </w:p>
    <w:p w:rsidRPr="006C7FAE" w:rsidR="009E13B1" w:rsidRDefault="009E13B1" w14:paraId="25669E37" w14:textId="77777777">
      <w:pPr>
        <w:numPr>
          <w:ilvl w:val="0"/>
          <w:numId w:val="14"/>
        </w:numPr>
        <w:tabs>
          <w:tab w:val="left" w:pos="600"/>
        </w:tabs>
        <w:rPr>
          <w:sz w:val="24"/>
          <w:szCs w:val="24"/>
        </w:rPr>
      </w:pPr>
      <w:r w:rsidRPr="006C7FAE">
        <w:rPr>
          <w:sz w:val="24"/>
          <w:szCs w:val="24"/>
        </w:rPr>
        <w:t xml:space="preserve">requiring the use of a statistical data classification that has not been reviewed and approved by OMB; </w:t>
      </w:r>
      <w:r w:rsidRPr="00A256D9" w:rsidR="00A256D9">
        <w:rPr>
          <w:b/>
          <w:bCs/>
          <w:sz w:val="24"/>
          <w:szCs w:val="24"/>
        </w:rPr>
        <w:t>N/A</w:t>
      </w:r>
    </w:p>
    <w:p w:rsidRPr="006C7FAE" w:rsidR="009E13B1" w:rsidRDefault="009E13B1" w14:paraId="6CD07D98" w14:textId="77777777">
      <w:pPr>
        <w:numPr>
          <w:ilvl w:val="0"/>
          <w:numId w:val="14"/>
        </w:numPr>
        <w:tabs>
          <w:tab w:val="left" w:pos="600"/>
        </w:tabs>
        <w:rPr>
          <w:sz w:val="24"/>
          <w:szCs w:val="24"/>
        </w:rPr>
      </w:pPr>
      <w:r w:rsidRPr="006C7FAE">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r w:rsidRPr="00A256D9" w:rsidR="00A256D9">
        <w:rPr>
          <w:b/>
          <w:bCs/>
          <w:sz w:val="24"/>
          <w:szCs w:val="24"/>
        </w:rPr>
        <w:t>N/A</w:t>
      </w:r>
      <w:r w:rsidRPr="006C7FAE" w:rsidR="00A256D9">
        <w:rPr>
          <w:sz w:val="24"/>
          <w:szCs w:val="24"/>
        </w:rPr>
        <w:t xml:space="preserve"> </w:t>
      </w:r>
      <w:r w:rsidRPr="006C7FAE">
        <w:rPr>
          <w:sz w:val="24"/>
          <w:szCs w:val="24"/>
        </w:rPr>
        <w:t xml:space="preserve">or </w:t>
      </w:r>
    </w:p>
    <w:p w:rsidR="009E13B1" w:rsidRDefault="009E13B1" w14:paraId="156F135A" w14:textId="77777777">
      <w:pPr>
        <w:keepLines/>
        <w:numPr>
          <w:ilvl w:val="0"/>
          <w:numId w:val="14"/>
        </w:numPr>
        <w:tabs>
          <w:tab w:val="left" w:pos="600"/>
        </w:tabs>
        <w:spacing w:after="80"/>
        <w:rPr>
          <w:sz w:val="24"/>
          <w:szCs w:val="24"/>
        </w:rPr>
      </w:pPr>
      <w:r w:rsidRPr="006C7FAE">
        <w:rPr>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00A256D9">
        <w:rPr>
          <w:sz w:val="24"/>
          <w:szCs w:val="24"/>
        </w:rPr>
        <w:t xml:space="preserve"> </w:t>
      </w:r>
      <w:r w:rsidRPr="00A256D9" w:rsidR="00A256D9">
        <w:rPr>
          <w:b/>
          <w:bCs/>
          <w:sz w:val="24"/>
          <w:szCs w:val="24"/>
        </w:rPr>
        <w:t>N/A</w:t>
      </w:r>
    </w:p>
    <w:p w:rsidR="00A256D9" w:rsidP="00A256D9" w:rsidRDefault="00A256D9" w14:paraId="61462328" w14:textId="77777777">
      <w:pPr>
        <w:pStyle w:val="NoSpacing"/>
        <w:ind w:left="504"/>
        <w:rPr>
          <w:rFonts w:ascii="Times New Roman" w:hAnsi="Times New Roman"/>
          <w:sz w:val="24"/>
          <w:szCs w:val="24"/>
        </w:rPr>
      </w:pPr>
    </w:p>
    <w:p w:rsidRPr="00DF16D1" w:rsidR="00A256D9" w:rsidP="00A256D9" w:rsidRDefault="00A256D9" w14:paraId="5ABFAFF6" w14:textId="77777777">
      <w:pPr>
        <w:pStyle w:val="NoSpacing"/>
        <w:ind w:left="504"/>
        <w:rPr>
          <w:rFonts w:ascii="Times New Roman" w:hAnsi="Times New Roman"/>
          <w:iCs/>
          <w:sz w:val="24"/>
          <w:szCs w:val="24"/>
        </w:rPr>
      </w:pPr>
      <w:r w:rsidRPr="00DF16D1">
        <w:rPr>
          <w:rFonts w:ascii="Times New Roman" w:hAnsi="Times New Roman"/>
          <w:iCs/>
          <w:sz w:val="24"/>
          <w:szCs w:val="24"/>
        </w:rPr>
        <w:t>HUD is statutorily required to collect information necessary to evaluate program progress and compliance on an annual basis and there are no special circumstances.</w:t>
      </w:r>
    </w:p>
    <w:p w:rsidR="00A256D9" w:rsidP="00A256D9" w:rsidRDefault="00A256D9" w14:paraId="06CE68EE" w14:textId="77777777">
      <w:pPr>
        <w:keepLines/>
        <w:tabs>
          <w:tab w:val="left" w:pos="600"/>
        </w:tabs>
        <w:spacing w:after="80"/>
        <w:rPr>
          <w:sz w:val="24"/>
          <w:szCs w:val="24"/>
        </w:rPr>
      </w:pPr>
    </w:p>
    <w:p w:rsidRPr="006C7FAE" w:rsidR="009E13B1" w:rsidRDefault="009E13B1" w14:paraId="379C2FE7" w14:textId="77777777">
      <w:pPr>
        <w:tabs>
          <w:tab w:val="left" w:pos="360"/>
        </w:tabs>
        <w:ind w:left="360" w:hanging="360"/>
        <w:rPr>
          <w:sz w:val="24"/>
          <w:szCs w:val="24"/>
        </w:rPr>
      </w:pPr>
    </w:p>
    <w:p w:rsidR="009E13B1" w:rsidRDefault="009E13B1" w14:paraId="7DE688A8" w14:textId="77777777">
      <w:pPr>
        <w:tabs>
          <w:tab w:val="left" w:pos="360"/>
        </w:tabs>
        <w:ind w:left="360" w:hanging="360"/>
        <w:rPr>
          <w:sz w:val="24"/>
          <w:szCs w:val="24"/>
        </w:rPr>
      </w:pPr>
      <w:r w:rsidRPr="006C7FAE">
        <w:rPr>
          <w:sz w:val="24"/>
          <w:szCs w:val="24"/>
        </w:rPr>
        <w:t xml:space="preserve"> 8.</w:t>
      </w:r>
      <w:r w:rsidRPr="006C7FAE">
        <w:rPr>
          <w:sz w:val="24"/>
          <w:szCs w:val="24"/>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Pr="006C7FAE" w:rsidR="00A256D9" w:rsidRDefault="00A256D9" w14:paraId="101589C6" w14:textId="77777777">
      <w:pPr>
        <w:tabs>
          <w:tab w:val="left" w:pos="360"/>
        </w:tabs>
        <w:ind w:left="360" w:hanging="360"/>
        <w:rPr>
          <w:sz w:val="24"/>
          <w:szCs w:val="24"/>
        </w:rPr>
      </w:pPr>
    </w:p>
    <w:p w:rsidR="009E13B1" w:rsidRDefault="009E13B1" w14:paraId="25532468" w14:textId="77777777">
      <w:pPr>
        <w:numPr>
          <w:ilvl w:val="0"/>
          <w:numId w:val="14"/>
        </w:numPr>
        <w:tabs>
          <w:tab w:val="left" w:pos="360"/>
        </w:tabs>
        <w:ind w:left="480"/>
        <w:rPr>
          <w:sz w:val="24"/>
          <w:szCs w:val="24"/>
        </w:rPr>
      </w:pPr>
      <w:r w:rsidRPr="006C7FAE">
        <w:rPr>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Pr="006C7FAE" w:rsidR="00A256D9" w:rsidP="00A256D9" w:rsidRDefault="00A256D9" w14:paraId="01A87B75" w14:textId="77777777">
      <w:pPr>
        <w:tabs>
          <w:tab w:val="left" w:pos="360"/>
        </w:tabs>
        <w:ind w:left="480"/>
        <w:rPr>
          <w:sz w:val="24"/>
          <w:szCs w:val="24"/>
        </w:rPr>
      </w:pPr>
    </w:p>
    <w:p w:rsidR="009E13B1" w:rsidRDefault="009E13B1" w14:paraId="3794EA88" w14:textId="77777777">
      <w:pPr>
        <w:keepLines/>
        <w:numPr>
          <w:ilvl w:val="0"/>
          <w:numId w:val="14"/>
        </w:numPr>
        <w:tabs>
          <w:tab w:val="left" w:pos="360"/>
        </w:tabs>
        <w:spacing w:after="80"/>
        <w:ind w:left="480"/>
        <w:rPr>
          <w:sz w:val="24"/>
          <w:szCs w:val="24"/>
        </w:rPr>
      </w:pPr>
      <w:r w:rsidRPr="006C7FAE">
        <w:rPr>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301BD6" w:rsidP="00301BD6" w:rsidRDefault="00301BD6" w14:paraId="66F631A1" w14:textId="77777777">
      <w:pPr>
        <w:pStyle w:val="ListParagraph"/>
        <w:rPr>
          <w:sz w:val="24"/>
          <w:szCs w:val="24"/>
        </w:rPr>
      </w:pPr>
    </w:p>
    <w:p w:rsidR="00A256D9" w:rsidP="00130591" w:rsidRDefault="00A256D9" w14:paraId="0DDAEB12" w14:textId="77777777">
      <w:pPr>
        <w:pStyle w:val="NoSpacing"/>
        <w:ind w:left="480"/>
        <w:rPr>
          <w:rFonts w:ascii="Times New Roman" w:hAnsi="Times New Roman"/>
          <w:sz w:val="24"/>
          <w:szCs w:val="24"/>
        </w:rPr>
      </w:pPr>
      <w:r w:rsidRPr="003B0718">
        <w:rPr>
          <w:rFonts w:ascii="Times New Roman" w:hAnsi="Times New Roman"/>
          <w:sz w:val="24"/>
          <w:szCs w:val="24"/>
        </w:rPr>
        <w:t xml:space="preserve">This information collection request is not inconsistent with 5 CFR 1320.6.  HUD Field Offices dealing with affected units of general local government have not been advised of any problems or controversy regarding the use of these forms or the collection of information.  </w:t>
      </w:r>
      <w:r w:rsidRPr="00DF16D1">
        <w:rPr>
          <w:rFonts w:ascii="Times New Roman" w:hAnsi="Times New Roman"/>
          <w:sz w:val="24"/>
          <w:szCs w:val="24"/>
        </w:rPr>
        <w:t>This notice was published in Federal Register, Volume 8</w:t>
      </w:r>
      <w:r w:rsidR="00932670">
        <w:rPr>
          <w:rFonts w:ascii="Times New Roman" w:hAnsi="Times New Roman"/>
          <w:sz w:val="24"/>
          <w:szCs w:val="24"/>
        </w:rPr>
        <w:t>7</w:t>
      </w:r>
      <w:r w:rsidRPr="00DF16D1">
        <w:rPr>
          <w:rFonts w:ascii="Times New Roman" w:hAnsi="Times New Roman"/>
          <w:sz w:val="24"/>
          <w:szCs w:val="24"/>
        </w:rPr>
        <w:t xml:space="preserve"> No. </w:t>
      </w:r>
      <w:r w:rsidR="00932670">
        <w:rPr>
          <w:rFonts w:ascii="Times New Roman" w:hAnsi="Times New Roman"/>
          <w:sz w:val="24"/>
          <w:szCs w:val="24"/>
        </w:rPr>
        <w:t>27180</w:t>
      </w:r>
      <w:r w:rsidRPr="00DF16D1" w:rsidR="00932670">
        <w:rPr>
          <w:rFonts w:ascii="Times New Roman" w:hAnsi="Times New Roman"/>
          <w:sz w:val="24"/>
          <w:szCs w:val="24"/>
        </w:rPr>
        <w:t xml:space="preserve"> </w:t>
      </w:r>
      <w:r w:rsidRPr="00DF16D1">
        <w:rPr>
          <w:rFonts w:ascii="Times New Roman" w:hAnsi="Times New Roman"/>
          <w:sz w:val="24"/>
          <w:szCs w:val="24"/>
        </w:rPr>
        <w:t xml:space="preserve">on May </w:t>
      </w:r>
      <w:r w:rsidR="00932670">
        <w:rPr>
          <w:rFonts w:ascii="Times New Roman" w:hAnsi="Times New Roman"/>
          <w:sz w:val="24"/>
          <w:szCs w:val="24"/>
        </w:rPr>
        <w:t>6, 2022,</w:t>
      </w:r>
      <w:r w:rsidRPr="00DF16D1">
        <w:rPr>
          <w:rFonts w:ascii="Times New Roman" w:hAnsi="Times New Roman"/>
          <w:sz w:val="24"/>
          <w:szCs w:val="24"/>
        </w:rPr>
        <w:t xml:space="preserve"> for 60 days and no comments were received.</w:t>
      </w:r>
    </w:p>
    <w:p w:rsidR="009E13B1" w:rsidRDefault="009E13B1" w14:paraId="2278D580" w14:textId="77777777">
      <w:pPr>
        <w:tabs>
          <w:tab w:val="left" w:pos="360"/>
        </w:tabs>
        <w:ind w:left="360" w:hanging="360"/>
        <w:rPr>
          <w:sz w:val="24"/>
          <w:szCs w:val="24"/>
        </w:rPr>
      </w:pPr>
    </w:p>
    <w:p w:rsidRPr="006C7FAE" w:rsidR="00A256D9" w:rsidRDefault="00A256D9" w14:paraId="10A35FAD" w14:textId="77777777">
      <w:pPr>
        <w:tabs>
          <w:tab w:val="left" w:pos="360"/>
        </w:tabs>
        <w:ind w:left="360" w:hanging="360"/>
        <w:rPr>
          <w:sz w:val="24"/>
          <w:szCs w:val="24"/>
        </w:rPr>
      </w:pPr>
    </w:p>
    <w:p w:rsidR="009E13B1" w:rsidRDefault="009E13B1" w14:paraId="669A30F5" w14:textId="77777777">
      <w:pPr>
        <w:keepLines/>
        <w:tabs>
          <w:tab w:val="left" w:pos="360"/>
        </w:tabs>
        <w:spacing w:after="80"/>
        <w:ind w:left="360" w:hanging="360"/>
        <w:rPr>
          <w:sz w:val="24"/>
          <w:szCs w:val="24"/>
        </w:rPr>
      </w:pPr>
      <w:r w:rsidRPr="006C7FAE">
        <w:rPr>
          <w:sz w:val="24"/>
          <w:szCs w:val="24"/>
        </w:rPr>
        <w:t>9.</w:t>
      </w:r>
      <w:r w:rsidRPr="006C7FAE">
        <w:rPr>
          <w:sz w:val="24"/>
          <w:szCs w:val="24"/>
        </w:rPr>
        <w:tab/>
        <w:t xml:space="preserve">Explain any decision to provide any payment or gift to respondents, other than </w:t>
      </w:r>
      <w:r w:rsidRPr="006C7FAE" w:rsidR="00A256D9">
        <w:rPr>
          <w:sz w:val="24"/>
          <w:szCs w:val="24"/>
        </w:rPr>
        <w:t>renumeration</w:t>
      </w:r>
      <w:r w:rsidRPr="006C7FAE">
        <w:rPr>
          <w:sz w:val="24"/>
          <w:szCs w:val="24"/>
        </w:rPr>
        <w:t xml:space="preserve"> of contractors or grantees.</w:t>
      </w:r>
    </w:p>
    <w:p w:rsidR="006E7345" w:rsidRDefault="006E7345" w14:paraId="44552149" w14:textId="77777777">
      <w:pPr>
        <w:keepLines/>
        <w:tabs>
          <w:tab w:val="left" w:pos="360"/>
        </w:tabs>
        <w:spacing w:after="80"/>
        <w:ind w:left="360" w:hanging="360"/>
        <w:rPr>
          <w:sz w:val="24"/>
          <w:szCs w:val="24"/>
        </w:rPr>
      </w:pPr>
    </w:p>
    <w:p w:rsidRPr="00A256D9" w:rsidR="00A256D9" w:rsidP="00A256D9" w:rsidRDefault="00A256D9" w14:paraId="10EAD825" w14:textId="77777777">
      <w:pPr>
        <w:overflowPunct/>
        <w:autoSpaceDE/>
        <w:autoSpaceDN/>
        <w:adjustRightInd/>
        <w:ind w:left="360"/>
        <w:textAlignment w:val="auto"/>
        <w:rPr>
          <w:rFonts w:eastAsia="Calibri"/>
          <w:sz w:val="24"/>
          <w:szCs w:val="24"/>
        </w:rPr>
      </w:pPr>
      <w:r w:rsidRPr="00A256D9">
        <w:rPr>
          <w:rFonts w:eastAsia="Calibri"/>
          <w:sz w:val="24"/>
          <w:szCs w:val="24"/>
        </w:rPr>
        <w:t>No payment or gifts were provided to respondents.</w:t>
      </w:r>
    </w:p>
    <w:p w:rsidRPr="006C7FAE" w:rsidR="009E13B1" w:rsidRDefault="009E13B1" w14:paraId="1C72C921" w14:textId="77777777">
      <w:pPr>
        <w:tabs>
          <w:tab w:val="left" w:pos="360"/>
        </w:tabs>
        <w:ind w:left="360" w:hanging="360"/>
        <w:rPr>
          <w:sz w:val="24"/>
          <w:szCs w:val="24"/>
        </w:rPr>
      </w:pPr>
    </w:p>
    <w:p w:rsidRPr="006C7FAE" w:rsidR="009E13B1" w:rsidRDefault="009E13B1" w14:paraId="7A9AA79D" w14:textId="77777777">
      <w:pPr>
        <w:keepLines/>
        <w:tabs>
          <w:tab w:val="left" w:pos="360"/>
        </w:tabs>
        <w:spacing w:after="80"/>
        <w:ind w:left="360" w:hanging="360"/>
        <w:rPr>
          <w:sz w:val="24"/>
          <w:szCs w:val="24"/>
        </w:rPr>
      </w:pPr>
      <w:r w:rsidRPr="006C7FAE">
        <w:rPr>
          <w:sz w:val="24"/>
          <w:szCs w:val="24"/>
        </w:rPr>
        <w:t>10.</w:t>
      </w:r>
      <w:r w:rsidRPr="006C7FAE">
        <w:rPr>
          <w:sz w:val="24"/>
          <w:szCs w:val="24"/>
        </w:rPr>
        <w:tab/>
        <w:t>Describe any assurance of confidentiality provided to respondents and the basis for assurance in statute, regulation or agency policy.</w:t>
      </w:r>
    </w:p>
    <w:p w:rsidR="00301BD6" w:rsidP="00130591" w:rsidRDefault="00301BD6" w14:paraId="1A1D2DD2" w14:textId="77777777">
      <w:pPr>
        <w:overflowPunct/>
        <w:autoSpaceDE/>
        <w:autoSpaceDN/>
        <w:adjustRightInd/>
        <w:ind w:left="360"/>
        <w:textAlignment w:val="auto"/>
        <w:rPr>
          <w:rFonts w:eastAsia="Calibri"/>
          <w:sz w:val="24"/>
          <w:szCs w:val="24"/>
        </w:rPr>
      </w:pPr>
    </w:p>
    <w:p w:rsidRPr="00130591" w:rsidR="00130591" w:rsidP="00130591" w:rsidRDefault="00130591" w14:paraId="6C738776" w14:textId="77777777">
      <w:pPr>
        <w:overflowPunct/>
        <w:autoSpaceDE/>
        <w:autoSpaceDN/>
        <w:adjustRightInd/>
        <w:ind w:left="360"/>
        <w:textAlignment w:val="auto"/>
        <w:rPr>
          <w:rFonts w:eastAsia="Calibri"/>
          <w:sz w:val="24"/>
          <w:szCs w:val="24"/>
        </w:rPr>
      </w:pPr>
      <w:r w:rsidRPr="00130591">
        <w:rPr>
          <w:rFonts w:eastAsia="Calibri"/>
          <w:sz w:val="24"/>
          <w:szCs w:val="24"/>
        </w:rPr>
        <w:t>The information collected under this request does not include information on individuals.  No assurances of confidentiality have been given.</w:t>
      </w:r>
    </w:p>
    <w:p w:rsidR="009E13B1" w:rsidRDefault="009E13B1" w14:paraId="2720A039" w14:textId="77777777">
      <w:pPr>
        <w:keepLines/>
        <w:tabs>
          <w:tab w:val="left" w:pos="360"/>
        </w:tabs>
        <w:spacing w:after="80"/>
        <w:ind w:left="360" w:hanging="360"/>
        <w:rPr>
          <w:sz w:val="24"/>
          <w:szCs w:val="24"/>
        </w:rPr>
      </w:pPr>
      <w:r w:rsidRPr="006C7FAE">
        <w:rPr>
          <w:sz w:val="24"/>
          <w:szCs w:val="24"/>
        </w:rPr>
        <w:t>11.</w:t>
      </w:r>
      <w:r w:rsidRPr="006C7FAE">
        <w:rPr>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130591" w:rsidR="00130591" w:rsidP="00130591" w:rsidRDefault="00130591" w14:paraId="29AF62FB" w14:textId="77777777">
      <w:pPr>
        <w:overflowPunct/>
        <w:autoSpaceDE/>
        <w:autoSpaceDN/>
        <w:adjustRightInd/>
        <w:textAlignment w:val="auto"/>
        <w:rPr>
          <w:color w:val="000000"/>
          <w:sz w:val="24"/>
          <w:szCs w:val="24"/>
        </w:rPr>
      </w:pPr>
    </w:p>
    <w:p w:rsidRPr="00130591" w:rsidR="00130591" w:rsidP="00130591" w:rsidRDefault="00130591" w14:paraId="4874FA78" w14:textId="77777777">
      <w:pPr>
        <w:overflowPunct/>
        <w:autoSpaceDE/>
        <w:autoSpaceDN/>
        <w:adjustRightInd/>
        <w:ind w:left="360"/>
        <w:textAlignment w:val="auto"/>
        <w:rPr>
          <w:color w:val="000000"/>
          <w:sz w:val="24"/>
          <w:szCs w:val="24"/>
        </w:rPr>
      </w:pPr>
      <w:r w:rsidRPr="00130591">
        <w:rPr>
          <w:color w:val="000000"/>
          <w:sz w:val="24"/>
          <w:szCs w:val="24"/>
        </w:rPr>
        <w:t>The information collection request does not include any sensitive questions.</w:t>
      </w:r>
    </w:p>
    <w:p w:rsidRPr="006C7FAE" w:rsidR="009E13B1" w:rsidRDefault="009E13B1" w14:paraId="4AB9ABC7" w14:textId="77777777">
      <w:pPr>
        <w:tabs>
          <w:tab w:val="left" w:pos="360"/>
        </w:tabs>
        <w:ind w:left="360" w:hanging="360"/>
        <w:rPr>
          <w:sz w:val="24"/>
          <w:szCs w:val="24"/>
        </w:rPr>
      </w:pPr>
    </w:p>
    <w:p w:rsidR="009E13B1" w:rsidRDefault="009E13B1" w14:paraId="4FFFD77F" w14:textId="77777777">
      <w:pPr>
        <w:tabs>
          <w:tab w:val="left" w:pos="360"/>
        </w:tabs>
        <w:ind w:left="360" w:hanging="360"/>
        <w:rPr>
          <w:sz w:val="24"/>
          <w:szCs w:val="24"/>
        </w:rPr>
      </w:pPr>
      <w:r w:rsidRPr="006C7FAE">
        <w:rPr>
          <w:sz w:val="24"/>
          <w:szCs w:val="24"/>
        </w:rPr>
        <w:t>12.</w:t>
      </w:r>
      <w:r w:rsidRPr="006C7FAE">
        <w:rPr>
          <w:sz w:val="24"/>
          <w:szCs w:val="24"/>
        </w:rPr>
        <w:tab/>
        <w:t xml:space="preserve">Provide estimates of the hour burden of the collection of information.  The statement should: </w:t>
      </w:r>
    </w:p>
    <w:p w:rsidRPr="006C7FAE" w:rsidR="006E7345" w:rsidRDefault="006E7345" w14:paraId="24FAF3B0" w14:textId="77777777">
      <w:pPr>
        <w:tabs>
          <w:tab w:val="left" w:pos="360"/>
        </w:tabs>
        <w:ind w:left="360" w:hanging="360"/>
        <w:rPr>
          <w:sz w:val="24"/>
          <w:szCs w:val="24"/>
        </w:rPr>
      </w:pPr>
    </w:p>
    <w:p w:rsidR="009E13B1" w:rsidRDefault="009E13B1" w14:paraId="4A636487" w14:textId="77777777">
      <w:pPr>
        <w:numPr>
          <w:ilvl w:val="0"/>
          <w:numId w:val="14"/>
        </w:numPr>
        <w:tabs>
          <w:tab w:val="left" w:pos="480"/>
        </w:tabs>
        <w:ind w:left="480"/>
        <w:rPr>
          <w:sz w:val="24"/>
          <w:szCs w:val="24"/>
        </w:rPr>
      </w:pPr>
      <w:r w:rsidRPr="006C7FAE">
        <w:rPr>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6C7FAE" w:rsidR="006C7FAE">
        <w:rPr>
          <w:sz w:val="24"/>
          <w:szCs w:val="24"/>
        </w:rPr>
        <w:t>Generally,</w:t>
      </w:r>
      <w:r w:rsidRPr="006C7FAE">
        <w:rPr>
          <w:sz w:val="24"/>
          <w:szCs w:val="24"/>
        </w:rPr>
        <w:t xml:space="preserve"> estimates should not include burden hours for customary and usual business practices; </w:t>
      </w:r>
    </w:p>
    <w:p w:rsidRPr="006C7FAE" w:rsidR="006E7345" w:rsidP="006E7345" w:rsidRDefault="006E7345" w14:paraId="621474B8" w14:textId="77777777">
      <w:pPr>
        <w:tabs>
          <w:tab w:val="left" w:pos="480"/>
        </w:tabs>
        <w:ind w:left="480"/>
        <w:rPr>
          <w:sz w:val="24"/>
          <w:szCs w:val="24"/>
        </w:rPr>
      </w:pPr>
    </w:p>
    <w:p w:rsidR="009E13B1" w:rsidRDefault="009E13B1" w14:paraId="45CEA357" w14:textId="77777777">
      <w:pPr>
        <w:numPr>
          <w:ilvl w:val="0"/>
          <w:numId w:val="14"/>
        </w:numPr>
        <w:tabs>
          <w:tab w:val="left" w:pos="480"/>
        </w:tabs>
        <w:ind w:left="480"/>
        <w:rPr>
          <w:sz w:val="24"/>
          <w:szCs w:val="24"/>
        </w:rPr>
      </w:pPr>
      <w:r w:rsidRPr="006C7FAE">
        <w:rPr>
          <w:sz w:val="24"/>
          <w:szCs w:val="24"/>
        </w:rPr>
        <w:t xml:space="preserve">if this request covers more than one form, provide separate hour burden estimates for each form and aggregate the hour burdens in Item 13 of OMB Form 83-I; and </w:t>
      </w:r>
    </w:p>
    <w:p w:rsidR="006E7345" w:rsidP="006E7345" w:rsidRDefault="006E7345" w14:paraId="235D1B0C" w14:textId="77777777">
      <w:pPr>
        <w:pStyle w:val="ListParagraph"/>
        <w:rPr>
          <w:sz w:val="24"/>
          <w:szCs w:val="24"/>
        </w:rPr>
      </w:pPr>
    </w:p>
    <w:p w:rsidRPr="006C7FAE" w:rsidR="009E13B1" w:rsidRDefault="009E13B1" w14:paraId="45E3580D" w14:textId="77777777">
      <w:pPr>
        <w:keepLines/>
        <w:numPr>
          <w:ilvl w:val="0"/>
          <w:numId w:val="14"/>
        </w:numPr>
        <w:tabs>
          <w:tab w:val="left" w:pos="480"/>
        </w:tabs>
        <w:spacing w:after="80"/>
        <w:ind w:left="480"/>
        <w:rPr>
          <w:sz w:val="24"/>
          <w:szCs w:val="24"/>
        </w:rPr>
      </w:pPr>
      <w:r w:rsidRPr="006C7FAE">
        <w:rPr>
          <w:sz w:val="24"/>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6C7FAE" w:rsidR="00DF16D1">
        <w:rPr>
          <w:sz w:val="24"/>
          <w:szCs w:val="24"/>
        </w:rPr>
        <w:t>Instead,</w:t>
      </w:r>
      <w:r w:rsidRPr="006C7FAE">
        <w:rPr>
          <w:sz w:val="24"/>
          <w:szCs w:val="24"/>
        </w:rPr>
        <w:t xml:space="preserve"> this cost should be included in Item 13.</w:t>
      </w:r>
    </w:p>
    <w:p w:rsidRPr="006C7FAE" w:rsidR="009E13B1" w:rsidRDefault="009E13B1" w14:paraId="3DB5C982" w14:textId="77777777">
      <w:pPr>
        <w:keepLines/>
        <w:tabs>
          <w:tab w:val="left" w:pos="360"/>
          <w:tab w:val="left" w:pos="720"/>
          <w:tab w:val="center" w:pos="1680"/>
          <w:tab w:val="center" w:pos="3120"/>
          <w:tab w:val="center" w:pos="4560"/>
          <w:tab w:val="center" w:pos="6000"/>
          <w:tab w:val="center" w:pos="7440"/>
          <w:tab w:val="center" w:pos="8880"/>
        </w:tabs>
        <w:ind w:left="360"/>
      </w:pPr>
    </w:p>
    <w:tbl>
      <w:tblPr>
        <w:tblW w:w="0" w:type="auto"/>
        <w:tblInd w:w="588" w:type="dxa"/>
        <w:tblCellMar>
          <w:left w:w="0" w:type="dxa"/>
          <w:right w:w="0" w:type="dxa"/>
        </w:tblCellMar>
        <w:tblLook w:val="04A0" w:firstRow="1" w:lastRow="0" w:firstColumn="1" w:lastColumn="0" w:noHBand="0" w:noVBand="1"/>
      </w:tblPr>
      <w:tblGrid>
        <w:gridCol w:w="1422"/>
        <w:gridCol w:w="1393"/>
        <w:gridCol w:w="1202"/>
        <w:gridCol w:w="1165"/>
        <w:gridCol w:w="1081"/>
        <w:gridCol w:w="913"/>
        <w:gridCol w:w="1081"/>
        <w:gridCol w:w="1035"/>
      </w:tblGrid>
      <w:tr w:rsidRPr="006C7FAE" w:rsidR="00167E53" w:rsidTr="00167E53" w14:paraId="0D19C280" w14:textId="77777777">
        <w:tc>
          <w:tcPr>
            <w:tcW w:w="146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02005174" w14:textId="77777777">
            <w:pPr>
              <w:adjustRightInd/>
              <w:jc w:val="center"/>
              <w:textAlignment w:val="auto"/>
              <w:rPr>
                <w:rFonts w:eastAsia="Calibri"/>
                <w:b/>
                <w:bCs/>
                <w:color w:val="000000"/>
              </w:rPr>
            </w:pPr>
            <w:bookmarkStart w:name="_Hlk109205006" w:id="2"/>
            <w:r w:rsidRPr="006C7FAE">
              <w:rPr>
                <w:rFonts w:eastAsia="Calibri"/>
                <w:b/>
                <w:bCs/>
                <w:color w:val="000000"/>
              </w:rPr>
              <w:t>Information Collection</w:t>
            </w:r>
          </w:p>
        </w:tc>
        <w:tc>
          <w:tcPr>
            <w:tcW w:w="141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61417EB8" w14:textId="77777777">
            <w:pPr>
              <w:adjustRightInd/>
              <w:jc w:val="center"/>
              <w:textAlignment w:val="auto"/>
              <w:rPr>
                <w:rFonts w:eastAsia="Calibri"/>
                <w:b/>
                <w:bCs/>
                <w:color w:val="000000"/>
              </w:rPr>
            </w:pPr>
            <w:r w:rsidRPr="006C7FAE">
              <w:rPr>
                <w:rFonts w:eastAsia="Calibri"/>
                <w:b/>
                <w:bCs/>
                <w:color w:val="000000"/>
              </w:rPr>
              <w:t>Number of Respondents</w:t>
            </w:r>
          </w:p>
        </w:tc>
        <w:tc>
          <w:tcPr>
            <w:tcW w:w="122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28A73FCD" w14:textId="77777777">
            <w:pPr>
              <w:adjustRightInd/>
              <w:jc w:val="center"/>
              <w:textAlignment w:val="auto"/>
              <w:rPr>
                <w:rFonts w:eastAsia="Calibri"/>
                <w:b/>
                <w:bCs/>
                <w:color w:val="000000"/>
              </w:rPr>
            </w:pPr>
            <w:r w:rsidRPr="006C7FAE">
              <w:rPr>
                <w:rFonts w:eastAsia="Calibri"/>
                <w:b/>
                <w:bCs/>
                <w:color w:val="000000"/>
              </w:rPr>
              <w:t>Frequency of Response</w:t>
            </w:r>
          </w:p>
        </w:tc>
        <w:tc>
          <w:tcPr>
            <w:tcW w:w="118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3347559E" w14:textId="77777777">
            <w:pPr>
              <w:overflowPunct/>
              <w:autoSpaceDE/>
              <w:autoSpaceDN/>
              <w:adjustRightInd/>
              <w:jc w:val="center"/>
              <w:textAlignment w:val="auto"/>
              <w:rPr>
                <w:rFonts w:eastAsia="Calibri"/>
                <w:b/>
                <w:bCs/>
                <w:color w:val="000000"/>
              </w:rPr>
            </w:pPr>
            <w:r w:rsidRPr="006C7FAE">
              <w:rPr>
                <w:rFonts w:eastAsia="Calibri"/>
                <w:b/>
                <w:bCs/>
                <w:color w:val="000000"/>
              </w:rPr>
              <w:t>Responses</w:t>
            </w:r>
          </w:p>
          <w:p w:rsidRPr="006C7FAE" w:rsidR="00167E53" w:rsidP="00167E53" w:rsidRDefault="00167E53" w14:paraId="52AC6670" w14:textId="77777777">
            <w:pPr>
              <w:adjustRightInd/>
              <w:jc w:val="center"/>
              <w:textAlignment w:val="auto"/>
              <w:rPr>
                <w:rFonts w:eastAsia="Calibri"/>
                <w:b/>
                <w:bCs/>
                <w:color w:val="000000"/>
              </w:rPr>
            </w:pPr>
            <w:r w:rsidRPr="006C7FAE">
              <w:rPr>
                <w:rFonts w:eastAsia="Calibri"/>
                <w:b/>
                <w:bCs/>
                <w:color w:val="000000"/>
              </w:rPr>
              <w:t>Per Annum</w:t>
            </w:r>
          </w:p>
        </w:tc>
        <w:tc>
          <w:tcPr>
            <w:tcW w:w="11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3AE2C0F0" w14:textId="77777777">
            <w:pPr>
              <w:adjustRightInd/>
              <w:jc w:val="center"/>
              <w:textAlignment w:val="auto"/>
              <w:rPr>
                <w:rFonts w:eastAsia="Calibri"/>
                <w:b/>
                <w:bCs/>
                <w:color w:val="000000"/>
              </w:rPr>
            </w:pPr>
            <w:r w:rsidRPr="006C7FAE">
              <w:rPr>
                <w:rFonts w:eastAsia="Calibri"/>
                <w:b/>
                <w:bCs/>
                <w:color w:val="000000"/>
              </w:rPr>
              <w:t>Burden Hour Per Response</w:t>
            </w:r>
          </w:p>
        </w:tc>
        <w:tc>
          <w:tcPr>
            <w:tcW w:w="92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28108065" w14:textId="77777777">
            <w:pPr>
              <w:adjustRightInd/>
              <w:jc w:val="center"/>
              <w:textAlignment w:val="auto"/>
              <w:rPr>
                <w:rFonts w:eastAsia="Calibri"/>
                <w:b/>
                <w:bCs/>
                <w:color w:val="000000"/>
              </w:rPr>
            </w:pPr>
            <w:r w:rsidRPr="006C7FAE">
              <w:rPr>
                <w:rFonts w:eastAsia="Calibri"/>
                <w:b/>
                <w:bCs/>
                <w:color w:val="000000"/>
              </w:rPr>
              <w:t>Annual Burden Hours</w:t>
            </w:r>
          </w:p>
        </w:tc>
        <w:tc>
          <w:tcPr>
            <w:tcW w:w="11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1C1A67ED" w14:textId="77777777">
            <w:pPr>
              <w:adjustRightInd/>
              <w:jc w:val="center"/>
              <w:textAlignment w:val="auto"/>
              <w:rPr>
                <w:rFonts w:eastAsia="Calibri"/>
                <w:b/>
                <w:bCs/>
                <w:color w:val="000000"/>
              </w:rPr>
            </w:pPr>
            <w:r w:rsidRPr="006C7FAE">
              <w:rPr>
                <w:rFonts w:eastAsia="Calibri"/>
                <w:b/>
                <w:bCs/>
                <w:color w:val="000000"/>
              </w:rPr>
              <w:t>Hourly Cost Per Response</w:t>
            </w:r>
          </w:p>
        </w:tc>
        <w:tc>
          <w:tcPr>
            <w:tcW w:w="1041"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C7FAE" w:rsidR="00167E53" w:rsidP="00167E53" w:rsidRDefault="00167E53" w14:paraId="3C11C2A5" w14:textId="77777777">
            <w:pPr>
              <w:overflowPunct/>
              <w:autoSpaceDE/>
              <w:autoSpaceDN/>
              <w:adjustRightInd/>
              <w:jc w:val="center"/>
              <w:textAlignment w:val="auto"/>
              <w:rPr>
                <w:rFonts w:eastAsia="Calibri"/>
                <w:b/>
                <w:bCs/>
                <w:color w:val="000000"/>
              </w:rPr>
            </w:pPr>
            <w:r w:rsidRPr="006C7FAE">
              <w:rPr>
                <w:rFonts w:eastAsia="Calibri"/>
                <w:b/>
                <w:bCs/>
                <w:color w:val="000000"/>
              </w:rPr>
              <w:t>Annual Cost</w:t>
            </w:r>
          </w:p>
          <w:p w:rsidRPr="006C7FAE" w:rsidR="00167E53" w:rsidP="00167E53" w:rsidRDefault="00167E53" w14:paraId="1064FBBA" w14:textId="77777777">
            <w:pPr>
              <w:adjustRightInd/>
              <w:jc w:val="center"/>
              <w:textAlignment w:val="auto"/>
              <w:rPr>
                <w:rFonts w:eastAsia="Calibri"/>
                <w:b/>
                <w:bCs/>
                <w:color w:val="000000"/>
              </w:rPr>
            </w:pPr>
          </w:p>
        </w:tc>
      </w:tr>
      <w:tr w:rsidRPr="006C7FAE" w:rsidR="00167E53" w:rsidTr="00167E53" w14:paraId="4193FF63" w14:textId="77777777">
        <w:tc>
          <w:tcPr>
            <w:tcW w:w="1469"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6C7FAE" w:rsidR="00167E53" w:rsidP="00167E53" w:rsidRDefault="00130591" w14:paraId="30475742" w14:textId="77777777">
            <w:pPr>
              <w:adjustRightInd/>
              <w:textAlignment w:val="auto"/>
              <w:rPr>
                <w:rFonts w:eastAsia="Calibri"/>
                <w:b/>
                <w:bCs/>
                <w:color w:val="000000"/>
              </w:rPr>
            </w:pPr>
            <w:r>
              <w:rPr>
                <w:rFonts w:eastAsia="Calibri"/>
                <w:b/>
                <w:bCs/>
                <w:color w:val="000000"/>
              </w:rPr>
              <w:t>HUD-4052</w:t>
            </w:r>
          </w:p>
        </w:tc>
        <w:tc>
          <w:tcPr>
            <w:tcW w:w="1419" w:type="dxa"/>
            <w:tcBorders>
              <w:top w:val="nil"/>
              <w:left w:val="nil"/>
              <w:bottom w:val="single" w:color="auto" w:sz="8" w:space="0"/>
              <w:right w:val="single" w:color="auto" w:sz="8" w:space="0"/>
            </w:tcBorders>
            <w:tcMar>
              <w:top w:w="0" w:type="dxa"/>
              <w:left w:w="108" w:type="dxa"/>
              <w:bottom w:w="0" w:type="dxa"/>
              <w:right w:w="108" w:type="dxa"/>
            </w:tcMar>
          </w:tcPr>
          <w:p w:rsidRPr="006C7FAE" w:rsidR="00167E53" w:rsidP="00167E53" w:rsidRDefault="00130591" w14:paraId="3BEB3FA4" w14:textId="77777777">
            <w:pPr>
              <w:adjustRightInd/>
              <w:jc w:val="center"/>
              <w:textAlignment w:val="auto"/>
              <w:rPr>
                <w:rFonts w:eastAsia="Calibri"/>
                <w:b/>
                <w:bCs/>
                <w:color w:val="000000"/>
              </w:rPr>
            </w:pPr>
            <w:r>
              <w:rPr>
                <w:rFonts w:eastAsia="Calibri"/>
                <w:b/>
                <w:bCs/>
                <w:color w:val="000000"/>
              </w:rPr>
              <w:t>40</w:t>
            </w:r>
          </w:p>
        </w:tc>
        <w:tc>
          <w:tcPr>
            <w:tcW w:w="1224" w:type="dxa"/>
            <w:tcBorders>
              <w:top w:val="nil"/>
              <w:left w:val="nil"/>
              <w:bottom w:val="single" w:color="auto" w:sz="8" w:space="0"/>
              <w:right w:val="single" w:color="auto" w:sz="8" w:space="0"/>
            </w:tcBorders>
            <w:tcMar>
              <w:top w:w="0" w:type="dxa"/>
              <w:left w:w="108" w:type="dxa"/>
              <w:bottom w:w="0" w:type="dxa"/>
              <w:right w:w="108" w:type="dxa"/>
            </w:tcMar>
          </w:tcPr>
          <w:p w:rsidRPr="006C7FAE" w:rsidR="00167E53" w:rsidP="00167E53" w:rsidRDefault="00130591" w14:paraId="4AF5470D" w14:textId="77777777">
            <w:pPr>
              <w:adjustRightInd/>
              <w:jc w:val="center"/>
              <w:textAlignment w:val="auto"/>
              <w:rPr>
                <w:rFonts w:eastAsia="Calibri"/>
                <w:b/>
                <w:bCs/>
                <w:color w:val="000000"/>
              </w:rPr>
            </w:pPr>
            <w:r>
              <w:rPr>
                <w:rFonts w:eastAsia="Calibri"/>
                <w:b/>
                <w:bCs/>
                <w:color w:val="000000"/>
              </w:rPr>
              <w:t>1.0</w:t>
            </w:r>
          </w:p>
        </w:tc>
        <w:tc>
          <w:tcPr>
            <w:tcW w:w="1186" w:type="dxa"/>
            <w:tcBorders>
              <w:top w:val="nil"/>
              <w:left w:val="nil"/>
              <w:bottom w:val="single" w:color="auto" w:sz="8" w:space="0"/>
              <w:right w:val="single" w:color="auto" w:sz="8" w:space="0"/>
            </w:tcBorders>
            <w:tcMar>
              <w:top w:w="0" w:type="dxa"/>
              <w:left w:w="108" w:type="dxa"/>
              <w:bottom w:w="0" w:type="dxa"/>
              <w:right w:w="108" w:type="dxa"/>
            </w:tcMar>
          </w:tcPr>
          <w:p w:rsidRPr="006C7FAE" w:rsidR="00167E53" w:rsidP="00167E53" w:rsidRDefault="00130591" w14:paraId="3EB39AB6" w14:textId="77777777">
            <w:pPr>
              <w:adjustRightInd/>
              <w:jc w:val="center"/>
              <w:textAlignment w:val="auto"/>
              <w:rPr>
                <w:rFonts w:eastAsia="Calibri"/>
                <w:b/>
                <w:bCs/>
                <w:color w:val="000000"/>
              </w:rPr>
            </w:pPr>
            <w:r>
              <w:rPr>
                <w:rFonts w:eastAsia="Calibri"/>
                <w:b/>
                <w:bCs/>
                <w:color w:val="000000"/>
              </w:rPr>
              <w:t>40</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Pr="006C7FAE" w:rsidR="00167E53" w:rsidP="00167E53" w:rsidRDefault="00130591" w14:paraId="0B42FB8E" w14:textId="77777777">
            <w:pPr>
              <w:adjustRightInd/>
              <w:jc w:val="center"/>
              <w:textAlignment w:val="auto"/>
              <w:rPr>
                <w:rFonts w:eastAsia="Calibri"/>
                <w:b/>
                <w:bCs/>
                <w:color w:val="000000"/>
              </w:rPr>
            </w:pPr>
            <w:r>
              <w:rPr>
                <w:rFonts w:eastAsia="Calibri"/>
                <w:b/>
                <w:bCs/>
                <w:color w:val="000000"/>
              </w:rPr>
              <w:t>4.0</w:t>
            </w:r>
          </w:p>
        </w:tc>
        <w:tc>
          <w:tcPr>
            <w:tcW w:w="929" w:type="dxa"/>
            <w:tcBorders>
              <w:top w:val="nil"/>
              <w:left w:val="nil"/>
              <w:bottom w:val="single" w:color="auto" w:sz="8" w:space="0"/>
              <w:right w:val="single" w:color="auto" w:sz="8" w:space="0"/>
            </w:tcBorders>
            <w:tcMar>
              <w:top w:w="0" w:type="dxa"/>
              <w:left w:w="108" w:type="dxa"/>
              <w:bottom w:w="0" w:type="dxa"/>
              <w:right w:w="108" w:type="dxa"/>
            </w:tcMar>
          </w:tcPr>
          <w:p w:rsidRPr="006C7FAE" w:rsidR="00167E53" w:rsidP="00167E53" w:rsidRDefault="00130591" w14:paraId="23B93C59" w14:textId="77777777">
            <w:pPr>
              <w:adjustRightInd/>
              <w:jc w:val="center"/>
              <w:textAlignment w:val="auto"/>
              <w:rPr>
                <w:rFonts w:eastAsia="Calibri"/>
                <w:b/>
                <w:bCs/>
                <w:color w:val="000000"/>
              </w:rPr>
            </w:pPr>
            <w:r>
              <w:rPr>
                <w:rFonts w:eastAsia="Calibri"/>
                <w:b/>
                <w:bCs/>
                <w:color w:val="000000"/>
              </w:rPr>
              <w:t>160</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Pr="006C7FAE" w:rsidR="00167E53" w:rsidP="00167E53" w:rsidRDefault="00B6444B" w14:paraId="144CD9EF" w14:textId="77777777">
            <w:pPr>
              <w:adjustRightInd/>
              <w:jc w:val="right"/>
              <w:textAlignment w:val="auto"/>
              <w:rPr>
                <w:rFonts w:eastAsia="Calibri"/>
                <w:b/>
                <w:bCs/>
                <w:color w:val="000000"/>
              </w:rPr>
            </w:pPr>
            <w:r>
              <w:rPr>
                <w:rFonts w:eastAsia="Calibri"/>
                <w:b/>
                <w:bCs/>
                <w:color w:val="000000"/>
              </w:rPr>
              <w:t>$43.04</w:t>
            </w:r>
          </w:p>
        </w:tc>
        <w:tc>
          <w:tcPr>
            <w:tcW w:w="1041" w:type="dxa"/>
            <w:tcBorders>
              <w:top w:val="nil"/>
              <w:left w:val="nil"/>
              <w:bottom w:val="single" w:color="auto" w:sz="8" w:space="0"/>
              <w:right w:val="single" w:color="auto" w:sz="8" w:space="0"/>
            </w:tcBorders>
            <w:tcMar>
              <w:top w:w="0" w:type="dxa"/>
              <w:left w:w="108" w:type="dxa"/>
              <w:bottom w:w="0" w:type="dxa"/>
              <w:right w:w="108" w:type="dxa"/>
            </w:tcMar>
          </w:tcPr>
          <w:p w:rsidRPr="006C7FAE" w:rsidR="00167E53" w:rsidP="00167E53" w:rsidRDefault="00B6444B" w14:paraId="635150C2" w14:textId="77777777">
            <w:pPr>
              <w:adjustRightInd/>
              <w:jc w:val="right"/>
              <w:textAlignment w:val="auto"/>
              <w:rPr>
                <w:rFonts w:eastAsia="Calibri"/>
                <w:b/>
                <w:bCs/>
                <w:color w:val="000000"/>
              </w:rPr>
            </w:pPr>
            <w:r>
              <w:rPr>
                <w:rFonts w:eastAsia="Calibri"/>
                <w:b/>
                <w:bCs/>
                <w:color w:val="000000"/>
              </w:rPr>
              <w:t>$6,886.40</w:t>
            </w:r>
          </w:p>
        </w:tc>
      </w:tr>
    </w:tbl>
    <w:bookmarkEnd w:id="2"/>
    <w:p w:rsidR="00167E53" w:rsidP="00167E53" w:rsidRDefault="00D761DF" w14:paraId="65B95BCB" w14:textId="77777777">
      <w:pPr>
        <w:keepLines/>
        <w:tabs>
          <w:tab w:val="left" w:pos="360"/>
          <w:tab w:val="left" w:pos="720"/>
          <w:tab w:val="center" w:pos="1680"/>
          <w:tab w:val="center" w:pos="3120"/>
          <w:tab w:val="center" w:pos="4560"/>
          <w:tab w:val="center" w:pos="6000"/>
          <w:tab w:val="center" w:pos="7440"/>
          <w:tab w:val="center" w:pos="8880"/>
        </w:tabs>
        <w:ind w:left="840"/>
        <w:rPr>
          <w:sz w:val="18"/>
          <w:szCs w:val="18"/>
        </w:rPr>
      </w:pPr>
      <w:r w:rsidRPr="00D761DF">
        <w:rPr>
          <w:sz w:val="18"/>
          <w:szCs w:val="18"/>
        </w:rPr>
        <w:t>GS-12 step 1</w:t>
      </w:r>
    </w:p>
    <w:p w:rsidR="00D761DF" w:rsidP="00167E53" w:rsidRDefault="00D761DF" w14:paraId="13036AFE" w14:textId="77777777">
      <w:pPr>
        <w:keepLines/>
        <w:tabs>
          <w:tab w:val="left" w:pos="360"/>
          <w:tab w:val="left" w:pos="720"/>
          <w:tab w:val="center" w:pos="1680"/>
          <w:tab w:val="center" w:pos="3120"/>
          <w:tab w:val="center" w:pos="4560"/>
          <w:tab w:val="center" w:pos="6000"/>
          <w:tab w:val="center" w:pos="7440"/>
          <w:tab w:val="center" w:pos="8880"/>
        </w:tabs>
        <w:ind w:left="840"/>
        <w:rPr>
          <w:sz w:val="18"/>
          <w:szCs w:val="18"/>
        </w:rPr>
      </w:pPr>
    </w:p>
    <w:p w:rsidRPr="00D761DF" w:rsidR="00D761DF" w:rsidP="00167E53" w:rsidRDefault="00D761DF" w14:paraId="052C4980" w14:textId="77777777">
      <w:pPr>
        <w:keepLines/>
        <w:tabs>
          <w:tab w:val="left" w:pos="360"/>
          <w:tab w:val="left" w:pos="720"/>
          <w:tab w:val="center" w:pos="1680"/>
          <w:tab w:val="center" w:pos="3120"/>
          <w:tab w:val="center" w:pos="4560"/>
          <w:tab w:val="center" w:pos="6000"/>
          <w:tab w:val="center" w:pos="7440"/>
          <w:tab w:val="center" w:pos="8880"/>
        </w:tabs>
        <w:ind w:left="840"/>
        <w:rPr>
          <w:sz w:val="18"/>
          <w:szCs w:val="18"/>
        </w:rPr>
      </w:pPr>
    </w:p>
    <w:p w:rsidR="006E7345" w:rsidRDefault="009E13B1" w14:paraId="0F0C61F5" w14:textId="77777777">
      <w:pPr>
        <w:tabs>
          <w:tab w:val="left" w:pos="360"/>
        </w:tabs>
        <w:ind w:left="360" w:hanging="360"/>
        <w:rPr>
          <w:sz w:val="24"/>
          <w:szCs w:val="24"/>
        </w:rPr>
      </w:pPr>
      <w:r w:rsidRPr="006C7FAE">
        <w:rPr>
          <w:sz w:val="24"/>
          <w:szCs w:val="24"/>
        </w:rPr>
        <w:t>13.</w:t>
      </w:r>
      <w:r w:rsidRPr="006C7FAE">
        <w:rPr>
          <w:sz w:val="24"/>
          <w:szCs w:val="24"/>
        </w:rPr>
        <w:tab/>
        <w:t>Provide an estimate of the total annual cost burden to respondents or recordkeepers resulting from the collection of information (do not include the cost of any hour burden shown in Items 12 and 14).</w:t>
      </w:r>
    </w:p>
    <w:p w:rsidRPr="006C7FAE" w:rsidR="009E13B1" w:rsidRDefault="009E13B1" w14:paraId="6916BF28" w14:textId="77777777">
      <w:pPr>
        <w:tabs>
          <w:tab w:val="left" w:pos="360"/>
        </w:tabs>
        <w:ind w:left="360" w:hanging="360"/>
        <w:rPr>
          <w:sz w:val="24"/>
          <w:szCs w:val="24"/>
        </w:rPr>
      </w:pPr>
      <w:r w:rsidRPr="006C7FAE">
        <w:rPr>
          <w:sz w:val="24"/>
          <w:szCs w:val="24"/>
        </w:rPr>
        <w:t xml:space="preserve"> </w:t>
      </w:r>
    </w:p>
    <w:p w:rsidR="009E13B1" w:rsidRDefault="009E13B1" w14:paraId="28B0427D" w14:textId="77777777">
      <w:pPr>
        <w:numPr>
          <w:ilvl w:val="0"/>
          <w:numId w:val="14"/>
        </w:numPr>
        <w:tabs>
          <w:tab w:val="left" w:pos="360"/>
        </w:tabs>
        <w:ind w:left="480"/>
        <w:rPr>
          <w:sz w:val="24"/>
          <w:szCs w:val="24"/>
        </w:rPr>
      </w:pPr>
      <w:r w:rsidRPr="006C7FAE">
        <w:rPr>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6E7345" w:rsidP="006E7345" w:rsidRDefault="006E7345" w14:paraId="0CF390E7" w14:textId="77777777">
      <w:pPr>
        <w:tabs>
          <w:tab w:val="left" w:pos="360"/>
        </w:tabs>
        <w:ind w:left="480"/>
        <w:rPr>
          <w:sz w:val="24"/>
          <w:szCs w:val="24"/>
        </w:rPr>
      </w:pPr>
    </w:p>
    <w:p w:rsidRPr="006C7FAE" w:rsidR="006E7345" w:rsidP="006E7345" w:rsidRDefault="006E7345" w14:paraId="770A9913" w14:textId="77777777">
      <w:pPr>
        <w:tabs>
          <w:tab w:val="left" w:pos="360"/>
        </w:tabs>
        <w:ind w:left="480"/>
        <w:rPr>
          <w:sz w:val="24"/>
          <w:szCs w:val="24"/>
        </w:rPr>
      </w:pPr>
    </w:p>
    <w:p w:rsidR="009E13B1" w:rsidRDefault="009E13B1" w14:paraId="6C9F5FB7" w14:textId="77777777">
      <w:pPr>
        <w:numPr>
          <w:ilvl w:val="0"/>
          <w:numId w:val="14"/>
        </w:numPr>
        <w:tabs>
          <w:tab w:val="left" w:pos="360"/>
        </w:tabs>
        <w:ind w:left="480"/>
        <w:rPr>
          <w:sz w:val="24"/>
          <w:szCs w:val="24"/>
        </w:rPr>
      </w:pPr>
      <w:r w:rsidRPr="006C7FAE">
        <w:rPr>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6E7345" w:rsidP="006E7345" w:rsidRDefault="006E7345" w14:paraId="3927EC63" w14:textId="77777777">
      <w:pPr>
        <w:pStyle w:val="ListParagraph"/>
        <w:rPr>
          <w:sz w:val="24"/>
          <w:szCs w:val="24"/>
        </w:rPr>
      </w:pPr>
    </w:p>
    <w:p w:rsidR="009E13B1" w:rsidRDefault="009E13B1" w14:paraId="4BA46403" w14:textId="77777777">
      <w:pPr>
        <w:keepLines/>
        <w:numPr>
          <w:ilvl w:val="0"/>
          <w:numId w:val="14"/>
        </w:numPr>
        <w:tabs>
          <w:tab w:val="left" w:pos="360"/>
        </w:tabs>
        <w:spacing w:after="80"/>
        <w:ind w:left="480"/>
        <w:rPr>
          <w:sz w:val="24"/>
          <w:szCs w:val="24"/>
        </w:rPr>
      </w:pPr>
      <w:r w:rsidRPr="006C7FAE">
        <w:rPr>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B6444B" w:rsidR="00B6444B" w:rsidP="00B6444B" w:rsidRDefault="00B6444B" w14:paraId="7C9D9CF4" w14:textId="77777777">
      <w:pPr>
        <w:pStyle w:val="NoSpacing"/>
        <w:ind w:left="720"/>
        <w:rPr>
          <w:sz w:val="24"/>
          <w:szCs w:val="24"/>
        </w:rPr>
      </w:pPr>
      <w:r>
        <w:rPr>
          <w:sz w:val="24"/>
          <w:szCs w:val="24"/>
        </w:rPr>
        <w:tab/>
      </w:r>
    </w:p>
    <w:p w:rsidRPr="00B6444B" w:rsidR="00B6444B" w:rsidP="00B6444B" w:rsidRDefault="00B6444B" w14:paraId="459B42FD" w14:textId="77777777">
      <w:pPr>
        <w:overflowPunct/>
        <w:autoSpaceDE/>
        <w:autoSpaceDN/>
        <w:adjustRightInd/>
        <w:ind w:left="360"/>
        <w:textAlignment w:val="auto"/>
        <w:rPr>
          <w:rFonts w:eastAsia="Calibri"/>
          <w:sz w:val="24"/>
          <w:szCs w:val="24"/>
        </w:rPr>
      </w:pPr>
      <w:r w:rsidRPr="00B6444B">
        <w:rPr>
          <w:rFonts w:eastAsia="Calibri"/>
          <w:sz w:val="24"/>
          <w:szCs w:val="24"/>
        </w:rPr>
        <w:t>There are no additional costs to the respondent.</w:t>
      </w:r>
    </w:p>
    <w:p w:rsidRPr="006C7FAE" w:rsidR="009E13B1" w:rsidRDefault="009E13B1" w14:paraId="7065B19C" w14:textId="77777777">
      <w:pPr>
        <w:keepLines/>
        <w:tabs>
          <w:tab w:val="left" w:pos="360"/>
          <w:tab w:val="left" w:pos="720"/>
        </w:tabs>
        <w:ind w:left="360"/>
        <w:rPr>
          <w:sz w:val="24"/>
          <w:szCs w:val="24"/>
        </w:rPr>
      </w:pPr>
    </w:p>
    <w:p w:rsidR="009E13B1" w:rsidRDefault="009E13B1" w14:paraId="085B9560" w14:textId="77777777">
      <w:pPr>
        <w:keepLines/>
        <w:tabs>
          <w:tab w:val="left" w:pos="360"/>
        </w:tabs>
        <w:spacing w:after="80"/>
        <w:ind w:left="360" w:hanging="360"/>
        <w:rPr>
          <w:sz w:val="24"/>
          <w:szCs w:val="24"/>
        </w:rPr>
      </w:pPr>
      <w:r w:rsidRPr="006C7FAE">
        <w:rPr>
          <w:sz w:val="24"/>
          <w:szCs w:val="24"/>
        </w:rPr>
        <w:t>14.</w:t>
      </w:r>
      <w:r w:rsidRPr="006C7FAE">
        <w:rPr>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6C7FAE" w:rsidR="00301BD6" w:rsidRDefault="00301BD6" w14:paraId="3C7E4656" w14:textId="77777777">
      <w:pPr>
        <w:keepLines/>
        <w:tabs>
          <w:tab w:val="left" w:pos="360"/>
        </w:tabs>
        <w:spacing w:after="80"/>
        <w:ind w:left="360" w:hanging="360"/>
        <w:rPr>
          <w:sz w:val="24"/>
          <w:szCs w:val="24"/>
        </w:rPr>
      </w:pPr>
    </w:p>
    <w:p w:rsidRPr="00B6444B" w:rsidR="00B6444B" w:rsidP="00B6444B" w:rsidRDefault="00B6444B" w14:paraId="535D2F80" w14:textId="77777777">
      <w:pPr>
        <w:overflowPunct/>
        <w:autoSpaceDE/>
        <w:autoSpaceDN/>
        <w:adjustRightInd/>
        <w:ind w:firstLine="360"/>
        <w:textAlignment w:val="auto"/>
        <w:rPr>
          <w:rFonts w:eastAsia="Calibri"/>
          <w:sz w:val="24"/>
          <w:szCs w:val="24"/>
        </w:rPr>
      </w:pPr>
      <w:r w:rsidRPr="00B6444B">
        <w:rPr>
          <w:rFonts w:eastAsia="Calibri"/>
          <w:sz w:val="24"/>
          <w:szCs w:val="24"/>
        </w:rPr>
        <w:t>Annualized Cost to the Federal Government</w:t>
      </w:r>
    </w:p>
    <w:tbl>
      <w:tblPr>
        <w:tblW w:w="0" w:type="auto"/>
        <w:tblInd w:w="468" w:type="dxa"/>
        <w:tblCellMar>
          <w:left w:w="0" w:type="dxa"/>
          <w:right w:w="0" w:type="dxa"/>
        </w:tblCellMar>
        <w:tblLook w:val="04A0" w:firstRow="1" w:lastRow="0" w:firstColumn="1" w:lastColumn="0" w:noHBand="0" w:noVBand="1"/>
      </w:tblPr>
      <w:tblGrid>
        <w:gridCol w:w="1454"/>
        <w:gridCol w:w="1411"/>
        <w:gridCol w:w="1217"/>
        <w:gridCol w:w="1179"/>
        <w:gridCol w:w="1094"/>
        <w:gridCol w:w="924"/>
        <w:gridCol w:w="1094"/>
        <w:gridCol w:w="1039"/>
      </w:tblGrid>
      <w:tr w:rsidRPr="006C7FAE" w:rsidR="00167E53" w:rsidTr="00167E53" w14:paraId="49B71CF7" w14:textId="77777777">
        <w:tc>
          <w:tcPr>
            <w:tcW w:w="146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38F42EAC" w14:textId="77777777">
            <w:pPr>
              <w:adjustRightInd/>
              <w:jc w:val="center"/>
              <w:textAlignment w:val="auto"/>
              <w:rPr>
                <w:rFonts w:eastAsia="Calibri"/>
                <w:b/>
                <w:bCs/>
                <w:color w:val="000000"/>
              </w:rPr>
            </w:pPr>
            <w:r w:rsidRPr="006C7FAE">
              <w:rPr>
                <w:rFonts w:eastAsia="Calibri"/>
                <w:b/>
                <w:bCs/>
                <w:color w:val="000000"/>
              </w:rPr>
              <w:t>Information Collection</w:t>
            </w:r>
          </w:p>
        </w:tc>
        <w:tc>
          <w:tcPr>
            <w:tcW w:w="141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0AAF48EA" w14:textId="77777777">
            <w:pPr>
              <w:adjustRightInd/>
              <w:jc w:val="center"/>
              <w:textAlignment w:val="auto"/>
              <w:rPr>
                <w:rFonts w:eastAsia="Calibri"/>
                <w:b/>
                <w:bCs/>
                <w:color w:val="000000"/>
              </w:rPr>
            </w:pPr>
            <w:r w:rsidRPr="006C7FAE">
              <w:rPr>
                <w:rFonts w:eastAsia="Calibri"/>
                <w:b/>
                <w:bCs/>
                <w:color w:val="000000"/>
              </w:rPr>
              <w:t>Number of Respondents</w:t>
            </w:r>
          </w:p>
        </w:tc>
        <w:tc>
          <w:tcPr>
            <w:tcW w:w="122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018CF6FA" w14:textId="77777777">
            <w:pPr>
              <w:adjustRightInd/>
              <w:jc w:val="center"/>
              <w:textAlignment w:val="auto"/>
              <w:rPr>
                <w:rFonts w:eastAsia="Calibri"/>
                <w:b/>
                <w:bCs/>
                <w:color w:val="000000"/>
              </w:rPr>
            </w:pPr>
            <w:r w:rsidRPr="006C7FAE">
              <w:rPr>
                <w:rFonts w:eastAsia="Calibri"/>
                <w:b/>
                <w:bCs/>
                <w:color w:val="000000"/>
              </w:rPr>
              <w:t>Frequency of Response</w:t>
            </w:r>
          </w:p>
        </w:tc>
        <w:tc>
          <w:tcPr>
            <w:tcW w:w="118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17EB909E" w14:textId="77777777">
            <w:pPr>
              <w:overflowPunct/>
              <w:autoSpaceDE/>
              <w:autoSpaceDN/>
              <w:adjustRightInd/>
              <w:jc w:val="center"/>
              <w:textAlignment w:val="auto"/>
              <w:rPr>
                <w:rFonts w:eastAsia="Calibri"/>
                <w:b/>
                <w:bCs/>
                <w:color w:val="000000"/>
              </w:rPr>
            </w:pPr>
            <w:r w:rsidRPr="006C7FAE">
              <w:rPr>
                <w:rFonts w:eastAsia="Calibri"/>
                <w:b/>
                <w:bCs/>
                <w:color w:val="000000"/>
              </w:rPr>
              <w:t>Responses</w:t>
            </w:r>
          </w:p>
          <w:p w:rsidRPr="006C7FAE" w:rsidR="00167E53" w:rsidP="00167E53" w:rsidRDefault="00167E53" w14:paraId="4317AEED" w14:textId="77777777">
            <w:pPr>
              <w:adjustRightInd/>
              <w:jc w:val="center"/>
              <w:textAlignment w:val="auto"/>
              <w:rPr>
                <w:rFonts w:eastAsia="Calibri"/>
                <w:b/>
                <w:bCs/>
                <w:color w:val="000000"/>
              </w:rPr>
            </w:pPr>
            <w:r w:rsidRPr="006C7FAE">
              <w:rPr>
                <w:rFonts w:eastAsia="Calibri"/>
                <w:b/>
                <w:bCs/>
                <w:color w:val="000000"/>
              </w:rPr>
              <w:t>Per Annum</w:t>
            </w:r>
          </w:p>
        </w:tc>
        <w:tc>
          <w:tcPr>
            <w:tcW w:w="11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7E9EA1E8" w14:textId="77777777">
            <w:pPr>
              <w:adjustRightInd/>
              <w:jc w:val="center"/>
              <w:textAlignment w:val="auto"/>
              <w:rPr>
                <w:rFonts w:eastAsia="Calibri"/>
                <w:b/>
                <w:bCs/>
                <w:color w:val="000000"/>
              </w:rPr>
            </w:pPr>
            <w:r w:rsidRPr="006C7FAE">
              <w:rPr>
                <w:rFonts w:eastAsia="Calibri"/>
                <w:b/>
                <w:bCs/>
                <w:color w:val="000000"/>
              </w:rPr>
              <w:t>Burden Hour Per Response</w:t>
            </w:r>
          </w:p>
        </w:tc>
        <w:tc>
          <w:tcPr>
            <w:tcW w:w="92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26B647B4" w14:textId="77777777">
            <w:pPr>
              <w:adjustRightInd/>
              <w:jc w:val="center"/>
              <w:textAlignment w:val="auto"/>
              <w:rPr>
                <w:rFonts w:eastAsia="Calibri"/>
                <w:b/>
                <w:bCs/>
                <w:color w:val="000000"/>
              </w:rPr>
            </w:pPr>
            <w:r w:rsidRPr="006C7FAE">
              <w:rPr>
                <w:rFonts w:eastAsia="Calibri"/>
                <w:b/>
                <w:bCs/>
                <w:color w:val="000000"/>
              </w:rPr>
              <w:t>Annual Burden Hours</w:t>
            </w:r>
          </w:p>
        </w:tc>
        <w:tc>
          <w:tcPr>
            <w:tcW w:w="11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6C7FAE" w:rsidR="00167E53" w:rsidP="00167E53" w:rsidRDefault="00167E53" w14:paraId="39E99923" w14:textId="77777777">
            <w:pPr>
              <w:adjustRightInd/>
              <w:jc w:val="center"/>
              <w:textAlignment w:val="auto"/>
              <w:rPr>
                <w:rFonts w:eastAsia="Calibri"/>
                <w:b/>
                <w:bCs/>
                <w:color w:val="000000"/>
              </w:rPr>
            </w:pPr>
            <w:r w:rsidRPr="006C7FAE">
              <w:rPr>
                <w:rFonts w:eastAsia="Calibri"/>
                <w:b/>
                <w:bCs/>
                <w:color w:val="000000"/>
              </w:rPr>
              <w:t>Hourly Cost Per Response</w:t>
            </w:r>
          </w:p>
        </w:tc>
        <w:tc>
          <w:tcPr>
            <w:tcW w:w="1041"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6C7FAE" w:rsidR="00167E53" w:rsidP="00167E53" w:rsidRDefault="00167E53" w14:paraId="51A497E6" w14:textId="77777777">
            <w:pPr>
              <w:overflowPunct/>
              <w:autoSpaceDE/>
              <w:autoSpaceDN/>
              <w:adjustRightInd/>
              <w:jc w:val="center"/>
              <w:textAlignment w:val="auto"/>
              <w:rPr>
                <w:rFonts w:eastAsia="Calibri"/>
                <w:b/>
                <w:bCs/>
                <w:color w:val="000000"/>
              </w:rPr>
            </w:pPr>
            <w:r w:rsidRPr="006C7FAE">
              <w:rPr>
                <w:rFonts w:eastAsia="Calibri"/>
                <w:b/>
                <w:bCs/>
                <w:color w:val="000000"/>
              </w:rPr>
              <w:t>Annual Cost</w:t>
            </w:r>
          </w:p>
          <w:p w:rsidRPr="006C7FAE" w:rsidR="00167E53" w:rsidP="00167E53" w:rsidRDefault="00167E53" w14:paraId="326437A2" w14:textId="77777777">
            <w:pPr>
              <w:adjustRightInd/>
              <w:jc w:val="center"/>
              <w:textAlignment w:val="auto"/>
              <w:rPr>
                <w:rFonts w:eastAsia="Calibri"/>
                <w:b/>
                <w:bCs/>
                <w:color w:val="000000"/>
              </w:rPr>
            </w:pPr>
          </w:p>
        </w:tc>
      </w:tr>
      <w:tr w:rsidRPr="006C7FAE" w:rsidR="00167E53" w:rsidTr="00167E53" w14:paraId="24EB8630" w14:textId="77777777">
        <w:tc>
          <w:tcPr>
            <w:tcW w:w="1469"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6C7FAE" w:rsidR="00167E53" w:rsidP="00167E53" w:rsidRDefault="00B6444B" w14:paraId="10DF04C7" w14:textId="77777777">
            <w:pPr>
              <w:adjustRightInd/>
              <w:textAlignment w:val="auto"/>
              <w:rPr>
                <w:rFonts w:eastAsia="Calibri"/>
                <w:b/>
                <w:bCs/>
                <w:color w:val="000000"/>
              </w:rPr>
            </w:pPr>
            <w:r>
              <w:rPr>
                <w:rFonts w:eastAsia="Calibri"/>
                <w:b/>
                <w:bCs/>
                <w:color w:val="000000"/>
              </w:rPr>
              <w:t>HUD</w:t>
            </w:r>
            <w:r w:rsidR="00D761DF">
              <w:rPr>
                <w:rFonts w:eastAsia="Calibri"/>
                <w:b/>
                <w:bCs/>
                <w:color w:val="000000"/>
              </w:rPr>
              <w:t>-</w:t>
            </w:r>
            <w:r>
              <w:rPr>
                <w:rFonts w:eastAsia="Calibri"/>
                <w:b/>
                <w:bCs/>
                <w:color w:val="000000"/>
              </w:rPr>
              <w:t>4052</w:t>
            </w:r>
          </w:p>
        </w:tc>
        <w:tc>
          <w:tcPr>
            <w:tcW w:w="1419" w:type="dxa"/>
            <w:tcBorders>
              <w:top w:val="nil"/>
              <w:left w:val="nil"/>
              <w:bottom w:val="single" w:color="auto" w:sz="8" w:space="0"/>
              <w:right w:val="single" w:color="auto" w:sz="8" w:space="0"/>
            </w:tcBorders>
            <w:tcMar>
              <w:top w:w="0" w:type="dxa"/>
              <w:left w:w="108" w:type="dxa"/>
              <w:bottom w:w="0" w:type="dxa"/>
              <w:right w:w="108" w:type="dxa"/>
            </w:tcMar>
          </w:tcPr>
          <w:p w:rsidRPr="006C7FAE" w:rsidR="00167E53" w:rsidP="00167E53" w:rsidRDefault="00B6444B" w14:paraId="56C6FFFD" w14:textId="77777777">
            <w:pPr>
              <w:adjustRightInd/>
              <w:jc w:val="center"/>
              <w:textAlignment w:val="auto"/>
              <w:rPr>
                <w:rFonts w:eastAsia="Calibri"/>
                <w:b/>
                <w:bCs/>
                <w:color w:val="000000"/>
              </w:rPr>
            </w:pPr>
            <w:r>
              <w:rPr>
                <w:rFonts w:eastAsia="Calibri"/>
                <w:b/>
                <w:bCs/>
                <w:color w:val="000000"/>
              </w:rPr>
              <w:t>40</w:t>
            </w:r>
          </w:p>
        </w:tc>
        <w:tc>
          <w:tcPr>
            <w:tcW w:w="1224" w:type="dxa"/>
            <w:tcBorders>
              <w:top w:val="nil"/>
              <w:left w:val="nil"/>
              <w:bottom w:val="single" w:color="auto" w:sz="8" w:space="0"/>
              <w:right w:val="single" w:color="auto" w:sz="8" w:space="0"/>
            </w:tcBorders>
            <w:tcMar>
              <w:top w:w="0" w:type="dxa"/>
              <w:left w:w="108" w:type="dxa"/>
              <w:bottom w:w="0" w:type="dxa"/>
              <w:right w:w="108" w:type="dxa"/>
            </w:tcMar>
          </w:tcPr>
          <w:p w:rsidRPr="006C7FAE" w:rsidR="00167E53" w:rsidP="00167E53" w:rsidRDefault="00B6444B" w14:paraId="2B576181" w14:textId="77777777">
            <w:pPr>
              <w:adjustRightInd/>
              <w:jc w:val="center"/>
              <w:textAlignment w:val="auto"/>
              <w:rPr>
                <w:rFonts w:eastAsia="Calibri"/>
                <w:b/>
                <w:bCs/>
                <w:color w:val="000000"/>
              </w:rPr>
            </w:pPr>
            <w:r>
              <w:rPr>
                <w:rFonts w:eastAsia="Calibri"/>
                <w:b/>
                <w:bCs/>
                <w:color w:val="000000"/>
              </w:rPr>
              <w:t>1.0</w:t>
            </w:r>
          </w:p>
        </w:tc>
        <w:tc>
          <w:tcPr>
            <w:tcW w:w="1186" w:type="dxa"/>
            <w:tcBorders>
              <w:top w:val="nil"/>
              <w:left w:val="nil"/>
              <w:bottom w:val="single" w:color="auto" w:sz="8" w:space="0"/>
              <w:right w:val="single" w:color="auto" w:sz="8" w:space="0"/>
            </w:tcBorders>
            <w:tcMar>
              <w:top w:w="0" w:type="dxa"/>
              <w:left w:w="108" w:type="dxa"/>
              <w:bottom w:w="0" w:type="dxa"/>
              <w:right w:w="108" w:type="dxa"/>
            </w:tcMar>
          </w:tcPr>
          <w:p w:rsidRPr="006C7FAE" w:rsidR="00167E53" w:rsidP="00167E53" w:rsidRDefault="00B6444B" w14:paraId="52446E79" w14:textId="77777777">
            <w:pPr>
              <w:adjustRightInd/>
              <w:jc w:val="center"/>
              <w:textAlignment w:val="auto"/>
              <w:rPr>
                <w:rFonts w:eastAsia="Calibri"/>
                <w:b/>
                <w:bCs/>
                <w:color w:val="000000"/>
              </w:rPr>
            </w:pPr>
            <w:r>
              <w:rPr>
                <w:rFonts w:eastAsia="Calibri"/>
                <w:b/>
                <w:bCs/>
                <w:color w:val="000000"/>
              </w:rPr>
              <w:t>40</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Pr="006C7FAE" w:rsidR="00167E53" w:rsidP="00167E53" w:rsidRDefault="00B6444B" w14:paraId="264F0548" w14:textId="77777777">
            <w:pPr>
              <w:adjustRightInd/>
              <w:jc w:val="center"/>
              <w:textAlignment w:val="auto"/>
              <w:rPr>
                <w:rFonts w:eastAsia="Calibri"/>
                <w:b/>
                <w:bCs/>
                <w:color w:val="000000"/>
              </w:rPr>
            </w:pPr>
            <w:r>
              <w:rPr>
                <w:rFonts w:eastAsia="Calibri"/>
                <w:b/>
                <w:bCs/>
                <w:color w:val="000000"/>
              </w:rPr>
              <w:t>2.0</w:t>
            </w:r>
          </w:p>
        </w:tc>
        <w:tc>
          <w:tcPr>
            <w:tcW w:w="929" w:type="dxa"/>
            <w:tcBorders>
              <w:top w:val="nil"/>
              <w:left w:val="nil"/>
              <w:bottom w:val="single" w:color="auto" w:sz="8" w:space="0"/>
              <w:right w:val="single" w:color="auto" w:sz="8" w:space="0"/>
            </w:tcBorders>
            <w:tcMar>
              <w:top w:w="0" w:type="dxa"/>
              <w:left w:w="108" w:type="dxa"/>
              <w:bottom w:w="0" w:type="dxa"/>
              <w:right w:w="108" w:type="dxa"/>
            </w:tcMar>
          </w:tcPr>
          <w:p w:rsidRPr="006C7FAE" w:rsidR="00167E53" w:rsidP="00167E53" w:rsidRDefault="00B6444B" w14:paraId="408A4F28" w14:textId="77777777">
            <w:pPr>
              <w:adjustRightInd/>
              <w:jc w:val="center"/>
              <w:textAlignment w:val="auto"/>
              <w:rPr>
                <w:rFonts w:eastAsia="Calibri"/>
                <w:b/>
                <w:bCs/>
                <w:color w:val="000000"/>
              </w:rPr>
            </w:pPr>
            <w:r>
              <w:rPr>
                <w:rFonts w:eastAsia="Calibri"/>
                <w:b/>
                <w:bCs/>
                <w:color w:val="000000"/>
              </w:rPr>
              <w:t>80</w:t>
            </w:r>
          </w:p>
        </w:tc>
        <w:tc>
          <w:tcPr>
            <w:tcW w:w="1100" w:type="dxa"/>
            <w:tcBorders>
              <w:top w:val="nil"/>
              <w:left w:val="nil"/>
              <w:bottom w:val="single" w:color="auto" w:sz="8" w:space="0"/>
              <w:right w:val="single" w:color="auto" w:sz="8" w:space="0"/>
            </w:tcBorders>
            <w:tcMar>
              <w:top w:w="0" w:type="dxa"/>
              <w:left w:w="108" w:type="dxa"/>
              <w:bottom w:w="0" w:type="dxa"/>
              <w:right w:w="108" w:type="dxa"/>
            </w:tcMar>
          </w:tcPr>
          <w:p w:rsidRPr="006C7FAE" w:rsidR="00167E53" w:rsidP="00167E53" w:rsidRDefault="00B6444B" w14:paraId="150B8D9F" w14:textId="77777777">
            <w:pPr>
              <w:adjustRightInd/>
              <w:jc w:val="right"/>
              <w:textAlignment w:val="auto"/>
              <w:rPr>
                <w:rFonts w:eastAsia="Calibri"/>
                <w:b/>
                <w:bCs/>
                <w:color w:val="000000"/>
              </w:rPr>
            </w:pPr>
            <w:r>
              <w:rPr>
                <w:rFonts w:eastAsia="Calibri"/>
                <w:b/>
                <w:bCs/>
                <w:color w:val="000000"/>
              </w:rPr>
              <w:t>$43.04</w:t>
            </w:r>
          </w:p>
        </w:tc>
        <w:tc>
          <w:tcPr>
            <w:tcW w:w="1041" w:type="dxa"/>
            <w:tcBorders>
              <w:top w:val="nil"/>
              <w:left w:val="nil"/>
              <w:bottom w:val="single" w:color="auto" w:sz="8" w:space="0"/>
              <w:right w:val="single" w:color="auto" w:sz="8" w:space="0"/>
            </w:tcBorders>
            <w:tcMar>
              <w:top w:w="0" w:type="dxa"/>
              <w:left w:w="108" w:type="dxa"/>
              <w:bottom w:w="0" w:type="dxa"/>
              <w:right w:w="108" w:type="dxa"/>
            </w:tcMar>
          </w:tcPr>
          <w:p w:rsidRPr="006C7FAE" w:rsidR="00167E53" w:rsidP="00167E53" w:rsidRDefault="00B6444B" w14:paraId="7744C94D" w14:textId="77777777">
            <w:pPr>
              <w:adjustRightInd/>
              <w:jc w:val="right"/>
              <w:textAlignment w:val="auto"/>
              <w:rPr>
                <w:rFonts w:eastAsia="Calibri"/>
                <w:b/>
                <w:bCs/>
                <w:color w:val="000000"/>
              </w:rPr>
            </w:pPr>
            <w:r>
              <w:rPr>
                <w:rFonts w:eastAsia="Calibri"/>
                <w:b/>
                <w:bCs/>
                <w:color w:val="000000"/>
              </w:rPr>
              <w:t>$3,443.20</w:t>
            </w:r>
          </w:p>
        </w:tc>
      </w:tr>
    </w:tbl>
    <w:p w:rsidR="009E13B1" w:rsidP="00167E53" w:rsidRDefault="00FF5AB7" w14:paraId="7A87929C" w14:textId="77777777">
      <w:pPr>
        <w:keepLines/>
        <w:tabs>
          <w:tab w:val="left" w:pos="360"/>
          <w:tab w:val="left" w:pos="720"/>
        </w:tabs>
        <w:ind w:left="720"/>
      </w:pPr>
      <w:r w:rsidRPr="00FF5AB7">
        <w:t>GS-12 step 1</w:t>
      </w:r>
    </w:p>
    <w:p w:rsidRPr="006C7FAE" w:rsidR="00FF5AB7" w:rsidP="00167E53" w:rsidRDefault="00FF5AB7" w14:paraId="3E106D33" w14:textId="77777777">
      <w:pPr>
        <w:keepLines/>
        <w:tabs>
          <w:tab w:val="left" w:pos="360"/>
          <w:tab w:val="left" w:pos="720"/>
        </w:tabs>
        <w:ind w:left="720"/>
      </w:pPr>
    </w:p>
    <w:p w:rsidR="009E13B1" w:rsidRDefault="009E13B1" w14:paraId="173A0131" w14:textId="77777777">
      <w:pPr>
        <w:keepLines/>
        <w:tabs>
          <w:tab w:val="left" w:pos="360"/>
        </w:tabs>
        <w:spacing w:after="80"/>
        <w:ind w:left="360" w:hanging="360"/>
        <w:rPr>
          <w:sz w:val="24"/>
          <w:szCs w:val="24"/>
        </w:rPr>
      </w:pPr>
      <w:r w:rsidRPr="006C7FAE">
        <w:rPr>
          <w:sz w:val="24"/>
          <w:szCs w:val="24"/>
        </w:rPr>
        <w:t>15.</w:t>
      </w:r>
      <w:r w:rsidRPr="006C7FAE">
        <w:rPr>
          <w:sz w:val="24"/>
          <w:szCs w:val="24"/>
        </w:rPr>
        <w:tab/>
        <w:t>Explain the reasons for any program changes or adjustments reported in Items 13 and 14 of the OMB Form 83-I.</w:t>
      </w:r>
    </w:p>
    <w:p w:rsidR="00301BD6" w:rsidP="006E7345" w:rsidRDefault="00301BD6" w14:paraId="274C691A" w14:textId="77777777">
      <w:pPr>
        <w:pStyle w:val="NoSpacing"/>
      </w:pPr>
    </w:p>
    <w:p w:rsidRPr="00B6444B" w:rsidR="00B6444B" w:rsidP="00B6444B" w:rsidRDefault="00B6444B" w14:paraId="3968DC0B" w14:textId="77777777">
      <w:pPr>
        <w:overflowPunct/>
        <w:autoSpaceDE/>
        <w:autoSpaceDN/>
        <w:adjustRightInd/>
        <w:ind w:left="360"/>
        <w:textAlignment w:val="auto"/>
        <w:rPr>
          <w:rFonts w:eastAsia="Calibri"/>
          <w:sz w:val="24"/>
          <w:szCs w:val="24"/>
        </w:rPr>
      </w:pPr>
      <w:r w:rsidRPr="00B6444B">
        <w:rPr>
          <w:rFonts w:eastAsia="Calibri"/>
          <w:sz w:val="24"/>
          <w:szCs w:val="24"/>
        </w:rPr>
        <w:t>**This is an extension without change of a currently approved collection. The decrease in the number of hours reflects that the program has phased out and grantees do not require as much time to complete the Program Assessment Report.  Most grants are complete and closed out. Since there are so few active grants and respondents must only report on program income the time for reporting has also decreased.  The hourly cost to the Government is based on calculating a GS-12s hourly rate in the field times the hours to review the Performance Assessment Report.</w:t>
      </w:r>
    </w:p>
    <w:p w:rsidRPr="006C7FAE" w:rsidR="009E13B1" w:rsidRDefault="009E13B1" w14:paraId="06CE646C" w14:textId="77777777">
      <w:pPr>
        <w:keepLines/>
        <w:tabs>
          <w:tab w:val="left" w:pos="360"/>
          <w:tab w:val="left" w:pos="720"/>
        </w:tabs>
        <w:ind w:left="360"/>
        <w:rPr>
          <w:sz w:val="24"/>
          <w:szCs w:val="24"/>
        </w:rPr>
      </w:pPr>
    </w:p>
    <w:p w:rsidR="009E13B1" w:rsidP="00FF5AB7" w:rsidRDefault="009E13B1" w14:paraId="36EF2F38" w14:textId="77777777">
      <w:pPr>
        <w:keepLines/>
        <w:tabs>
          <w:tab w:val="left" w:pos="360"/>
        </w:tabs>
        <w:spacing w:after="80"/>
        <w:ind w:left="360" w:hanging="360"/>
        <w:rPr>
          <w:sz w:val="24"/>
          <w:szCs w:val="24"/>
        </w:rPr>
      </w:pPr>
      <w:r w:rsidRPr="006C7FAE">
        <w:rPr>
          <w:sz w:val="24"/>
          <w:szCs w:val="24"/>
        </w:rPr>
        <w:t>16.</w:t>
      </w:r>
      <w:r w:rsidRPr="006C7FAE">
        <w:rPr>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F5AB7" w:rsidP="00FF5AB7" w:rsidRDefault="00FF5AB7" w14:paraId="10F342BA" w14:textId="77777777">
      <w:pPr>
        <w:keepLines/>
        <w:tabs>
          <w:tab w:val="left" w:pos="360"/>
        </w:tabs>
        <w:spacing w:after="80"/>
        <w:ind w:left="360" w:hanging="360"/>
        <w:rPr>
          <w:sz w:val="24"/>
          <w:szCs w:val="24"/>
        </w:rPr>
      </w:pPr>
    </w:p>
    <w:p w:rsidR="00E564F2" w:rsidP="00E564F2" w:rsidRDefault="00E564F2" w14:paraId="5F5382B4" w14:textId="77777777">
      <w:pPr>
        <w:overflowPunct/>
        <w:autoSpaceDE/>
        <w:autoSpaceDN/>
        <w:adjustRightInd/>
        <w:ind w:left="360"/>
        <w:textAlignment w:val="auto"/>
        <w:rPr>
          <w:rFonts w:eastAsia="Calibri"/>
          <w:sz w:val="24"/>
          <w:szCs w:val="24"/>
        </w:rPr>
      </w:pPr>
      <w:r w:rsidRPr="00E564F2">
        <w:rPr>
          <w:rFonts w:eastAsia="Calibri"/>
          <w:sz w:val="24"/>
          <w:szCs w:val="24"/>
        </w:rPr>
        <w:t>The information collected is not for statistical use nor does its collection use statistical methods and will not be published.</w:t>
      </w:r>
    </w:p>
    <w:p w:rsidR="006E7345" w:rsidP="00E564F2" w:rsidRDefault="006E7345" w14:paraId="21CA28E1" w14:textId="77777777">
      <w:pPr>
        <w:overflowPunct/>
        <w:autoSpaceDE/>
        <w:autoSpaceDN/>
        <w:adjustRightInd/>
        <w:ind w:left="360"/>
        <w:textAlignment w:val="auto"/>
        <w:rPr>
          <w:rFonts w:eastAsia="Calibri"/>
          <w:sz w:val="24"/>
          <w:szCs w:val="24"/>
        </w:rPr>
      </w:pPr>
    </w:p>
    <w:p w:rsidR="006E7345" w:rsidP="00E564F2" w:rsidRDefault="006E7345" w14:paraId="638F1262" w14:textId="77777777">
      <w:pPr>
        <w:overflowPunct/>
        <w:autoSpaceDE/>
        <w:autoSpaceDN/>
        <w:adjustRightInd/>
        <w:ind w:left="360"/>
        <w:textAlignment w:val="auto"/>
        <w:rPr>
          <w:rFonts w:eastAsia="Calibri"/>
          <w:sz w:val="24"/>
          <w:szCs w:val="24"/>
        </w:rPr>
      </w:pPr>
    </w:p>
    <w:p w:rsidR="006E7345" w:rsidRDefault="006E7345" w14:paraId="02C120DB" w14:textId="77777777">
      <w:pPr>
        <w:keepLines/>
        <w:tabs>
          <w:tab w:val="left" w:pos="360"/>
        </w:tabs>
        <w:spacing w:after="80"/>
        <w:ind w:left="360" w:hanging="360"/>
        <w:rPr>
          <w:sz w:val="24"/>
          <w:szCs w:val="24"/>
        </w:rPr>
      </w:pPr>
    </w:p>
    <w:p w:rsidRPr="006C7FAE" w:rsidR="009E13B1" w:rsidRDefault="009E13B1" w14:paraId="46163093" w14:textId="77777777">
      <w:pPr>
        <w:keepLines/>
        <w:tabs>
          <w:tab w:val="left" w:pos="360"/>
        </w:tabs>
        <w:spacing w:after="80"/>
        <w:ind w:left="360" w:hanging="360"/>
        <w:rPr>
          <w:sz w:val="24"/>
          <w:szCs w:val="24"/>
        </w:rPr>
      </w:pPr>
      <w:r w:rsidRPr="006C7FAE">
        <w:rPr>
          <w:sz w:val="24"/>
          <w:szCs w:val="24"/>
        </w:rPr>
        <w:t>17.</w:t>
      </w:r>
      <w:r w:rsidRPr="006C7FAE">
        <w:rPr>
          <w:sz w:val="24"/>
          <w:szCs w:val="24"/>
        </w:rPr>
        <w:tab/>
        <w:t>If seeking approval to not display the expiration date for OMB approval of the information collection, explain the reasons that display would be inappropriate.</w:t>
      </w:r>
    </w:p>
    <w:p w:rsidRPr="00E564F2" w:rsidR="00E564F2" w:rsidP="00E564F2" w:rsidRDefault="00E564F2" w14:paraId="5C524807" w14:textId="77777777">
      <w:pPr>
        <w:overflowPunct/>
        <w:autoSpaceDE/>
        <w:autoSpaceDN/>
        <w:adjustRightInd/>
        <w:textAlignment w:val="auto"/>
        <w:rPr>
          <w:rFonts w:eastAsia="Calibri"/>
          <w:sz w:val="24"/>
          <w:szCs w:val="24"/>
        </w:rPr>
      </w:pPr>
    </w:p>
    <w:p w:rsidRPr="00E564F2" w:rsidR="00E564F2" w:rsidP="00E564F2" w:rsidRDefault="00E564F2" w14:paraId="5BA2101B" w14:textId="77777777">
      <w:pPr>
        <w:overflowPunct/>
        <w:autoSpaceDE/>
        <w:autoSpaceDN/>
        <w:adjustRightInd/>
        <w:ind w:left="360"/>
        <w:textAlignment w:val="auto"/>
        <w:rPr>
          <w:rFonts w:eastAsia="Calibri"/>
          <w:sz w:val="24"/>
          <w:szCs w:val="24"/>
        </w:rPr>
      </w:pPr>
      <w:r w:rsidRPr="00E564F2">
        <w:rPr>
          <w:rFonts w:eastAsia="Calibri"/>
          <w:sz w:val="24"/>
          <w:szCs w:val="24"/>
        </w:rPr>
        <w:t>We are not seeking approval to not display the expiration date for OMB.</w:t>
      </w:r>
    </w:p>
    <w:p w:rsidRPr="006C7FAE" w:rsidR="009E13B1" w:rsidRDefault="009E13B1" w14:paraId="7350B44C" w14:textId="77777777">
      <w:pPr>
        <w:keepLines/>
        <w:tabs>
          <w:tab w:val="left" w:pos="360"/>
          <w:tab w:val="left" w:pos="720"/>
        </w:tabs>
        <w:ind w:left="360"/>
        <w:rPr>
          <w:sz w:val="24"/>
          <w:szCs w:val="24"/>
        </w:rPr>
      </w:pPr>
    </w:p>
    <w:p w:rsidRPr="006C7FAE" w:rsidR="009E13B1" w:rsidRDefault="009E13B1" w14:paraId="7A21B54D" w14:textId="77777777">
      <w:pPr>
        <w:keepLines/>
        <w:tabs>
          <w:tab w:val="left" w:pos="360"/>
        </w:tabs>
        <w:spacing w:after="80"/>
        <w:ind w:left="360" w:hanging="360"/>
        <w:rPr>
          <w:rFonts w:ascii="Courier" w:hAnsi="Courier"/>
          <w:sz w:val="24"/>
          <w:szCs w:val="24"/>
        </w:rPr>
      </w:pPr>
      <w:r w:rsidRPr="006C7FAE">
        <w:rPr>
          <w:sz w:val="24"/>
          <w:szCs w:val="24"/>
        </w:rPr>
        <w:t>18.</w:t>
      </w:r>
      <w:r w:rsidRPr="006C7FAE">
        <w:rPr>
          <w:sz w:val="24"/>
          <w:szCs w:val="24"/>
        </w:rPr>
        <w:tab/>
        <w:t>Explain each exception to the certification statement identified in item 19.</w:t>
      </w:r>
    </w:p>
    <w:p w:rsidRPr="00E564F2" w:rsidR="00E564F2" w:rsidP="00E564F2" w:rsidRDefault="00E564F2" w14:paraId="7A35482D" w14:textId="77777777">
      <w:pPr>
        <w:overflowPunct/>
        <w:autoSpaceDE/>
        <w:autoSpaceDN/>
        <w:adjustRightInd/>
        <w:ind w:left="360"/>
        <w:textAlignment w:val="auto"/>
        <w:rPr>
          <w:rFonts w:eastAsia="Calibri"/>
          <w:sz w:val="24"/>
          <w:szCs w:val="24"/>
        </w:rPr>
      </w:pPr>
      <w:r w:rsidRPr="00E564F2">
        <w:rPr>
          <w:rFonts w:eastAsia="Calibri"/>
          <w:sz w:val="24"/>
          <w:szCs w:val="24"/>
        </w:rPr>
        <w:t>There are no exceptions to the signed certification</w:t>
      </w:r>
    </w:p>
    <w:p w:rsidRPr="006C7FAE" w:rsidR="009E13B1" w:rsidRDefault="009E13B1" w14:paraId="691ED444" w14:textId="77777777">
      <w:pPr>
        <w:tabs>
          <w:tab w:val="left" w:pos="360"/>
          <w:tab w:val="left" w:pos="720"/>
        </w:tabs>
        <w:rPr>
          <w:sz w:val="24"/>
          <w:szCs w:val="24"/>
        </w:rPr>
      </w:pPr>
    </w:p>
    <w:p w:rsidR="009E13B1" w:rsidP="00167E53" w:rsidRDefault="009E13B1" w14:paraId="5EC22086" w14:textId="77777777">
      <w:pPr>
        <w:keepLines/>
        <w:pBdr>
          <w:top w:val="single" w:color="auto" w:sz="6" w:space="1"/>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szCs w:val="24"/>
        </w:rPr>
      </w:pPr>
      <w:r w:rsidRPr="006C7FAE">
        <w:rPr>
          <w:rFonts w:ascii="Helvetica" w:hAnsi="Helvetica"/>
          <w:b/>
          <w:sz w:val="24"/>
          <w:szCs w:val="24"/>
        </w:rPr>
        <w:t xml:space="preserve">B. </w:t>
      </w:r>
      <w:r w:rsidRPr="006C7FAE">
        <w:rPr>
          <w:rFonts w:ascii="Helvetica" w:hAnsi="Helvetica"/>
          <w:b/>
          <w:sz w:val="24"/>
          <w:szCs w:val="24"/>
        </w:rPr>
        <w:tab/>
        <w:t>Collections of Information Employing Statistical Methods</w:t>
      </w:r>
    </w:p>
    <w:p w:rsidRPr="00E564F2" w:rsidR="00E564F2" w:rsidP="006E7345" w:rsidRDefault="00E564F2" w14:paraId="58669D21" w14:textId="77777777">
      <w:pPr>
        <w:pStyle w:val="Body"/>
        <w:rPr>
          <w:bCs/>
          <w:sz w:val="24"/>
          <w:szCs w:val="24"/>
        </w:rPr>
      </w:pPr>
      <w:r>
        <w:rPr>
          <w:rFonts w:ascii="Times New Roman" w:hAnsi="Times New Roman" w:cs="Times New Roman"/>
          <w:sz w:val="24"/>
          <w:szCs w:val="24"/>
        </w:rPr>
        <w:t xml:space="preserve">The information collected is not for statistical use nor does the collection use statistical methods. </w:t>
      </w:r>
    </w:p>
    <w:sectPr w:rsidRPr="00E564F2" w:rsidR="00E564F2" w:rsidSect="006C7FAE">
      <w:headerReference w:type="default" r:id="rId11"/>
      <w:pgSz w:w="12240" w:h="15840"/>
      <w:pgMar w:top="1440" w:right="1440" w:bottom="1440" w:left="900" w:header="480" w:footer="480" w:gutter="0"/>
      <w:cols w:equalWidth="0" w:space="480">
        <w:col w:w="10080"/>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587A9" w14:textId="77777777" w:rsidR="00371ECF" w:rsidRDefault="00371ECF">
      <w:r>
        <w:separator/>
      </w:r>
    </w:p>
  </w:endnote>
  <w:endnote w:type="continuationSeparator" w:id="0">
    <w:p w14:paraId="5D9A8072" w14:textId="77777777" w:rsidR="00371ECF" w:rsidRDefault="00371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4792A" w14:textId="77777777" w:rsidR="00371ECF" w:rsidRDefault="00371ECF">
      <w:r>
        <w:separator/>
      </w:r>
    </w:p>
  </w:footnote>
  <w:footnote w:type="continuationSeparator" w:id="0">
    <w:p w14:paraId="31C8C05F" w14:textId="77777777" w:rsidR="00371ECF" w:rsidRDefault="00371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4A479" w14:textId="77777777" w:rsidR="009E13B1" w:rsidRDefault="009E13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15:restartNumberingAfterBreak="0">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15:restartNumberingAfterBreak="0">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15:restartNumberingAfterBreak="0">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15:restartNumberingAfterBreak="0">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7" w15:restartNumberingAfterBreak="0">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8" w15:restartNumberingAfterBreak="0">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9"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0"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1"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1223100796">
    <w:abstractNumId w:val="4"/>
  </w:num>
  <w:num w:numId="2" w16cid:durableId="501816628">
    <w:abstractNumId w:val="2"/>
  </w:num>
  <w:num w:numId="3" w16cid:durableId="42682028">
    <w:abstractNumId w:val="8"/>
  </w:num>
  <w:num w:numId="4" w16cid:durableId="1822115686">
    <w:abstractNumId w:val="5"/>
  </w:num>
  <w:num w:numId="5" w16cid:durableId="1217745547">
    <w:abstractNumId w:val="6"/>
  </w:num>
  <w:num w:numId="6" w16cid:durableId="1609316260">
    <w:abstractNumId w:val="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014958727">
    <w:abstractNumId w:val="3"/>
  </w:num>
  <w:num w:numId="8" w16cid:durableId="76757586">
    <w:abstractNumId w:val="11"/>
  </w:num>
  <w:num w:numId="9" w16cid:durableId="293020925">
    <w:abstractNumId w:val="1"/>
  </w:num>
  <w:num w:numId="10" w16cid:durableId="986326358">
    <w:abstractNumId w:val="10"/>
  </w:num>
  <w:num w:numId="11" w16cid:durableId="333149708">
    <w:abstractNumId w:val="9"/>
  </w:num>
  <w:num w:numId="12" w16cid:durableId="1967153597">
    <w:abstractNumId w:val="9"/>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1687750615">
    <w:abstractNumId w:val="7"/>
  </w:num>
  <w:num w:numId="14" w16cid:durableId="1833374769">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attachedTemplate r:id="rId1"/>
  <w:defaultTabStop w:val="720"/>
  <w:drawingGridHorizontalSpacing w:val="120"/>
  <w:drawingGridVerticalSpacing w:val="120"/>
  <w:displayVerticalDrawingGridEvery w:val="0"/>
  <w:doNotUseMarginsForDrawingGridOrigin/>
  <w:noPunctuationKerning/>
  <w:characterSpacingControl w:val="doNotCompress"/>
  <w:savePreviewPicture/>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A1639"/>
    <w:rsid w:val="000E00A8"/>
    <w:rsid w:val="000E2A89"/>
    <w:rsid w:val="00130591"/>
    <w:rsid w:val="00167E53"/>
    <w:rsid w:val="002E0016"/>
    <w:rsid w:val="002F6CE8"/>
    <w:rsid w:val="00301BD6"/>
    <w:rsid w:val="00360090"/>
    <w:rsid w:val="00371ECF"/>
    <w:rsid w:val="00450591"/>
    <w:rsid w:val="00451844"/>
    <w:rsid w:val="0057306D"/>
    <w:rsid w:val="00577C1D"/>
    <w:rsid w:val="00584638"/>
    <w:rsid w:val="00690C99"/>
    <w:rsid w:val="006B7674"/>
    <w:rsid w:val="006C7FAE"/>
    <w:rsid w:val="006E7345"/>
    <w:rsid w:val="008160BB"/>
    <w:rsid w:val="00932670"/>
    <w:rsid w:val="009574EC"/>
    <w:rsid w:val="009979DF"/>
    <w:rsid w:val="009E0C3E"/>
    <w:rsid w:val="009E13B1"/>
    <w:rsid w:val="00A256D9"/>
    <w:rsid w:val="00A71697"/>
    <w:rsid w:val="00AA372D"/>
    <w:rsid w:val="00B01940"/>
    <w:rsid w:val="00B04BA6"/>
    <w:rsid w:val="00B50AB8"/>
    <w:rsid w:val="00B62D87"/>
    <w:rsid w:val="00B6444B"/>
    <w:rsid w:val="00BC10AF"/>
    <w:rsid w:val="00CC2A68"/>
    <w:rsid w:val="00CE1567"/>
    <w:rsid w:val="00D47EDB"/>
    <w:rsid w:val="00D761DF"/>
    <w:rsid w:val="00D96983"/>
    <w:rsid w:val="00DE6977"/>
    <w:rsid w:val="00DF16D1"/>
    <w:rsid w:val="00E23729"/>
    <w:rsid w:val="00E564F2"/>
    <w:rsid w:val="00E674FA"/>
    <w:rsid w:val="00EE678A"/>
    <w:rsid w:val="00F27C8F"/>
    <w:rsid w:val="00FA467A"/>
    <w:rsid w:val="00FF5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568BC9"/>
  <w15:chartTrackingRefBased/>
  <w15:docId w15:val="{0E8C4F66-1171-4155-83E6-AA0FAC83E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NoSpacing">
    <w:name w:val="No Spacing"/>
    <w:uiPriority w:val="1"/>
    <w:qFormat/>
    <w:rsid w:val="008160BB"/>
    <w:rPr>
      <w:rFonts w:ascii="Calibri" w:eastAsia="Calibri" w:hAnsi="Calibri"/>
      <w:sz w:val="22"/>
      <w:szCs w:val="22"/>
    </w:rPr>
  </w:style>
  <w:style w:type="paragraph" w:customStyle="1" w:styleId="Body">
    <w:name w:val="Body"/>
    <w:rsid w:val="00E564F2"/>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styleId="Revision">
    <w:name w:val="Revision"/>
    <w:hidden/>
    <w:uiPriority w:val="99"/>
    <w:semiHidden/>
    <w:rsid w:val="002E0016"/>
  </w:style>
  <w:style w:type="character" w:styleId="CommentReference">
    <w:name w:val="annotation reference"/>
    <w:uiPriority w:val="99"/>
    <w:semiHidden/>
    <w:unhideWhenUsed/>
    <w:rsid w:val="00E23729"/>
    <w:rPr>
      <w:sz w:val="16"/>
      <w:szCs w:val="16"/>
    </w:rPr>
  </w:style>
  <w:style w:type="paragraph" w:styleId="CommentText">
    <w:name w:val="annotation text"/>
    <w:basedOn w:val="Normal"/>
    <w:link w:val="CommentTextChar"/>
    <w:uiPriority w:val="99"/>
    <w:semiHidden/>
    <w:unhideWhenUsed/>
    <w:rsid w:val="00E23729"/>
  </w:style>
  <w:style w:type="character" w:customStyle="1" w:styleId="CommentTextChar">
    <w:name w:val="Comment Text Char"/>
    <w:basedOn w:val="DefaultParagraphFont"/>
    <w:link w:val="CommentText"/>
    <w:uiPriority w:val="99"/>
    <w:semiHidden/>
    <w:rsid w:val="00E23729"/>
  </w:style>
  <w:style w:type="paragraph" w:styleId="CommentSubject">
    <w:name w:val="annotation subject"/>
    <w:basedOn w:val="CommentText"/>
    <w:next w:val="CommentText"/>
    <w:link w:val="CommentSubjectChar"/>
    <w:uiPriority w:val="99"/>
    <w:semiHidden/>
    <w:unhideWhenUsed/>
    <w:rsid w:val="00E23729"/>
    <w:rPr>
      <w:b/>
      <w:bCs/>
    </w:rPr>
  </w:style>
  <w:style w:type="character" w:customStyle="1" w:styleId="CommentSubjectChar">
    <w:name w:val="Comment Subject Char"/>
    <w:link w:val="CommentSubject"/>
    <w:uiPriority w:val="99"/>
    <w:semiHidden/>
    <w:rsid w:val="00E23729"/>
    <w:rPr>
      <w:b/>
      <w:bCs/>
    </w:rPr>
  </w:style>
  <w:style w:type="paragraph" w:styleId="ListParagraph">
    <w:name w:val="List Paragraph"/>
    <w:basedOn w:val="Normal"/>
    <w:uiPriority w:val="34"/>
    <w:qFormat/>
    <w:rsid w:val="00301BD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442313">
      <w:bodyDiv w:val="1"/>
      <w:marLeft w:val="0"/>
      <w:marRight w:val="0"/>
      <w:marTop w:val="0"/>
      <w:marBottom w:val="0"/>
      <w:divBdr>
        <w:top w:val="none" w:sz="0" w:space="0" w:color="auto"/>
        <w:left w:val="none" w:sz="0" w:space="0" w:color="auto"/>
        <w:bottom w:val="none" w:sz="0" w:space="0" w:color="auto"/>
        <w:right w:val="none" w:sz="0" w:space="0" w:color="auto"/>
      </w:divBdr>
    </w:div>
    <w:div w:id="165178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AII.OLD\FORMS\Reports_Mgmt\83-I-OM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09741A8F5D1744B8F355C0319762B2" ma:contentTypeVersion="7" ma:contentTypeDescription="Create a new document." ma:contentTypeScope="" ma:versionID="12e9485f5714061aa60711c5215a39ea">
  <xsd:schema xmlns:xsd="http://www.w3.org/2001/XMLSchema" xmlns:xs="http://www.w3.org/2001/XMLSchema" xmlns:p="http://schemas.microsoft.com/office/2006/metadata/properties" xmlns:ns1="http://schemas.microsoft.com/sharepoint/v3" xmlns:ns3="51ad384c-61e1-48b6-b520-bffb443a2cbe" xmlns:ns4="4f784cbe-f442-431f-bf6a-52b7be7ce386" targetNamespace="http://schemas.microsoft.com/office/2006/metadata/properties" ma:root="true" ma:fieldsID="3ebb3b2da4263f39d4955dfcd262e176" ns1:_="" ns3:_="" ns4:_="">
    <xsd:import namespace="http://schemas.microsoft.com/sharepoint/v3"/>
    <xsd:import namespace="51ad384c-61e1-48b6-b520-bffb443a2cbe"/>
    <xsd:import namespace="4f784cbe-f442-431f-bf6a-52b7be7ce386"/>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ad384c-61e1-48b6-b520-bffb443a2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784cbe-f442-431f-bf6a-52b7be7ce3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76DDE91-1BB9-4EE6-B3A2-7CB0C2BB8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1ad384c-61e1-48b6-b520-bffb443a2cbe"/>
    <ds:schemaRef ds:uri="4f784cbe-f442-431f-bf6a-52b7be7ce3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A44491-EBA2-4632-883E-419E11FBAD2C}">
  <ds:schemaRefs>
    <ds:schemaRef ds:uri="http://schemas.openxmlformats.org/officeDocument/2006/bibliography"/>
  </ds:schemaRefs>
</ds:datastoreItem>
</file>

<file path=customXml/itemProps3.xml><?xml version="1.0" encoding="utf-8"?>
<ds:datastoreItem xmlns:ds="http://schemas.openxmlformats.org/officeDocument/2006/customXml" ds:itemID="{4972DCA0-C5F0-4063-A4B0-A97EA07340E9}">
  <ds:schemaRefs>
    <ds:schemaRef ds:uri="http://schemas.microsoft.com/sharepoint/v3/contenttype/forms"/>
  </ds:schemaRefs>
</ds:datastoreItem>
</file>

<file path=customXml/itemProps4.xml><?xml version="1.0" encoding="utf-8"?>
<ds:datastoreItem xmlns:ds="http://schemas.openxmlformats.org/officeDocument/2006/customXml" ds:itemID="{5E234E2C-C6A8-48A4-AF83-56C156B5190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83-I-OMB</Template>
  <TotalTime>1</TotalTime>
  <Pages>6</Pages>
  <Words>2242</Words>
  <Characters>12784</Characters>
  <Application>Microsoft Office Word</Application>
  <DocSecurity>2</DocSecurity>
  <Lines>106</Lines>
  <Paragraphs>29</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HUDWARE II</dc:creator>
  <cp:keywords/>
  <cp:lastModifiedBy>Johnson, Urnell</cp:lastModifiedBy>
  <cp:revision>2</cp:revision>
  <cp:lastPrinted>2016-10-19T20:19:00Z</cp:lastPrinted>
  <dcterms:created xsi:type="dcterms:W3CDTF">2022-07-20T18:37:00Z</dcterms:created>
  <dcterms:modified xsi:type="dcterms:W3CDTF">2022-07-20T18:37:00Z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0x010100C209741A8F5D1744B8F355C0319762B2</vt:lpwstr>
  </property>
</Properties>
</file>