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4532D2" w:rsidP="00F15CCF" w14:paraId="25E4C894" w14:textId="77777777">
      <w:pPr>
        <w:jc w:val="center"/>
        <w:rPr>
          <w:b/>
          <w:sz w:val="24"/>
          <w:szCs w:val="24"/>
        </w:rPr>
      </w:pPr>
      <w:r w:rsidRPr="004532D2">
        <w:rPr>
          <w:b/>
          <w:sz w:val="24"/>
          <w:szCs w:val="24"/>
        </w:rPr>
        <w:t>Supporting Statement for Paperwork Reduction Act Submissions</w:t>
      </w:r>
    </w:p>
    <w:p w:rsidR="004532D2" w:rsidRPr="004532D2" w:rsidP="00F15CCF" w14:paraId="54EF8A1A" w14:textId="77777777">
      <w:pPr>
        <w:jc w:val="center"/>
        <w:rPr>
          <w:b/>
          <w:sz w:val="24"/>
          <w:szCs w:val="24"/>
        </w:rPr>
      </w:pPr>
      <w:r w:rsidRPr="004532D2">
        <w:rPr>
          <w:b/>
          <w:sz w:val="24"/>
          <w:szCs w:val="24"/>
        </w:rPr>
        <w:t>Continuum of Care Program Homeless Assistance Application—Technical Submission</w:t>
      </w:r>
    </w:p>
    <w:p w:rsidR="004532D2" w:rsidRPr="004532D2" w:rsidP="00F15CCF" w14:paraId="0491EFB6" w14:textId="77777777">
      <w:pPr>
        <w:jc w:val="center"/>
        <w:rPr>
          <w:b/>
          <w:sz w:val="24"/>
          <w:szCs w:val="24"/>
        </w:rPr>
      </w:pPr>
      <w:r w:rsidRPr="004532D2">
        <w:rPr>
          <w:b/>
          <w:sz w:val="24"/>
          <w:szCs w:val="24"/>
        </w:rPr>
        <w:t>OMB Number: 2506-0183</w:t>
      </w:r>
    </w:p>
    <w:p w:rsidR="009E13B1" w14:paraId="6DA5D6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E13B1" w14:paraId="0E19843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9E13B1" w:rsidP="00F15CCF" w14:paraId="03F1C431" w14:textId="77777777">
      <w:pPr>
        <w:rPr>
          <w:rFonts w:ascii="Courier" w:hAnsi="Courier"/>
          <w:sz w:val="18"/>
        </w:rPr>
      </w:pPr>
    </w:p>
    <w:p w:rsidR="009E13B1" w:rsidRPr="00DC3D21" w:rsidP="00F15CCF" w14:paraId="6D004498" w14:textId="77777777">
      <w:pPr>
        <w:keepLines/>
        <w:spacing w:after="80"/>
        <w:ind w:left="360" w:hanging="360"/>
        <w:rPr>
          <w:i/>
          <w:sz w:val="18"/>
        </w:rPr>
      </w:pPr>
      <w:r w:rsidRPr="00DC3D21">
        <w:rPr>
          <w:i/>
          <w:sz w:val="18"/>
        </w:rPr>
        <w:t>1.</w:t>
      </w:r>
      <w:r w:rsidRPr="00DC3D21">
        <w:rPr>
          <w:i/>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67AB" w:rsidP="00DC3D21" w14:paraId="3E546F48" w14:textId="77777777">
      <w:pPr>
        <w:overflowPunct/>
        <w:autoSpaceDE/>
        <w:autoSpaceDN/>
        <w:adjustRightInd/>
        <w:ind w:left="360"/>
        <w:textAlignment w:val="auto"/>
      </w:pPr>
      <w:r>
        <w:t>This</w:t>
      </w:r>
      <w:r w:rsidR="00E92B1D">
        <w:t xml:space="preserve"> request is for a revision o</w:t>
      </w:r>
      <w:r w:rsidRPr="00930FD9">
        <w:t xml:space="preserve">f a currently approved information collection form for use in HUD’s competitive homeless assistance programs authorized by the McKinney-Vento Act, as amended.  </w:t>
      </w:r>
      <w:r w:rsidRPr="00F15CCF">
        <w:rPr>
          <w:bCs/>
        </w:rPr>
        <w:t xml:space="preserve">This request </w:t>
      </w:r>
      <w:r w:rsidRPr="00F15CCF" w:rsidR="00E92B1D">
        <w:rPr>
          <w:bCs/>
        </w:rPr>
        <w:t>only changes the government cost burden to account for the change in government salaries since the time of the last OMB approval</w:t>
      </w:r>
      <w:r w:rsidRPr="00930FD9">
        <w:t>.</w:t>
      </w:r>
    </w:p>
    <w:p w:rsidR="004467AB" w:rsidP="004467AB" w14:paraId="483E04EF" w14:textId="77777777">
      <w:pPr>
        <w:ind w:left="720"/>
      </w:pPr>
    </w:p>
    <w:p w:rsidR="004467AB" w:rsidP="00DC3D21" w14:paraId="0E500E42" w14:textId="77777777">
      <w:pPr>
        <w:ind w:left="360"/>
      </w:pPr>
      <w:r>
        <w:t xml:space="preserve">The </w:t>
      </w:r>
      <w:r w:rsidRPr="00C94DA7">
        <w:rPr>
          <w:i/>
        </w:rPr>
        <w:t>Continuum of Care (CoC)</w:t>
      </w:r>
      <w:r>
        <w:rPr>
          <w:i/>
        </w:rPr>
        <w:t>Program</w:t>
      </w:r>
      <w:r w:rsidRPr="00C94DA7">
        <w:rPr>
          <w:i/>
        </w:rPr>
        <w:t xml:space="preserve"> Homeless Assistance Application—Technical Submission</w:t>
      </w:r>
      <w:r>
        <w:rPr>
          <w:i/>
        </w:rPr>
        <w:t xml:space="preserve"> </w:t>
      </w:r>
      <w:r w:rsidRPr="00C94DA7">
        <w:t>(Technical Submission)</w:t>
      </w:r>
      <w:r>
        <w:t xml:space="preserve"> is closely connected to, but separate from the information collection package 2506-0112, the </w:t>
      </w:r>
      <w:r w:rsidRPr="00161DF1">
        <w:t xml:space="preserve">CoC </w:t>
      </w:r>
      <w:r>
        <w:t xml:space="preserve">Program </w:t>
      </w:r>
      <w:r w:rsidRPr="00161DF1">
        <w:t>Homeless Assistance Grant Application</w:t>
      </w:r>
      <w:r w:rsidRPr="00BE28A5">
        <w:t>.</w:t>
      </w:r>
      <w:r>
        <w:t xml:space="preserve">  It is necessary to separate this part of the package from 2506-0112 because Technical Submission occurs several months after the CoC Program Application process.  Also, the information collected during Technical Submission does not frequently change; therefore, HUD will only need to seek OMB approval every three years, as required by the Paperwork Reduction Act.  </w:t>
      </w:r>
    </w:p>
    <w:p w:rsidR="004467AB" w:rsidRPr="00BE28A5" w:rsidP="004467AB" w14:paraId="303FADC1" w14:textId="77777777">
      <w:pPr>
        <w:ind w:left="720"/>
      </w:pPr>
    </w:p>
    <w:p w:rsidR="004467AB" w:rsidRPr="00BE28A5" w:rsidP="00DC3D21" w14:paraId="15F98C4C" w14:textId="77777777">
      <w:pPr>
        <w:ind w:left="360"/>
      </w:pPr>
      <w:r w:rsidRPr="00BE28A5">
        <w:t xml:space="preserve">The </w:t>
      </w:r>
      <w:r>
        <w:t>CoC Program H</w:t>
      </w:r>
      <w:r w:rsidRPr="00BE28A5">
        <w:t xml:space="preserve">omeless </w:t>
      </w:r>
      <w:r>
        <w:t>A</w:t>
      </w:r>
      <w:r w:rsidRPr="00BE28A5">
        <w:t xml:space="preserve">ssistance </w:t>
      </w:r>
      <w:r>
        <w:t>Grant A</w:t>
      </w:r>
      <w:r w:rsidRPr="00BE28A5">
        <w:t>pplication has three phases</w:t>
      </w:r>
      <w:r>
        <w:t xml:space="preserve">, and the </w:t>
      </w:r>
      <w:r w:rsidRPr="00C94DA7">
        <w:rPr>
          <w:i/>
        </w:rPr>
        <w:t xml:space="preserve">CoC </w:t>
      </w:r>
      <w:r>
        <w:rPr>
          <w:i/>
        </w:rPr>
        <w:t xml:space="preserve">Program </w:t>
      </w:r>
      <w:r w:rsidRPr="00C94DA7">
        <w:rPr>
          <w:i/>
        </w:rPr>
        <w:t>Homeless Assistance Application—Technical Submissions</w:t>
      </w:r>
      <w:r>
        <w:t xml:space="preserve"> is the final phase</w:t>
      </w:r>
      <w:r w:rsidRPr="00BE28A5">
        <w:t xml:space="preserve">.  </w:t>
      </w:r>
      <w:r>
        <w:t>A new applicant that is successful in the first two phases and conditionally awarded under the CoC Program must complete the third phase by providing more detailed technical information not contained in the original application.  The T</w:t>
      </w:r>
      <w:r w:rsidRPr="00BE28A5">
        <w:t xml:space="preserve">echnical </w:t>
      </w:r>
      <w:r>
        <w:t>S</w:t>
      </w:r>
      <w:r w:rsidRPr="00BE28A5">
        <w:t xml:space="preserve">ubmission </w:t>
      </w:r>
      <w:r>
        <w:t>forms</w:t>
      </w:r>
      <w:r w:rsidRPr="00BE28A5">
        <w:t xml:space="preserve"> contain </w:t>
      </w:r>
      <w:r w:rsidRPr="00BE28A5">
        <w:t>all of</w:t>
      </w:r>
      <w:r w:rsidRPr="00BE28A5">
        <w:t xml:space="preserve"> the information HUD requires for the </w:t>
      </w:r>
      <w:r>
        <w:t>third</w:t>
      </w:r>
      <w:r w:rsidRPr="00BE28A5">
        <w:t xml:space="preserve"> (and final) phase prior to grant </w:t>
      </w:r>
      <w:r>
        <w:t xml:space="preserve">agreement </w:t>
      </w:r>
      <w:r w:rsidRPr="00BE28A5">
        <w:t>execution.</w:t>
      </w:r>
    </w:p>
    <w:p w:rsidR="004467AB" w:rsidRPr="00BE28A5" w:rsidP="004467AB" w14:paraId="21880884" w14:textId="77777777">
      <w:pPr>
        <w:ind w:left="720"/>
      </w:pPr>
    </w:p>
    <w:p w:rsidR="004467AB" w:rsidP="00DC3D21" w14:paraId="7ABB7FAC" w14:textId="77777777">
      <w:pPr>
        <w:ind w:left="360"/>
      </w:pPr>
      <w:r w:rsidRPr="00BE28A5">
        <w:t xml:space="preserve">The regulatory authority to collect this information is contained in </w:t>
      </w:r>
      <w:r>
        <w:t>the CoC Program interim rul</w:t>
      </w:r>
      <w:r w:rsidRPr="00BE28A5">
        <w:t xml:space="preserve">e.  </w:t>
      </w:r>
      <w:r>
        <w:t>24 CFR Part 578.21(c</w:t>
      </w:r>
      <w:r w:rsidRPr="00BE28A5">
        <w:t xml:space="preserve">) </w:t>
      </w:r>
      <w:r>
        <w:t xml:space="preserve">requires that “all issues and conditions </w:t>
      </w:r>
      <w:r w:rsidRPr="00016B24">
        <w:t>attached to an award must be completed within the time frame established in the NOFA. Proof of site control, match, environmental review, and the documentation of financial feasibility must be completed within 12 months of the announcement of the award, or 24 months in the case of funds for acquisition, rehabilitation, or new construction</w:t>
      </w:r>
      <w:r>
        <w:t>.”  The Technical Submission is the vehicle by which these actions are completed, while also offering a platform for grant recipients to initiate application amendments.</w:t>
      </w:r>
    </w:p>
    <w:p w:rsidR="004467AB" w:rsidP="00DC3D21" w14:paraId="061DF3E1" w14:textId="77777777">
      <w:pPr>
        <w:ind w:left="360"/>
      </w:pPr>
    </w:p>
    <w:p w:rsidR="004467AB" w:rsidRPr="00C6391E" w:rsidP="00DC3D21" w14:paraId="4621C519" w14:textId="77777777">
      <w:pPr>
        <w:ind w:left="360"/>
      </w:pPr>
      <w:r>
        <w:t xml:space="preserve">The Technical Submission is fully electronic and attached to our grants management system, </w:t>
      </w:r>
      <w:r>
        <w:rPr>
          <w:i/>
        </w:rPr>
        <w:t>e-snaps</w:t>
      </w:r>
      <w:r>
        <w:t xml:space="preserve">.  By including the Technical Submission in </w:t>
      </w:r>
      <w:r>
        <w:rPr>
          <w:i/>
        </w:rPr>
        <w:t>e-snaps,</w:t>
      </w:r>
      <w:r>
        <w:t xml:space="preserve"> grant recipients import </w:t>
      </w:r>
      <w:r>
        <w:t>all of</w:t>
      </w:r>
      <w:r>
        <w:t xml:space="preserve"> their applicant profile and project application information, which significantly reduces the amount of time needed to complete the process.  For </w:t>
      </w:r>
      <w:r>
        <w:t>the majority of</w:t>
      </w:r>
      <w:r>
        <w:t xml:space="preserve"> grantees, the majority of this information does not change between the time of application and the time of Technical Submission.  By keeping Technical Submission in </w:t>
      </w:r>
      <w:r>
        <w:rPr>
          <w:i/>
        </w:rPr>
        <w:t>e-snaps</w:t>
      </w:r>
      <w:r>
        <w:t xml:space="preserve">, grant recipients use a familiar data system, ensuring that all changes are maintained and incorporated into future system interactions, and thereby reducing future reporting burden. </w:t>
      </w:r>
    </w:p>
    <w:p w:rsidR="004467AB" w:rsidRPr="00BE28A5" w:rsidP="004467AB" w14:paraId="18931911" w14:textId="77777777">
      <w:pPr>
        <w:ind w:left="720"/>
      </w:pPr>
    </w:p>
    <w:p w:rsidR="004467AB" w:rsidRPr="00BE28A5" w:rsidP="00DC3D21" w14:paraId="5E355181" w14:textId="77777777">
      <w:pPr>
        <w:ind w:left="360"/>
      </w:pPr>
      <w:r w:rsidRPr="00BE28A5">
        <w:t xml:space="preserve">Selection of applications for funding under Continuum of Care </w:t>
      </w:r>
      <w:r>
        <w:t xml:space="preserve">Program </w:t>
      </w:r>
      <w:r w:rsidRPr="00BE28A5">
        <w:t xml:space="preserve">Homeless Assistance are based on rating factors listed in the Notice of Funding Availability (NOFA), which is published each year to announce the Continuum of Care </w:t>
      </w:r>
      <w:r>
        <w:t xml:space="preserve">Program </w:t>
      </w:r>
      <w:r w:rsidRPr="00BE28A5">
        <w:t>Homeless Assistance funding round.</w:t>
      </w:r>
    </w:p>
    <w:p w:rsidR="004467AB" w:rsidRPr="00BE28A5" w:rsidP="00DC3D21" w14:paraId="3E84A1C6" w14:textId="77777777">
      <w:pPr>
        <w:ind w:left="360"/>
      </w:pPr>
    </w:p>
    <w:p w:rsidR="004467AB" w:rsidP="00DC3D21" w14:paraId="013EEF97" w14:textId="77777777">
      <w:pPr>
        <w:keepLines/>
        <w:spacing w:after="80"/>
        <w:ind w:left="360"/>
        <w:rPr>
          <w:sz w:val="18"/>
        </w:rPr>
      </w:pPr>
      <w:r>
        <w:t xml:space="preserve">The program statute can be found at </w:t>
      </w:r>
      <w:r w:rsidRPr="00BE28A5">
        <w:t xml:space="preserve">Subtitle C of Title IV, </w:t>
      </w:r>
      <w:r>
        <w:t xml:space="preserve">Section 426, </w:t>
      </w:r>
      <w:r w:rsidRPr="00BE28A5">
        <w:t>Stewar</w:t>
      </w:r>
      <w:r>
        <w:t>t</w:t>
      </w:r>
      <w:r w:rsidRPr="00BE28A5">
        <w:t xml:space="preserve"> B. McKinney Homeless Assistance Act, as amended</w:t>
      </w:r>
      <w:r>
        <w:t xml:space="preserve"> by the HEARTH Act</w:t>
      </w:r>
      <w:r w:rsidRPr="00BE28A5">
        <w:t xml:space="preserve">.  Program regulations can be found at 24 CFR part </w:t>
      </w:r>
      <w:r>
        <w:t>578</w:t>
      </w:r>
      <w:r w:rsidRPr="00BE28A5">
        <w:t>.</w:t>
      </w:r>
    </w:p>
    <w:p w:rsidR="009E13B1" w14:paraId="667A3258" w14:textId="77777777">
      <w:pPr>
        <w:tabs>
          <w:tab w:val="left" w:pos="360"/>
        </w:tabs>
        <w:ind w:left="360" w:hanging="360"/>
        <w:rPr>
          <w:sz w:val="18"/>
        </w:rPr>
      </w:pPr>
    </w:p>
    <w:p w:rsidR="009E13B1" w:rsidRPr="00DC3D21" w14:paraId="78EA468A" w14:textId="77777777">
      <w:pPr>
        <w:keepLines/>
        <w:tabs>
          <w:tab w:val="left" w:pos="360"/>
        </w:tabs>
        <w:spacing w:after="80"/>
        <w:ind w:left="360" w:hanging="360"/>
        <w:rPr>
          <w:i/>
          <w:sz w:val="18"/>
        </w:rPr>
      </w:pPr>
      <w:r w:rsidRPr="00DC3D21">
        <w:rPr>
          <w:i/>
          <w:sz w:val="18"/>
        </w:rPr>
        <w:t>2.</w:t>
      </w:r>
      <w:r w:rsidRPr="00DC3D21">
        <w:rPr>
          <w:i/>
          <w:sz w:val="18"/>
        </w:rPr>
        <w:tab/>
        <w:t>Indicate how, by whom and for what purpose the information is to be used.  Except for a new collection, indicate the actual use the agency has made of the information received from the current collection.</w:t>
      </w:r>
    </w:p>
    <w:p w:rsidR="009E13B1" w14:paraId="4EA10901" w14:textId="77777777">
      <w:pPr>
        <w:keepLines/>
        <w:tabs>
          <w:tab w:val="left" w:pos="360"/>
          <w:tab w:val="left" w:pos="720"/>
        </w:tabs>
        <w:ind w:left="360"/>
        <w:rPr>
          <w:sz w:val="18"/>
        </w:rPr>
      </w:pPr>
      <w:r>
        <w:t xml:space="preserve">Applicants who are successful in the Continuum of Care Program Homeless Assistance Grant competition are required to submit more detailed technical information.  </w:t>
      </w:r>
      <w:r w:rsidRPr="00BE28A5">
        <w:t xml:space="preserve">The information </w:t>
      </w:r>
      <w:r>
        <w:t xml:space="preserve">to be collected will be used </w:t>
      </w:r>
      <w:r w:rsidRPr="00BE28A5">
        <w:t>to ensure that technical requirements are met prior to execution of a grant agreement.  The technical requirements relate to a more extensive description of the</w:t>
      </w:r>
      <w:r>
        <w:t xml:space="preserve"> </w:t>
      </w:r>
      <w:r w:rsidRPr="00BE28A5">
        <w:t xml:space="preserve">budgets for supportive services and operations, as well as acquisition, rehabilitation, new construction, </w:t>
      </w:r>
      <w:r>
        <w:t>rental assistance, leasing,</w:t>
      </w:r>
      <w:r w:rsidRPr="00BE28A5">
        <w:t xml:space="preserve"> and sources of financing documentation.  HUD will use this detailed information to determine if a project is financially feasible and whether all proposed activities are eligible.</w:t>
      </w:r>
    </w:p>
    <w:p w:rsidR="009E13B1" w14:paraId="12E3425C" w14:textId="77777777">
      <w:pPr>
        <w:tabs>
          <w:tab w:val="left" w:pos="360"/>
        </w:tabs>
        <w:rPr>
          <w:sz w:val="18"/>
        </w:rPr>
      </w:pPr>
    </w:p>
    <w:p w:rsidR="009E13B1" w:rsidRPr="00DC3D21" w14:paraId="3375727A" w14:textId="77777777">
      <w:pPr>
        <w:keepLines/>
        <w:tabs>
          <w:tab w:val="left" w:pos="360"/>
        </w:tabs>
        <w:spacing w:after="80"/>
        <w:ind w:left="360" w:hanging="360"/>
        <w:rPr>
          <w:i/>
          <w:sz w:val="18"/>
        </w:rPr>
      </w:pPr>
      <w:r w:rsidRPr="00DC3D21">
        <w:rPr>
          <w:i/>
          <w:sz w:val="18"/>
        </w:rPr>
        <w:t>3.</w:t>
      </w:r>
      <w:r w:rsidRPr="00DC3D21">
        <w:rPr>
          <w:i/>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14:paraId="3BB58EDB" w14:textId="77777777">
      <w:pPr>
        <w:keepLines/>
        <w:tabs>
          <w:tab w:val="left" w:pos="360"/>
          <w:tab w:val="left" w:pos="720"/>
        </w:tabs>
        <w:ind w:left="360"/>
        <w:rPr>
          <w:sz w:val="18"/>
        </w:rPr>
      </w:pPr>
      <w:r>
        <w:t xml:space="preserve">The Technical Submission is completely </w:t>
      </w:r>
      <w:r>
        <w:t>electronic</w:t>
      </w:r>
      <w:r>
        <w:t xml:space="preserve"> and the application is directly connected to the forms required under this collection.  The electronic version will significantly cut down on the time it takes to complete these forms by bringing forward data that has already been entered by applicants during the early phases of the competition.</w:t>
      </w:r>
    </w:p>
    <w:p w:rsidR="009E13B1" w14:paraId="3F364DE9" w14:textId="77777777">
      <w:pPr>
        <w:tabs>
          <w:tab w:val="left" w:pos="360"/>
        </w:tabs>
        <w:ind w:left="360" w:hanging="360"/>
        <w:rPr>
          <w:sz w:val="18"/>
        </w:rPr>
      </w:pPr>
    </w:p>
    <w:p w:rsidR="009E13B1" w:rsidRPr="00DC3D21" w14:paraId="2157C222" w14:textId="77777777">
      <w:pPr>
        <w:keepLines/>
        <w:tabs>
          <w:tab w:val="left" w:pos="360"/>
        </w:tabs>
        <w:spacing w:after="80"/>
        <w:ind w:left="360" w:hanging="360"/>
        <w:rPr>
          <w:i/>
          <w:sz w:val="18"/>
        </w:rPr>
      </w:pPr>
      <w:r w:rsidRPr="00DC3D21">
        <w:rPr>
          <w:i/>
          <w:sz w:val="18"/>
        </w:rPr>
        <w:t>4.</w:t>
      </w:r>
      <w:r w:rsidRPr="00DC3D21">
        <w:rPr>
          <w:i/>
          <w:sz w:val="18"/>
        </w:rPr>
        <w:tab/>
        <w:t>Describe efforts to identify duplication.  Show specifically why any similar information already available cannot be used or modified for use for the purposes described in Item 2 above.</w:t>
      </w:r>
    </w:p>
    <w:p w:rsidR="009E13B1" w14:paraId="3EBF47B3" w14:textId="77777777">
      <w:pPr>
        <w:keepLines/>
        <w:tabs>
          <w:tab w:val="left" w:pos="360"/>
          <w:tab w:val="left" w:pos="720"/>
        </w:tabs>
        <w:ind w:left="360"/>
        <w:rPr>
          <w:sz w:val="18"/>
        </w:rPr>
      </w:pPr>
      <w:r>
        <w:t>T</w:t>
      </w:r>
      <w:r w:rsidRPr="00BE28A5">
        <w:t xml:space="preserve">he </w:t>
      </w:r>
      <w:r>
        <w:t>Technical Submission</w:t>
      </w:r>
      <w:r w:rsidRPr="00BE28A5">
        <w:t xml:space="preserve"> </w:t>
      </w:r>
      <w:r>
        <w:t>was previously</w:t>
      </w:r>
      <w:r w:rsidRPr="00BE28A5">
        <w:t xml:space="preserve"> </w:t>
      </w:r>
      <w:r>
        <w:t>streamlined t</w:t>
      </w:r>
      <w:r w:rsidRPr="00BE28A5">
        <w:t xml:space="preserve">o avoid duplication of information, with each data element collected </w:t>
      </w:r>
      <w:r>
        <w:t>during the competition</w:t>
      </w:r>
      <w:r w:rsidRPr="00BE28A5">
        <w:t xml:space="preserve">, stored in a database, and </w:t>
      </w:r>
      <w:r>
        <w:t>available for reference during Technical Submission from which the applicant or HUD can make appropriate changes</w:t>
      </w:r>
      <w:r w:rsidRPr="00BE28A5">
        <w:t>.</w:t>
      </w:r>
    </w:p>
    <w:p w:rsidR="009E13B1" w14:paraId="4B2E8474" w14:textId="77777777">
      <w:pPr>
        <w:tabs>
          <w:tab w:val="left" w:pos="360"/>
        </w:tabs>
        <w:ind w:left="360" w:hanging="360"/>
        <w:rPr>
          <w:sz w:val="18"/>
        </w:rPr>
      </w:pPr>
    </w:p>
    <w:p w:rsidR="009E13B1" w:rsidRPr="00DC3D21" w14:paraId="529C3B98" w14:textId="77777777">
      <w:pPr>
        <w:keepLines/>
        <w:tabs>
          <w:tab w:val="left" w:pos="360"/>
        </w:tabs>
        <w:spacing w:after="80"/>
        <w:ind w:left="360" w:hanging="360"/>
        <w:rPr>
          <w:i/>
          <w:sz w:val="18"/>
        </w:rPr>
      </w:pPr>
      <w:r w:rsidRPr="00DC3D21">
        <w:rPr>
          <w:i/>
          <w:sz w:val="18"/>
        </w:rPr>
        <w:t>5.</w:t>
      </w:r>
      <w:r w:rsidRPr="00DC3D21">
        <w:rPr>
          <w:i/>
          <w:sz w:val="18"/>
        </w:rPr>
        <w:tab/>
        <w:t>If the collection of information impacts small businesses or other small entities (Item 5 of OMB Form 83-I) describe any methods used to minimize burden.</w:t>
      </w:r>
    </w:p>
    <w:p w:rsidR="009E13B1" w14:paraId="4EA70DCF" w14:textId="77777777">
      <w:pPr>
        <w:keepLines/>
        <w:tabs>
          <w:tab w:val="left" w:pos="360"/>
          <w:tab w:val="left" w:pos="720"/>
        </w:tabs>
        <w:ind w:left="360"/>
        <w:rPr>
          <w:sz w:val="18"/>
        </w:rPr>
      </w:pPr>
      <w:r w:rsidRPr="00BE28A5">
        <w:t xml:space="preserve">The wide range of applicants for </w:t>
      </w:r>
      <w:r>
        <w:t>CoC</w:t>
      </w:r>
      <w:r w:rsidRPr="00BE28A5">
        <w:t xml:space="preserve"> funding (including states, local governments, private nonprofit organizations, and community mental health associations that are public non-profit organizations) and the need to consider all applications on an equal basis make it difficult to give special consideration to the burden placed on small entities by the collection of information.  Instead, efforts </w:t>
      </w:r>
      <w:r>
        <w:t>have been</w:t>
      </w:r>
      <w:r w:rsidRPr="00BE28A5">
        <w:t xml:space="preserve"> made to minimize the burden placed on all applicants, while at the same time ensuring that sufficient information would be provided to allow HUD to determine and select the best </w:t>
      </w:r>
      <w:r>
        <w:t>application</w:t>
      </w:r>
      <w:r w:rsidRPr="00BE28A5">
        <w:t>s.</w:t>
      </w:r>
    </w:p>
    <w:p w:rsidR="009E13B1" w14:paraId="79C9A4FF" w14:textId="77777777">
      <w:pPr>
        <w:tabs>
          <w:tab w:val="left" w:pos="360"/>
        </w:tabs>
        <w:ind w:left="360" w:hanging="360"/>
        <w:rPr>
          <w:sz w:val="18"/>
        </w:rPr>
      </w:pPr>
    </w:p>
    <w:p w:rsidR="009E13B1" w:rsidRPr="00DC3D21" w14:paraId="47CBD2EE" w14:textId="77777777">
      <w:pPr>
        <w:keepLines/>
        <w:tabs>
          <w:tab w:val="left" w:pos="360"/>
        </w:tabs>
        <w:spacing w:after="80"/>
        <w:ind w:left="360" w:hanging="360"/>
        <w:rPr>
          <w:i/>
          <w:sz w:val="18"/>
        </w:rPr>
      </w:pPr>
      <w:r w:rsidRPr="00DC3D21">
        <w:rPr>
          <w:i/>
          <w:sz w:val="18"/>
        </w:rPr>
        <w:t>6.</w:t>
      </w:r>
      <w:r w:rsidRPr="00DC3D21">
        <w:rPr>
          <w:i/>
          <w:sz w:val="18"/>
        </w:rPr>
        <w:tab/>
        <w:t>Describe the consequence to Federal program or policy activities if the collection is not conducted or is conducted less frequently, as well as any technical or legal obstacles to reducing burden.</w:t>
      </w:r>
    </w:p>
    <w:p w:rsidR="009E13B1" w14:paraId="7167DDE2" w14:textId="77777777">
      <w:pPr>
        <w:keepLines/>
        <w:tabs>
          <w:tab w:val="left" w:pos="360"/>
          <w:tab w:val="left" w:pos="720"/>
        </w:tabs>
        <w:ind w:left="360"/>
      </w:pPr>
      <w:r w:rsidRPr="00BE28A5">
        <w:t xml:space="preserve">All information collected is used to carefully consider </w:t>
      </w:r>
      <w:r>
        <w:t xml:space="preserve">conditional </w:t>
      </w:r>
      <w:r w:rsidRPr="00BE28A5">
        <w:t>applica</w:t>
      </w:r>
      <w:r>
        <w:t>n</w:t>
      </w:r>
      <w:r w:rsidRPr="00BE28A5">
        <w:t>t</w:t>
      </w:r>
      <w:r>
        <w:t>s</w:t>
      </w:r>
      <w:r w:rsidRPr="00BE28A5">
        <w:t xml:space="preserve"> for funding</w:t>
      </w:r>
      <w:r>
        <w:t>.</w:t>
      </w:r>
      <w:r w:rsidRPr="00BE28A5">
        <w:t xml:space="preserve"> </w:t>
      </w:r>
      <w:r>
        <w:t>I</w:t>
      </w:r>
      <w:r w:rsidRPr="00BE28A5">
        <w:t xml:space="preserve">f HUD </w:t>
      </w:r>
      <w:r>
        <w:t xml:space="preserve">were to </w:t>
      </w:r>
      <w:r w:rsidRPr="00BE28A5">
        <w:t xml:space="preserve">collect less information, or collect it less frequently, the Department could not </w:t>
      </w:r>
      <w:r>
        <w:t xml:space="preserve">make a final determination concerning </w:t>
      </w:r>
      <w:r w:rsidRPr="00BE28A5">
        <w:t>the eligibility of applicants for grant funds</w:t>
      </w:r>
      <w:r>
        <w:t xml:space="preserve"> and conditional applicants would not be eligible to sign grant agreements and receive funding</w:t>
      </w:r>
      <w:r w:rsidRPr="00BE28A5">
        <w:t>.</w:t>
      </w:r>
    </w:p>
    <w:p w:rsidR="004467AB" w14:paraId="38B816BF" w14:textId="77777777">
      <w:pPr>
        <w:keepLines/>
        <w:tabs>
          <w:tab w:val="left" w:pos="360"/>
          <w:tab w:val="left" w:pos="720"/>
        </w:tabs>
        <w:ind w:left="360"/>
        <w:rPr>
          <w:sz w:val="18"/>
        </w:rPr>
      </w:pPr>
    </w:p>
    <w:p w:rsidR="009E13B1" w:rsidRPr="00DC3D21" w14:paraId="094D69BE" w14:textId="77777777">
      <w:pPr>
        <w:numPr>
          <w:ilvl w:val="0"/>
          <w:numId w:val="13"/>
        </w:numPr>
        <w:tabs>
          <w:tab w:val="left" w:pos="360"/>
        </w:tabs>
        <w:rPr>
          <w:i/>
          <w:sz w:val="18"/>
        </w:rPr>
      </w:pPr>
      <w:r w:rsidRPr="00DC3D21">
        <w:rPr>
          <w:i/>
          <w:sz w:val="18"/>
        </w:rPr>
        <w:t xml:space="preserve">Explain any special circumstances that would cause an information collection to be conducted in a manner: </w:t>
      </w:r>
    </w:p>
    <w:p w:rsidR="009E13B1" w14:paraId="79DE5505" w14:textId="77777777">
      <w:pPr>
        <w:numPr>
          <w:ilvl w:val="0"/>
          <w:numId w:val="14"/>
        </w:numPr>
        <w:tabs>
          <w:tab w:val="left" w:pos="600"/>
        </w:tabs>
        <w:rPr>
          <w:sz w:val="18"/>
        </w:rPr>
      </w:pPr>
      <w:r w:rsidRPr="00DC3D21">
        <w:rPr>
          <w:i/>
          <w:sz w:val="18"/>
        </w:rPr>
        <w:t>requiring respondents to report information to the agency more than quarterly;</w:t>
      </w:r>
      <w:r>
        <w:rPr>
          <w:sz w:val="18"/>
        </w:rPr>
        <w:t xml:space="preserve"> </w:t>
      </w:r>
      <w:r w:rsidRPr="004467AB" w:rsidR="004467AB">
        <w:rPr>
          <w:b/>
          <w:sz w:val="18"/>
        </w:rPr>
        <w:t>Not Applicable</w:t>
      </w:r>
      <w:r w:rsidR="004467AB">
        <w:rPr>
          <w:b/>
          <w:sz w:val="18"/>
        </w:rPr>
        <w:t xml:space="preserve"> – No such </w:t>
      </w:r>
      <w:r w:rsidR="004467AB">
        <w:rPr>
          <w:b/>
          <w:sz w:val="18"/>
        </w:rPr>
        <w:t>requirement</w:t>
      </w:r>
    </w:p>
    <w:p w:rsidR="009E13B1" w14:paraId="61708718" w14:textId="77777777">
      <w:pPr>
        <w:numPr>
          <w:ilvl w:val="0"/>
          <w:numId w:val="14"/>
        </w:numPr>
        <w:tabs>
          <w:tab w:val="left" w:pos="600"/>
        </w:tabs>
        <w:rPr>
          <w:sz w:val="18"/>
        </w:rPr>
      </w:pPr>
      <w:r w:rsidRPr="00DC3D21">
        <w:rPr>
          <w:i/>
          <w:sz w:val="18"/>
        </w:rPr>
        <w:t>requiring respondents to prepare a written response to a collection of information in fewer than 30 days after receipt of it;</w:t>
      </w:r>
      <w:r w:rsidR="004467AB">
        <w:rPr>
          <w:sz w:val="18"/>
        </w:rPr>
        <w:t xml:space="preserve"> </w:t>
      </w:r>
      <w:r w:rsidRPr="004467AB" w:rsidR="004467AB">
        <w:rPr>
          <w:b/>
          <w:sz w:val="18"/>
        </w:rPr>
        <w:t>Not Applicable</w:t>
      </w:r>
      <w:r w:rsidR="004467AB">
        <w:rPr>
          <w:b/>
          <w:sz w:val="18"/>
        </w:rPr>
        <w:t xml:space="preserve"> – No such </w:t>
      </w:r>
      <w:r w:rsidR="004467AB">
        <w:rPr>
          <w:b/>
          <w:sz w:val="18"/>
        </w:rPr>
        <w:t>requirement</w:t>
      </w:r>
      <w:r w:rsidR="004467AB">
        <w:rPr>
          <w:sz w:val="18"/>
        </w:rPr>
        <w:t xml:space="preserve"> </w:t>
      </w:r>
      <w:r>
        <w:rPr>
          <w:sz w:val="18"/>
        </w:rPr>
        <w:t xml:space="preserve"> </w:t>
      </w:r>
    </w:p>
    <w:p w:rsidR="009E13B1" w14:paraId="34FB7B50" w14:textId="77777777">
      <w:pPr>
        <w:numPr>
          <w:ilvl w:val="0"/>
          <w:numId w:val="14"/>
        </w:numPr>
        <w:tabs>
          <w:tab w:val="left" w:pos="600"/>
        </w:tabs>
        <w:rPr>
          <w:sz w:val="18"/>
        </w:rPr>
      </w:pPr>
      <w:r w:rsidRPr="00DC3D21">
        <w:rPr>
          <w:i/>
          <w:sz w:val="18"/>
        </w:rPr>
        <w:t>requiring respondents to submit more than an original and two copies of any document</w:t>
      </w:r>
      <w:r>
        <w:rPr>
          <w:sz w:val="18"/>
        </w:rPr>
        <w:t xml:space="preserve">; </w:t>
      </w:r>
      <w:r w:rsidRPr="004467AB" w:rsidR="004467AB">
        <w:rPr>
          <w:b/>
          <w:sz w:val="18"/>
        </w:rPr>
        <w:t>Not Applicable</w:t>
      </w:r>
      <w:r w:rsidR="004467AB">
        <w:rPr>
          <w:b/>
          <w:sz w:val="18"/>
        </w:rPr>
        <w:t xml:space="preserve"> – No such </w:t>
      </w:r>
      <w:r w:rsidR="004467AB">
        <w:rPr>
          <w:b/>
          <w:sz w:val="18"/>
        </w:rPr>
        <w:t>requirement</w:t>
      </w:r>
    </w:p>
    <w:p w:rsidR="009E13B1" w14:paraId="2EB66C81" w14:textId="77777777">
      <w:pPr>
        <w:numPr>
          <w:ilvl w:val="0"/>
          <w:numId w:val="14"/>
        </w:numPr>
        <w:tabs>
          <w:tab w:val="left" w:pos="600"/>
        </w:tabs>
        <w:rPr>
          <w:sz w:val="18"/>
        </w:rPr>
      </w:pPr>
      <w:r w:rsidRPr="00DC3D21">
        <w:rPr>
          <w:i/>
          <w:sz w:val="18"/>
        </w:rPr>
        <w:t>requiring respondents to retain records other than health, medical, government contract, grant-in-aid, or tax records for more than three years</w:t>
      </w:r>
      <w:r>
        <w:rPr>
          <w:sz w:val="18"/>
        </w:rPr>
        <w:t xml:space="preserve">; </w:t>
      </w:r>
      <w:r w:rsidRPr="004467AB" w:rsidR="004467AB">
        <w:rPr>
          <w:b/>
          <w:sz w:val="18"/>
        </w:rPr>
        <w:t>Not Applicable</w:t>
      </w:r>
      <w:r w:rsidR="004467AB">
        <w:rPr>
          <w:b/>
          <w:sz w:val="18"/>
        </w:rPr>
        <w:t xml:space="preserve"> – No such </w:t>
      </w:r>
      <w:r w:rsidR="004467AB">
        <w:rPr>
          <w:b/>
          <w:sz w:val="18"/>
        </w:rPr>
        <w:t>requirement</w:t>
      </w:r>
    </w:p>
    <w:p w:rsidR="009E13B1" w14:paraId="276D4C6F" w14:textId="77777777">
      <w:pPr>
        <w:numPr>
          <w:ilvl w:val="0"/>
          <w:numId w:val="14"/>
        </w:numPr>
        <w:tabs>
          <w:tab w:val="left" w:pos="600"/>
        </w:tabs>
        <w:rPr>
          <w:sz w:val="18"/>
        </w:rPr>
      </w:pPr>
      <w:r w:rsidRPr="00DC3D21">
        <w:rPr>
          <w:i/>
          <w:sz w:val="18"/>
        </w:rPr>
        <w:t>in connection with a statistical survey, that is not designed to produce valid and reliable results than can be generalized to the universe of study;</w:t>
      </w:r>
      <w:r>
        <w:rPr>
          <w:sz w:val="18"/>
        </w:rPr>
        <w:t xml:space="preserve"> </w:t>
      </w:r>
      <w:r w:rsidRPr="004467AB" w:rsidR="004467AB">
        <w:rPr>
          <w:b/>
          <w:sz w:val="18"/>
        </w:rPr>
        <w:t>Not Applicable</w:t>
      </w:r>
      <w:r w:rsidR="004467AB">
        <w:rPr>
          <w:b/>
          <w:sz w:val="18"/>
        </w:rPr>
        <w:t xml:space="preserve"> – No such </w:t>
      </w:r>
      <w:r w:rsidR="004467AB">
        <w:rPr>
          <w:b/>
          <w:sz w:val="18"/>
        </w:rPr>
        <w:t>requirement</w:t>
      </w:r>
    </w:p>
    <w:p w:rsidR="009E13B1" w14:paraId="271A0150" w14:textId="77777777">
      <w:pPr>
        <w:numPr>
          <w:ilvl w:val="0"/>
          <w:numId w:val="14"/>
        </w:numPr>
        <w:tabs>
          <w:tab w:val="left" w:pos="600"/>
        </w:tabs>
        <w:rPr>
          <w:sz w:val="18"/>
        </w:rPr>
      </w:pPr>
      <w:r w:rsidRPr="00DC3D21">
        <w:rPr>
          <w:i/>
          <w:sz w:val="18"/>
        </w:rPr>
        <w:t>requiring the use of a statistical data classification that has not been reviewed and approved by OMB;</w:t>
      </w:r>
      <w:r w:rsidR="004467AB">
        <w:rPr>
          <w:sz w:val="18"/>
        </w:rPr>
        <w:t xml:space="preserve"> </w:t>
      </w:r>
      <w:r w:rsidRPr="004467AB" w:rsidR="004467AB">
        <w:rPr>
          <w:b/>
          <w:sz w:val="18"/>
        </w:rPr>
        <w:t>Not Applicable</w:t>
      </w:r>
      <w:r w:rsidR="004467AB">
        <w:rPr>
          <w:b/>
          <w:sz w:val="18"/>
        </w:rPr>
        <w:t xml:space="preserve"> – No such </w:t>
      </w:r>
      <w:r w:rsidR="004467AB">
        <w:rPr>
          <w:b/>
          <w:sz w:val="18"/>
        </w:rPr>
        <w:t>requirement</w:t>
      </w:r>
      <w:r>
        <w:rPr>
          <w:sz w:val="18"/>
        </w:rPr>
        <w:t xml:space="preserve"> </w:t>
      </w:r>
    </w:p>
    <w:p w:rsidR="009E13B1" w14:paraId="2BB11C60" w14:textId="77777777">
      <w:pPr>
        <w:numPr>
          <w:ilvl w:val="0"/>
          <w:numId w:val="14"/>
        </w:numPr>
        <w:tabs>
          <w:tab w:val="left" w:pos="600"/>
        </w:tabs>
        <w:rPr>
          <w:sz w:val="18"/>
        </w:rPr>
      </w:pPr>
      <w:r w:rsidRPr="00DC3D21">
        <w:rPr>
          <w:i/>
          <w:sz w:val="1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z w:val="18"/>
        </w:rPr>
        <w:t xml:space="preserve"> </w:t>
      </w:r>
      <w:r w:rsidRPr="004467AB" w:rsidR="004467AB">
        <w:rPr>
          <w:b/>
          <w:sz w:val="18"/>
        </w:rPr>
        <w:t>Not Applicable</w:t>
      </w:r>
      <w:r w:rsidR="004467AB">
        <w:rPr>
          <w:b/>
          <w:sz w:val="18"/>
        </w:rPr>
        <w:t xml:space="preserve"> – No such requirement,</w:t>
      </w:r>
      <w:r w:rsidR="004467AB">
        <w:rPr>
          <w:sz w:val="18"/>
        </w:rPr>
        <w:t xml:space="preserve"> </w:t>
      </w:r>
      <w:r>
        <w:rPr>
          <w:sz w:val="18"/>
        </w:rPr>
        <w:t xml:space="preserve">or </w:t>
      </w:r>
    </w:p>
    <w:p w:rsidR="009E13B1" w14:paraId="449A5F33" w14:textId="77777777">
      <w:pPr>
        <w:keepLines/>
        <w:numPr>
          <w:ilvl w:val="0"/>
          <w:numId w:val="14"/>
        </w:numPr>
        <w:tabs>
          <w:tab w:val="left" w:pos="600"/>
        </w:tabs>
        <w:spacing w:after="80"/>
        <w:rPr>
          <w:sz w:val="18"/>
        </w:rPr>
      </w:pPr>
      <w:r w:rsidRPr="00DC3D21">
        <w:rPr>
          <w:i/>
          <w:sz w:val="18"/>
        </w:rPr>
        <w:t>requiring respondents to submit proprietary trade secret, or other confidential information unless the agency can demonstrate that it has instituted procedures to protect the information's confidentiality to the extent permitted by law</w:t>
      </w:r>
      <w:r>
        <w:rPr>
          <w:sz w:val="18"/>
        </w:rPr>
        <w:t>.</w:t>
      </w:r>
      <w:r w:rsidRPr="004467AB" w:rsidR="004467AB">
        <w:rPr>
          <w:b/>
          <w:sz w:val="18"/>
        </w:rPr>
        <w:t xml:space="preserve"> Not Applicable</w:t>
      </w:r>
      <w:r w:rsidR="004467AB">
        <w:rPr>
          <w:b/>
          <w:sz w:val="18"/>
        </w:rPr>
        <w:t xml:space="preserve"> – No such requirement</w:t>
      </w:r>
    </w:p>
    <w:p w:rsidR="009E13B1" w14:paraId="7142F693" w14:textId="77777777">
      <w:pPr>
        <w:tabs>
          <w:tab w:val="left" w:pos="360"/>
        </w:tabs>
        <w:ind w:left="360" w:hanging="360"/>
        <w:rPr>
          <w:sz w:val="18"/>
        </w:rPr>
      </w:pPr>
      <w:r>
        <w:tab/>
      </w:r>
      <w:r w:rsidRPr="00BE28A5">
        <w:t>This information is being collected in a manner consistent with the guidelines in 5 CFR 1320.6.</w:t>
      </w:r>
    </w:p>
    <w:p w:rsidR="004467AB" w14:paraId="30FA5772" w14:textId="77777777">
      <w:pPr>
        <w:tabs>
          <w:tab w:val="left" w:pos="360"/>
        </w:tabs>
        <w:ind w:left="360" w:hanging="360"/>
        <w:rPr>
          <w:sz w:val="18"/>
        </w:rPr>
      </w:pPr>
    </w:p>
    <w:p w:rsidR="009E13B1" w:rsidRPr="00DC3D21" w14:paraId="0EF97594" w14:textId="77777777">
      <w:pPr>
        <w:tabs>
          <w:tab w:val="left" w:pos="360"/>
        </w:tabs>
        <w:ind w:left="360" w:hanging="360"/>
        <w:rPr>
          <w:i/>
          <w:sz w:val="18"/>
        </w:rPr>
      </w:pPr>
      <w:r>
        <w:rPr>
          <w:sz w:val="18"/>
        </w:rPr>
        <w:t xml:space="preserve"> 8.</w:t>
      </w:r>
      <w:r>
        <w:rPr>
          <w:sz w:val="18"/>
        </w:rPr>
        <w:tab/>
      </w:r>
      <w:r w:rsidRPr="00DC3D21">
        <w:rPr>
          <w:i/>
          <w:sz w:val="18"/>
        </w:rPr>
        <w:t xml:space="preserve">If applicable, provide a copy and identify the date and page number of </w:t>
      </w:r>
      <w:r w:rsidRPr="00DC3D21">
        <w:rPr>
          <w:i/>
          <w:sz w:val="18"/>
        </w:rPr>
        <w:t>publication</w:t>
      </w:r>
      <w:r w:rsidRPr="00DC3D21">
        <w:rPr>
          <w:i/>
          <w:sz w:val="18"/>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DC3D21" w14:paraId="132054FB" w14:textId="77777777">
      <w:pPr>
        <w:numPr>
          <w:ilvl w:val="0"/>
          <w:numId w:val="14"/>
        </w:numPr>
        <w:tabs>
          <w:tab w:val="left" w:pos="360"/>
        </w:tabs>
        <w:ind w:left="480"/>
        <w:rPr>
          <w:i/>
          <w:sz w:val="18"/>
        </w:rPr>
      </w:pPr>
      <w:r w:rsidRPr="00DC3D21">
        <w:rPr>
          <w:i/>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Pr="00DC3D21" w14:paraId="5A68ED16" w14:textId="77777777">
      <w:pPr>
        <w:keepLines/>
        <w:numPr>
          <w:ilvl w:val="0"/>
          <w:numId w:val="14"/>
        </w:numPr>
        <w:tabs>
          <w:tab w:val="left" w:pos="360"/>
        </w:tabs>
        <w:spacing w:after="80"/>
        <w:ind w:left="480"/>
        <w:rPr>
          <w:i/>
          <w:sz w:val="18"/>
        </w:rPr>
      </w:pPr>
      <w:r w:rsidRPr="00DC3D21">
        <w:rPr>
          <w:i/>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467AB" w:rsidP="004467AB" w14:paraId="065C3EE9" w14:textId="77777777">
      <w:pPr>
        <w:keepLines/>
        <w:tabs>
          <w:tab w:val="left" w:pos="360"/>
        </w:tabs>
        <w:spacing w:after="80"/>
        <w:ind w:left="336"/>
        <w:rPr>
          <w:sz w:val="18"/>
        </w:rPr>
      </w:pPr>
      <w:r w:rsidRPr="00A301DE">
        <w:t xml:space="preserve">HUD published a notice in the </w:t>
      </w:r>
      <w:r w:rsidRPr="00A301DE">
        <w:rPr>
          <w:i/>
        </w:rPr>
        <w:t>Federal Register</w:t>
      </w:r>
      <w:r w:rsidRPr="00A301DE">
        <w:t xml:space="preserve"> on </w:t>
      </w:r>
      <w:r w:rsidR="00DC7666">
        <w:t>February 6, 2023</w:t>
      </w:r>
      <w:r>
        <w:t>,</w:t>
      </w:r>
      <w:r w:rsidRPr="00A301DE">
        <w:t xml:space="preserve"> </w:t>
      </w:r>
      <w:r>
        <w:t>vol 8</w:t>
      </w:r>
      <w:r w:rsidR="00DC7666">
        <w:t>8</w:t>
      </w:r>
      <w:r>
        <w:t xml:space="preserve"> </w:t>
      </w:r>
      <w:r w:rsidRPr="00A301DE">
        <w:t xml:space="preserve">on page </w:t>
      </w:r>
      <w:r w:rsidR="00DC7666">
        <w:t>7750</w:t>
      </w:r>
      <w:r w:rsidRPr="00A301DE">
        <w:t xml:space="preserve"> </w:t>
      </w:r>
      <w:r>
        <w:t>soliciting public comment regarding the last</w:t>
      </w:r>
      <w:r w:rsidRPr="00A301DE">
        <w:t xml:space="preserve"> request for approval of the revised information collection.  HUD received no comments from the public.  </w:t>
      </w:r>
    </w:p>
    <w:p w:rsidR="009E13B1" w14:paraId="1BE622ED" w14:textId="77777777">
      <w:pPr>
        <w:tabs>
          <w:tab w:val="left" w:pos="360"/>
        </w:tabs>
        <w:ind w:left="360" w:hanging="360"/>
        <w:rPr>
          <w:sz w:val="18"/>
        </w:rPr>
      </w:pPr>
    </w:p>
    <w:p w:rsidR="009E13B1" w:rsidRPr="00DC3D21" w14:paraId="66D68D00" w14:textId="77777777">
      <w:pPr>
        <w:keepLines/>
        <w:tabs>
          <w:tab w:val="left" w:pos="360"/>
        </w:tabs>
        <w:spacing w:after="80"/>
        <w:ind w:left="360" w:hanging="360"/>
        <w:rPr>
          <w:i/>
          <w:sz w:val="18"/>
        </w:rPr>
      </w:pPr>
      <w:r>
        <w:rPr>
          <w:sz w:val="18"/>
        </w:rPr>
        <w:t>9.</w:t>
      </w:r>
      <w:r>
        <w:rPr>
          <w:sz w:val="18"/>
        </w:rPr>
        <w:tab/>
      </w:r>
      <w:r w:rsidRPr="00DC3D21">
        <w:rPr>
          <w:i/>
          <w:sz w:val="18"/>
        </w:rPr>
        <w:t>Explain any decision to provide any payment or gif</w:t>
      </w:r>
      <w:r w:rsidRPr="00DC3D21" w:rsidR="004467AB">
        <w:rPr>
          <w:i/>
          <w:sz w:val="18"/>
        </w:rPr>
        <w:t>t to respondents, other than remuneration</w:t>
      </w:r>
      <w:r w:rsidRPr="00DC3D21">
        <w:rPr>
          <w:i/>
          <w:sz w:val="18"/>
        </w:rPr>
        <w:t xml:space="preserve"> of contractors or grantees.</w:t>
      </w:r>
    </w:p>
    <w:p w:rsidR="004467AB" w:rsidRPr="00BE28A5" w:rsidP="004467AB" w14:paraId="4FEC2DF6" w14:textId="77777777">
      <w:pPr>
        <w:overflowPunct/>
        <w:autoSpaceDE/>
        <w:autoSpaceDN/>
        <w:adjustRightInd/>
        <w:ind w:firstLine="360"/>
        <w:textAlignment w:val="auto"/>
      </w:pPr>
      <w:r w:rsidRPr="00BE28A5">
        <w:t>No payment or gift to respond is allowed.</w:t>
      </w:r>
    </w:p>
    <w:p w:rsidR="009E13B1" w14:paraId="32AC24F6" w14:textId="77777777">
      <w:pPr>
        <w:tabs>
          <w:tab w:val="left" w:pos="360"/>
        </w:tabs>
        <w:ind w:left="360" w:hanging="360"/>
        <w:rPr>
          <w:sz w:val="18"/>
        </w:rPr>
      </w:pPr>
    </w:p>
    <w:p w:rsidR="009E13B1" w:rsidRPr="00DC3D21" w14:paraId="1112CF1B" w14:textId="77777777">
      <w:pPr>
        <w:keepLines/>
        <w:tabs>
          <w:tab w:val="left" w:pos="360"/>
        </w:tabs>
        <w:spacing w:after="80"/>
        <w:ind w:left="360" w:hanging="360"/>
        <w:rPr>
          <w:i/>
          <w:sz w:val="18"/>
        </w:rPr>
      </w:pPr>
      <w:r>
        <w:rPr>
          <w:sz w:val="18"/>
        </w:rPr>
        <w:t>10.</w:t>
      </w:r>
      <w:r>
        <w:rPr>
          <w:sz w:val="18"/>
        </w:rPr>
        <w:tab/>
      </w:r>
      <w:r w:rsidRPr="00DC3D21">
        <w:rPr>
          <w:i/>
          <w:sz w:val="18"/>
        </w:rPr>
        <w:t xml:space="preserve">Describe any assurance of confidentiality provided to respondents and the basis for assurance in statute, </w:t>
      </w:r>
      <w:r w:rsidRPr="00DC3D21">
        <w:rPr>
          <w:i/>
          <w:sz w:val="18"/>
        </w:rPr>
        <w:t>regulation</w:t>
      </w:r>
      <w:r w:rsidRPr="00DC3D21">
        <w:rPr>
          <w:i/>
          <w:sz w:val="18"/>
        </w:rPr>
        <w:t xml:space="preserve"> or agency policy.</w:t>
      </w:r>
    </w:p>
    <w:p w:rsidR="009E13B1" w:rsidP="00F022E8" w14:paraId="199FFB34" w14:textId="77777777">
      <w:r>
        <w:tab/>
      </w:r>
      <w:r w:rsidRPr="00F022E8" w:rsidR="00F022E8">
        <w:t>The information collected during the Technical Submission is strictly organization level and no individual level information is captured.</w:t>
      </w:r>
      <w:r w:rsidR="00F022E8">
        <w:t xml:space="preserve"> PTA has been completed for this information collection.</w:t>
      </w:r>
    </w:p>
    <w:p w:rsidR="004467AB" w14:paraId="2974BCCE" w14:textId="77777777">
      <w:pPr>
        <w:tabs>
          <w:tab w:val="left" w:pos="360"/>
        </w:tabs>
        <w:ind w:left="360" w:hanging="360"/>
        <w:rPr>
          <w:sz w:val="18"/>
        </w:rPr>
      </w:pPr>
    </w:p>
    <w:p w:rsidR="009E13B1" w:rsidRPr="00DC3D21" w14:paraId="7E7BE62D" w14:textId="77777777">
      <w:pPr>
        <w:keepLines/>
        <w:tabs>
          <w:tab w:val="left" w:pos="360"/>
        </w:tabs>
        <w:spacing w:after="80"/>
        <w:ind w:left="360" w:hanging="360"/>
        <w:rPr>
          <w:i/>
          <w:sz w:val="18"/>
        </w:rPr>
      </w:pPr>
      <w:r w:rsidRPr="00DC3D21">
        <w:rPr>
          <w:i/>
          <w:sz w:val="18"/>
        </w:rPr>
        <w:t>11.</w:t>
      </w:r>
      <w:r w:rsidRPr="00DC3D21">
        <w:rPr>
          <w:i/>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14:paraId="723A4727" w14:textId="77777777">
      <w:pPr>
        <w:tabs>
          <w:tab w:val="left" w:pos="360"/>
        </w:tabs>
        <w:ind w:left="360" w:hanging="360"/>
      </w:pPr>
      <w:r>
        <w:rPr>
          <w:sz w:val="18"/>
        </w:rPr>
        <w:tab/>
      </w:r>
      <w:r w:rsidRPr="00BE28A5">
        <w:t>This information collection does not include any questions of a sensitive nature, such as sexual behavior and attitudes, religious beliefs, and other matters that are commonly considered private.</w:t>
      </w:r>
    </w:p>
    <w:p w:rsidR="004467AB" w14:paraId="40C89848" w14:textId="77777777">
      <w:pPr>
        <w:tabs>
          <w:tab w:val="left" w:pos="360"/>
        </w:tabs>
        <w:ind w:left="360" w:hanging="360"/>
        <w:rPr>
          <w:sz w:val="18"/>
        </w:rPr>
      </w:pPr>
    </w:p>
    <w:p w:rsidR="009E13B1" w:rsidRPr="00DC3D21" w14:paraId="6A86D865" w14:textId="77777777">
      <w:pPr>
        <w:tabs>
          <w:tab w:val="left" w:pos="360"/>
        </w:tabs>
        <w:ind w:left="360" w:hanging="360"/>
        <w:rPr>
          <w:i/>
          <w:sz w:val="18"/>
        </w:rPr>
      </w:pPr>
      <w:r w:rsidRPr="00DC3D21">
        <w:rPr>
          <w:i/>
          <w:sz w:val="18"/>
        </w:rPr>
        <w:t>12.</w:t>
      </w:r>
      <w:r w:rsidRPr="00DC3D21">
        <w:rPr>
          <w:i/>
          <w:sz w:val="18"/>
        </w:rPr>
        <w:tab/>
        <w:t xml:space="preserve">Provide estimates of the hour burden of the collection of information.  The statement should: </w:t>
      </w:r>
    </w:p>
    <w:p w:rsidR="009E13B1" w:rsidRPr="00DC3D21" w14:paraId="52289D84" w14:textId="77777777">
      <w:pPr>
        <w:numPr>
          <w:ilvl w:val="0"/>
          <w:numId w:val="14"/>
        </w:numPr>
        <w:tabs>
          <w:tab w:val="left" w:pos="480"/>
        </w:tabs>
        <w:ind w:left="480"/>
        <w:rPr>
          <w:i/>
          <w:sz w:val="18"/>
        </w:rPr>
      </w:pPr>
      <w:r w:rsidRPr="00DC3D21">
        <w:rPr>
          <w:i/>
          <w:sz w:val="18"/>
        </w:rPr>
        <w:t xml:space="preserve">indicate the number of respondents, frequency of response, annual hour burden, and an explanation of how the burden was estimated.  Unless directed to do so, agencies should not conduct special surveys to obtain information on which to base </w:t>
      </w:r>
      <w:r w:rsidRPr="00DC3D21">
        <w:rPr>
          <w:i/>
          <w:sz w:val="18"/>
        </w:rPr>
        <w:t>hour</w:t>
      </w:r>
      <w:r w:rsidRPr="00DC3D21">
        <w:rPr>
          <w:i/>
          <w:sz w:val="18"/>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C3D21">
        <w:rPr>
          <w:i/>
          <w:sz w:val="18"/>
        </w:rPr>
        <w:t>Generally</w:t>
      </w:r>
      <w:r w:rsidRPr="00DC3D21">
        <w:rPr>
          <w:i/>
          <w:sz w:val="18"/>
        </w:rPr>
        <w:t xml:space="preserve"> estimates should not include burden hours for customary and usual business practices; </w:t>
      </w:r>
    </w:p>
    <w:p w:rsidR="009E13B1" w:rsidRPr="00DC3D21" w14:paraId="7B2FB055" w14:textId="77777777">
      <w:pPr>
        <w:numPr>
          <w:ilvl w:val="0"/>
          <w:numId w:val="14"/>
        </w:numPr>
        <w:tabs>
          <w:tab w:val="left" w:pos="480"/>
        </w:tabs>
        <w:ind w:left="480"/>
        <w:rPr>
          <w:i/>
          <w:sz w:val="18"/>
        </w:rPr>
      </w:pPr>
      <w:r w:rsidRPr="00DC3D21">
        <w:rPr>
          <w:i/>
          <w:sz w:val="18"/>
        </w:rPr>
        <w:t xml:space="preserve">if this request covers more than one form, provide separate hour burden estimates for each form and aggregate the hour burdens in Item 13 of OMB Form 83-I; and </w:t>
      </w:r>
    </w:p>
    <w:p w:rsidR="009E13B1" w:rsidRPr="00DC3D21" w14:paraId="6F8CB5D8" w14:textId="77777777">
      <w:pPr>
        <w:keepLines/>
        <w:numPr>
          <w:ilvl w:val="0"/>
          <w:numId w:val="14"/>
        </w:numPr>
        <w:tabs>
          <w:tab w:val="left" w:pos="480"/>
        </w:tabs>
        <w:spacing w:after="80"/>
        <w:ind w:left="480"/>
        <w:rPr>
          <w:i/>
          <w:sz w:val="18"/>
        </w:rPr>
      </w:pPr>
      <w:r w:rsidRPr="00DC3D21">
        <w:rPr>
          <w:i/>
          <w:sz w:val="18"/>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C3D21">
        <w:rPr>
          <w:i/>
          <w:sz w:val="18"/>
        </w:rPr>
        <w:t>Instead</w:t>
      </w:r>
      <w:r w:rsidRPr="00DC3D21">
        <w:rPr>
          <w:i/>
          <w:sz w:val="18"/>
        </w:rPr>
        <w:t xml:space="preserve"> this cost should be included in Item 13.</w:t>
      </w:r>
    </w:p>
    <w:p w:rsidR="004467AB" w:rsidRPr="00BE28A5" w:rsidP="00DC3D21" w14:paraId="0429212C" w14:textId="77777777">
      <w:pPr>
        <w:ind w:left="360"/>
      </w:pPr>
      <w:r w:rsidRPr="00BE28A5">
        <w:t xml:space="preserve">Once a project is conditionally </w:t>
      </w:r>
      <w:r>
        <w:t>awarded</w:t>
      </w:r>
      <w:r w:rsidRPr="00BE28A5">
        <w:t xml:space="preserve">, all applicants with new projects must complete the appropriate </w:t>
      </w:r>
      <w:r>
        <w:t>T</w:t>
      </w:r>
      <w:r w:rsidRPr="00BE28A5">
        <w:t xml:space="preserve">echnical </w:t>
      </w:r>
      <w:r>
        <w:t>S</w:t>
      </w:r>
      <w:r w:rsidRPr="00BE28A5">
        <w:t>ubmission form</w:t>
      </w:r>
      <w:r>
        <w:t xml:space="preserve">s in </w:t>
      </w:r>
      <w:r>
        <w:rPr>
          <w:i/>
        </w:rPr>
        <w:t>e-snaps</w:t>
      </w:r>
      <w:r>
        <w:t xml:space="preserve"> </w:t>
      </w:r>
      <w:r w:rsidRPr="00BE28A5">
        <w:t xml:space="preserve">to receive </w:t>
      </w:r>
      <w:r>
        <w:t>funding</w:t>
      </w:r>
      <w:r w:rsidRPr="00BE28A5">
        <w:t>.</w:t>
      </w:r>
      <w:r>
        <w:t xml:space="preserve">  Each type of project will require a unique set of forms to meet compliance, and so the estimates below represent an average of applicants that have several forms to complete.  We are anticipating a maximum of 750 responses this year.</w:t>
      </w:r>
    </w:p>
    <w:p w:rsidR="004467AB" w:rsidRPr="00BE28A5" w:rsidP="00DC3D21" w14:paraId="38EA58A5" w14:textId="77777777">
      <w:pPr>
        <w:ind w:left="360"/>
      </w:pPr>
    </w:p>
    <w:p w:rsidR="004467AB" w:rsidP="00DC3D21" w14:paraId="11578C9C" w14:textId="77777777">
      <w:pPr>
        <w:ind w:left="360"/>
      </w:pPr>
      <w:r w:rsidRPr="00BE28A5">
        <w:t xml:space="preserve">Estimates of the public burden have been derived through program staff experience and input from previous applicants, and are shown in the table below: </w:t>
      </w:r>
    </w:p>
    <w:p w:rsidR="001474D3" w:rsidP="00DC3D21" w14:paraId="66B9E7E7" w14:textId="77777777">
      <w:pPr>
        <w:ind w:left="360"/>
      </w:pPr>
    </w:p>
    <w:p w:rsidR="004467AB" w:rsidRPr="00BE28A5" w:rsidP="004467AB" w14:paraId="050281B5" w14:textId="77777777">
      <w:pPr>
        <w:ind w:left="720"/>
      </w:pPr>
    </w:p>
    <w:tbl>
      <w:tblPr>
        <w:tblW w:w="1047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3814"/>
        <w:gridCol w:w="1080"/>
        <w:gridCol w:w="990"/>
        <w:gridCol w:w="1170"/>
        <w:gridCol w:w="900"/>
        <w:gridCol w:w="810"/>
        <w:gridCol w:w="720"/>
        <w:gridCol w:w="990"/>
      </w:tblGrid>
      <w:tr w14:paraId="43FB2A59" w14:textId="77777777" w:rsidTr="00863978">
        <w:tblPrEx>
          <w:tblW w:w="1047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Ex>
        <w:tc>
          <w:tcPr>
            <w:tcW w:w="3814" w:type="dxa"/>
          </w:tcPr>
          <w:p w:rsidR="00E92B1D" w:rsidRPr="004E6055" w:rsidP="00E92B1D" w14:paraId="4C36A8BD" w14:textId="77777777">
            <w:pPr>
              <w:jc w:val="center"/>
            </w:pPr>
            <w:r>
              <w:t>Information Collection</w:t>
            </w:r>
          </w:p>
        </w:tc>
        <w:tc>
          <w:tcPr>
            <w:tcW w:w="1080" w:type="dxa"/>
          </w:tcPr>
          <w:p w:rsidR="00E92B1D" w:rsidRPr="004E6055" w:rsidP="00E92B1D" w14:paraId="67F42609" w14:textId="77777777">
            <w:pPr>
              <w:jc w:val="center"/>
            </w:pPr>
            <w:r w:rsidRPr="004E6055">
              <w:t>Number of Respondents</w:t>
            </w:r>
          </w:p>
        </w:tc>
        <w:tc>
          <w:tcPr>
            <w:tcW w:w="990" w:type="dxa"/>
          </w:tcPr>
          <w:p w:rsidR="00E92B1D" w:rsidRPr="004E6055" w:rsidP="00E92B1D" w14:paraId="1C641D22" w14:textId="77777777">
            <w:pPr>
              <w:jc w:val="center"/>
            </w:pPr>
            <w:r w:rsidRPr="004E6055">
              <w:t>Responses Per Year</w:t>
            </w:r>
          </w:p>
        </w:tc>
        <w:tc>
          <w:tcPr>
            <w:tcW w:w="1170" w:type="dxa"/>
          </w:tcPr>
          <w:p w:rsidR="00E92B1D" w:rsidRPr="004E6055" w:rsidP="00E92B1D" w14:paraId="47BE707A" w14:textId="77777777">
            <w:pPr>
              <w:jc w:val="center"/>
            </w:pPr>
            <w:r w:rsidRPr="004E6055">
              <w:t>Total Annual Responses</w:t>
            </w:r>
          </w:p>
        </w:tc>
        <w:tc>
          <w:tcPr>
            <w:tcW w:w="900" w:type="dxa"/>
          </w:tcPr>
          <w:p w:rsidR="00E92B1D" w:rsidRPr="004E6055" w:rsidP="00E92B1D" w14:paraId="6FEDCAF7" w14:textId="77777777">
            <w:pPr>
              <w:jc w:val="center"/>
            </w:pPr>
            <w:r w:rsidRPr="004E6055">
              <w:t>Hrs</w:t>
            </w:r>
            <w:r w:rsidRPr="004E6055">
              <w:t xml:space="preserve"> per Response</w:t>
            </w:r>
          </w:p>
        </w:tc>
        <w:tc>
          <w:tcPr>
            <w:tcW w:w="810" w:type="dxa"/>
            <w:shd w:val="clear" w:color="auto" w:fill="FFFFFF"/>
          </w:tcPr>
          <w:p w:rsidR="00E92B1D" w:rsidRPr="004467AB" w:rsidP="00E92B1D" w14:paraId="10904CFC" w14:textId="77777777">
            <w:pPr>
              <w:jc w:val="center"/>
            </w:pPr>
            <w:r w:rsidRPr="004467AB">
              <w:t>Total Hours</w:t>
            </w:r>
          </w:p>
        </w:tc>
        <w:tc>
          <w:tcPr>
            <w:tcW w:w="720" w:type="dxa"/>
            <w:shd w:val="clear" w:color="auto" w:fill="FFFFFF"/>
          </w:tcPr>
          <w:p w:rsidR="00E92B1D" w:rsidRPr="00E92B1D" w:rsidP="00E92B1D" w14:paraId="0AE61EB7" w14:textId="77777777">
            <w:pPr>
              <w:jc w:val="center"/>
              <w:rPr>
                <w:bCs/>
                <w:color w:val="000000"/>
                <w:szCs w:val="22"/>
              </w:rPr>
            </w:pPr>
            <w:r w:rsidRPr="00E92B1D">
              <w:rPr>
                <w:bCs/>
                <w:color w:val="000000"/>
                <w:szCs w:val="22"/>
              </w:rPr>
              <w:t>Hourly Cost Per Response</w:t>
            </w:r>
          </w:p>
        </w:tc>
        <w:tc>
          <w:tcPr>
            <w:tcW w:w="990" w:type="dxa"/>
            <w:shd w:val="clear" w:color="auto" w:fill="FFFFFF"/>
          </w:tcPr>
          <w:p w:rsidR="00E92B1D" w:rsidRPr="00E92B1D" w:rsidP="00E92B1D" w14:paraId="39350AAD" w14:textId="77777777">
            <w:pPr>
              <w:jc w:val="center"/>
              <w:rPr>
                <w:bCs/>
                <w:color w:val="000000"/>
                <w:szCs w:val="22"/>
              </w:rPr>
            </w:pPr>
            <w:r w:rsidRPr="00E92B1D">
              <w:rPr>
                <w:bCs/>
                <w:color w:val="000000"/>
                <w:szCs w:val="22"/>
              </w:rPr>
              <w:t>Annual Cost</w:t>
            </w:r>
          </w:p>
          <w:p w:rsidR="00E92B1D" w:rsidRPr="00E92B1D" w:rsidP="00E92B1D" w14:paraId="42E77187" w14:textId="77777777">
            <w:pPr>
              <w:jc w:val="center"/>
              <w:rPr>
                <w:bCs/>
                <w:color w:val="000000"/>
                <w:szCs w:val="22"/>
              </w:rPr>
            </w:pPr>
          </w:p>
        </w:tc>
      </w:tr>
      <w:tr w14:paraId="14BCC062" w14:textId="77777777" w:rsidTr="00863978">
        <w:tblPrEx>
          <w:tblW w:w="10474" w:type="dxa"/>
          <w:tblInd w:w="535" w:type="dxa"/>
          <w:tblLayout w:type="fixed"/>
          <w:tblCellMar>
            <w:left w:w="29" w:type="dxa"/>
            <w:right w:w="29" w:type="dxa"/>
          </w:tblCellMar>
          <w:tblLook w:val="00A0"/>
        </w:tblPrEx>
        <w:trPr>
          <w:trHeight w:val="58"/>
        </w:trPr>
        <w:tc>
          <w:tcPr>
            <w:tcW w:w="3814" w:type="dxa"/>
          </w:tcPr>
          <w:p w:rsidR="00E92B1D" w:rsidRPr="004E6055" w:rsidP="00E92B1D" w14:paraId="15947E2A" w14:textId="77777777">
            <w:r w:rsidRPr="004E6055">
              <w:t>Exhibit 3 CoC Technical Submissions</w:t>
            </w:r>
          </w:p>
          <w:p w:rsidR="00E92B1D" w:rsidRPr="00AD195E" w:rsidP="00E92B1D" w14:paraId="7CB8BEF6" w14:textId="77777777">
            <w:r>
              <w:rPr>
                <w:i/>
              </w:rPr>
              <w:t xml:space="preserve">e-snaps </w:t>
            </w:r>
            <w:r>
              <w:t>Forms, formerly HUD-40090-3(a-b)</w:t>
            </w:r>
          </w:p>
        </w:tc>
        <w:tc>
          <w:tcPr>
            <w:tcW w:w="1080" w:type="dxa"/>
            <w:vAlign w:val="bottom"/>
          </w:tcPr>
          <w:p w:rsidR="00E92B1D" w:rsidRPr="004E6055" w:rsidP="00E92B1D" w14:paraId="5682DBED" w14:textId="77777777">
            <w:pPr>
              <w:jc w:val="center"/>
            </w:pPr>
            <w:r>
              <w:t>750</w:t>
            </w:r>
            <w:r w:rsidR="00F022E8">
              <w:t>.00</w:t>
            </w:r>
          </w:p>
        </w:tc>
        <w:tc>
          <w:tcPr>
            <w:tcW w:w="990" w:type="dxa"/>
            <w:vAlign w:val="bottom"/>
          </w:tcPr>
          <w:p w:rsidR="00E92B1D" w:rsidRPr="004E6055" w:rsidP="00E92B1D" w14:paraId="753BF6F9" w14:textId="77777777">
            <w:pPr>
              <w:jc w:val="center"/>
            </w:pPr>
            <w:r w:rsidRPr="004E6055">
              <w:t>1</w:t>
            </w:r>
            <w:r w:rsidR="00F022E8">
              <w:t>.00</w:t>
            </w:r>
          </w:p>
        </w:tc>
        <w:tc>
          <w:tcPr>
            <w:tcW w:w="1170" w:type="dxa"/>
            <w:vAlign w:val="bottom"/>
          </w:tcPr>
          <w:p w:rsidR="00E92B1D" w:rsidRPr="004E6055" w:rsidP="00E92B1D" w14:paraId="187EB388" w14:textId="77777777">
            <w:pPr>
              <w:jc w:val="center"/>
            </w:pPr>
            <w:r>
              <w:t>750</w:t>
            </w:r>
            <w:r w:rsidR="00F022E8">
              <w:t>.00</w:t>
            </w:r>
          </w:p>
        </w:tc>
        <w:tc>
          <w:tcPr>
            <w:tcW w:w="900" w:type="dxa"/>
            <w:vAlign w:val="bottom"/>
          </w:tcPr>
          <w:p w:rsidR="00E92B1D" w:rsidRPr="004E6055" w:rsidP="00E92B1D" w14:paraId="4FBA32A9" w14:textId="77777777">
            <w:pPr>
              <w:jc w:val="center"/>
            </w:pPr>
            <w:r>
              <w:t>8</w:t>
            </w:r>
            <w:r w:rsidR="00F022E8">
              <w:t>.00</w:t>
            </w:r>
          </w:p>
        </w:tc>
        <w:tc>
          <w:tcPr>
            <w:tcW w:w="810" w:type="dxa"/>
            <w:shd w:val="clear" w:color="auto" w:fill="FFFFFF"/>
            <w:vAlign w:val="bottom"/>
          </w:tcPr>
          <w:p w:rsidR="00E92B1D" w:rsidRPr="004467AB" w:rsidP="00E92B1D" w14:paraId="35365776" w14:textId="77777777">
            <w:pPr>
              <w:jc w:val="center"/>
            </w:pPr>
            <w:r w:rsidRPr="004467AB">
              <w:t>6,000</w:t>
            </w:r>
            <w:r w:rsidR="00F022E8">
              <w:t>.00</w:t>
            </w:r>
          </w:p>
        </w:tc>
        <w:tc>
          <w:tcPr>
            <w:tcW w:w="720" w:type="dxa"/>
            <w:shd w:val="clear" w:color="auto" w:fill="FFFFFF"/>
            <w:vAlign w:val="bottom"/>
          </w:tcPr>
          <w:p w:rsidR="00E92B1D" w:rsidRPr="00E92B1D" w:rsidP="00E92B1D" w14:paraId="00C60A16" w14:textId="77777777">
            <w:pPr>
              <w:jc w:val="center"/>
              <w:rPr>
                <w:bCs/>
                <w:color w:val="000000"/>
                <w:szCs w:val="22"/>
              </w:rPr>
            </w:pPr>
            <w:r>
              <w:rPr>
                <w:bCs/>
                <w:color w:val="000000"/>
                <w:szCs w:val="22"/>
              </w:rPr>
              <w:t>53.67</w:t>
            </w:r>
          </w:p>
        </w:tc>
        <w:tc>
          <w:tcPr>
            <w:tcW w:w="990" w:type="dxa"/>
            <w:shd w:val="clear" w:color="auto" w:fill="FFFFFF"/>
            <w:vAlign w:val="bottom"/>
          </w:tcPr>
          <w:p w:rsidR="00E92B1D" w:rsidRPr="00E92B1D" w:rsidP="00E92B1D" w14:paraId="487D94A8" w14:textId="77777777">
            <w:pPr>
              <w:jc w:val="center"/>
              <w:rPr>
                <w:bCs/>
                <w:color w:val="000000"/>
                <w:szCs w:val="22"/>
              </w:rPr>
            </w:pPr>
            <w:r>
              <w:rPr>
                <w:bCs/>
                <w:color w:val="000000"/>
                <w:szCs w:val="22"/>
              </w:rPr>
              <w:t>322,0</w:t>
            </w:r>
            <w:r w:rsidR="001D7B09">
              <w:rPr>
                <w:bCs/>
                <w:color w:val="000000"/>
                <w:szCs w:val="22"/>
              </w:rPr>
              <w:t>20</w:t>
            </w:r>
            <w:r w:rsidR="00F022E8">
              <w:rPr>
                <w:bCs/>
                <w:color w:val="000000"/>
                <w:szCs w:val="22"/>
              </w:rPr>
              <w:t>.00</w:t>
            </w:r>
          </w:p>
        </w:tc>
      </w:tr>
      <w:tr w14:paraId="1A2A673D" w14:textId="77777777" w:rsidTr="00863978">
        <w:tblPrEx>
          <w:tblW w:w="10474" w:type="dxa"/>
          <w:tblInd w:w="535" w:type="dxa"/>
          <w:tblLayout w:type="fixed"/>
          <w:tblCellMar>
            <w:left w:w="29" w:type="dxa"/>
            <w:right w:w="29" w:type="dxa"/>
          </w:tblCellMar>
          <w:tblLook w:val="00A0"/>
        </w:tblPrEx>
        <w:tc>
          <w:tcPr>
            <w:tcW w:w="3814" w:type="dxa"/>
          </w:tcPr>
          <w:p w:rsidR="00E92B1D" w:rsidRPr="004E6055" w:rsidP="00E92B1D" w14:paraId="282D3C41" w14:textId="77777777">
            <w:pPr>
              <w:jc w:val="center"/>
              <w:rPr>
                <w:b/>
              </w:rPr>
            </w:pPr>
            <w:r w:rsidRPr="004E6055">
              <w:rPr>
                <w:b/>
              </w:rPr>
              <w:t>Submission Subtotal</w:t>
            </w:r>
          </w:p>
        </w:tc>
        <w:tc>
          <w:tcPr>
            <w:tcW w:w="1080" w:type="dxa"/>
            <w:vAlign w:val="bottom"/>
          </w:tcPr>
          <w:p w:rsidR="00E92B1D" w:rsidRPr="004E6055" w:rsidP="00E92B1D" w14:paraId="6A6D5C7B" w14:textId="77777777">
            <w:pPr>
              <w:jc w:val="center"/>
              <w:rPr>
                <w:b/>
              </w:rPr>
            </w:pPr>
            <w:r>
              <w:rPr>
                <w:b/>
              </w:rPr>
              <w:t>750</w:t>
            </w:r>
            <w:r w:rsidR="00F022E8">
              <w:rPr>
                <w:b/>
              </w:rPr>
              <w:t>.00</w:t>
            </w:r>
          </w:p>
        </w:tc>
        <w:tc>
          <w:tcPr>
            <w:tcW w:w="990" w:type="dxa"/>
            <w:vAlign w:val="bottom"/>
          </w:tcPr>
          <w:p w:rsidR="00E92B1D" w:rsidRPr="004E6055" w:rsidP="00E92B1D" w14:paraId="0081D6D8" w14:textId="77777777">
            <w:pPr>
              <w:jc w:val="center"/>
            </w:pPr>
            <w:r>
              <w:t>1</w:t>
            </w:r>
            <w:r w:rsidR="00F022E8">
              <w:t>.00</w:t>
            </w:r>
          </w:p>
        </w:tc>
        <w:tc>
          <w:tcPr>
            <w:tcW w:w="1170" w:type="dxa"/>
            <w:vAlign w:val="bottom"/>
          </w:tcPr>
          <w:p w:rsidR="00E92B1D" w:rsidRPr="004E6055" w:rsidP="00E92B1D" w14:paraId="101BCF20" w14:textId="77777777">
            <w:pPr>
              <w:jc w:val="center"/>
              <w:rPr>
                <w:b/>
              </w:rPr>
            </w:pPr>
            <w:r>
              <w:rPr>
                <w:b/>
              </w:rPr>
              <w:t>750</w:t>
            </w:r>
            <w:r w:rsidR="00F022E8">
              <w:rPr>
                <w:b/>
              </w:rPr>
              <w:t>.00</w:t>
            </w:r>
          </w:p>
        </w:tc>
        <w:tc>
          <w:tcPr>
            <w:tcW w:w="900" w:type="dxa"/>
            <w:vAlign w:val="bottom"/>
          </w:tcPr>
          <w:p w:rsidR="00E92B1D" w:rsidRPr="004E6055" w:rsidP="00E92B1D" w14:paraId="15E5AA03" w14:textId="77777777">
            <w:pPr>
              <w:jc w:val="center"/>
            </w:pPr>
            <w:r>
              <w:t>8</w:t>
            </w:r>
            <w:r w:rsidR="00F022E8">
              <w:t>.00</w:t>
            </w:r>
          </w:p>
        </w:tc>
        <w:tc>
          <w:tcPr>
            <w:tcW w:w="810" w:type="dxa"/>
            <w:shd w:val="clear" w:color="auto" w:fill="FFFFFF"/>
            <w:vAlign w:val="bottom"/>
          </w:tcPr>
          <w:p w:rsidR="00E92B1D" w:rsidRPr="004467AB" w:rsidP="00E92B1D" w14:paraId="26B7FA96" w14:textId="77777777">
            <w:pPr>
              <w:jc w:val="center"/>
              <w:rPr>
                <w:b/>
              </w:rPr>
            </w:pPr>
            <w:r w:rsidRPr="004467AB">
              <w:rPr>
                <w:b/>
              </w:rPr>
              <w:t>6,000</w:t>
            </w:r>
            <w:r w:rsidR="00F022E8">
              <w:rPr>
                <w:b/>
              </w:rPr>
              <w:t>.00</w:t>
            </w:r>
          </w:p>
        </w:tc>
        <w:tc>
          <w:tcPr>
            <w:tcW w:w="720" w:type="dxa"/>
            <w:shd w:val="clear" w:color="auto" w:fill="FFFFFF"/>
            <w:vAlign w:val="bottom"/>
          </w:tcPr>
          <w:p w:rsidR="00E92B1D" w:rsidRPr="00E92B1D" w:rsidP="00E92B1D" w14:paraId="7B15253E" w14:textId="77777777">
            <w:pPr>
              <w:jc w:val="center"/>
              <w:rPr>
                <w:b/>
                <w:bCs/>
                <w:color w:val="000000"/>
                <w:szCs w:val="22"/>
              </w:rPr>
            </w:pPr>
            <w:r>
              <w:rPr>
                <w:b/>
                <w:bCs/>
                <w:color w:val="000000"/>
                <w:szCs w:val="22"/>
              </w:rPr>
              <w:t>53.67</w:t>
            </w:r>
          </w:p>
        </w:tc>
        <w:tc>
          <w:tcPr>
            <w:tcW w:w="990" w:type="dxa"/>
            <w:shd w:val="clear" w:color="auto" w:fill="FFFFFF"/>
            <w:vAlign w:val="bottom"/>
          </w:tcPr>
          <w:p w:rsidR="00E92B1D" w:rsidRPr="00E92B1D" w:rsidP="00E92B1D" w14:paraId="7542AE6C" w14:textId="77777777">
            <w:pPr>
              <w:jc w:val="center"/>
              <w:rPr>
                <w:b/>
                <w:bCs/>
                <w:color w:val="000000"/>
                <w:szCs w:val="22"/>
              </w:rPr>
            </w:pPr>
            <w:r>
              <w:rPr>
                <w:b/>
                <w:bCs/>
                <w:color w:val="000000"/>
                <w:szCs w:val="22"/>
              </w:rPr>
              <w:t>322.0</w:t>
            </w:r>
            <w:r w:rsidR="001D7B09">
              <w:rPr>
                <w:b/>
                <w:bCs/>
                <w:color w:val="000000"/>
                <w:szCs w:val="22"/>
              </w:rPr>
              <w:t>2</w:t>
            </w:r>
            <w:r w:rsidR="00F022E8">
              <w:rPr>
                <w:b/>
                <w:bCs/>
                <w:color w:val="000000"/>
                <w:szCs w:val="22"/>
              </w:rPr>
              <w:t>0.0</w:t>
            </w:r>
            <w:r w:rsidR="001D7B09">
              <w:rPr>
                <w:b/>
                <w:bCs/>
                <w:color w:val="000000"/>
                <w:szCs w:val="22"/>
              </w:rPr>
              <w:t>0</w:t>
            </w:r>
          </w:p>
        </w:tc>
      </w:tr>
      <w:tr w14:paraId="52642139" w14:textId="77777777" w:rsidTr="00863978">
        <w:tblPrEx>
          <w:tblW w:w="10474" w:type="dxa"/>
          <w:tblInd w:w="535" w:type="dxa"/>
          <w:tblLayout w:type="fixed"/>
          <w:tblCellMar>
            <w:left w:w="29" w:type="dxa"/>
            <w:right w:w="29" w:type="dxa"/>
          </w:tblCellMar>
          <w:tblLook w:val="00A0"/>
        </w:tblPrEx>
        <w:tc>
          <w:tcPr>
            <w:tcW w:w="3814" w:type="dxa"/>
          </w:tcPr>
          <w:p w:rsidR="00E92B1D" w:rsidRPr="004E6055" w:rsidP="00E92B1D" w14:paraId="67C74854" w14:textId="77777777">
            <w:pPr>
              <w:jc w:val="center"/>
              <w:rPr>
                <w:b/>
              </w:rPr>
            </w:pPr>
          </w:p>
        </w:tc>
        <w:tc>
          <w:tcPr>
            <w:tcW w:w="1080" w:type="dxa"/>
            <w:vAlign w:val="bottom"/>
          </w:tcPr>
          <w:p w:rsidR="00E92B1D" w:rsidRPr="004E6055" w:rsidP="00E92B1D" w14:paraId="632EAF0E" w14:textId="77777777">
            <w:pPr>
              <w:jc w:val="center"/>
            </w:pPr>
          </w:p>
        </w:tc>
        <w:tc>
          <w:tcPr>
            <w:tcW w:w="990" w:type="dxa"/>
            <w:vAlign w:val="bottom"/>
          </w:tcPr>
          <w:p w:rsidR="00E92B1D" w:rsidRPr="004E6055" w:rsidP="00E92B1D" w14:paraId="10FEA58C" w14:textId="77777777">
            <w:pPr>
              <w:jc w:val="center"/>
            </w:pPr>
          </w:p>
        </w:tc>
        <w:tc>
          <w:tcPr>
            <w:tcW w:w="1170" w:type="dxa"/>
            <w:vAlign w:val="bottom"/>
          </w:tcPr>
          <w:p w:rsidR="00E92B1D" w:rsidRPr="004E6055" w:rsidP="00E92B1D" w14:paraId="1421B032" w14:textId="77777777">
            <w:pPr>
              <w:jc w:val="center"/>
            </w:pPr>
          </w:p>
        </w:tc>
        <w:tc>
          <w:tcPr>
            <w:tcW w:w="900" w:type="dxa"/>
            <w:vAlign w:val="bottom"/>
          </w:tcPr>
          <w:p w:rsidR="00E92B1D" w:rsidRPr="004E6055" w:rsidP="00E92B1D" w14:paraId="6B713AD0" w14:textId="77777777">
            <w:pPr>
              <w:jc w:val="center"/>
            </w:pPr>
          </w:p>
        </w:tc>
        <w:tc>
          <w:tcPr>
            <w:tcW w:w="810" w:type="dxa"/>
            <w:shd w:val="clear" w:color="auto" w:fill="FFFFFF"/>
            <w:vAlign w:val="bottom"/>
          </w:tcPr>
          <w:p w:rsidR="00E92B1D" w:rsidRPr="004467AB" w:rsidP="00E92B1D" w14:paraId="71EA36CB" w14:textId="77777777">
            <w:pPr>
              <w:jc w:val="center"/>
              <w:rPr>
                <w:b/>
              </w:rPr>
            </w:pPr>
          </w:p>
        </w:tc>
        <w:tc>
          <w:tcPr>
            <w:tcW w:w="720" w:type="dxa"/>
            <w:shd w:val="clear" w:color="auto" w:fill="FFFFFF"/>
            <w:vAlign w:val="bottom"/>
          </w:tcPr>
          <w:p w:rsidR="00E92B1D" w:rsidRPr="00E92B1D" w:rsidP="00E92B1D" w14:paraId="4145060D" w14:textId="77777777">
            <w:pPr>
              <w:jc w:val="center"/>
              <w:rPr>
                <w:bCs/>
                <w:color w:val="000000"/>
                <w:szCs w:val="22"/>
              </w:rPr>
            </w:pPr>
          </w:p>
        </w:tc>
        <w:tc>
          <w:tcPr>
            <w:tcW w:w="990" w:type="dxa"/>
            <w:shd w:val="clear" w:color="auto" w:fill="FFFFFF"/>
            <w:vAlign w:val="bottom"/>
          </w:tcPr>
          <w:p w:rsidR="00E92B1D" w:rsidRPr="00E92B1D" w:rsidP="00E92B1D" w14:paraId="100607C1" w14:textId="77777777">
            <w:pPr>
              <w:jc w:val="center"/>
              <w:rPr>
                <w:bCs/>
                <w:color w:val="000000"/>
                <w:szCs w:val="22"/>
              </w:rPr>
            </w:pPr>
          </w:p>
        </w:tc>
      </w:tr>
      <w:tr w14:paraId="44BDD0DA" w14:textId="77777777" w:rsidTr="00863978">
        <w:tblPrEx>
          <w:tblW w:w="10474" w:type="dxa"/>
          <w:tblInd w:w="535" w:type="dxa"/>
          <w:tblLayout w:type="fixed"/>
          <w:tblCellMar>
            <w:left w:w="29" w:type="dxa"/>
            <w:right w:w="29" w:type="dxa"/>
          </w:tblCellMar>
          <w:tblLook w:val="00A0"/>
        </w:tblPrEx>
        <w:tc>
          <w:tcPr>
            <w:tcW w:w="3814" w:type="dxa"/>
          </w:tcPr>
          <w:p w:rsidR="00E92B1D" w:rsidRPr="004E6055" w:rsidP="00E92B1D" w14:paraId="665B64B1" w14:textId="77777777">
            <w:pPr>
              <w:jc w:val="center"/>
              <w:rPr>
                <w:b/>
              </w:rPr>
            </w:pPr>
            <w:r w:rsidRPr="004E6055">
              <w:rPr>
                <w:b/>
              </w:rPr>
              <w:t>Total Grant Program Application Collection</w:t>
            </w:r>
          </w:p>
        </w:tc>
        <w:tc>
          <w:tcPr>
            <w:tcW w:w="1080" w:type="dxa"/>
            <w:vAlign w:val="bottom"/>
          </w:tcPr>
          <w:p w:rsidR="00E92B1D" w:rsidRPr="004E6055" w:rsidP="00E92B1D" w14:paraId="5B32C419" w14:textId="77777777">
            <w:pPr>
              <w:jc w:val="center"/>
            </w:pPr>
          </w:p>
        </w:tc>
        <w:tc>
          <w:tcPr>
            <w:tcW w:w="990" w:type="dxa"/>
            <w:vAlign w:val="bottom"/>
          </w:tcPr>
          <w:p w:rsidR="00E92B1D" w:rsidRPr="004E6055" w:rsidP="00E92B1D" w14:paraId="4599DF34" w14:textId="77777777">
            <w:pPr>
              <w:jc w:val="center"/>
            </w:pPr>
          </w:p>
        </w:tc>
        <w:tc>
          <w:tcPr>
            <w:tcW w:w="1170" w:type="dxa"/>
            <w:vAlign w:val="bottom"/>
          </w:tcPr>
          <w:p w:rsidR="00E92B1D" w:rsidRPr="004E6055" w:rsidP="00E92B1D" w14:paraId="3B14ABDA" w14:textId="77777777">
            <w:pPr>
              <w:jc w:val="center"/>
            </w:pPr>
          </w:p>
        </w:tc>
        <w:tc>
          <w:tcPr>
            <w:tcW w:w="900" w:type="dxa"/>
            <w:vAlign w:val="bottom"/>
          </w:tcPr>
          <w:p w:rsidR="00E92B1D" w:rsidRPr="004E6055" w:rsidP="00E92B1D" w14:paraId="23119B7F" w14:textId="77777777">
            <w:pPr>
              <w:jc w:val="center"/>
            </w:pPr>
          </w:p>
        </w:tc>
        <w:tc>
          <w:tcPr>
            <w:tcW w:w="810" w:type="dxa"/>
            <w:shd w:val="clear" w:color="auto" w:fill="FFFFFF"/>
            <w:vAlign w:val="bottom"/>
          </w:tcPr>
          <w:p w:rsidR="00E92B1D" w:rsidRPr="004467AB" w:rsidP="00E92B1D" w14:paraId="75870DAE" w14:textId="77777777">
            <w:pPr>
              <w:jc w:val="center"/>
              <w:rPr>
                <w:b/>
              </w:rPr>
            </w:pPr>
          </w:p>
        </w:tc>
        <w:tc>
          <w:tcPr>
            <w:tcW w:w="720" w:type="dxa"/>
            <w:shd w:val="clear" w:color="auto" w:fill="FFFFFF"/>
            <w:vAlign w:val="bottom"/>
          </w:tcPr>
          <w:p w:rsidR="00E92B1D" w:rsidRPr="00E92B1D" w:rsidP="00E92B1D" w14:paraId="5924D567" w14:textId="77777777">
            <w:pPr>
              <w:jc w:val="center"/>
              <w:rPr>
                <w:bCs/>
                <w:color w:val="000000"/>
                <w:szCs w:val="22"/>
              </w:rPr>
            </w:pPr>
          </w:p>
        </w:tc>
        <w:tc>
          <w:tcPr>
            <w:tcW w:w="990" w:type="dxa"/>
            <w:shd w:val="clear" w:color="auto" w:fill="FFFFFF"/>
            <w:vAlign w:val="bottom"/>
          </w:tcPr>
          <w:p w:rsidR="00E92B1D" w:rsidRPr="00E92B1D" w:rsidP="00E92B1D" w14:paraId="751BC0BC" w14:textId="77777777">
            <w:pPr>
              <w:jc w:val="center"/>
              <w:rPr>
                <w:bCs/>
                <w:color w:val="000000"/>
                <w:szCs w:val="22"/>
              </w:rPr>
            </w:pPr>
          </w:p>
        </w:tc>
      </w:tr>
      <w:tr w14:paraId="7F41996F" w14:textId="77777777" w:rsidTr="00863978">
        <w:tblPrEx>
          <w:tblW w:w="10474" w:type="dxa"/>
          <w:tblInd w:w="535" w:type="dxa"/>
          <w:tblLayout w:type="fixed"/>
          <w:tblCellMar>
            <w:left w:w="29" w:type="dxa"/>
            <w:right w:w="29" w:type="dxa"/>
          </w:tblCellMar>
          <w:tblLook w:val="00A0"/>
        </w:tblPrEx>
        <w:tc>
          <w:tcPr>
            <w:tcW w:w="3814" w:type="dxa"/>
          </w:tcPr>
          <w:p w:rsidR="00E92B1D" w:rsidRPr="004E6055" w:rsidP="00E92B1D" w14:paraId="41020C0B" w14:textId="77777777">
            <w:pPr>
              <w:jc w:val="center"/>
              <w:rPr>
                <w:b/>
              </w:rPr>
            </w:pPr>
            <w:r w:rsidRPr="004E6055">
              <w:rPr>
                <w:b/>
              </w:rPr>
              <w:t>Total</w:t>
            </w:r>
          </w:p>
        </w:tc>
        <w:tc>
          <w:tcPr>
            <w:tcW w:w="1080" w:type="dxa"/>
            <w:vAlign w:val="bottom"/>
          </w:tcPr>
          <w:p w:rsidR="00E92B1D" w:rsidRPr="004E6055" w:rsidP="00E92B1D" w14:paraId="0694DB77" w14:textId="77777777">
            <w:pPr>
              <w:jc w:val="center"/>
              <w:rPr>
                <w:b/>
              </w:rPr>
            </w:pPr>
            <w:r>
              <w:rPr>
                <w:b/>
              </w:rPr>
              <w:t>750</w:t>
            </w:r>
            <w:r w:rsidR="00F022E8">
              <w:rPr>
                <w:b/>
              </w:rPr>
              <w:t>.00</w:t>
            </w:r>
          </w:p>
        </w:tc>
        <w:tc>
          <w:tcPr>
            <w:tcW w:w="990" w:type="dxa"/>
            <w:vAlign w:val="bottom"/>
          </w:tcPr>
          <w:p w:rsidR="00E92B1D" w:rsidRPr="004E6055" w:rsidP="00E92B1D" w14:paraId="17B41310" w14:textId="77777777">
            <w:pPr>
              <w:jc w:val="center"/>
            </w:pPr>
            <w:r w:rsidRPr="004E6055">
              <w:t>1</w:t>
            </w:r>
            <w:r w:rsidR="00F022E8">
              <w:t>.00</w:t>
            </w:r>
          </w:p>
        </w:tc>
        <w:tc>
          <w:tcPr>
            <w:tcW w:w="1170" w:type="dxa"/>
            <w:vAlign w:val="bottom"/>
          </w:tcPr>
          <w:p w:rsidR="00E92B1D" w:rsidRPr="004E6055" w:rsidP="00E92B1D" w14:paraId="724C1471" w14:textId="77777777">
            <w:pPr>
              <w:jc w:val="center"/>
              <w:rPr>
                <w:b/>
              </w:rPr>
            </w:pPr>
            <w:r>
              <w:rPr>
                <w:b/>
              </w:rPr>
              <w:t>750</w:t>
            </w:r>
            <w:r w:rsidR="00F022E8">
              <w:rPr>
                <w:b/>
              </w:rPr>
              <w:t>.00</w:t>
            </w:r>
          </w:p>
        </w:tc>
        <w:tc>
          <w:tcPr>
            <w:tcW w:w="900" w:type="dxa"/>
            <w:vAlign w:val="bottom"/>
          </w:tcPr>
          <w:p w:rsidR="00E92B1D" w:rsidRPr="004E6055" w:rsidP="00E92B1D" w14:paraId="6BB925C3" w14:textId="77777777">
            <w:pPr>
              <w:jc w:val="center"/>
            </w:pPr>
            <w:r>
              <w:t>8</w:t>
            </w:r>
            <w:r w:rsidR="00F022E8">
              <w:t>.00</w:t>
            </w:r>
          </w:p>
        </w:tc>
        <w:tc>
          <w:tcPr>
            <w:tcW w:w="810" w:type="dxa"/>
            <w:shd w:val="clear" w:color="auto" w:fill="FFFFFF"/>
            <w:vAlign w:val="bottom"/>
          </w:tcPr>
          <w:p w:rsidR="00E92B1D" w:rsidRPr="004467AB" w:rsidP="00E92B1D" w14:paraId="38EAADA4" w14:textId="77777777">
            <w:pPr>
              <w:jc w:val="center"/>
              <w:rPr>
                <w:b/>
              </w:rPr>
            </w:pPr>
            <w:r w:rsidRPr="004467AB">
              <w:rPr>
                <w:b/>
              </w:rPr>
              <w:t>6,000</w:t>
            </w:r>
            <w:r w:rsidR="00F022E8">
              <w:rPr>
                <w:b/>
              </w:rPr>
              <w:t>.00</w:t>
            </w:r>
          </w:p>
        </w:tc>
        <w:tc>
          <w:tcPr>
            <w:tcW w:w="720" w:type="dxa"/>
            <w:shd w:val="clear" w:color="auto" w:fill="FFFFFF"/>
            <w:vAlign w:val="bottom"/>
          </w:tcPr>
          <w:p w:rsidR="00E92B1D" w:rsidRPr="00E92B1D" w:rsidP="00E92B1D" w14:paraId="1E14338A" w14:textId="77777777">
            <w:pPr>
              <w:jc w:val="center"/>
              <w:rPr>
                <w:b/>
                <w:bCs/>
                <w:color w:val="000000"/>
                <w:szCs w:val="22"/>
              </w:rPr>
            </w:pPr>
            <w:r>
              <w:rPr>
                <w:b/>
                <w:bCs/>
                <w:color w:val="000000"/>
                <w:szCs w:val="22"/>
              </w:rPr>
              <w:t>53.67</w:t>
            </w:r>
          </w:p>
        </w:tc>
        <w:tc>
          <w:tcPr>
            <w:tcW w:w="990" w:type="dxa"/>
            <w:shd w:val="clear" w:color="auto" w:fill="FFFFFF"/>
            <w:vAlign w:val="bottom"/>
          </w:tcPr>
          <w:p w:rsidR="00E92B1D" w:rsidRPr="00E92B1D" w:rsidP="00E92B1D" w14:paraId="0809E923" w14:textId="77777777">
            <w:pPr>
              <w:jc w:val="center"/>
              <w:rPr>
                <w:b/>
                <w:bCs/>
                <w:color w:val="000000"/>
                <w:szCs w:val="22"/>
              </w:rPr>
            </w:pPr>
            <w:r>
              <w:rPr>
                <w:b/>
                <w:bCs/>
                <w:color w:val="000000"/>
                <w:szCs w:val="22"/>
              </w:rPr>
              <w:t>322,0</w:t>
            </w:r>
            <w:r w:rsidR="001D7B09">
              <w:rPr>
                <w:b/>
                <w:bCs/>
                <w:color w:val="000000"/>
                <w:szCs w:val="22"/>
              </w:rPr>
              <w:t>20</w:t>
            </w:r>
            <w:r w:rsidR="00F022E8">
              <w:rPr>
                <w:b/>
                <w:bCs/>
                <w:color w:val="000000"/>
                <w:szCs w:val="22"/>
              </w:rPr>
              <w:t>.00</w:t>
            </w:r>
          </w:p>
        </w:tc>
      </w:tr>
    </w:tbl>
    <w:p w:rsidR="001D7B09" w:rsidRPr="00E92B1D" w:rsidP="001D7B09" w14:paraId="12A84099" w14:textId="77777777">
      <w:pPr>
        <w:keepLines/>
        <w:tabs>
          <w:tab w:val="left" w:pos="360"/>
          <w:tab w:val="left" w:pos="720"/>
        </w:tabs>
        <w:ind w:left="360"/>
        <w:rPr>
          <w:b/>
          <w:sz w:val="18"/>
        </w:rPr>
      </w:pPr>
      <w:r w:rsidRPr="00E92B1D">
        <w:rPr>
          <w:b/>
          <w:sz w:val="18"/>
        </w:rPr>
        <w:t>Review each Technical Submission ($</w:t>
      </w:r>
      <w:r w:rsidR="00B81CCC">
        <w:rPr>
          <w:b/>
          <w:sz w:val="18"/>
        </w:rPr>
        <w:t>53.67</w:t>
      </w:r>
      <w:r w:rsidRPr="00E92B1D">
        <w:rPr>
          <w:b/>
          <w:sz w:val="18"/>
        </w:rPr>
        <w:t>* per hr. x</w:t>
      </w:r>
      <w:r>
        <w:rPr>
          <w:b/>
          <w:sz w:val="18"/>
        </w:rPr>
        <w:t xml:space="preserve"> 8</w:t>
      </w:r>
      <w:r w:rsidRPr="00E92B1D">
        <w:rPr>
          <w:b/>
          <w:sz w:val="18"/>
        </w:rPr>
        <w:t xml:space="preserve"> hrs. x 750 )= </w:t>
      </w:r>
      <w:r w:rsidRPr="00E92B1D">
        <w:rPr>
          <w:b/>
          <w:sz w:val="18"/>
        </w:rPr>
        <w:tab/>
        <w:t>$</w:t>
      </w:r>
      <w:r w:rsidR="00B81CCC">
        <w:rPr>
          <w:b/>
          <w:sz w:val="18"/>
        </w:rPr>
        <w:t>322,02</w:t>
      </w:r>
      <w:r>
        <w:rPr>
          <w:b/>
          <w:sz w:val="18"/>
        </w:rPr>
        <w:t>0</w:t>
      </w:r>
      <w:r w:rsidRPr="00E92B1D">
        <w:rPr>
          <w:b/>
          <w:sz w:val="18"/>
        </w:rPr>
        <w:t>.00</w:t>
      </w:r>
    </w:p>
    <w:p w:rsidR="001D7B09" w:rsidRPr="00E92B1D" w:rsidP="001D7B09" w14:paraId="5BC2D811" w14:textId="77777777">
      <w:pPr>
        <w:keepLines/>
        <w:tabs>
          <w:tab w:val="left" w:pos="360"/>
          <w:tab w:val="left" w:pos="720"/>
        </w:tabs>
        <w:ind w:left="360"/>
        <w:rPr>
          <w:sz w:val="18"/>
          <w:szCs w:val="22"/>
        </w:rPr>
      </w:pPr>
      <w:r w:rsidRPr="00E92B1D">
        <w:rPr>
          <w:sz w:val="18"/>
          <w:szCs w:val="22"/>
        </w:rPr>
        <w:t>*</w:t>
      </w:r>
      <w:r w:rsidRPr="00E92B1D">
        <w:rPr>
          <w:sz w:val="18"/>
          <w:szCs w:val="22"/>
        </w:rPr>
        <w:t>this</w:t>
      </w:r>
      <w:r w:rsidRPr="00E92B1D">
        <w:rPr>
          <w:sz w:val="18"/>
          <w:szCs w:val="22"/>
        </w:rPr>
        <w:t xml:space="preserve"> figure is based on a GS-13, step 1 salary</w:t>
      </w:r>
    </w:p>
    <w:p w:rsidR="004467AB" w:rsidRPr="00BE28A5" w:rsidP="004467AB" w14:paraId="5CE7DDA4" w14:textId="77777777">
      <w:pPr>
        <w:ind w:left="720"/>
      </w:pPr>
    </w:p>
    <w:p w:rsidR="009E13B1" w14:paraId="462EB1C6" w14:textId="77777777">
      <w:pPr>
        <w:tabs>
          <w:tab w:val="left" w:pos="360"/>
        </w:tabs>
        <w:ind w:left="360" w:hanging="360"/>
        <w:rPr>
          <w:sz w:val="18"/>
        </w:rPr>
      </w:pPr>
    </w:p>
    <w:p w:rsidR="009E13B1" w:rsidRPr="00DC3D21" w14:paraId="0866C091" w14:textId="77777777">
      <w:pPr>
        <w:tabs>
          <w:tab w:val="left" w:pos="360"/>
        </w:tabs>
        <w:ind w:left="360" w:hanging="360"/>
        <w:rPr>
          <w:i/>
          <w:sz w:val="18"/>
        </w:rPr>
      </w:pPr>
      <w:r>
        <w:rPr>
          <w:sz w:val="18"/>
        </w:rPr>
        <w:t>13</w:t>
      </w:r>
      <w:r w:rsidRPr="00DC3D21">
        <w:rPr>
          <w:i/>
          <w:sz w:val="18"/>
        </w:rPr>
        <w:t>.</w:t>
      </w:r>
      <w:r w:rsidRPr="00DC3D21">
        <w:rPr>
          <w:i/>
          <w:sz w:val="18"/>
        </w:rPr>
        <w:tab/>
        <w:t xml:space="preserve">Provide an estimate of the total annual cost burden to respondents or recordkeepers resulting from the collection of information (do not include the cost of any hour burden shown in Items 12 and 14). </w:t>
      </w:r>
    </w:p>
    <w:p w:rsidR="009E13B1" w:rsidRPr="00DC3D21" w14:paraId="68F620AA" w14:textId="77777777">
      <w:pPr>
        <w:numPr>
          <w:ilvl w:val="0"/>
          <w:numId w:val="14"/>
        </w:numPr>
        <w:tabs>
          <w:tab w:val="left" w:pos="360"/>
        </w:tabs>
        <w:ind w:left="480"/>
        <w:rPr>
          <w:i/>
          <w:sz w:val="18"/>
        </w:rPr>
      </w:pPr>
      <w:r w:rsidRPr="00DC3D21">
        <w:rPr>
          <w:i/>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DC3D21" w14:paraId="454FF71E" w14:textId="77777777">
      <w:pPr>
        <w:numPr>
          <w:ilvl w:val="0"/>
          <w:numId w:val="14"/>
        </w:numPr>
        <w:tabs>
          <w:tab w:val="left" w:pos="360"/>
        </w:tabs>
        <w:ind w:left="480"/>
        <w:rPr>
          <w:i/>
          <w:sz w:val="18"/>
        </w:rPr>
      </w:pPr>
      <w:r w:rsidRPr="00DC3D21">
        <w:rPr>
          <w:i/>
          <w:sz w:val="18"/>
        </w:rPr>
        <w:t xml:space="preserve">If cost estimates are expected to vary widely, agencies should present ranges of cost burdens and explain the reasons for the variance.  The cost of purchasing or contracting </w:t>
      </w:r>
      <w:r w:rsidRPr="00DC3D21">
        <w:rPr>
          <w:i/>
          <w:sz w:val="18"/>
        </w:rPr>
        <w:t>out</w:t>
      </w:r>
      <w:r w:rsidRPr="00DC3D21">
        <w:rPr>
          <w:i/>
          <w:sz w:val="18"/>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DC3D21" w14:paraId="27C8202D" w14:textId="77777777">
      <w:pPr>
        <w:keepLines/>
        <w:numPr>
          <w:ilvl w:val="0"/>
          <w:numId w:val="14"/>
        </w:numPr>
        <w:tabs>
          <w:tab w:val="left" w:pos="360"/>
        </w:tabs>
        <w:spacing w:after="80"/>
        <w:ind w:left="480"/>
        <w:rPr>
          <w:i/>
          <w:sz w:val="18"/>
        </w:rPr>
      </w:pPr>
      <w:r w:rsidRPr="00DC3D21">
        <w:rPr>
          <w:i/>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13B1" w14:paraId="438735DD" w14:textId="77777777">
      <w:pPr>
        <w:keepLines/>
        <w:tabs>
          <w:tab w:val="left" w:pos="360"/>
          <w:tab w:val="left" w:pos="720"/>
        </w:tabs>
        <w:ind w:left="360"/>
        <w:rPr>
          <w:sz w:val="18"/>
        </w:rPr>
      </w:pPr>
      <w:r w:rsidRPr="00FC0936">
        <w:t xml:space="preserve">There are no </w:t>
      </w:r>
      <w:r>
        <w:t xml:space="preserve">capital </w:t>
      </w:r>
      <w:r w:rsidRPr="00FC0936">
        <w:t>costs to respondents</w:t>
      </w:r>
      <w:r>
        <w:t xml:space="preserve"> or record </w:t>
      </w:r>
      <w:r>
        <w:t>keepers</w:t>
      </w:r>
    </w:p>
    <w:p w:rsidR="009E13B1" w14:paraId="352A3F1F" w14:textId="77777777">
      <w:pPr>
        <w:tabs>
          <w:tab w:val="left" w:pos="360"/>
        </w:tabs>
        <w:ind w:left="360" w:hanging="360"/>
        <w:rPr>
          <w:sz w:val="18"/>
        </w:rPr>
      </w:pPr>
    </w:p>
    <w:p w:rsidR="009E13B1" w:rsidRPr="00DC3D21" w14:paraId="30C447F4" w14:textId="77777777">
      <w:pPr>
        <w:keepLines/>
        <w:tabs>
          <w:tab w:val="left" w:pos="360"/>
        </w:tabs>
        <w:spacing w:after="80"/>
        <w:ind w:left="360" w:hanging="360"/>
        <w:rPr>
          <w:i/>
          <w:sz w:val="18"/>
        </w:rPr>
      </w:pPr>
      <w:r>
        <w:rPr>
          <w:sz w:val="18"/>
        </w:rPr>
        <w:t>14.</w:t>
      </w:r>
      <w:r>
        <w:rPr>
          <w:sz w:val="18"/>
        </w:rPr>
        <w:tab/>
      </w:r>
      <w:r w:rsidRPr="00DC3D21">
        <w:rPr>
          <w:i/>
          <w:sz w:val="18"/>
        </w:rPr>
        <w:t xml:space="preserve">Provide estimates of annualized </w:t>
      </w:r>
      <w:r w:rsidRPr="00DC3D21">
        <w:rPr>
          <w:i/>
          <w:sz w:val="18"/>
        </w:rPr>
        <w:t>cost</w:t>
      </w:r>
      <w:r w:rsidRPr="00DC3D21">
        <w:rPr>
          <w:i/>
          <w:sz w:val="18"/>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467AB" w:rsidRPr="00E92B1D" w:rsidP="004467AB" w14:paraId="75091E40" w14:textId="77777777">
      <w:pPr>
        <w:keepLines/>
        <w:tabs>
          <w:tab w:val="left" w:pos="360"/>
          <w:tab w:val="left" w:pos="720"/>
        </w:tabs>
        <w:ind w:left="360"/>
        <w:rPr>
          <w:b/>
          <w:sz w:val="18"/>
        </w:rPr>
      </w:pPr>
      <w:r w:rsidRPr="00E92B1D">
        <w:rPr>
          <w:b/>
          <w:sz w:val="18"/>
        </w:rPr>
        <w:t>This response has only changed to update the average government salary for the current year:  Estimates of annualized cost to the Federal government (clerical and professional staff time)</w:t>
      </w:r>
    </w:p>
    <w:p w:rsidR="004467AB" w:rsidRPr="00E92B1D" w:rsidP="004467AB" w14:paraId="79DA6971" w14:textId="77777777">
      <w:pPr>
        <w:keepLines/>
        <w:tabs>
          <w:tab w:val="left" w:pos="360"/>
          <w:tab w:val="left" w:pos="720"/>
        </w:tabs>
        <w:ind w:left="360"/>
        <w:rPr>
          <w:b/>
          <w:sz w:val="18"/>
        </w:rPr>
      </w:pPr>
    </w:p>
    <w:p w:rsidR="009E13B1" w:rsidRPr="00E92B1D" w:rsidP="004467AB" w14:paraId="4B0C1F58" w14:textId="77777777">
      <w:pPr>
        <w:keepLines/>
        <w:tabs>
          <w:tab w:val="left" w:pos="360"/>
          <w:tab w:val="left" w:pos="720"/>
        </w:tabs>
        <w:ind w:left="360"/>
        <w:rPr>
          <w:b/>
          <w:sz w:val="18"/>
        </w:rPr>
      </w:pPr>
      <w:r w:rsidRPr="00E92B1D">
        <w:rPr>
          <w:b/>
          <w:sz w:val="18"/>
        </w:rPr>
        <w:t>Review each Technical Submission ($</w:t>
      </w:r>
      <w:r w:rsidR="00B81CCC">
        <w:rPr>
          <w:b/>
          <w:sz w:val="18"/>
        </w:rPr>
        <w:t>53.67</w:t>
      </w:r>
      <w:r w:rsidRPr="00E92B1D">
        <w:rPr>
          <w:b/>
          <w:sz w:val="18"/>
        </w:rPr>
        <w:t xml:space="preserve">* per hr. x .75 hrs. x 750 )= </w:t>
      </w:r>
      <w:r w:rsidRPr="00E92B1D">
        <w:rPr>
          <w:b/>
          <w:sz w:val="18"/>
        </w:rPr>
        <w:tab/>
        <w:t>$</w:t>
      </w:r>
      <w:r w:rsidR="00B81CCC">
        <w:rPr>
          <w:b/>
          <w:sz w:val="18"/>
        </w:rPr>
        <w:t>30,189</w:t>
      </w:r>
    </w:p>
    <w:p w:rsidR="00E92B1D" w:rsidRPr="00E92B1D" w:rsidP="004467AB" w14:paraId="2B1B4039" w14:textId="77777777">
      <w:pPr>
        <w:keepLines/>
        <w:tabs>
          <w:tab w:val="left" w:pos="360"/>
          <w:tab w:val="left" w:pos="720"/>
        </w:tabs>
        <w:ind w:left="360"/>
        <w:rPr>
          <w:sz w:val="18"/>
          <w:szCs w:val="22"/>
        </w:rPr>
      </w:pPr>
      <w:r w:rsidRPr="00E92B1D">
        <w:rPr>
          <w:sz w:val="18"/>
          <w:szCs w:val="22"/>
        </w:rPr>
        <w:t>*this figure is based on a GS-13, step 1 salary</w:t>
      </w:r>
    </w:p>
    <w:p w:rsidR="00E92B1D" w:rsidRPr="00E92B1D" w:rsidP="004467AB" w14:paraId="4F7B8899" w14:textId="77777777">
      <w:pPr>
        <w:keepLines/>
        <w:tabs>
          <w:tab w:val="left" w:pos="360"/>
          <w:tab w:val="left" w:pos="720"/>
        </w:tabs>
        <w:ind w:left="360"/>
        <w:rPr>
          <w:sz w:val="16"/>
        </w:rPr>
      </w:pPr>
    </w:p>
    <w:tbl>
      <w:tblPr>
        <w:tblW w:w="1038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3904"/>
        <w:gridCol w:w="1170"/>
        <w:gridCol w:w="990"/>
        <w:gridCol w:w="990"/>
        <w:gridCol w:w="900"/>
        <w:gridCol w:w="630"/>
        <w:gridCol w:w="900"/>
        <w:gridCol w:w="900"/>
      </w:tblGrid>
      <w:tr w14:paraId="7CD9FCF7" w14:textId="77777777" w:rsidTr="00AE3156">
        <w:tblPrEx>
          <w:tblW w:w="1038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Ex>
        <w:tc>
          <w:tcPr>
            <w:tcW w:w="3904" w:type="dxa"/>
          </w:tcPr>
          <w:p w:rsidR="00E92B1D" w:rsidRPr="004E6055" w:rsidP="00E92B1D" w14:paraId="513430C5" w14:textId="77777777">
            <w:pPr>
              <w:jc w:val="center"/>
            </w:pPr>
            <w:r>
              <w:t>Federal Government Review of Information Collection</w:t>
            </w:r>
          </w:p>
        </w:tc>
        <w:tc>
          <w:tcPr>
            <w:tcW w:w="1170" w:type="dxa"/>
          </w:tcPr>
          <w:p w:rsidR="00E92B1D" w:rsidRPr="004E6055" w:rsidP="007437FC" w14:paraId="5A3FD194" w14:textId="77777777">
            <w:pPr>
              <w:jc w:val="center"/>
            </w:pPr>
            <w:r w:rsidRPr="004E6055">
              <w:t>Number of Respondents</w:t>
            </w:r>
          </w:p>
        </w:tc>
        <w:tc>
          <w:tcPr>
            <w:tcW w:w="990" w:type="dxa"/>
          </w:tcPr>
          <w:p w:rsidR="00E92B1D" w:rsidRPr="004E6055" w:rsidP="007437FC" w14:paraId="5D57F6B4" w14:textId="77777777">
            <w:pPr>
              <w:jc w:val="center"/>
            </w:pPr>
            <w:r w:rsidRPr="004E6055">
              <w:t>Responses Per Year</w:t>
            </w:r>
          </w:p>
        </w:tc>
        <w:tc>
          <w:tcPr>
            <w:tcW w:w="990" w:type="dxa"/>
          </w:tcPr>
          <w:p w:rsidR="00E92B1D" w:rsidRPr="004E6055" w:rsidP="007437FC" w14:paraId="12A02C5D" w14:textId="77777777">
            <w:pPr>
              <w:jc w:val="center"/>
            </w:pPr>
            <w:r w:rsidRPr="004E6055">
              <w:t>Total Annual Responses</w:t>
            </w:r>
          </w:p>
        </w:tc>
        <w:tc>
          <w:tcPr>
            <w:tcW w:w="900" w:type="dxa"/>
          </w:tcPr>
          <w:p w:rsidR="00E92B1D" w:rsidRPr="004E6055" w:rsidP="007437FC" w14:paraId="25D29E83" w14:textId="77777777">
            <w:pPr>
              <w:jc w:val="center"/>
            </w:pPr>
            <w:r w:rsidRPr="004E6055">
              <w:t>Hrs</w:t>
            </w:r>
            <w:r w:rsidRPr="004E6055">
              <w:t xml:space="preserve"> per Response</w:t>
            </w:r>
          </w:p>
        </w:tc>
        <w:tc>
          <w:tcPr>
            <w:tcW w:w="630" w:type="dxa"/>
            <w:shd w:val="clear" w:color="auto" w:fill="FFFFFF"/>
          </w:tcPr>
          <w:p w:rsidR="00E92B1D" w:rsidRPr="004467AB" w:rsidP="007437FC" w14:paraId="1C17E04F" w14:textId="77777777">
            <w:pPr>
              <w:jc w:val="center"/>
            </w:pPr>
            <w:r w:rsidRPr="004467AB">
              <w:t>Total Hours</w:t>
            </w:r>
          </w:p>
        </w:tc>
        <w:tc>
          <w:tcPr>
            <w:tcW w:w="900" w:type="dxa"/>
            <w:shd w:val="clear" w:color="auto" w:fill="FFFFFF"/>
          </w:tcPr>
          <w:p w:rsidR="00E92B1D" w:rsidRPr="00E92B1D" w:rsidP="007437FC" w14:paraId="5B04EC92" w14:textId="77777777">
            <w:pPr>
              <w:jc w:val="center"/>
              <w:rPr>
                <w:bCs/>
                <w:color w:val="000000"/>
                <w:szCs w:val="22"/>
              </w:rPr>
            </w:pPr>
            <w:r w:rsidRPr="00E92B1D">
              <w:rPr>
                <w:bCs/>
                <w:color w:val="000000"/>
                <w:szCs w:val="22"/>
              </w:rPr>
              <w:t>Hourly Cost Per Response</w:t>
            </w:r>
          </w:p>
        </w:tc>
        <w:tc>
          <w:tcPr>
            <w:tcW w:w="900" w:type="dxa"/>
            <w:shd w:val="clear" w:color="auto" w:fill="FFFFFF"/>
          </w:tcPr>
          <w:p w:rsidR="00E92B1D" w:rsidRPr="00E92B1D" w:rsidP="007437FC" w14:paraId="66F48DE1" w14:textId="77777777">
            <w:pPr>
              <w:jc w:val="center"/>
              <w:rPr>
                <w:bCs/>
                <w:color w:val="000000"/>
                <w:szCs w:val="22"/>
              </w:rPr>
            </w:pPr>
            <w:r w:rsidRPr="00E92B1D">
              <w:rPr>
                <w:bCs/>
                <w:color w:val="000000"/>
                <w:szCs w:val="22"/>
              </w:rPr>
              <w:t>Annual Cost</w:t>
            </w:r>
          </w:p>
          <w:p w:rsidR="00E92B1D" w:rsidRPr="00E92B1D" w:rsidP="007437FC" w14:paraId="4EF3DFB5" w14:textId="77777777">
            <w:pPr>
              <w:jc w:val="center"/>
              <w:rPr>
                <w:bCs/>
                <w:color w:val="000000"/>
                <w:szCs w:val="22"/>
              </w:rPr>
            </w:pPr>
          </w:p>
        </w:tc>
      </w:tr>
      <w:tr w14:paraId="4A74EA6F" w14:textId="77777777" w:rsidTr="00AE3156">
        <w:tblPrEx>
          <w:tblW w:w="10384" w:type="dxa"/>
          <w:tblInd w:w="535" w:type="dxa"/>
          <w:tblLayout w:type="fixed"/>
          <w:tblCellMar>
            <w:left w:w="29" w:type="dxa"/>
            <w:right w:w="29" w:type="dxa"/>
          </w:tblCellMar>
          <w:tblLook w:val="00A0"/>
        </w:tblPrEx>
        <w:trPr>
          <w:trHeight w:val="58"/>
        </w:trPr>
        <w:tc>
          <w:tcPr>
            <w:tcW w:w="3904" w:type="dxa"/>
          </w:tcPr>
          <w:p w:rsidR="00E92B1D" w:rsidRPr="004E6055" w:rsidP="007437FC" w14:paraId="51CA843E" w14:textId="77777777">
            <w:r w:rsidRPr="004E6055">
              <w:t>Exhibit 3 CoC Technical Submissions</w:t>
            </w:r>
          </w:p>
          <w:p w:rsidR="00E92B1D" w:rsidRPr="00AD195E" w:rsidP="007437FC" w14:paraId="614029BE" w14:textId="77777777">
            <w:r>
              <w:rPr>
                <w:i/>
              </w:rPr>
              <w:t xml:space="preserve">e-snaps </w:t>
            </w:r>
            <w:r>
              <w:t>Forms, formerly HUD-40090-3(a-b)</w:t>
            </w:r>
          </w:p>
        </w:tc>
        <w:tc>
          <w:tcPr>
            <w:tcW w:w="1170" w:type="dxa"/>
            <w:vAlign w:val="bottom"/>
          </w:tcPr>
          <w:p w:rsidR="00E92B1D" w:rsidRPr="004E6055" w:rsidP="007437FC" w14:paraId="758E5B73" w14:textId="77777777">
            <w:pPr>
              <w:jc w:val="center"/>
            </w:pPr>
            <w:r>
              <w:t>750</w:t>
            </w:r>
            <w:r w:rsidR="00F022E8">
              <w:t>.00</w:t>
            </w:r>
          </w:p>
        </w:tc>
        <w:tc>
          <w:tcPr>
            <w:tcW w:w="990" w:type="dxa"/>
            <w:vAlign w:val="bottom"/>
          </w:tcPr>
          <w:p w:rsidR="00E92B1D" w:rsidRPr="004E6055" w:rsidP="007437FC" w14:paraId="71574D86" w14:textId="77777777">
            <w:pPr>
              <w:jc w:val="center"/>
            </w:pPr>
            <w:r w:rsidRPr="004E6055">
              <w:t>1</w:t>
            </w:r>
            <w:r w:rsidR="00F022E8">
              <w:t>.00</w:t>
            </w:r>
          </w:p>
        </w:tc>
        <w:tc>
          <w:tcPr>
            <w:tcW w:w="990" w:type="dxa"/>
            <w:vAlign w:val="bottom"/>
          </w:tcPr>
          <w:p w:rsidR="00E92B1D" w:rsidRPr="004E6055" w:rsidP="007437FC" w14:paraId="3D460C89" w14:textId="77777777">
            <w:pPr>
              <w:jc w:val="center"/>
            </w:pPr>
            <w:r>
              <w:t>750</w:t>
            </w:r>
            <w:r w:rsidR="00F022E8">
              <w:t>.00</w:t>
            </w:r>
          </w:p>
        </w:tc>
        <w:tc>
          <w:tcPr>
            <w:tcW w:w="900" w:type="dxa"/>
            <w:vAlign w:val="bottom"/>
          </w:tcPr>
          <w:p w:rsidR="00E92B1D" w:rsidRPr="004E6055" w:rsidP="007437FC" w14:paraId="435BAB2D" w14:textId="77777777">
            <w:pPr>
              <w:jc w:val="center"/>
            </w:pPr>
            <w:r>
              <w:t>0.75</w:t>
            </w:r>
          </w:p>
        </w:tc>
        <w:tc>
          <w:tcPr>
            <w:tcW w:w="630" w:type="dxa"/>
            <w:shd w:val="clear" w:color="auto" w:fill="FFFFFF"/>
            <w:vAlign w:val="bottom"/>
          </w:tcPr>
          <w:p w:rsidR="00E92B1D" w:rsidRPr="004467AB" w:rsidP="007437FC" w14:paraId="2EC2BB29" w14:textId="77777777">
            <w:pPr>
              <w:jc w:val="center"/>
            </w:pPr>
            <w:r>
              <w:t>562.5</w:t>
            </w:r>
            <w:r w:rsidR="00F022E8">
              <w:t>0</w:t>
            </w:r>
          </w:p>
        </w:tc>
        <w:tc>
          <w:tcPr>
            <w:tcW w:w="900" w:type="dxa"/>
            <w:shd w:val="clear" w:color="auto" w:fill="FFFFFF"/>
            <w:vAlign w:val="bottom"/>
          </w:tcPr>
          <w:p w:rsidR="00E92B1D" w:rsidRPr="00E92B1D" w:rsidP="007437FC" w14:paraId="7F92D740" w14:textId="77777777">
            <w:pPr>
              <w:jc w:val="center"/>
              <w:rPr>
                <w:bCs/>
                <w:color w:val="000000"/>
                <w:szCs w:val="22"/>
              </w:rPr>
            </w:pPr>
            <w:r>
              <w:rPr>
                <w:bCs/>
                <w:color w:val="000000"/>
                <w:szCs w:val="22"/>
              </w:rPr>
              <w:t>53.67</w:t>
            </w:r>
          </w:p>
        </w:tc>
        <w:tc>
          <w:tcPr>
            <w:tcW w:w="900" w:type="dxa"/>
            <w:shd w:val="clear" w:color="auto" w:fill="FFFFFF"/>
            <w:vAlign w:val="bottom"/>
          </w:tcPr>
          <w:p w:rsidR="00E92B1D" w:rsidRPr="00E92B1D" w:rsidP="00E92B1D" w14:paraId="3F58BDC4" w14:textId="77777777">
            <w:pPr>
              <w:jc w:val="center"/>
              <w:rPr>
                <w:bCs/>
                <w:color w:val="000000"/>
                <w:szCs w:val="22"/>
              </w:rPr>
            </w:pPr>
            <w:r>
              <w:rPr>
                <w:bCs/>
                <w:color w:val="000000"/>
                <w:szCs w:val="22"/>
              </w:rPr>
              <w:t>30,189</w:t>
            </w:r>
            <w:r w:rsidR="00AE3156">
              <w:rPr>
                <w:bCs/>
                <w:color w:val="000000"/>
                <w:szCs w:val="22"/>
              </w:rPr>
              <w:t>.0</w:t>
            </w:r>
            <w:r w:rsidR="00F022E8">
              <w:rPr>
                <w:bCs/>
                <w:color w:val="000000"/>
                <w:szCs w:val="22"/>
              </w:rPr>
              <w:t>0</w:t>
            </w:r>
          </w:p>
        </w:tc>
      </w:tr>
      <w:tr w14:paraId="23EBED92" w14:textId="77777777" w:rsidTr="00AE3156">
        <w:tblPrEx>
          <w:tblW w:w="10384" w:type="dxa"/>
          <w:tblInd w:w="535" w:type="dxa"/>
          <w:tblLayout w:type="fixed"/>
          <w:tblCellMar>
            <w:left w:w="29" w:type="dxa"/>
            <w:right w:w="29" w:type="dxa"/>
          </w:tblCellMar>
          <w:tblLook w:val="00A0"/>
        </w:tblPrEx>
        <w:tc>
          <w:tcPr>
            <w:tcW w:w="3904" w:type="dxa"/>
          </w:tcPr>
          <w:p w:rsidR="00E92B1D" w:rsidRPr="004E6055" w:rsidP="007437FC" w14:paraId="02528330" w14:textId="77777777">
            <w:pPr>
              <w:jc w:val="center"/>
              <w:rPr>
                <w:b/>
              </w:rPr>
            </w:pPr>
            <w:r w:rsidRPr="004E6055">
              <w:rPr>
                <w:b/>
              </w:rPr>
              <w:t>Submission Subtotal</w:t>
            </w:r>
          </w:p>
        </w:tc>
        <w:tc>
          <w:tcPr>
            <w:tcW w:w="1170" w:type="dxa"/>
            <w:vAlign w:val="bottom"/>
          </w:tcPr>
          <w:p w:rsidR="00E92B1D" w:rsidRPr="004E6055" w:rsidP="007437FC" w14:paraId="327F7A44" w14:textId="77777777">
            <w:pPr>
              <w:jc w:val="center"/>
              <w:rPr>
                <w:b/>
              </w:rPr>
            </w:pPr>
            <w:r>
              <w:rPr>
                <w:b/>
              </w:rPr>
              <w:t>750</w:t>
            </w:r>
            <w:r w:rsidR="00F022E8">
              <w:rPr>
                <w:b/>
              </w:rPr>
              <w:t>.00</w:t>
            </w:r>
          </w:p>
        </w:tc>
        <w:tc>
          <w:tcPr>
            <w:tcW w:w="990" w:type="dxa"/>
            <w:vAlign w:val="bottom"/>
          </w:tcPr>
          <w:p w:rsidR="00E92B1D" w:rsidRPr="004E6055" w:rsidP="007437FC" w14:paraId="5F825487" w14:textId="77777777">
            <w:pPr>
              <w:jc w:val="center"/>
            </w:pPr>
            <w:r>
              <w:t>1</w:t>
            </w:r>
            <w:r w:rsidR="00F022E8">
              <w:t>.00</w:t>
            </w:r>
          </w:p>
        </w:tc>
        <w:tc>
          <w:tcPr>
            <w:tcW w:w="990" w:type="dxa"/>
            <w:vAlign w:val="bottom"/>
          </w:tcPr>
          <w:p w:rsidR="00E92B1D" w:rsidRPr="004E6055" w:rsidP="007437FC" w14:paraId="25F19703" w14:textId="77777777">
            <w:pPr>
              <w:jc w:val="center"/>
              <w:rPr>
                <w:b/>
              </w:rPr>
            </w:pPr>
            <w:r>
              <w:rPr>
                <w:b/>
              </w:rPr>
              <w:t>750</w:t>
            </w:r>
            <w:r w:rsidR="00F022E8">
              <w:rPr>
                <w:b/>
              </w:rPr>
              <w:t>.00</w:t>
            </w:r>
          </w:p>
        </w:tc>
        <w:tc>
          <w:tcPr>
            <w:tcW w:w="900" w:type="dxa"/>
            <w:vAlign w:val="bottom"/>
          </w:tcPr>
          <w:p w:rsidR="00E92B1D" w:rsidRPr="004E6055" w:rsidP="007437FC" w14:paraId="403B0B02" w14:textId="77777777">
            <w:pPr>
              <w:jc w:val="center"/>
            </w:pPr>
            <w:r>
              <w:t>0.75</w:t>
            </w:r>
          </w:p>
        </w:tc>
        <w:tc>
          <w:tcPr>
            <w:tcW w:w="630" w:type="dxa"/>
            <w:shd w:val="clear" w:color="auto" w:fill="FFFFFF"/>
            <w:vAlign w:val="bottom"/>
          </w:tcPr>
          <w:p w:rsidR="00E92B1D" w:rsidRPr="004467AB" w:rsidP="007437FC" w14:paraId="3422190E" w14:textId="77777777">
            <w:pPr>
              <w:jc w:val="center"/>
              <w:rPr>
                <w:b/>
              </w:rPr>
            </w:pPr>
            <w:r>
              <w:rPr>
                <w:b/>
              </w:rPr>
              <w:t>562.5</w:t>
            </w:r>
            <w:r w:rsidR="00F022E8">
              <w:rPr>
                <w:b/>
              </w:rPr>
              <w:t>0</w:t>
            </w:r>
          </w:p>
        </w:tc>
        <w:tc>
          <w:tcPr>
            <w:tcW w:w="900" w:type="dxa"/>
            <w:shd w:val="clear" w:color="auto" w:fill="FFFFFF"/>
            <w:vAlign w:val="bottom"/>
          </w:tcPr>
          <w:p w:rsidR="00E92B1D" w:rsidRPr="00E92B1D" w:rsidP="007437FC" w14:paraId="1B27F2F3" w14:textId="77777777">
            <w:pPr>
              <w:jc w:val="center"/>
              <w:rPr>
                <w:b/>
                <w:bCs/>
                <w:color w:val="000000"/>
                <w:szCs w:val="22"/>
              </w:rPr>
            </w:pPr>
            <w:r>
              <w:rPr>
                <w:b/>
                <w:bCs/>
                <w:color w:val="000000"/>
                <w:szCs w:val="22"/>
              </w:rPr>
              <w:t>53.67</w:t>
            </w:r>
          </w:p>
        </w:tc>
        <w:tc>
          <w:tcPr>
            <w:tcW w:w="900" w:type="dxa"/>
            <w:shd w:val="clear" w:color="auto" w:fill="FFFFFF"/>
            <w:vAlign w:val="bottom"/>
          </w:tcPr>
          <w:p w:rsidR="00E92B1D" w:rsidRPr="00E92B1D" w:rsidP="007437FC" w14:paraId="66A004FB" w14:textId="77777777">
            <w:pPr>
              <w:jc w:val="center"/>
              <w:rPr>
                <w:b/>
                <w:bCs/>
                <w:color w:val="000000"/>
                <w:szCs w:val="22"/>
              </w:rPr>
            </w:pPr>
            <w:r>
              <w:rPr>
                <w:b/>
                <w:bCs/>
                <w:color w:val="000000"/>
                <w:szCs w:val="22"/>
              </w:rPr>
              <w:t>30,189</w:t>
            </w:r>
            <w:r w:rsidR="00F022E8">
              <w:rPr>
                <w:b/>
                <w:bCs/>
                <w:color w:val="000000"/>
                <w:szCs w:val="22"/>
              </w:rPr>
              <w:t>.00</w:t>
            </w:r>
          </w:p>
        </w:tc>
      </w:tr>
      <w:tr w14:paraId="42CECEC5" w14:textId="77777777" w:rsidTr="00AE3156">
        <w:tblPrEx>
          <w:tblW w:w="10384" w:type="dxa"/>
          <w:tblInd w:w="535" w:type="dxa"/>
          <w:tblLayout w:type="fixed"/>
          <w:tblCellMar>
            <w:left w:w="29" w:type="dxa"/>
            <w:right w:w="29" w:type="dxa"/>
          </w:tblCellMar>
          <w:tblLook w:val="00A0"/>
        </w:tblPrEx>
        <w:tc>
          <w:tcPr>
            <w:tcW w:w="3904" w:type="dxa"/>
          </w:tcPr>
          <w:p w:rsidR="00E92B1D" w:rsidRPr="004E6055" w:rsidP="007437FC" w14:paraId="2D05D275" w14:textId="77777777">
            <w:pPr>
              <w:jc w:val="center"/>
              <w:rPr>
                <w:b/>
              </w:rPr>
            </w:pPr>
          </w:p>
        </w:tc>
        <w:tc>
          <w:tcPr>
            <w:tcW w:w="1170" w:type="dxa"/>
            <w:vAlign w:val="bottom"/>
          </w:tcPr>
          <w:p w:rsidR="00E92B1D" w:rsidRPr="004E6055" w:rsidP="007437FC" w14:paraId="536792DE" w14:textId="77777777">
            <w:pPr>
              <w:jc w:val="center"/>
            </w:pPr>
          </w:p>
        </w:tc>
        <w:tc>
          <w:tcPr>
            <w:tcW w:w="990" w:type="dxa"/>
            <w:vAlign w:val="bottom"/>
          </w:tcPr>
          <w:p w:rsidR="00E92B1D" w:rsidRPr="004E6055" w:rsidP="007437FC" w14:paraId="477A299C" w14:textId="77777777">
            <w:pPr>
              <w:jc w:val="center"/>
            </w:pPr>
          </w:p>
        </w:tc>
        <w:tc>
          <w:tcPr>
            <w:tcW w:w="990" w:type="dxa"/>
            <w:vAlign w:val="bottom"/>
          </w:tcPr>
          <w:p w:rsidR="00E92B1D" w:rsidRPr="004E6055" w:rsidP="007437FC" w14:paraId="349B3325" w14:textId="77777777">
            <w:pPr>
              <w:jc w:val="center"/>
            </w:pPr>
          </w:p>
        </w:tc>
        <w:tc>
          <w:tcPr>
            <w:tcW w:w="900" w:type="dxa"/>
            <w:vAlign w:val="bottom"/>
          </w:tcPr>
          <w:p w:rsidR="00E92B1D" w:rsidRPr="004E6055" w:rsidP="007437FC" w14:paraId="4105D461" w14:textId="77777777">
            <w:pPr>
              <w:jc w:val="center"/>
            </w:pPr>
          </w:p>
        </w:tc>
        <w:tc>
          <w:tcPr>
            <w:tcW w:w="630" w:type="dxa"/>
            <w:shd w:val="clear" w:color="auto" w:fill="FFFFFF"/>
            <w:vAlign w:val="bottom"/>
          </w:tcPr>
          <w:p w:rsidR="00E92B1D" w:rsidRPr="004467AB" w:rsidP="007437FC" w14:paraId="17B16116" w14:textId="77777777">
            <w:pPr>
              <w:jc w:val="center"/>
              <w:rPr>
                <w:b/>
              </w:rPr>
            </w:pPr>
          </w:p>
        </w:tc>
        <w:tc>
          <w:tcPr>
            <w:tcW w:w="900" w:type="dxa"/>
            <w:shd w:val="clear" w:color="auto" w:fill="FFFFFF"/>
            <w:vAlign w:val="bottom"/>
          </w:tcPr>
          <w:p w:rsidR="00E92B1D" w:rsidRPr="00E92B1D" w:rsidP="007437FC" w14:paraId="0AE64649" w14:textId="77777777">
            <w:pPr>
              <w:jc w:val="center"/>
              <w:rPr>
                <w:bCs/>
                <w:color w:val="000000"/>
                <w:szCs w:val="22"/>
              </w:rPr>
            </w:pPr>
          </w:p>
        </w:tc>
        <w:tc>
          <w:tcPr>
            <w:tcW w:w="900" w:type="dxa"/>
            <w:shd w:val="clear" w:color="auto" w:fill="FFFFFF"/>
            <w:vAlign w:val="bottom"/>
          </w:tcPr>
          <w:p w:rsidR="00E92B1D" w:rsidRPr="00E92B1D" w:rsidP="007437FC" w14:paraId="3F232853" w14:textId="77777777">
            <w:pPr>
              <w:jc w:val="center"/>
              <w:rPr>
                <w:bCs/>
                <w:color w:val="000000"/>
                <w:szCs w:val="22"/>
              </w:rPr>
            </w:pPr>
          </w:p>
        </w:tc>
      </w:tr>
      <w:tr w14:paraId="26485542" w14:textId="77777777" w:rsidTr="00AE3156">
        <w:tblPrEx>
          <w:tblW w:w="10384" w:type="dxa"/>
          <w:tblInd w:w="535" w:type="dxa"/>
          <w:tblLayout w:type="fixed"/>
          <w:tblCellMar>
            <w:left w:w="29" w:type="dxa"/>
            <w:right w:w="29" w:type="dxa"/>
          </w:tblCellMar>
          <w:tblLook w:val="00A0"/>
        </w:tblPrEx>
        <w:tc>
          <w:tcPr>
            <w:tcW w:w="3904" w:type="dxa"/>
          </w:tcPr>
          <w:p w:rsidR="00E92B1D" w:rsidRPr="004E6055" w:rsidP="007437FC" w14:paraId="12DF3482" w14:textId="77777777">
            <w:pPr>
              <w:jc w:val="center"/>
              <w:rPr>
                <w:b/>
              </w:rPr>
            </w:pPr>
            <w:r w:rsidRPr="004E6055">
              <w:rPr>
                <w:b/>
              </w:rPr>
              <w:t>Total Grant Program Application Collection</w:t>
            </w:r>
          </w:p>
        </w:tc>
        <w:tc>
          <w:tcPr>
            <w:tcW w:w="1170" w:type="dxa"/>
            <w:vAlign w:val="bottom"/>
          </w:tcPr>
          <w:p w:rsidR="00E92B1D" w:rsidRPr="004E6055" w:rsidP="007437FC" w14:paraId="17EE2A02" w14:textId="77777777">
            <w:pPr>
              <w:jc w:val="center"/>
            </w:pPr>
          </w:p>
        </w:tc>
        <w:tc>
          <w:tcPr>
            <w:tcW w:w="990" w:type="dxa"/>
            <w:vAlign w:val="bottom"/>
          </w:tcPr>
          <w:p w:rsidR="00E92B1D" w:rsidRPr="004E6055" w:rsidP="007437FC" w14:paraId="26CE4CD8" w14:textId="77777777">
            <w:pPr>
              <w:jc w:val="center"/>
            </w:pPr>
          </w:p>
        </w:tc>
        <w:tc>
          <w:tcPr>
            <w:tcW w:w="990" w:type="dxa"/>
            <w:vAlign w:val="bottom"/>
          </w:tcPr>
          <w:p w:rsidR="00E92B1D" w:rsidRPr="004E6055" w:rsidP="007437FC" w14:paraId="5366C433" w14:textId="77777777">
            <w:pPr>
              <w:jc w:val="center"/>
            </w:pPr>
          </w:p>
        </w:tc>
        <w:tc>
          <w:tcPr>
            <w:tcW w:w="900" w:type="dxa"/>
            <w:vAlign w:val="bottom"/>
          </w:tcPr>
          <w:p w:rsidR="00E92B1D" w:rsidRPr="004E6055" w:rsidP="007437FC" w14:paraId="2881A82E" w14:textId="77777777">
            <w:pPr>
              <w:jc w:val="center"/>
            </w:pPr>
          </w:p>
        </w:tc>
        <w:tc>
          <w:tcPr>
            <w:tcW w:w="630" w:type="dxa"/>
            <w:shd w:val="clear" w:color="auto" w:fill="FFFFFF"/>
            <w:vAlign w:val="bottom"/>
          </w:tcPr>
          <w:p w:rsidR="00E92B1D" w:rsidRPr="004467AB" w:rsidP="007437FC" w14:paraId="111DA369" w14:textId="77777777">
            <w:pPr>
              <w:jc w:val="center"/>
              <w:rPr>
                <w:b/>
              </w:rPr>
            </w:pPr>
          </w:p>
        </w:tc>
        <w:tc>
          <w:tcPr>
            <w:tcW w:w="900" w:type="dxa"/>
            <w:shd w:val="clear" w:color="auto" w:fill="FFFFFF"/>
            <w:vAlign w:val="bottom"/>
          </w:tcPr>
          <w:p w:rsidR="00E92B1D" w:rsidRPr="00E92B1D" w:rsidP="007437FC" w14:paraId="3912BD8D" w14:textId="77777777">
            <w:pPr>
              <w:jc w:val="center"/>
              <w:rPr>
                <w:bCs/>
                <w:color w:val="000000"/>
                <w:szCs w:val="22"/>
              </w:rPr>
            </w:pPr>
          </w:p>
        </w:tc>
        <w:tc>
          <w:tcPr>
            <w:tcW w:w="900" w:type="dxa"/>
            <w:shd w:val="clear" w:color="auto" w:fill="FFFFFF"/>
            <w:vAlign w:val="bottom"/>
          </w:tcPr>
          <w:p w:rsidR="00E92B1D" w:rsidRPr="00E92B1D" w:rsidP="007437FC" w14:paraId="1EFE8BDD" w14:textId="77777777">
            <w:pPr>
              <w:jc w:val="center"/>
              <w:rPr>
                <w:bCs/>
                <w:color w:val="000000"/>
                <w:szCs w:val="22"/>
              </w:rPr>
            </w:pPr>
          </w:p>
        </w:tc>
      </w:tr>
      <w:tr w14:paraId="2C86786B" w14:textId="77777777" w:rsidTr="00AE3156">
        <w:tblPrEx>
          <w:tblW w:w="10384" w:type="dxa"/>
          <w:tblInd w:w="535" w:type="dxa"/>
          <w:tblLayout w:type="fixed"/>
          <w:tblCellMar>
            <w:left w:w="29" w:type="dxa"/>
            <w:right w:w="29" w:type="dxa"/>
          </w:tblCellMar>
          <w:tblLook w:val="00A0"/>
        </w:tblPrEx>
        <w:tc>
          <w:tcPr>
            <w:tcW w:w="3904" w:type="dxa"/>
          </w:tcPr>
          <w:p w:rsidR="00E92B1D" w:rsidRPr="004E6055" w:rsidP="007437FC" w14:paraId="3FFB92C1" w14:textId="77777777">
            <w:pPr>
              <w:jc w:val="center"/>
              <w:rPr>
                <w:b/>
              </w:rPr>
            </w:pPr>
            <w:r w:rsidRPr="004E6055">
              <w:rPr>
                <w:b/>
              </w:rPr>
              <w:t>Total</w:t>
            </w:r>
          </w:p>
        </w:tc>
        <w:tc>
          <w:tcPr>
            <w:tcW w:w="1170" w:type="dxa"/>
            <w:vAlign w:val="bottom"/>
          </w:tcPr>
          <w:p w:rsidR="00E92B1D" w:rsidRPr="004E6055" w:rsidP="007437FC" w14:paraId="3139BE6C" w14:textId="77777777">
            <w:pPr>
              <w:jc w:val="center"/>
              <w:rPr>
                <w:b/>
              </w:rPr>
            </w:pPr>
            <w:r>
              <w:rPr>
                <w:b/>
              </w:rPr>
              <w:t>750</w:t>
            </w:r>
            <w:r w:rsidR="00F022E8">
              <w:rPr>
                <w:b/>
              </w:rPr>
              <w:t>.00</w:t>
            </w:r>
          </w:p>
        </w:tc>
        <w:tc>
          <w:tcPr>
            <w:tcW w:w="990" w:type="dxa"/>
            <w:vAlign w:val="bottom"/>
          </w:tcPr>
          <w:p w:rsidR="00E92B1D" w:rsidRPr="004E6055" w:rsidP="007437FC" w14:paraId="0F4AF394" w14:textId="77777777">
            <w:pPr>
              <w:jc w:val="center"/>
            </w:pPr>
            <w:r w:rsidRPr="004E6055">
              <w:t>1</w:t>
            </w:r>
            <w:r w:rsidR="00F022E8">
              <w:t>.00</w:t>
            </w:r>
          </w:p>
        </w:tc>
        <w:tc>
          <w:tcPr>
            <w:tcW w:w="990" w:type="dxa"/>
            <w:vAlign w:val="bottom"/>
          </w:tcPr>
          <w:p w:rsidR="00E92B1D" w:rsidRPr="004E6055" w:rsidP="007437FC" w14:paraId="496F2D09" w14:textId="77777777">
            <w:pPr>
              <w:jc w:val="center"/>
              <w:rPr>
                <w:b/>
              </w:rPr>
            </w:pPr>
            <w:r>
              <w:rPr>
                <w:b/>
              </w:rPr>
              <w:t>750</w:t>
            </w:r>
            <w:r w:rsidR="00F022E8">
              <w:rPr>
                <w:b/>
              </w:rPr>
              <w:t>.00</w:t>
            </w:r>
          </w:p>
        </w:tc>
        <w:tc>
          <w:tcPr>
            <w:tcW w:w="900" w:type="dxa"/>
            <w:vAlign w:val="bottom"/>
          </w:tcPr>
          <w:p w:rsidR="00E92B1D" w:rsidRPr="004E6055" w:rsidP="007437FC" w14:paraId="491F9BEB" w14:textId="77777777">
            <w:pPr>
              <w:jc w:val="center"/>
            </w:pPr>
            <w:r>
              <w:t>0.75</w:t>
            </w:r>
          </w:p>
        </w:tc>
        <w:tc>
          <w:tcPr>
            <w:tcW w:w="630" w:type="dxa"/>
            <w:shd w:val="clear" w:color="auto" w:fill="FFFFFF"/>
            <w:vAlign w:val="bottom"/>
          </w:tcPr>
          <w:p w:rsidR="00E92B1D" w:rsidRPr="004467AB" w:rsidP="007437FC" w14:paraId="5CAD648E" w14:textId="77777777">
            <w:pPr>
              <w:jc w:val="center"/>
              <w:rPr>
                <w:b/>
              </w:rPr>
            </w:pPr>
            <w:r>
              <w:rPr>
                <w:b/>
              </w:rPr>
              <w:t>562.5</w:t>
            </w:r>
            <w:r w:rsidR="00F022E8">
              <w:rPr>
                <w:b/>
              </w:rPr>
              <w:t>0</w:t>
            </w:r>
          </w:p>
        </w:tc>
        <w:tc>
          <w:tcPr>
            <w:tcW w:w="900" w:type="dxa"/>
            <w:shd w:val="clear" w:color="auto" w:fill="FFFFFF"/>
            <w:vAlign w:val="bottom"/>
          </w:tcPr>
          <w:p w:rsidR="00E92B1D" w:rsidRPr="00E92B1D" w:rsidP="007437FC" w14:paraId="02F781CB" w14:textId="77777777">
            <w:pPr>
              <w:jc w:val="center"/>
              <w:rPr>
                <w:b/>
                <w:bCs/>
                <w:color w:val="000000"/>
                <w:szCs w:val="22"/>
              </w:rPr>
            </w:pPr>
            <w:r>
              <w:rPr>
                <w:b/>
                <w:bCs/>
                <w:color w:val="000000"/>
                <w:szCs w:val="22"/>
              </w:rPr>
              <w:t>53.67</w:t>
            </w:r>
          </w:p>
        </w:tc>
        <w:tc>
          <w:tcPr>
            <w:tcW w:w="900" w:type="dxa"/>
            <w:shd w:val="clear" w:color="auto" w:fill="FFFFFF"/>
            <w:vAlign w:val="bottom"/>
          </w:tcPr>
          <w:p w:rsidR="00E92B1D" w:rsidRPr="00E92B1D" w:rsidP="007437FC" w14:paraId="6C3AF2EE" w14:textId="77777777">
            <w:pPr>
              <w:jc w:val="center"/>
              <w:rPr>
                <w:b/>
                <w:bCs/>
                <w:color w:val="000000"/>
                <w:szCs w:val="22"/>
              </w:rPr>
            </w:pPr>
            <w:r>
              <w:rPr>
                <w:b/>
                <w:bCs/>
                <w:color w:val="000000"/>
                <w:szCs w:val="22"/>
              </w:rPr>
              <w:t>30,189</w:t>
            </w:r>
            <w:r w:rsidR="00F022E8">
              <w:rPr>
                <w:b/>
                <w:bCs/>
                <w:color w:val="000000"/>
                <w:szCs w:val="22"/>
              </w:rPr>
              <w:t>.00</w:t>
            </w:r>
          </w:p>
        </w:tc>
      </w:tr>
    </w:tbl>
    <w:p w:rsidR="004467AB" w:rsidRPr="00E92B1D" w:rsidP="004467AB" w14:paraId="3DC67744" w14:textId="77777777">
      <w:pPr>
        <w:keepLines/>
        <w:tabs>
          <w:tab w:val="left" w:pos="360"/>
          <w:tab w:val="left" w:pos="720"/>
        </w:tabs>
        <w:ind w:left="360"/>
        <w:rPr>
          <w:sz w:val="18"/>
        </w:rPr>
      </w:pPr>
    </w:p>
    <w:p w:rsidR="009E13B1" w14:paraId="01DA2FBE" w14:textId="77777777">
      <w:pPr>
        <w:tabs>
          <w:tab w:val="left" w:pos="360"/>
        </w:tabs>
        <w:ind w:left="360" w:hanging="360"/>
        <w:rPr>
          <w:sz w:val="18"/>
        </w:rPr>
      </w:pPr>
    </w:p>
    <w:p w:rsidR="009E13B1" w:rsidRPr="00DC3D21" w14:paraId="2A663CCE" w14:textId="77777777">
      <w:pPr>
        <w:keepLines/>
        <w:tabs>
          <w:tab w:val="left" w:pos="360"/>
        </w:tabs>
        <w:spacing w:after="80"/>
        <w:ind w:left="360" w:hanging="360"/>
        <w:rPr>
          <w:i/>
          <w:sz w:val="18"/>
        </w:rPr>
      </w:pPr>
      <w:r>
        <w:rPr>
          <w:sz w:val="18"/>
        </w:rPr>
        <w:t>15.</w:t>
      </w:r>
      <w:r>
        <w:rPr>
          <w:sz w:val="18"/>
        </w:rPr>
        <w:tab/>
      </w:r>
      <w:r w:rsidRPr="00DC3D21">
        <w:rPr>
          <w:i/>
          <w:sz w:val="18"/>
        </w:rPr>
        <w:t>Explain the reasons for any program changes or adjustments reported in Items 13 and 14 of the OMB Form 83-I.</w:t>
      </w:r>
    </w:p>
    <w:p w:rsidR="00F022E8" w14:paraId="2F3767D5" w14:textId="77777777">
      <w:pPr>
        <w:keepLines/>
        <w:tabs>
          <w:tab w:val="left" w:pos="360"/>
          <w:tab w:val="left" w:pos="720"/>
        </w:tabs>
        <w:ind w:left="360"/>
      </w:pPr>
      <w:r w:rsidRPr="00F022E8">
        <w:t>This submission is a request for the re</w:t>
      </w:r>
      <w:r>
        <w:t>instatement</w:t>
      </w:r>
      <w:r w:rsidRPr="00F022E8">
        <w:t xml:space="preserve"> of a currently approved collection of the </w:t>
      </w:r>
      <w:r>
        <w:t xml:space="preserve">CoC Technical Submission </w:t>
      </w:r>
      <w:r w:rsidRPr="00F022E8">
        <w:t>PRA package.</w:t>
      </w:r>
    </w:p>
    <w:p w:rsidR="009E13B1" w14:paraId="7B971B4F" w14:textId="77777777">
      <w:pPr>
        <w:keepLines/>
        <w:tabs>
          <w:tab w:val="left" w:pos="360"/>
          <w:tab w:val="left" w:pos="720"/>
        </w:tabs>
        <w:ind w:left="360"/>
        <w:rPr>
          <w:sz w:val="18"/>
        </w:rPr>
      </w:pPr>
      <w:r w:rsidRPr="00FC0936">
        <w:t>Th</w:t>
      </w:r>
      <w:r w:rsidR="00E92B1D">
        <w:t>e collection has been updated to account for the new government salary levels in effect since the last OMB approval</w:t>
      </w:r>
      <w:r w:rsidRPr="00FC0936">
        <w:t>.</w:t>
      </w:r>
    </w:p>
    <w:p w:rsidR="009E13B1" w14:paraId="6EFFAA18" w14:textId="77777777">
      <w:pPr>
        <w:tabs>
          <w:tab w:val="left" w:pos="360"/>
        </w:tabs>
        <w:ind w:left="360" w:hanging="360"/>
        <w:rPr>
          <w:sz w:val="18"/>
        </w:rPr>
      </w:pPr>
    </w:p>
    <w:p w:rsidR="009E13B1" w:rsidRPr="00DC3D21" w14:paraId="612D596C" w14:textId="77777777">
      <w:pPr>
        <w:keepLines/>
        <w:tabs>
          <w:tab w:val="left" w:pos="360"/>
        </w:tabs>
        <w:spacing w:after="80"/>
        <w:ind w:left="360" w:hanging="360"/>
        <w:rPr>
          <w:i/>
          <w:sz w:val="18"/>
        </w:rPr>
      </w:pPr>
      <w:r>
        <w:rPr>
          <w:sz w:val="18"/>
        </w:rPr>
        <w:t>1</w:t>
      </w:r>
      <w:r w:rsidRPr="00DC3D21">
        <w:rPr>
          <w:i/>
          <w:sz w:val="18"/>
        </w:rPr>
        <w:t>6.</w:t>
      </w:r>
      <w:r w:rsidRPr="00DC3D21">
        <w:rPr>
          <w:i/>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14:paraId="23CC6412" w14:textId="77777777">
      <w:pPr>
        <w:keepLines/>
        <w:tabs>
          <w:tab w:val="left" w:pos="360"/>
          <w:tab w:val="left" w:pos="720"/>
        </w:tabs>
        <w:ind w:left="360"/>
        <w:rPr>
          <w:sz w:val="18"/>
        </w:rPr>
      </w:pPr>
      <w:r w:rsidRPr="00FC0936">
        <w:rPr>
          <w:sz w:val="24"/>
        </w:rPr>
        <w:t>The results of this collection of information will not be published for statistical use.</w:t>
      </w:r>
    </w:p>
    <w:p w:rsidR="009E13B1" w14:paraId="7327C63A" w14:textId="77777777">
      <w:pPr>
        <w:tabs>
          <w:tab w:val="left" w:pos="360"/>
        </w:tabs>
        <w:ind w:left="360" w:hanging="360"/>
        <w:rPr>
          <w:sz w:val="18"/>
        </w:rPr>
      </w:pPr>
    </w:p>
    <w:p w:rsidR="009E13B1" w:rsidRPr="00DC3D21" w14:paraId="57EC880B" w14:textId="77777777">
      <w:pPr>
        <w:keepLines/>
        <w:tabs>
          <w:tab w:val="left" w:pos="360"/>
        </w:tabs>
        <w:spacing w:after="80"/>
        <w:ind w:left="360" w:hanging="360"/>
        <w:rPr>
          <w:i/>
          <w:sz w:val="18"/>
        </w:rPr>
      </w:pPr>
      <w:r>
        <w:rPr>
          <w:sz w:val="18"/>
        </w:rPr>
        <w:t>17.</w:t>
      </w:r>
      <w:r>
        <w:rPr>
          <w:sz w:val="18"/>
        </w:rPr>
        <w:tab/>
      </w:r>
      <w:r w:rsidRPr="00DC3D21">
        <w:rPr>
          <w:i/>
          <w:sz w:val="18"/>
        </w:rPr>
        <w:t>If seeking approval to not display the expiration date for OMB approval of the information collection, explain the reasons that display would be inappropriate.</w:t>
      </w:r>
    </w:p>
    <w:p w:rsidR="009E13B1" w14:paraId="282BFA45" w14:textId="77777777">
      <w:pPr>
        <w:keepLines/>
        <w:tabs>
          <w:tab w:val="left" w:pos="360"/>
          <w:tab w:val="left" w:pos="720"/>
        </w:tabs>
        <w:ind w:left="360"/>
        <w:rPr>
          <w:sz w:val="18"/>
        </w:rPr>
      </w:pPr>
      <w:r w:rsidRPr="00FC0936">
        <w:t>No approval is sought to not display the expiration date for OMB approval of the information collection.</w:t>
      </w:r>
    </w:p>
    <w:p w:rsidR="009E13B1" w14:paraId="3A2CEE9A" w14:textId="77777777">
      <w:pPr>
        <w:tabs>
          <w:tab w:val="left" w:pos="360"/>
        </w:tabs>
        <w:ind w:left="360" w:hanging="360"/>
        <w:rPr>
          <w:sz w:val="18"/>
        </w:rPr>
      </w:pPr>
    </w:p>
    <w:p w:rsidR="009E13B1" w:rsidRPr="00DC3D21" w14:paraId="68CA5300" w14:textId="77777777">
      <w:pPr>
        <w:keepLines/>
        <w:tabs>
          <w:tab w:val="left" w:pos="360"/>
        </w:tabs>
        <w:spacing w:after="80"/>
        <w:ind w:left="360" w:hanging="360"/>
        <w:rPr>
          <w:rFonts w:ascii="Courier" w:hAnsi="Courier"/>
          <w:i/>
        </w:rPr>
      </w:pPr>
      <w:r w:rsidRPr="00DC3D21">
        <w:rPr>
          <w:i/>
          <w:sz w:val="18"/>
        </w:rPr>
        <w:t>18.</w:t>
      </w:r>
      <w:r w:rsidRPr="00DC3D21">
        <w:rPr>
          <w:i/>
          <w:sz w:val="18"/>
        </w:rPr>
        <w:tab/>
        <w:t>Explain each exception to the certification statement identified in item 19.</w:t>
      </w:r>
    </w:p>
    <w:p w:rsidR="009E13B1" w:rsidP="00DC3D21" w14:paraId="34DF04A9" w14:textId="77777777">
      <w:pPr>
        <w:keepLines/>
        <w:tabs>
          <w:tab w:val="left" w:pos="360"/>
          <w:tab w:val="left" w:pos="720"/>
        </w:tabs>
        <w:ind w:left="360"/>
        <w:rPr>
          <w:sz w:val="18"/>
        </w:rPr>
      </w:pPr>
      <w:r w:rsidRPr="00FC0936">
        <w:t>No exceptions identified.</w:t>
      </w:r>
      <w:r w:rsidR="00DC3D21">
        <w:rPr>
          <w:sz w:val="18"/>
        </w:rPr>
        <w:t xml:space="preserve"> </w:t>
      </w:r>
    </w:p>
    <w:p w:rsidR="009E13B1" w14:paraId="6AC2A32E" w14:textId="77777777">
      <w:pPr>
        <w:tabs>
          <w:tab w:val="left" w:pos="240"/>
        </w:tabs>
        <w:rPr>
          <w:rFonts w:ascii="Helvetica" w:hAnsi="Helvetica"/>
          <w:sz w:val="16"/>
        </w:rPr>
      </w:pPr>
    </w:p>
    <w:sectPr>
      <w:headerReference w:type="default" r:id="rId5"/>
      <w:pgSz w:w="12240" w:h="15840"/>
      <w:pgMar w:top="480" w:right="720" w:bottom="480" w:left="600" w:header="480" w:footer="480" w:gutter="0"/>
      <w:cols w:space="48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39C973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5741C35"/>
    <w:multiLevelType w:val="hybridMultilevel"/>
    <w:tmpl w:val="FEAC95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66E0F2E"/>
    <w:multiLevelType w:val="hybridMultilevel"/>
    <w:tmpl w:val="FEAC95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665086764">
    <w:abstractNumId w:val="4"/>
  </w:num>
  <w:num w:numId="2" w16cid:durableId="848563663">
    <w:abstractNumId w:val="2"/>
  </w:num>
  <w:num w:numId="3" w16cid:durableId="1984501450">
    <w:abstractNumId w:val="10"/>
  </w:num>
  <w:num w:numId="4" w16cid:durableId="1829009185">
    <w:abstractNumId w:val="6"/>
  </w:num>
  <w:num w:numId="5" w16cid:durableId="2077047360">
    <w:abstractNumId w:val="7"/>
  </w:num>
  <w:num w:numId="6" w16cid:durableId="2073842682">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526284959">
    <w:abstractNumId w:val="3"/>
  </w:num>
  <w:num w:numId="8" w16cid:durableId="257062768">
    <w:abstractNumId w:val="13"/>
  </w:num>
  <w:num w:numId="9" w16cid:durableId="1210268975">
    <w:abstractNumId w:val="1"/>
  </w:num>
  <w:num w:numId="10" w16cid:durableId="43331635">
    <w:abstractNumId w:val="12"/>
  </w:num>
  <w:num w:numId="11" w16cid:durableId="1046415137">
    <w:abstractNumId w:val="11"/>
  </w:num>
  <w:num w:numId="12" w16cid:durableId="958876662">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568414799">
    <w:abstractNumId w:val="8"/>
  </w:num>
  <w:num w:numId="14" w16cid:durableId="127409341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875241149">
    <w:abstractNumId w:val="5"/>
  </w:num>
  <w:num w:numId="16" w16cid:durableId="1981883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40"/>
    <w:rsid w:val="00016B24"/>
    <w:rsid w:val="00074290"/>
    <w:rsid w:val="000A1639"/>
    <w:rsid w:val="000E00A8"/>
    <w:rsid w:val="000E2A89"/>
    <w:rsid w:val="000E3274"/>
    <w:rsid w:val="00126FCB"/>
    <w:rsid w:val="001474D3"/>
    <w:rsid w:val="00161DF1"/>
    <w:rsid w:val="00163E20"/>
    <w:rsid w:val="001D7B09"/>
    <w:rsid w:val="002036E5"/>
    <w:rsid w:val="002D63D8"/>
    <w:rsid w:val="002F6CE8"/>
    <w:rsid w:val="003345B8"/>
    <w:rsid w:val="00441AD4"/>
    <w:rsid w:val="004467AB"/>
    <w:rsid w:val="004532D2"/>
    <w:rsid w:val="004D6BB7"/>
    <w:rsid w:val="004E6055"/>
    <w:rsid w:val="00563E5B"/>
    <w:rsid w:val="005D750D"/>
    <w:rsid w:val="006B7674"/>
    <w:rsid w:val="006F5B87"/>
    <w:rsid w:val="0070653B"/>
    <w:rsid w:val="00734C5F"/>
    <w:rsid w:val="007437FC"/>
    <w:rsid w:val="007E269C"/>
    <w:rsid w:val="00863978"/>
    <w:rsid w:val="00930FD9"/>
    <w:rsid w:val="0096134B"/>
    <w:rsid w:val="009E0C3E"/>
    <w:rsid w:val="009E13B1"/>
    <w:rsid w:val="00A21E39"/>
    <w:rsid w:val="00A301DE"/>
    <w:rsid w:val="00AD195E"/>
    <w:rsid w:val="00AE3156"/>
    <w:rsid w:val="00B01940"/>
    <w:rsid w:val="00B04BA6"/>
    <w:rsid w:val="00B81CCC"/>
    <w:rsid w:val="00BC10AF"/>
    <w:rsid w:val="00BE28A5"/>
    <w:rsid w:val="00C6391E"/>
    <w:rsid w:val="00C87FF3"/>
    <w:rsid w:val="00C94DA7"/>
    <w:rsid w:val="00CE1567"/>
    <w:rsid w:val="00D75860"/>
    <w:rsid w:val="00D975AF"/>
    <w:rsid w:val="00DB3EEA"/>
    <w:rsid w:val="00DC3D21"/>
    <w:rsid w:val="00DC7666"/>
    <w:rsid w:val="00E346CC"/>
    <w:rsid w:val="00E92B1D"/>
    <w:rsid w:val="00F022E8"/>
    <w:rsid w:val="00F15CCF"/>
    <w:rsid w:val="00F27C8F"/>
    <w:rsid w:val="00FC0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16C176"/>
  <w15:chartTrackingRefBased/>
  <w15:docId w15:val="{9A7818ED-7F15-47C3-858A-EAB42786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DC3D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jc w:val="center"/>
      <w:textAlignment w:val="auto"/>
      <w:outlineLvl w:val="0"/>
    </w:pPr>
    <w:rPr>
      <w:rFonts w:ascii="Helvetica" w:hAnsi="Helvetica"/>
      <w:b/>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rsid w:val="004467AB"/>
    <w:rPr>
      <w:sz w:val="16"/>
      <w:szCs w:val="16"/>
    </w:rPr>
  </w:style>
  <w:style w:type="paragraph" w:styleId="CommentText">
    <w:name w:val="annotation text"/>
    <w:basedOn w:val="Normal"/>
    <w:link w:val="CommentTextChar"/>
    <w:rsid w:val="004467AB"/>
    <w:pPr>
      <w:overflowPunct/>
      <w:autoSpaceDE/>
      <w:autoSpaceDN/>
      <w:adjustRightInd/>
      <w:textAlignment w:val="auto"/>
    </w:pPr>
  </w:style>
  <w:style w:type="character" w:customStyle="1" w:styleId="CommentTextChar">
    <w:name w:val="Comment Text Char"/>
    <w:basedOn w:val="DefaultParagraphFont"/>
    <w:link w:val="CommentText"/>
    <w:rsid w:val="004467AB"/>
  </w:style>
  <w:style w:type="paragraph" w:styleId="BalloonText">
    <w:name w:val="Balloon Text"/>
    <w:basedOn w:val="Normal"/>
    <w:link w:val="BalloonTextChar"/>
    <w:uiPriority w:val="99"/>
    <w:semiHidden/>
    <w:unhideWhenUsed/>
    <w:rsid w:val="004467AB"/>
    <w:rPr>
      <w:rFonts w:ascii="Tahoma" w:hAnsi="Tahoma" w:cs="Tahoma"/>
      <w:sz w:val="16"/>
      <w:szCs w:val="16"/>
    </w:rPr>
  </w:style>
  <w:style w:type="character" w:customStyle="1" w:styleId="BalloonTextChar">
    <w:name w:val="Balloon Text Char"/>
    <w:link w:val="BalloonText"/>
    <w:uiPriority w:val="99"/>
    <w:semiHidden/>
    <w:rsid w:val="004467A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67AB"/>
    <w:pPr>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4467AB"/>
    <w:rPr>
      <w:b/>
      <w:bCs/>
    </w:rPr>
  </w:style>
  <w:style w:type="character" w:customStyle="1" w:styleId="Heading1Char">
    <w:name w:val="Heading 1 Char"/>
    <w:link w:val="Heading1"/>
    <w:rsid w:val="00DC3D21"/>
    <w:rPr>
      <w:rFonts w:ascii="Helvetica" w:hAnsi="Helvetica"/>
      <w:b/>
      <w:sz w:val="24"/>
      <w:szCs w:val="24"/>
    </w:rPr>
  </w:style>
  <w:style w:type="paragraph" w:styleId="BodyText">
    <w:name w:val="Body Text"/>
    <w:basedOn w:val="Normal"/>
    <w:link w:val="BodyTextChar"/>
    <w:uiPriority w:val="99"/>
    <w:semiHidden/>
    <w:unhideWhenUsed/>
    <w:rsid w:val="001474D3"/>
    <w:pPr>
      <w:overflowPunct/>
      <w:autoSpaceDE/>
      <w:autoSpaceDN/>
      <w:adjustRightInd/>
      <w:spacing w:after="80"/>
      <w:textAlignment w:val="auto"/>
    </w:pPr>
    <w:rPr>
      <w:rFonts w:eastAsia="Calibri"/>
      <w:color w:val="000000"/>
      <w:sz w:val="24"/>
      <w:szCs w:val="24"/>
    </w:rPr>
  </w:style>
  <w:style w:type="character" w:customStyle="1" w:styleId="BodyTextChar">
    <w:name w:val="Body Text Char"/>
    <w:link w:val="BodyText"/>
    <w:uiPriority w:val="99"/>
    <w:semiHidden/>
    <w:rsid w:val="001474D3"/>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H:\AII.OLD\FORMS\Reports_Mgmt\83-I-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10ED-85AA-4767-B967-946F2743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Template>
  <TotalTime>1</TotalTime>
  <Pages>4</Pages>
  <Words>2748</Words>
  <Characters>15667</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Johnson, Urnell</cp:lastModifiedBy>
  <cp:revision>2</cp:revision>
  <cp:lastPrinted>2019-09-19T17:11:00Z</cp:lastPrinted>
  <dcterms:created xsi:type="dcterms:W3CDTF">2023-04-06T14:54:00Z</dcterms:created>
  <dcterms:modified xsi:type="dcterms:W3CDTF">2023-04-06T14:54:00Z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