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6E04" w:rsidP="00E2719A" w14:paraId="54738894" w14:textId="77777777">
      <w:pPr>
        <w:spacing w:after="200" w:line="276" w:lineRule="auto"/>
        <w:rPr>
          <w:b/>
          <w:sz w:val="32"/>
          <w:szCs w:val="32"/>
        </w:rPr>
      </w:pPr>
      <w:bookmarkStart w:id="0" w:name="_Toc390342966"/>
    </w:p>
    <w:p w:rsidR="001515A3" w:rsidRPr="00E2719A" w:rsidP="00E2719A" w14:paraId="39FD2591" w14:textId="2976B0C0">
      <w:pPr>
        <w:jc w:val="center"/>
        <w:rPr>
          <w:b/>
          <w:bCs/>
          <w:iCs/>
          <w:szCs w:val="28"/>
        </w:rPr>
      </w:pPr>
      <w:r w:rsidRPr="00FC5555">
        <w:rPr>
          <w:b/>
        </w:rPr>
        <w:t xml:space="preserve">Supporting Statement for Paperwork Reduction Act Submission, </w:t>
      </w:r>
    </w:p>
    <w:p w:rsidR="00CC39D8" w:rsidP="00E2719A" w14:paraId="7327C654" w14:textId="6F4B71DA">
      <w:pPr>
        <w:jc w:val="center"/>
        <w:rPr>
          <w:b/>
        </w:rPr>
      </w:pPr>
      <w:r>
        <w:rPr>
          <w:b/>
        </w:rPr>
        <w:t xml:space="preserve">Capital Needs Assessments of Public Housing </w:t>
      </w:r>
    </w:p>
    <w:p w:rsidR="00886E04" w:rsidP="00E2719A" w14:paraId="3C5B9B1A" w14:textId="7CC194CE">
      <w:pPr>
        <w:jc w:val="center"/>
        <w:rPr>
          <w:b/>
        </w:rPr>
      </w:pPr>
      <w:r>
        <w:rPr>
          <w:b/>
        </w:rPr>
        <w:t>OMB Control Number 2528-New</w:t>
      </w:r>
    </w:p>
    <w:p w:rsidR="001515A3" w:rsidP="009B5886" w14:paraId="5BC6D416" w14:textId="77777777">
      <w:pPr>
        <w:pStyle w:val="H1PartB"/>
        <w:numPr>
          <w:ilvl w:val="0"/>
          <w:numId w:val="0"/>
        </w:numPr>
        <w:ind w:left="360"/>
      </w:pPr>
    </w:p>
    <w:p w:rsidR="007F4005" w:rsidRPr="00834B87" w:rsidP="00441671" w14:paraId="7C95E9E0" w14:textId="0E582522">
      <w:pPr>
        <w:pStyle w:val="H1PartB"/>
        <w:numPr>
          <w:ilvl w:val="0"/>
          <w:numId w:val="11"/>
        </w:numPr>
        <w:ind w:left="360"/>
      </w:pPr>
      <w:r w:rsidRPr="00834B87">
        <w:t>COLLECTIONS OF INFORMATION EMPLOYING STATISTICAL METHODS</w:t>
      </w:r>
      <w:bookmarkEnd w:id="0"/>
    </w:p>
    <w:p w:rsidR="007F4005" w:rsidRPr="000470D5" w:rsidP="000470D5" w14:paraId="1E3A2D4A" w14:textId="17605209">
      <w:pPr>
        <w:pStyle w:val="H2PartB"/>
        <w:rPr>
          <w:szCs w:val="24"/>
        </w:rPr>
      </w:pPr>
      <w:r w:rsidRPr="000470D5">
        <w:rPr>
          <w:szCs w:val="24"/>
        </w:rPr>
        <w:t>Describe (including a numerical estimate) the potential respondent universe and any sampling or other respondent selection method to be used. Data on the number of entities (</w:t>
      </w:r>
      <w:r w:rsidRPr="000470D5">
        <w:rPr>
          <w:szCs w:val="24"/>
        </w:rPr>
        <w:t>e.g.</w:t>
      </w:r>
      <w:r w:rsidRPr="000470D5">
        <w:rPr>
          <w:szCs w:val="24"/>
        </w:rPr>
        <w:t xml:space="preserve"> establishments, State and local governmental units, households, or persons) in the universe </w:t>
      </w:r>
      <w:r w:rsidRPr="00354600" w:rsidR="00354600">
        <w:rPr>
          <w:szCs w:val="24"/>
        </w:rPr>
        <w:t xml:space="preserve">covered by the collection </w:t>
      </w:r>
      <w:r w:rsidRPr="000470D5">
        <w:rPr>
          <w:szCs w:val="24"/>
        </w:rPr>
        <w:t xml:space="preserve">and </w:t>
      </w:r>
      <w:r w:rsidR="0029220E">
        <w:rPr>
          <w:szCs w:val="24"/>
        </w:rPr>
        <w:t xml:space="preserve">in </w:t>
      </w:r>
      <w:r w:rsidRPr="000470D5">
        <w:rPr>
          <w:szCs w:val="24"/>
        </w:rPr>
        <w:t>the corresponding sample are to be provided in tabular form</w:t>
      </w:r>
      <w:r w:rsidR="001960C6">
        <w:rPr>
          <w:szCs w:val="24"/>
        </w:rPr>
        <w:t xml:space="preserve"> </w:t>
      </w:r>
      <w:r w:rsidRPr="001960C6" w:rsidR="001960C6">
        <w:rPr>
          <w:szCs w:val="24"/>
        </w:rPr>
        <w:t>for the universe as a whole and for each of the strata in the proposed sample</w:t>
      </w:r>
      <w:r w:rsidRPr="000470D5">
        <w:rPr>
          <w:szCs w:val="24"/>
        </w:rPr>
        <w:t xml:space="preserve">. </w:t>
      </w:r>
      <w:r w:rsidRPr="00FE4E5B" w:rsidR="00FE4E5B">
        <w:rPr>
          <w:szCs w:val="24"/>
        </w:rPr>
        <w:t xml:space="preserve">Indicate expected response rates for the </w:t>
      </w:r>
      <w:r w:rsidRPr="00FE4E5B" w:rsidR="00FE4E5B">
        <w:rPr>
          <w:szCs w:val="24"/>
        </w:rPr>
        <w:t>collection as a whole</w:t>
      </w:r>
      <w:r w:rsidRPr="00FE4E5B" w:rsidR="00FE4E5B">
        <w:rPr>
          <w:szCs w:val="24"/>
        </w:rPr>
        <w:t xml:space="preserve">. </w:t>
      </w:r>
      <w:r w:rsidRPr="000470D5">
        <w:rPr>
          <w:szCs w:val="24"/>
        </w:rPr>
        <w:t>If the collection ha</w:t>
      </w:r>
      <w:r w:rsidR="00E54A74">
        <w:rPr>
          <w:szCs w:val="24"/>
        </w:rPr>
        <w:t>d</w:t>
      </w:r>
      <w:r w:rsidRPr="000470D5">
        <w:rPr>
          <w:szCs w:val="24"/>
        </w:rPr>
        <w:t xml:space="preserve"> been conducted </w:t>
      </w:r>
      <w:r w:rsidRPr="00516546" w:rsidR="00516546">
        <w:rPr>
          <w:szCs w:val="24"/>
        </w:rPr>
        <w:t>previously</w:t>
      </w:r>
      <w:r w:rsidRPr="000470D5">
        <w:rPr>
          <w:szCs w:val="24"/>
        </w:rPr>
        <w:t>, provide the actual response rate achieved</w:t>
      </w:r>
      <w:r w:rsidR="00E54A74">
        <w:rPr>
          <w:szCs w:val="24"/>
        </w:rPr>
        <w:t xml:space="preserve"> </w:t>
      </w:r>
      <w:r w:rsidRPr="00E54A74" w:rsidR="00E54A74">
        <w:rPr>
          <w:szCs w:val="24"/>
        </w:rPr>
        <w:t>during the last collection</w:t>
      </w:r>
      <w:r w:rsidRPr="000470D5">
        <w:rPr>
          <w:szCs w:val="24"/>
        </w:rPr>
        <w:t>.</w:t>
      </w:r>
    </w:p>
    <w:p w:rsidR="00AA2206" w:rsidP="0020715A" w14:paraId="3B1D504F" w14:textId="00984542">
      <w:pPr>
        <w:pStyle w:val="ListNumber-Last"/>
        <w:numPr>
          <w:ilvl w:val="0"/>
          <w:numId w:val="0"/>
        </w:numPr>
      </w:pPr>
      <w:r w:rsidRPr="00607001">
        <w:t>The information</w:t>
      </w:r>
      <w:r>
        <w:t xml:space="preserve"> collected through this study</w:t>
      </w:r>
      <w:r w:rsidRPr="00607001">
        <w:t xml:space="preserve"> will be used by </w:t>
      </w:r>
      <w:r>
        <w:t>the U.S. Department of Housing and Urban Development (</w:t>
      </w:r>
      <w:r w:rsidRPr="00607001">
        <w:t>HUD</w:t>
      </w:r>
      <w:r>
        <w:t>)</w:t>
      </w:r>
      <w:r w:rsidRPr="00607001">
        <w:t xml:space="preserve"> </w:t>
      </w:r>
      <w:r>
        <w:t>to</w:t>
      </w:r>
      <w:r>
        <w:t xml:space="preserve"> do the following:</w:t>
      </w:r>
    </w:p>
    <w:p w:rsidR="00AA2206" w:rsidP="00AA2206" w14:paraId="5AF723C7" w14:textId="77777777">
      <w:pPr>
        <w:pStyle w:val="ListNumber"/>
      </w:pPr>
      <w:r>
        <w:t>E</w:t>
      </w:r>
      <w:r w:rsidR="005A7081">
        <w:t xml:space="preserve">valuate </w:t>
      </w:r>
      <w:r w:rsidR="0020715A">
        <w:t>the</w:t>
      </w:r>
      <w:r w:rsidR="000B3DF8">
        <w:t xml:space="preserve"> approach to estimating capital needs</w:t>
      </w:r>
      <w:r w:rsidR="00E552D8">
        <w:t xml:space="preserve"> </w:t>
      </w:r>
      <w:r w:rsidR="0020715A">
        <w:t xml:space="preserve">and </w:t>
      </w:r>
      <w:r w:rsidR="0045412B">
        <w:t xml:space="preserve">produce an </w:t>
      </w:r>
      <w:r w:rsidR="009A0AC2">
        <w:t xml:space="preserve">estimate </w:t>
      </w:r>
      <w:r w:rsidR="0045412B">
        <w:t>of capital needs for the total stock of public housing</w:t>
      </w:r>
      <w:r>
        <w:t>.</w:t>
      </w:r>
    </w:p>
    <w:p w:rsidR="00AA2206" w:rsidP="00AA2206" w14:paraId="7EB6B35C" w14:textId="271FFFA4">
      <w:pPr>
        <w:pStyle w:val="ListNumber"/>
      </w:pPr>
      <w:r>
        <w:t>D</w:t>
      </w:r>
      <w:r w:rsidR="008A41F6">
        <w:t xml:space="preserve">evelop and </w:t>
      </w:r>
      <w:r w:rsidR="00493A6E">
        <w:t>e</w:t>
      </w:r>
      <w:r w:rsidR="00E67E7A">
        <w:t xml:space="preserve">valuate </w:t>
      </w:r>
      <w:r w:rsidR="008A41F6">
        <w:t xml:space="preserve">a </w:t>
      </w:r>
      <w:r w:rsidR="00E67E7A">
        <w:t>selected predictive</w:t>
      </w:r>
      <w:r w:rsidR="008237AF">
        <w:t xml:space="preserve"> model</w:t>
      </w:r>
      <w:r w:rsidR="00CC2119">
        <w:t xml:space="preserve"> </w:t>
      </w:r>
      <w:r w:rsidR="000D616E">
        <w:t xml:space="preserve">using </w:t>
      </w:r>
      <w:r w:rsidR="00CC2119">
        <w:t xml:space="preserve">HUD data, </w:t>
      </w:r>
      <w:r w:rsidR="004D346A">
        <w:t>primary survey data</w:t>
      </w:r>
      <w:r>
        <w:t>,</w:t>
      </w:r>
      <w:r w:rsidR="00CC2119">
        <w:t xml:space="preserve"> and other data to estimate the capital needs of public housing</w:t>
      </w:r>
      <w:r>
        <w:t>.</w:t>
      </w:r>
    </w:p>
    <w:p w:rsidR="00DF6EC3" w:rsidP="00AA2206" w14:paraId="7BCFB7C9" w14:textId="580AB5FF">
      <w:pPr>
        <w:pStyle w:val="ListNumber-Last"/>
      </w:pPr>
      <w:r>
        <w:t>U</w:t>
      </w:r>
      <w:r w:rsidR="004C54D9">
        <w:t>pdate the</w:t>
      </w:r>
      <w:r w:rsidR="008A41F6">
        <w:t xml:space="preserve"> predictive</w:t>
      </w:r>
      <w:r w:rsidR="004C54D9">
        <w:t xml:space="preserve"> </w:t>
      </w:r>
      <w:r w:rsidR="0005464A">
        <w:t xml:space="preserve">model and evaluation based on </w:t>
      </w:r>
      <w:r w:rsidR="004C54D9">
        <w:t xml:space="preserve">the </w:t>
      </w:r>
      <w:r w:rsidR="0005464A">
        <w:t xml:space="preserve">second </w:t>
      </w:r>
      <w:r w:rsidR="00EF7BDF">
        <w:t>survey i</w:t>
      </w:r>
      <w:r w:rsidR="006C6F40">
        <w:t>teration</w:t>
      </w:r>
      <w:r w:rsidR="0052549F">
        <w:t xml:space="preserve">. </w:t>
      </w:r>
    </w:p>
    <w:p w:rsidR="0020715A" w:rsidP="0020715A" w14:paraId="53C578E2" w14:textId="270E283F">
      <w:pPr>
        <w:pStyle w:val="ListNumber-Last"/>
        <w:numPr>
          <w:ilvl w:val="0"/>
          <w:numId w:val="0"/>
        </w:numPr>
      </w:pPr>
      <w:r>
        <w:t>What follows</w:t>
      </w:r>
      <w:r w:rsidR="00A272F1">
        <w:t xml:space="preserve"> present</w:t>
      </w:r>
      <w:r w:rsidR="00DF6EC3">
        <w:t>s</w:t>
      </w:r>
      <w:r w:rsidR="00A272F1">
        <w:t xml:space="preserve"> a description of each </w:t>
      </w:r>
      <w:r w:rsidR="003A26CB">
        <w:t xml:space="preserve">information collection </w:t>
      </w:r>
      <w:r w:rsidR="009916C6">
        <w:t xml:space="preserve">effort </w:t>
      </w:r>
      <w:r w:rsidR="003A26CB">
        <w:t xml:space="preserve">that </w:t>
      </w:r>
      <w:r w:rsidR="009916C6">
        <w:t xml:space="preserve">the research team </w:t>
      </w:r>
      <w:r w:rsidR="003A26CB">
        <w:t xml:space="preserve">will </w:t>
      </w:r>
      <w:r w:rsidR="00D04748">
        <w:t>perform</w:t>
      </w:r>
      <w:r w:rsidR="003A26CB">
        <w:t xml:space="preserve">: </w:t>
      </w:r>
      <w:r>
        <w:t>(</w:t>
      </w:r>
      <w:r w:rsidR="003A26CB">
        <w:t xml:space="preserve">1) sampling or respondent selection method, </w:t>
      </w:r>
      <w:r>
        <w:t>(</w:t>
      </w:r>
      <w:r w:rsidR="003A26CB">
        <w:t xml:space="preserve">2) </w:t>
      </w:r>
      <w:r w:rsidR="00434C93">
        <w:t xml:space="preserve">the number of entities in the universe, </w:t>
      </w:r>
      <w:r>
        <w:t>(</w:t>
      </w:r>
      <w:r w:rsidR="00434C93">
        <w:t>3) the sample plan</w:t>
      </w:r>
      <w:r w:rsidR="003B5627">
        <w:t>ned</w:t>
      </w:r>
      <w:r w:rsidR="00434C93">
        <w:t xml:space="preserve"> to </w:t>
      </w:r>
      <w:r w:rsidR="003B5627">
        <w:t xml:space="preserve">be </w:t>
      </w:r>
      <w:r w:rsidR="00434C93">
        <w:t>achieve</w:t>
      </w:r>
      <w:r w:rsidR="003B5627">
        <w:t>d</w:t>
      </w:r>
      <w:r w:rsidR="00434C93">
        <w:t xml:space="preserve">, and </w:t>
      </w:r>
      <w:r>
        <w:t>(</w:t>
      </w:r>
      <w:r w:rsidR="00434C93">
        <w:t xml:space="preserve">4) expected response rates for each collection. </w:t>
      </w:r>
    </w:p>
    <w:p w:rsidR="00732D9D" w:rsidP="0019072A" w14:paraId="1EA7B194" w14:textId="20D5ED03">
      <w:pPr>
        <w:pStyle w:val="ListNumber-Last"/>
        <w:numPr>
          <w:ilvl w:val="0"/>
          <w:numId w:val="0"/>
        </w:numPr>
        <w:spacing w:after="0"/>
        <w:rPr>
          <w:b/>
          <w:bCs/>
        </w:rPr>
      </w:pPr>
      <w:r w:rsidRPr="0019072A">
        <w:rPr>
          <w:b/>
          <w:bCs/>
        </w:rPr>
        <w:t>Phase 1</w:t>
      </w:r>
      <w:r w:rsidRPr="0019072A" w:rsidR="003D7257">
        <w:rPr>
          <w:b/>
          <w:bCs/>
        </w:rPr>
        <w:t xml:space="preserve">: </w:t>
      </w:r>
      <w:r w:rsidR="00FC477F">
        <w:rPr>
          <w:b/>
          <w:bCs/>
        </w:rPr>
        <w:t>Collect d</w:t>
      </w:r>
      <w:r w:rsidRPr="0019072A" w:rsidR="003D7257">
        <w:rPr>
          <w:b/>
          <w:bCs/>
        </w:rPr>
        <w:t>ocument</w:t>
      </w:r>
      <w:r w:rsidR="00FC477F">
        <w:rPr>
          <w:b/>
          <w:bCs/>
        </w:rPr>
        <w:t>ation</w:t>
      </w:r>
      <w:r w:rsidRPr="0019072A" w:rsidR="003D7257">
        <w:rPr>
          <w:b/>
          <w:bCs/>
        </w:rPr>
        <w:t xml:space="preserve"> </w:t>
      </w:r>
      <w:r w:rsidR="00AE7B42">
        <w:rPr>
          <w:b/>
          <w:bCs/>
        </w:rPr>
        <w:t xml:space="preserve">and </w:t>
      </w:r>
      <w:r w:rsidR="00FC477F">
        <w:rPr>
          <w:b/>
          <w:bCs/>
        </w:rPr>
        <w:t xml:space="preserve">HUD </w:t>
      </w:r>
      <w:r w:rsidR="00AE7B42">
        <w:rPr>
          <w:b/>
          <w:bCs/>
        </w:rPr>
        <w:t xml:space="preserve">administrative </w:t>
      </w:r>
      <w:r w:rsidRPr="0019072A" w:rsidR="003D7257">
        <w:rPr>
          <w:b/>
          <w:bCs/>
        </w:rPr>
        <w:t>data</w:t>
      </w:r>
      <w:r w:rsidR="00FC477F">
        <w:rPr>
          <w:b/>
          <w:bCs/>
        </w:rPr>
        <w:t>, interview HUD staff</w:t>
      </w:r>
      <w:r w:rsidR="00936670">
        <w:rPr>
          <w:b/>
          <w:bCs/>
        </w:rPr>
        <w:t xml:space="preserve"> and subject matter experts, </w:t>
      </w:r>
      <w:r w:rsidRPr="0019072A" w:rsidR="003D7257">
        <w:rPr>
          <w:b/>
          <w:bCs/>
        </w:rPr>
        <w:t xml:space="preserve">and </w:t>
      </w:r>
      <w:r w:rsidR="00936670">
        <w:rPr>
          <w:b/>
          <w:bCs/>
        </w:rPr>
        <w:t xml:space="preserve">conduct </w:t>
      </w:r>
      <w:r w:rsidR="00AE7B42">
        <w:rPr>
          <w:b/>
          <w:bCs/>
        </w:rPr>
        <w:t>l</w:t>
      </w:r>
      <w:r w:rsidRPr="0019072A" w:rsidR="003D7257">
        <w:rPr>
          <w:b/>
          <w:bCs/>
        </w:rPr>
        <w:t>iterature review</w:t>
      </w:r>
      <w:r w:rsidRPr="0019072A" w:rsidR="000B4625">
        <w:rPr>
          <w:b/>
          <w:bCs/>
        </w:rPr>
        <w:t xml:space="preserve"> (not subject to </w:t>
      </w:r>
      <w:r w:rsidR="00C808A1">
        <w:rPr>
          <w:b/>
          <w:bCs/>
        </w:rPr>
        <w:t>the Paperwork Reduction Act (</w:t>
      </w:r>
      <w:r w:rsidRPr="0019072A" w:rsidR="000B4625">
        <w:rPr>
          <w:b/>
          <w:bCs/>
        </w:rPr>
        <w:t>PRA)</w:t>
      </w:r>
      <w:r w:rsidR="00C808A1">
        <w:rPr>
          <w:b/>
          <w:bCs/>
        </w:rPr>
        <w:t>)</w:t>
      </w:r>
      <w:r w:rsidRPr="0019072A" w:rsidR="003D7257">
        <w:rPr>
          <w:b/>
          <w:bCs/>
        </w:rPr>
        <w:t xml:space="preserve">. </w:t>
      </w:r>
    </w:p>
    <w:p w:rsidR="00FE3D15" w:rsidRPr="0019072A" w:rsidP="0019072A" w14:paraId="7C7AD532" w14:textId="7DFD0598">
      <w:pPr>
        <w:pStyle w:val="ListNumber-Last"/>
        <w:numPr>
          <w:ilvl w:val="0"/>
          <w:numId w:val="0"/>
        </w:numPr>
        <w:spacing w:before="0"/>
      </w:pPr>
      <w:r w:rsidRPr="0019072A">
        <w:t>As a first step, the rese</w:t>
      </w:r>
      <w:r w:rsidRPr="0019072A" w:rsidR="005408E7">
        <w:t>arch team will</w:t>
      </w:r>
      <w:r w:rsidR="0043350C">
        <w:t xml:space="preserve"> collect, review</w:t>
      </w:r>
      <w:r w:rsidR="00C808A1">
        <w:t>,</w:t>
      </w:r>
      <w:r w:rsidR="0043350C">
        <w:t xml:space="preserve"> and analyze documentation</w:t>
      </w:r>
      <w:r w:rsidR="00717AB4">
        <w:t>,</w:t>
      </w:r>
      <w:r w:rsidR="0043350C">
        <w:t xml:space="preserve"> HUD administrative data</w:t>
      </w:r>
      <w:r w:rsidR="00C808A1">
        <w:t>,</w:t>
      </w:r>
      <w:r w:rsidR="0043350C">
        <w:t xml:space="preserve"> </w:t>
      </w:r>
      <w:r w:rsidR="00717AB4">
        <w:t xml:space="preserve">and previously collected </w:t>
      </w:r>
      <w:r w:rsidR="00C808A1">
        <w:t>capital needs assessment (</w:t>
      </w:r>
      <w:r w:rsidR="00717AB4">
        <w:t>CNA</w:t>
      </w:r>
      <w:r w:rsidR="00C808A1">
        <w:t>)</w:t>
      </w:r>
      <w:r w:rsidR="00717AB4">
        <w:t xml:space="preserve"> data available to the research team </w:t>
      </w:r>
      <w:r w:rsidR="0043350C">
        <w:t xml:space="preserve">about </w:t>
      </w:r>
      <w:r w:rsidR="00C808A1">
        <w:t>CNAs</w:t>
      </w:r>
      <w:r w:rsidR="00CC3E3A">
        <w:t xml:space="preserve">. The research team will also </w:t>
      </w:r>
      <w:r w:rsidR="00132B9C">
        <w:t xml:space="preserve">interview HUD staff and talk to fewer than 10 subject matter experts </w:t>
      </w:r>
      <w:r w:rsidR="00846BCC">
        <w:t xml:space="preserve">and practitioners </w:t>
      </w:r>
      <w:r w:rsidR="00CC3E3A">
        <w:t xml:space="preserve">about best practices in </w:t>
      </w:r>
      <w:r w:rsidR="00C808A1">
        <w:t>CNAs</w:t>
      </w:r>
      <w:r w:rsidR="00CC3E3A">
        <w:t>.</w:t>
      </w:r>
      <w:r w:rsidR="00296BD3">
        <w:t xml:space="preserve"> The data and documentation will be used to define capital needs,</w:t>
      </w:r>
      <w:r w:rsidR="00E45A04">
        <w:t xml:space="preserve"> identify best practices in estimating capital needs, and evaluate the adequacy of HUD data to estimating capital needs.</w:t>
      </w:r>
    </w:p>
    <w:p w:rsidR="004464E2" w:rsidRPr="00997B94" w:rsidP="00997B94" w14:paraId="1EC0EB04" w14:textId="006D21CF">
      <w:pPr>
        <w:rPr>
          <w:rFonts w:eastAsia="Calibri"/>
          <w:b/>
        </w:rPr>
      </w:pPr>
      <w:r>
        <w:rPr>
          <w:rFonts w:eastAsia="Calibri"/>
          <w:b/>
        </w:rPr>
        <w:t xml:space="preserve">Phase 2: </w:t>
      </w:r>
      <w:r w:rsidRPr="00997B94" w:rsidR="00DE7EC1">
        <w:rPr>
          <w:rFonts w:eastAsia="Calibri"/>
          <w:b/>
        </w:rPr>
        <w:t xml:space="preserve">Identification of Respondents for </w:t>
      </w:r>
      <w:r w:rsidR="000D323F">
        <w:rPr>
          <w:rFonts w:eastAsia="Calibri"/>
          <w:b/>
        </w:rPr>
        <w:t>First</w:t>
      </w:r>
      <w:r w:rsidR="000B4625">
        <w:rPr>
          <w:rFonts w:eastAsia="Calibri"/>
          <w:b/>
        </w:rPr>
        <w:t xml:space="preserve"> </w:t>
      </w:r>
      <w:r w:rsidR="00B228FF">
        <w:rPr>
          <w:rFonts w:eastAsia="Calibri"/>
          <w:b/>
        </w:rPr>
        <w:t xml:space="preserve">Survey of </w:t>
      </w:r>
      <w:r w:rsidR="00C808A1">
        <w:rPr>
          <w:rFonts w:eastAsia="Calibri"/>
          <w:b/>
        </w:rPr>
        <w:t>Public Housing Authorities (</w:t>
      </w:r>
      <w:r w:rsidR="00B228FF">
        <w:rPr>
          <w:rFonts w:eastAsia="Calibri"/>
          <w:b/>
        </w:rPr>
        <w:t>PHAs</w:t>
      </w:r>
      <w:r w:rsidR="00C808A1">
        <w:rPr>
          <w:rFonts w:eastAsia="Calibri"/>
          <w:b/>
        </w:rPr>
        <w:t>)</w:t>
      </w:r>
      <w:r w:rsidR="005D7F44">
        <w:rPr>
          <w:rFonts w:eastAsia="Calibri"/>
          <w:b/>
        </w:rPr>
        <w:t xml:space="preserve"> (subject to PRA)</w:t>
      </w:r>
    </w:p>
    <w:p w:rsidR="003A4C91" w:rsidP="00C808A1" w14:paraId="2CE62383" w14:textId="263AF4D9">
      <w:pPr>
        <w:rPr>
          <w:rFonts w:eastAsia="Calibri"/>
        </w:rPr>
      </w:pPr>
      <w:r>
        <w:rPr>
          <w:rFonts w:eastAsia="Calibri"/>
        </w:rPr>
        <w:t xml:space="preserve">The research team plans to </w:t>
      </w:r>
      <w:r w:rsidR="00E22F29">
        <w:rPr>
          <w:rFonts w:eastAsia="Calibri"/>
        </w:rPr>
        <w:t xml:space="preserve">administer </w:t>
      </w:r>
      <w:r w:rsidR="00E65706">
        <w:rPr>
          <w:rFonts w:eastAsia="Calibri"/>
        </w:rPr>
        <w:t xml:space="preserve">a </w:t>
      </w:r>
      <w:r w:rsidR="00E22F29">
        <w:rPr>
          <w:rFonts w:eastAsia="Calibri"/>
        </w:rPr>
        <w:t xml:space="preserve">web-based </w:t>
      </w:r>
      <w:r>
        <w:rPr>
          <w:rFonts w:eastAsia="Calibri"/>
        </w:rPr>
        <w:t>survey</w:t>
      </w:r>
      <w:r w:rsidR="00EB5CDD">
        <w:rPr>
          <w:rFonts w:eastAsia="Calibri"/>
        </w:rPr>
        <w:t xml:space="preserve"> to a </w:t>
      </w:r>
      <w:r w:rsidR="00AE6FB5">
        <w:rPr>
          <w:rFonts w:eastAsia="Calibri"/>
        </w:rPr>
        <w:t xml:space="preserve">stratified </w:t>
      </w:r>
      <w:r w:rsidR="0047004E">
        <w:rPr>
          <w:rFonts w:eastAsia="Calibri"/>
        </w:rPr>
        <w:t xml:space="preserve">random </w:t>
      </w:r>
      <w:r w:rsidR="00EB5CDD">
        <w:rPr>
          <w:rFonts w:eastAsia="Calibri"/>
        </w:rPr>
        <w:t xml:space="preserve">sample of </w:t>
      </w:r>
      <w:r w:rsidR="00E819D1">
        <w:rPr>
          <w:rFonts w:eastAsia="Calibri"/>
        </w:rPr>
        <w:t>approx</w:t>
      </w:r>
      <w:r w:rsidR="00C47270">
        <w:rPr>
          <w:rFonts w:eastAsia="Calibri"/>
        </w:rPr>
        <w:t>imately 300 PHAs</w:t>
      </w:r>
      <w:r w:rsidRPr="00BE65F0" w:rsidR="00240CB9">
        <w:rPr>
          <w:rFonts w:eastAsia="Calibri"/>
        </w:rPr>
        <w:t>.</w:t>
      </w:r>
      <w:bookmarkStart w:id="1" w:name="_Hlk59090232"/>
      <w:r w:rsidR="0084380D">
        <w:rPr>
          <w:rFonts w:eastAsia="Calibri"/>
        </w:rPr>
        <w:t xml:space="preserve"> </w:t>
      </w:r>
      <w:r w:rsidRPr="00BE65F0" w:rsidR="006F5B09">
        <w:rPr>
          <w:rFonts w:eastAsia="Calibri"/>
        </w:rPr>
        <w:t xml:space="preserve">There are currently </w:t>
      </w:r>
      <w:r w:rsidR="00F16B5A">
        <w:rPr>
          <w:rFonts w:eastAsia="Calibri"/>
        </w:rPr>
        <w:t>2,</w:t>
      </w:r>
      <w:r w:rsidR="00005603">
        <w:rPr>
          <w:rFonts w:eastAsia="Calibri"/>
        </w:rPr>
        <w:t>780</w:t>
      </w:r>
      <w:r w:rsidR="00F16B5A">
        <w:rPr>
          <w:rFonts w:eastAsia="Calibri"/>
        </w:rPr>
        <w:t xml:space="preserve"> </w:t>
      </w:r>
      <w:r w:rsidRPr="00BE65F0" w:rsidR="006F5B09">
        <w:rPr>
          <w:rFonts w:eastAsia="Calibri"/>
        </w:rPr>
        <w:t>PHAs with</w:t>
      </w:r>
      <w:r w:rsidR="006130C9">
        <w:rPr>
          <w:rFonts w:eastAsia="Calibri"/>
        </w:rPr>
        <w:t xml:space="preserve"> </w:t>
      </w:r>
      <w:r w:rsidR="008B46D2">
        <w:rPr>
          <w:rFonts w:eastAsia="Calibri"/>
        </w:rPr>
        <w:t xml:space="preserve">active </w:t>
      </w:r>
      <w:r w:rsidR="005B49FB">
        <w:rPr>
          <w:rFonts w:eastAsia="Calibri"/>
        </w:rPr>
        <w:t>public housing programs</w:t>
      </w:r>
      <w:r w:rsidR="001B6876">
        <w:rPr>
          <w:rFonts w:eastAsia="Calibri"/>
        </w:rPr>
        <w:t>. These PHAs include</w:t>
      </w:r>
      <w:r w:rsidR="001F2347">
        <w:rPr>
          <w:rFonts w:eastAsia="Calibri"/>
        </w:rPr>
        <w:t xml:space="preserve"> </w:t>
      </w:r>
      <w:r w:rsidR="005B49FB">
        <w:rPr>
          <w:rFonts w:eastAsia="Calibri"/>
        </w:rPr>
        <w:t>6,</w:t>
      </w:r>
      <w:r w:rsidR="0024283B">
        <w:rPr>
          <w:rFonts w:eastAsia="Calibri"/>
        </w:rPr>
        <w:t>52</w:t>
      </w:r>
      <w:r w:rsidR="005B49FB">
        <w:rPr>
          <w:rFonts w:eastAsia="Calibri"/>
        </w:rPr>
        <w:t xml:space="preserve">3 housing </w:t>
      </w:r>
      <w:r w:rsidR="00035C21">
        <w:rPr>
          <w:rFonts w:eastAsia="Calibri"/>
        </w:rPr>
        <w:t>projects</w:t>
      </w:r>
      <w:r w:rsidR="00B25F16">
        <w:rPr>
          <w:rFonts w:eastAsia="Calibri"/>
        </w:rPr>
        <w:t xml:space="preserve"> with </w:t>
      </w:r>
      <w:r w:rsidR="00DC57DD">
        <w:rPr>
          <w:rFonts w:eastAsia="Calibri"/>
        </w:rPr>
        <w:t>940,330</w:t>
      </w:r>
      <w:r w:rsidR="007B34D1">
        <w:t xml:space="preserve"> units, or an average of 2.</w:t>
      </w:r>
      <w:r w:rsidR="00384FDE">
        <w:t>3</w:t>
      </w:r>
      <w:r w:rsidR="007B34D1">
        <w:t xml:space="preserve"> </w:t>
      </w:r>
      <w:r w:rsidR="00035C21">
        <w:t>projects</w:t>
      </w:r>
      <w:r w:rsidR="007B34D1">
        <w:t xml:space="preserve"> per PHA and 1</w:t>
      </w:r>
      <w:r w:rsidR="00707E58">
        <w:t>44</w:t>
      </w:r>
      <w:r w:rsidR="007B34D1">
        <w:t xml:space="preserve"> units per </w:t>
      </w:r>
      <w:r w:rsidR="00035C21">
        <w:t>project</w:t>
      </w:r>
      <w:bookmarkEnd w:id="1"/>
      <w:r w:rsidR="00C808A1">
        <w:rPr>
          <w:rFonts w:eastAsia="Calibri"/>
        </w:rPr>
        <w:t xml:space="preserve"> (</w:t>
      </w:r>
      <w:r w:rsidR="00311604">
        <w:rPr>
          <w:rFonts w:eastAsia="Calibri"/>
        </w:rPr>
        <w:t>Table 1</w:t>
      </w:r>
      <w:r w:rsidR="00C808A1">
        <w:rPr>
          <w:rFonts w:eastAsia="Calibri"/>
        </w:rPr>
        <w:t>)</w:t>
      </w:r>
      <w:r w:rsidR="00311604">
        <w:rPr>
          <w:rFonts w:eastAsia="Calibri"/>
        </w:rPr>
        <w:t xml:space="preserve">. </w:t>
      </w:r>
      <w:r w:rsidR="005E65E7">
        <w:rPr>
          <w:rFonts w:eastAsia="Calibri"/>
        </w:rPr>
        <w:t>The research team expects a</w:t>
      </w:r>
      <w:r w:rsidRPr="0066232D" w:rsidR="005E65E7">
        <w:rPr>
          <w:rFonts w:eastAsia="Calibri"/>
        </w:rPr>
        <w:t xml:space="preserve"> response rate</w:t>
      </w:r>
      <w:r w:rsidR="005E65E7">
        <w:rPr>
          <w:rFonts w:eastAsia="Calibri"/>
        </w:rPr>
        <w:t xml:space="preserve"> of 80 percent </w:t>
      </w:r>
      <w:r w:rsidR="005E65E7">
        <w:rPr>
          <w:rFonts w:eastAsia="Calibri"/>
        </w:rPr>
        <w:t>(240 PHAs)</w:t>
      </w:r>
      <w:r w:rsidR="005E65E7">
        <w:t>.</w:t>
      </w:r>
      <w:r w:rsidR="00337BC6">
        <w:t xml:space="preserve"> The data from this survey will be used to describe how PHAs estimate their capital needs</w:t>
      </w:r>
      <w:r w:rsidR="00A72DB9">
        <w:t>, evaluate their use of best practices</w:t>
      </w:r>
      <w:r w:rsidR="00C808A1">
        <w:t>,</w:t>
      </w:r>
      <w:r w:rsidR="00D93D13">
        <w:t xml:space="preserve"> and</w:t>
      </w:r>
      <w:r w:rsidR="00492AC8">
        <w:t xml:space="preserve"> </w:t>
      </w:r>
      <w:r w:rsidR="00A72DB9">
        <w:t xml:space="preserve">identify </w:t>
      </w:r>
      <w:r w:rsidR="00492AC8">
        <w:t xml:space="preserve">perceived barriers to </w:t>
      </w:r>
      <w:r w:rsidR="00D93D13">
        <w:t xml:space="preserve">meeting their capital needs. </w:t>
      </w:r>
      <w:r w:rsidR="00A72DB9">
        <w:t>The survey data</w:t>
      </w:r>
      <w:r w:rsidR="00D93D13">
        <w:t xml:space="preserve"> will also be combined with data collected in Phase 1 to develop a model </w:t>
      </w:r>
      <w:r w:rsidR="00514B06">
        <w:t>that will be used to estimate the capital needs of the total public housing stock.</w:t>
      </w:r>
    </w:p>
    <w:p w:rsidR="003A4C91" w:rsidRPr="0066232D" w:rsidP="00EB1698" w14:paraId="5C307BE8" w14:textId="77777777">
      <w:pPr>
        <w:rPr>
          <w:rFonts w:eastAsia="Calibri"/>
          <w:b/>
        </w:rPr>
      </w:pPr>
    </w:p>
    <w:p w:rsidR="00B72DC8" w:rsidRPr="00997B94" w:rsidP="00997B94" w14:paraId="736B32CE" w14:textId="128AF6F9">
      <w:pPr>
        <w:spacing w:line="276" w:lineRule="auto"/>
        <w:rPr>
          <w:rFonts w:eastAsia="Calibri"/>
          <w:b/>
        </w:rPr>
      </w:pPr>
      <w:r>
        <w:rPr>
          <w:rFonts w:eastAsia="Calibri"/>
          <w:b/>
        </w:rPr>
        <w:t xml:space="preserve">Phase 3: </w:t>
      </w:r>
      <w:r w:rsidRPr="00997B94" w:rsidR="00682B25">
        <w:rPr>
          <w:rFonts w:eastAsia="Calibri"/>
          <w:b/>
        </w:rPr>
        <w:t xml:space="preserve">Identification of Respondents for </w:t>
      </w:r>
      <w:r w:rsidR="000D323F">
        <w:rPr>
          <w:rFonts w:eastAsia="Calibri"/>
          <w:b/>
        </w:rPr>
        <w:t>Second</w:t>
      </w:r>
      <w:r w:rsidR="00BF5B2D">
        <w:rPr>
          <w:rFonts w:eastAsia="Calibri"/>
          <w:b/>
        </w:rPr>
        <w:t xml:space="preserve"> </w:t>
      </w:r>
      <w:r w:rsidRPr="00997B94" w:rsidR="00682B25">
        <w:rPr>
          <w:rFonts w:eastAsia="Calibri"/>
          <w:b/>
        </w:rPr>
        <w:t xml:space="preserve">Survey </w:t>
      </w:r>
      <w:r w:rsidR="00BF5B2D">
        <w:rPr>
          <w:rFonts w:eastAsia="Calibri"/>
          <w:b/>
        </w:rPr>
        <w:t>of PHAs</w:t>
      </w:r>
      <w:r w:rsidR="005D7F44">
        <w:rPr>
          <w:rFonts w:eastAsia="Calibri"/>
          <w:b/>
        </w:rPr>
        <w:t xml:space="preserve"> (subject to PRA)</w:t>
      </w:r>
    </w:p>
    <w:p w:rsidR="000023CD" w:rsidP="00C808A1" w14:paraId="4BCB9783" w14:textId="22A0F3BE">
      <w:r>
        <w:rPr>
          <w:rFonts w:eastAsia="Calibri"/>
          <w:bCs/>
        </w:rPr>
        <w:t xml:space="preserve">The research team plans to </w:t>
      </w:r>
      <w:r w:rsidR="0084087A">
        <w:rPr>
          <w:rFonts w:eastAsia="Calibri"/>
          <w:bCs/>
        </w:rPr>
        <w:t xml:space="preserve">administer </w:t>
      </w:r>
      <w:r w:rsidR="00C5363C">
        <w:rPr>
          <w:rFonts w:eastAsia="Calibri"/>
          <w:bCs/>
        </w:rPr>
        <w:t xml:space="preserve">the same </w:t>
      </w:r>
      <w:r w:rsidR="0084087A">
        <w:rPr>
          <w:rFonts w:eastAsia="Calibri"/>
          <w:bCs/>
        </w:rPr>
        <w:t xml:space="preserve">web-based </w:t>
      </w:r>
      <w:r>
        <w:rPr>
          <w:rFonts w:eastAsia="Calibri"/>
          <w:bCs/>
        </w:rPr>
        <w:t>survey</w:t>
      </w:r>
      <w:r w:rsidRPr="00BE65F0">
        <w:rPr>
          <w:rFonts w:eastAsia="Calibri"/>
          <w:bCs/>
        </w:rPr>
        <w:t xml:space="preserve"> </w:t>
      </w:r>
      <w:r w:rsidR="0084087A">
        <w:rPr>
          <w:rFonts w:eastAsia="Calibri"/>
          <w:bCs/>
        </w:rPr>
        <w:t xml:space="preserve">to </w:t>
      </w:r>
      <w:r w:rsidR="0002052C">
        <w:rPr>
          <w:rFonts w:eastAsia="Calibri"/>
          <w:bCs/>
        </w:rPr>
        <w:t>a</w:t>
      </w:r>
      <w:r w:rsidR="00C5363C">
        <w:rPr>
          <w:rFonts w:eastAsia="Calibri"/>
          <w:bCs/>
        </w:rPr>
        <w:t xml:space="preserve"> second </w:t>
      </w:r>
      <w:r w:rsidR="0047004E">
        <w:rPr>
          <w:rFonts w:eastAsia="Calibri"/>
          <w:bCs/>
        </w:rPr>
        <w:t>stratified random sam</w:t>
      </w:r>
      <w:r w:rsidR="003779FF">
        <w:rPr>
          <w:rFonts w:eastAsia="Calibri"/>
          <w:bCs/>
        </w:rPr>
        <w:t xml:space="preserve">ple of </w:t>
      </w:r>
      <w:r w:rsidR="0002052C">
        <w:rPr>
          <w:rFonts w:eastAsia="Calibri"/>
          <w:bCs/>
        </w:rPr>
        <w:t xml:space="preserve">500 PHAs. </w:t>
      </w:r>
      <w:r w:rsidRPr="000A29FF">
        <w:t>Th</w:t>
      </w:r>
      <w:r w:rsidR="000A54DC">
        <w:t>e second sample will follow the same stratification</w:t>
      </w:r>
      <w:r w:rsidR="00C1753F">
        <w:t xml:space="preserve"> framework</w:t>
      </w:r>
      <w:r w:rsidR="003779FF">
        <w:t xml:space="preserve"> as the first</w:t>
      </w:r>
      <w:r w:rsidR="001A3829">
        <w:t xml:space="preserve">. </w:t>
      </w:r>
      <w:r w:rsidR="00AE6FB5">
        <w:t xml:space="preserve">The </w:t>
      </w:r>
      <w:r w:rsidR="003779FF">
        <w:t xml:space="preserve">second </w:t>
      </w:r>
      <w:r w:rsidR="00AE6FB5">
        <w:t>s</w:t>
      </w:r>
      <w:r w:rsidRPr="000A29FF">
        <w:t xml:space="preserve">urvey will ask many of the same questions as </w:t>
      </w:r>
      <w:r w:rsidR="00F53456">
        <w:t xml:space="preserve">the first </w:t>
      </w:r>
      <w:r w:rsidR="00C47A9C">
        <w:t xml:space="preserve">iteration of the </w:t>
      </w:r>
      <w:r w:rsidRPr="000A29FF">
        <w:t xml:space="preserve">survey. This effort will provide further validation and refinement of the CNA model developed and tested in Phase </w:t>
      </w:r>
      <w:r w:rsidR="00E31A45">
        <w:t>2</w:t>
      </w:r>
      <w:r w:rsidR="00E21474">
        <w:t xml:space="preserve">, </w:t>
      </w:r>
      <w:r w:rsidR="005219F7">
        <w:t xml:space="preserve">a revised estimate of the capital needs of public housing, a revised assessment of </w:t>
      </w:r>
      <w:r w:rsidR="00333EE1">
        <w:t xml:space="preserve">PHAs’ use of best practices to estimate capital needs, and </w:t>
      </w:r>
      <w:r w:rsidR="00D37BD0">
        <w:t xml:space="preserve">a revised </w:t>
      </w:r>
      <w:r w:rsidR="009B36FE">
        <w:t>identification of PHAs’ perceptions of barriers to meeting their capital needs</w:t>
      </w:r>
      <w:r w:rsidRPr="000A29FF">
        <w:t>.</w:t>
      </w:r>
      <w:r w:rsidR="00C706EA">
        <w:t xml:space="preserve"> </w:t>
      </w:r>
      <w:r w:rsidR="005B4B65">
        <w:t xml:space="preserve">The research team expects a response </w:t>
      </w:r>
      <w:r w:rsidR="00351451">
        <w:t xml:space="preserve">rate </w:t>
      </w:r>
      <w:r w:rsidR="005B4B65">
        <w:t xml:space="preserve">of </w:t>
      </w:r>
      <w:r w:rsidR="002368BC">
        <w:t>80 percent</w:t>
      </w:r>
      <w:r w:rsidR="005659E8">
        <w:t xml:space="preserve"> </w:t>
      </w:r>
      <w:r w:rsidR="000C709A">
        <w:t>(400</w:t>
      </w:r>
      <w:r w:rsidR="002E768D">
        <w:t xml:space="preserve"> </w:t>
      </w:r>
      <w:r w:rsidR="00632CC1">
        <w:t>PHAs</w:t>
      </w:r>
      <w:r w:rsidR="000C709A">
        <w:t xml:space="preserve">). </w:t>
      </w:r>
    </w:p>
    <w:p w:rsidR="0020715A" w:rsidP="001572EA" w14:paraId="1CC885E6" w14:textId="6B4B8FAB">
      <w:pPr>
        <w:rPr>
          <w:rFonts w:eastAsia="Calibri"/>
          <w:b/>
        </w:rPr>
      </w:pPr>
    </w:p>
    <w:p w:rsidR="007F7958" w:rsidRPr="009D2900" w:rsidP="009D2900" w14:paraId="4CD37B0C" w14:textId="69B860FD">
      <w:pPr>
        <w:pStyle w:val="TableCaption"/>
      </w:pPr>
      <w:r>
        <w:t xml:space="preserve">Table </w:t>
      </w:r>
      <w:r>
        <w:rPr>
          <w:noProof/>
        </w:rPr>
        <w:fldChar w:fldCharType="begin"/>
      </w:r>
      <w:r>
        <w:rPr>
          <w:noProof/>
        </w:rPr>
        <w:instrText xml:space="preserve"> SEQ Table \* ARABIC </w:instrText>
      </w:r>
      <w:r>
        <w:rPr>
          <w:noProof/>
        </w:rPr>
        <w:fldChar w:fldCharType="separate"/>
      </w:r>
      <w:r w:rsidR="00E64790">
        <w:rPr>
          <w:noProof/>
        </w:rPr>
        <w:t>1</w:t>
      </w:r>
      <w:r>
        <w:rPr>
          <w:noProof/>
        </w:rPr>
        <w:fldChar w:fldCharType="end"/>
      </w:r>
      <w:r>
        <w:t>.</w:t>
      </w:r>
      <w:r>
        <w:tab/>
        <w:t>Universe of PHAs</w:t>
      </w:r>
      <w:r w:rsidR="00034D4D">
        <w:t>,</w:t>
      </w:r>
      <w:r w:rsidR="00035C21">
        <w:t xml:space="preserve"> </w:t>
      </w:r>
      <w:r w:rsidR="00111A04">
        <w:t>Projects and</w:t>
      </w:r>
      <w:r w:rsidR="00034D4D">
        <w:t xml:space="preserve"> Units, </w:t>
      </w:r>
      <w:r>
        <w:t xml:space="preserve">as of </w:t>
      </w:r>
      <w:r w:rsidR="00C53B70">
        <w:t>February</w:t>
      </w:r>
      <w:r>
        <w:t xml:space="preserve"> 202</w:t>
      </w:r>
      <w:r w:rsidR="00C53B70">
        <w:t>2</w:t>
      </w:r>
    </w:p>
    <w:tbl>
      <w:tblPr>
        <w:tblStyle w:val="EconometricaTableStyle1"/>
        <w:tblW w:w="4900" w:type="pct"/>
        <w:tblLook w:val="04A0"/>
      </w:tblPr>
      <w:tblGrid>
        <w:gridCol w:w="3039"/>
        <w:gridCol w:w="3085"/>
        <w:gridCol w:w="3049"/>
      </w:tblGrid>
      <w:tr w14:paraId="6CDB6E57" w14:textId="77777777" w:rsidTr="00FF6150">
        <w:tblPrEx>
          <w:tblW w:w="4900" w:type="pct"/>
          <w:tblLook w:val="04A0"/>
        </w:tblPrEx>
        <w:tc>
          <w:tcPr>
            <w:tcW w:w="3039" w:type="dxa"/>
            <w:hideMark/>
          </w:tcPr>
          <w:p w:rsidR="00153E81" w:rsidRPr="00FF6150" w:rsidP="00FF6150" w14:paraId="2CB485F9" w14:textId="77777777">
            <w:pPr>
              <w:pStyle w:val="TableColumnHeading"/>
            </w:pPr>
            <w:r w:rsidRPr="00FF6150">
              <w:t>PHAs</w:t>
            </w:r>
          </w:p>
        </w:tc>
        <w:tc>
          <w:tcPr>
            <w:tcW w:w="3085" w:type="dxa"/>
            <w:hideMark/>
          </w:tcPr>
          <w:p w:rsidR="00153E81" w:rsidRPr="00FF6150" w:rsidP="001C0FE6" w14:paraId="24845B3B" w14:textId="4268FB77">
            <w:pPr>
              <w:pStyle w:val="TableColumnHeading"/>
              <w:jc w:val="both"/>
            </w:pPr>
            <w:r>
              <w:t>Projects</w:t>
            </w:r>
          </w:p>
        </w:tc>
        <w:tc>
          <w:tcPr>
            <w:tcW w:w="3049" w:type="dxa"/>
            <w:hideMark/>
          </w:tcPr>
          <w:p w:rsidR="00153E81" w:rsidRPr="00FF6150" w:rsidP="00FF6150" w14:paraId="04AC9BA3" w14:textId="77777777">
            <w:pPr>
              <w:pStyle w:val="TableColumnHeading"/>
            </w:pPr>
            <w:r w:rsidRPr="00FF6150">
              <w:t>Units</w:t>
            </w:r>
          </w:p>
        </w:tc>
      </w:tr>
      <w:tr w14:paraId="38BB9090" w14:textId="77777777" w:rsidTr="00FF6150">
        <w:tblPrEx>
          <w:tblW w:w="4900" w:type="pct"/>
          <w:tblLook w:val="04A0"/>
        </w:tblPrEx>
        <w:tc>
          <w:tcPr>
            <w:tcW w:w="3039" w:type="dxa"/>
            <w:hideMark/>
          </w:tcPr>
          <w:p w:rsidR="00153E81" w:rsidRPr="00FF6150" w:rsidP="00FF6150" w14:paraId="3924ED4D" w14:textId="5D1D7B4D">
            <w:pPr>
              <w:pStyle w:val="TableCellYear"/>
            </w:pPr>
            <w:r w:rsidRPr="00FF6150">
              <w:t>2,</w:t>
            </w:r>
            <w:r w:rsidR="00AA2397">
              <w:t>780</w:t>
            </w:r>
          </w:p>
        </w:tc>
        <w:tc>
          <w:tcPr>
            <w:tcW w:w="3085" w:type="dxa"/>
            <w:hideMark/>
          </w:tcPr>
          <w:p w:rsidR="00153E81" w:rsidRPr="00FF6150" w:rsidP="00FF6150" w14:paraId="58B079D0" w14:textId="33F20393">
            <w:pPr>
              <w:pStyle w:val="TableCellYear"/>
            </w:pPr>
            <w:r>
              <w:t>6,523</w:t>
            </w:r>
          </w:p>
        </w:tc>
        <w:tc>
          <w:tcPr>
            <w:tcW w:w="3049" w:type="dxa"/>
            <w:hideMark/>
          </w:tcPr>
          <w:p w:rsidR="00153E81" w:rsidRPr="00FF6150" w:rsidP="00FF6150" w14:paraId="053E0E69" w14:textId="7B52B272">
            <w:pPr>
              <w:pStyle w:val="TableCellYear"/>
            </w:pPr>
            <w:r>
              <w:t>940,330</w:t>
            </w:r>
          </w:p>
        </w:tc>
      </w:tr>
    </w:tbl>
    <w:p w:rsidR="005123E4" w:rsidP="00770366" w14:paraId="60FABD56" w14:textId="77777777">
      <w:pPr>
        <w:rPr>
          <w:b/>
        </w:rPr>
      </w:pPr>
    </w:p>
    <w:p w:rsidR="0083754B" w:rsidP="0083754B" w14:paraId="00789A27" w14:textId="5E303A93">
      <w:r>
        <w:t>In addition to obtaining data from HUD and collect</w:t>
      </w:r>
      <w:r w:rsidR="00FF6150">
        <w:t>ing</w:t>
      </w:r>
      <w:r>
        <w:t xml:space="preserve"> primary data from PHAs, t</w:t>
      </w:r>
      <w:r w:rsidR="008A1EA6">
        <w:t xml:space="preserve">he </w:t>
      </w:r>
      <w:r w:rsidR="005E191C">
        <w:t>research t</w:t>
      </w:r>
      <w:r w:rsidR="008A1EA6">
        <w:t xml:space="preserve">eam </w:t>
      </w:r>
      <w:r w:rsidR="009C4D87">
        <w:t xml:space="preserve">also </w:t>
      </w:r>
      <w:r w:rsidR="008A1EA6">
        <w:t>will</w:t>
      </w:r>
      <w:r w:rsidRPr="00C12FF8" w:rsidR="00C12FF8">
        <w:t xml:space="preserve"> </w:t>
      </w:r>
      <w:r w:rsidR="005E191C">
        <w:t xml:space="preserve">analyze </w:t>
      </w:r>
      <w:r w:rsidR="00111333">
        <w:t xml:space="preserve">previously collected </w:t>
      </w:r>
      <w:r w:rsidR="00B00CF8">
        <w:t xml:space="preserve">CNA data from a CNA provider </w:t>
      </w:r>
      <w:r w:rsidR="00111333">
        <w:t xml:space="preserve">that is </w:t>
      </w:r>
      <w:r>
        <w:t xml:space="preserve">a member </w:t>
      </w:r>
      <w:r w:rsidR="00111333">
        <w:t>of the research team.</w:t>
      </w:r>
      <w:r w:rsidR="002B0C1B">
        <w:t xml:space="preserve"> These data </w:t>
      </w:r>
      <w:r w:rsidR="001F68C5">
        <w:t>have been collected over the past 5 years</w:t>
      </w:r>
      <w:r w:rsidR="001668C5">
        <w:t>, are not in HUD’s possession</w:t>
      </w:r>
      <w:r w:rsidR="00A40FD5">
        <w:t>,</w:t>
      </w:r>
      <w:r w:rsidR="001F68C5">
        <w:t xml:space="preserve"> </w:t>
      </w:r>
      <w:r w:rsidR="00746EF3">
        <w:t xml:space="preserve">are the property of the CNA provider, </w:t>
      </w:r>
      <w:r w:rsidR="002B0C1B">
        <w:t xml:space="preserve">represent </w:t>
      </w:r>
      <w:r w:rsidR="00C12FF8">
        <w:t>approximately</w:t>
      </w:r>
      <w:r w:rsidR="001F68C5">
        <w:t xml:space="preserve"> </w:t>
      </w:r>
      <w:r w:rsidR="00C12FF8">
        <w:t>2,</w:t>
      </w:r>
      <w:r w:rsidR="00335150">
        <w:t>588</w:t>
      </w:r>
      <w:r w:rsidR="00C12FF8">
        <w:t xml:space="preserve"> public housing and properties </w:t>
      </w:r>
      <w:r w:rsidR="001F68C5">
        <w:t>and 25</w:t>
      </w:r>
      <w:r w:rsidR="00362BE2">
        <w:t>1,036</w:t>
      </w:r>
      <w:r w:rsidR="001F68C5">
        <w:t xml:space="preserve"> </w:t>
      </w:r>
      <w:r w:rsidR="00362BE2">
        <w:t xml:space="preserve">public housing </w:t>
      </w:r>
      <w:r w:rsidR="001F68C5">
        <w:t>units</w:t>
      </w:r>
      <w:r w:rsidR="00A40FD5">
        <w:t xml:space="preserve">, and </w:t>
      </w:r>
      <w:r w:rsidR="00746EF3">
        <w:t xml:space="preserve">will be made </w:t>
      </w:r>
      <w:r w:rsidR="00A40FD5">
        <w:t>available in Phase 1 data collection</w:t>
      </w:r>
      <w:r w:rsidR="00FF6150">
        <w:t xml:space="preserve"> (Table 2)</w:t>
      </w:r>
      <w:r w:rsidR="00311604">
        <w:t>.</w:t>
      </w:r>
    </w:p>
    <w:p w:rsidR="00E86ACD" w:rsidP="0083754B" w14:paraId="068DBFFF" w14:textId="070B60D3"/>
    <w:p w:rsidR="000A046F" w:rsidRPr="00FF6150" w:rsidP="00FF6150" w14:paraId="52F9FF70" w14:textId="4C7E19CF">
      <w:pPr>
        <w:pStyle w:val="TableCaption"/>
      </w:pPr>
      <w:bookmarkStart w:id="2" w:name="_Ref89897097"/>
      <w:bookmarkStart w:id="3" w:name="_Toc89932749"/>
      <w:r w:rsidRPr="00FF6150">
        <w:t xml:space="preserve">Table </w:t>
      </w:r>
      <w:bookmarkEnd w:id="2"/>
      <w:r w:rsidRPr="00FF6150">
        <w:t>2.</w:t>
      </w:r>
      <w:r w:rsidRPr="00FF6150">
        <w:tab/>
        <w:t xml:space="preserve">Number of </w:t>
      </w:r>
      <w:r w:rsidRPr="00FF6150" w:rsidR="00E975B8">
        <w:t>Public Housing</w:t>
      </w:r>
      <w:r w:rsidR="00035C21">
        <w:t xml:space="preserve"> Projects</w:t>
      </w:r>
      <w:r w:rsidRPr="00FF6150" w:rsidR="00E975B8">
        <w:t xml:space="preserve"> </w:t>
      </w:r>
      <w:r w:rsidRPr="00FF6150">
        <w:t xml:space="preserve"> </w:t>
      </w:r>
      <w:r w:rsidRPr="00FF6150" w:rsidR="00653101">
        <w:t>w</w:t>
      </w:r>
      <w:r w:rsidRPr="00FF6150">
        <w:t>ith</w:t>
      </w:r>
      <w:r w:rsidR="00C95D9F">
        <w:t xml:space="preserve"> Units,</w:t>
      </w:r>
      <w:r w:rsidRPr="00FF6150">
        <w:t xml:space="preserve"> </w:t>
      </w:r>
      <w:r w:rsidRPr="00FF6150" w:rsidR="00653101">
        <w:t xml:space="preserve">Previously Collected </w:t>
      </w:r>
      <w:r w:rsidRPr="00FF6150">
        <w:t>CNAs, 20</w:t>
      </w:r>
      <w:r w:rsidRPr="00FF6150" w:rsidR="007B57A5">
        <w:t>16</w:t>
      </w:r>
      <w:r w:rsidRPr="00FF6150">
        <w:t>–2021</w:t>
      </w:r>
      <w:bookmarkEnd w:id="3"/>
    </w:p>
    <w:tbl>
      <w:tblPr>
        <w:tblStyle w:val="EconometricaTableStyle1"/>
        <w:tblW w:w="5000" w:type="pct"/>
        <w:tblLook w:val="04A0"/>
      </w:tblPr>
      <w:tblGrid>
        <w:gridCol w:w="745"/>
        <w:gridCol w:w="5103"/>
        <w:gridCol w:w="3512"/>
      </w:tblGrid>
      <w:tr w14:paraId="2DA75907" w14:textId="77777777" w:rsidTr="00FF6150">
        <w:tblPrEx>
          <w:tblW w:w="5000" w:type="pct"/>
          <w:tblLook w:val="04A0"/>
        </w:tblPrEx>
        <w:tc>
          <w:tcPr>
            <w:tcW w:w="398" w:type="pct"/>
            <w:noWrap/>
            <w:hideMark/>
          </w:tcPr>
          <w:p w:rsidR="000A046F" w:rsidRPr="00C80AFF" w:rsidP="00AA2206" w14:paraId="5BC95AE1" w14:textId="77777777">
            <w:pPr>
              <w:pStyle w:val="TableColumnHeading"/>
              <w:rPr>
                <w:rFonts w:eastAsia="Calibri"/>
              </w:rPr>
            </w:pPr>
            <w:r w:rsidRPr="00C80AFF">
              <w:rPr>
                <w:rFonts w:eastAsia="Calibri"/>
              </w:rPr>
              <w:t>Year</w:t>
            </w:r>
          </w:p>
        </w:tc>
        <w:tc>
          <w:tcPr>
            <w:tcW w:w="2726" w:type="pct"/>
            <w:noWrap/>
            <w:hideMark/>
          </w:tcPr>
          <w:p w:rsidR="000A046F" w:rsidRPr="00C80AFF" w:rsidP="00AA2206" w14:paraId="56B058DB" w14:textId="32582BF7">
            <w:pPr>
              <w:pStyle w:val="TableColumnHeading"/>
              <w:rPr>
                <w:rFonts w:eastAsia="Calibri"/>
              </w:rPr>
            </w:pPr>
            <w:r w:rsidRPr="001B6D20">
              <w:rPr>
                <w:rFonts w:eastAsia="Calibri"/>
              </w:rPr>
              <w:t xml:space="preserve">Number of </w:t>
            </w:r>
            <w:r w:rsidR="009C1D43">
              <w:rPr>
                <w:rFonts w:eastAsia="Calibri"/>
              </w:rPr>
              <w:t xml:space="preserve">Projects </w:t>
            </w:r>
            <w:r w:rsidRPr="001B6D20">
              <w:rPr>
                <w:rFonts w:eastAsia="Calibri"/>
              </w:rPr>
              <w:t>With</w:t>
            </w:r>
            <w:r w:rsidRPr="001B6D20">
              <w:rPr>
                <w:rFonts w:eastAsia="Calibri"/>
              </w:rPr>
              <w:t xml:space="preserve"> CNAs</w:t>
            </w:r>
          </w:p>
        </w:tc>
        <w:tc>
          <w:tcPr>
            <w:tcW w:w="1876" w:type="pct"/>
            <w:noWrap/>
            <w:hideMark/>
          </w:tcPr>
          <w:p w:rsidR="000A046F" w:rsidRPr="00C80AFF" w:rsidP="00AA2206" w14:paraId="464DB1B5" w14:textId="77777777">
            <w:pPr>
              <w:pStyle w:val="TableColumnHeading"/>
              <w:rPr>
                <w:rFonts w:eastAsia="Calibri"/>
              </w:rPr>
            </w:pPr>
            <w:r w:rsidRPr="00C80AFF">
              <w:rPr>
                <w:rFonts w:eastAsia="Calibri"/>
              </w:rPr>
              <w:t xml:space="preserve">Approx. </w:t>
            </w:r>
            <w:r w:rsidRPr="001B6D20">
              <w:rPr>
                <w:rFonts w:eastAsia="Calibri"/>
              </w:rPr>
              <w:t xml:space="preserve">Number of </w:t>
            </w:r>
            <w:r w:rsidRPr="00C80AFF">
              <w:rPr>
                <w:rFonts w:eastAsia="Calibri"/>
              </w:rPr>
              <w:t>Units</w:t>
            </w:r>
          </w:p>
        </w:tc>
      </w:tr>
      <w:tr w14:paraId="5EB52355" w14:textId="77777777" w:rsidTr="00FF6150">
        <w:tblPrEx>
          <w:tblW w:w="5000" w:type="pct"/>
          <w:tblLook w:val="04A0"/>
        </w:tblPrEx>
        <w:tc>
          <w:tcPr>
            <w:tcW w:w="0" w:type="pct"/>
            <w:noWrap/>
            <w:hideMark/>
          </w:tcPr>
          <w:p w:rsidR="000A046F" w:rsidRPr="00FF6150" w:rsidP="00FF6150" w14:paraId="6A6E7C90" w14:textId="77777777">
            <w:pPr>
              <w:pStyle w:val="TableCellYear"/>
              <w:rPr>
                <w:rFonts w:eastAsia="Calibri"/>
              </w:rPr>
            </w:pPr>
            <w:r w:rsidRPr="00FF6150">
              <w:rPr>
                <w:rFonts w:eastAsia="Calibri"/>
              </w:rPr>
              <w:t xml:space="preserve">5 </w:t>
            </w:r>
            <w:r w:rsidRPr="00FF6150">
              <w:rPr>
                <w:rFonts w:eastAsia="Calibri"/>
              </w:rPr>
              <w:t>year</w:t>
            </w:r>
          </w:p>
        </w:tc>
        <w:tc>
          <w:tcPr>
            <w:tcW w:w="0" w:type="pct"/>
            <w:noWrap/>
            <w:hideMark/>
          </w:tcPr>
          <w:p w:rsidR="000A046F" w:rsidRPr="00FF6150" w:rsidP="00FF6150" w14:paraId="2BAD8F82" w14:textId="5C41DBBF">
            <w:pPr>
              <w:pStyle w:val="TableCellYear"/>
              <w:rPr>
                <w:rFonts w:eastAsia="Calibri"/>
              </w:rPr>
            </w:pPr>
            <w:r w:rsidRPr="00FF6150">
              <w:rPr>
                <w:rFonts w:eastAsia="Calibri"/>
              </w:rPr>
              <w:t>2,</w:t>
            </w:r>
            <w:r w:rsidR="00842770">
              <w:rPr>
                <w:rFonts w:eastAsia="Calibri"/>
              </w:rPr>
              <w:t>588</w:t>
            </w:r>
          </w:p>
        </w:tc>
        <w:tc>
          <w:tcPr>
            <w:tcW w:w="0" w:type="pct"/>
            <w:noWrap/>
            <w:hideMark/>
          </w:tcPr>
          <w:p w:rsidR="000A046F" w:rsidRPr="00FF6150" w:rsidP="00FF6150" w14:paraId="3C6736FC" w14:textId="30573255">
            <w:pPr>
              <w:pStyle w:val="TableCellYear"/>
              <w:rPr>
                <w:rFonts w:eastAsia="Calibri"/>
              </w:rPr>
            </w:pPr>
            <w:r w:rsidRPr="00FF6150">
              <w:rPr>
                <w:rFonts w:eastAsia="Calibri"/>
              </w:rPr>
              <w:t>25</w:t>
            </w:r>
            <w:r w:rsidR="00335150">
              <w:rPr>
                <w:rFonts w:eastAsia="Calibri"/>
              </w:rPr>
              <w:t>1,036</w:t>
            </w:r>
          </w:p>
        </w:tc>
      </w:tr>
    </w:tbl>
    <w:p w:rsidR="008D3A58" w:rsidP="0083754B" w14:paraId="7891665C" w14:textId="77777777"/>
    <w:p w:rsidR="00A14462" w:rsidP="000470D5" w14:paraId="7695BD33" w14:textId="35B3C74A">
      <w:pPr>
        <w:pStyle w:val="H2PartB"/>
      </w:pPr>
      <w:r w:rsidRPr="004D5244">
        <w:t xml:space="preserve">Describe the procedures for the collection, including: </w:t>
      </w:r>
    </w:p>
    <w:p w:rsidR="00A14462" w:rsidP="00441671" w14:paraId="2D1AD0AF" w14:textId="26D0A4E6">
      <w:pPr>
        <w:numPr>
          <w:ilvl w:val="0"/>
          <w:numId w:val="6"/>
        </w:numPr>
        <w:rPr>
          <w:b/>
          <w:bCs/>
          <w:u w:val="single"/>
        </w:rPr>
      </w:pPr>
      <w:r w:rsidRPr="004D5244">
        <w:rPr>
          <w:b/>
          <w:bCs/>
          <w:u w:val="single"/>
        </w:rPr>
        <w:t xml:space="preserve">The </w:t>
      </w:r>
      <w:r w:rsidRPr="004D5244" w:rsidR="007F4005">
        <w:rPr>
          <w:b/>
          <w:bCs/>
          <w:u w:val="single"/>
        </w:rPr>
        <w:t xml:space="preserve">statistical methodology for stratification and sample </w:t>
      </w:r>
      <w:r w:rsidRPr="004D5244" w:rsidR="007F4005">
        <w:rPr>
          <w:b/>
          <w:bCs/>
          <w:u w:val="single"/>
        </w:rPr>
        <w:t>selection;</w:t>
      </w:r>
      <w:r w:rsidRPr="004D5244" w:rsidR="007F4005">
        <w:rPr>
          <w:b/>
          <w:bCs/>
          <w:u w:val="single"/>
        </w:rPr>
        <w:t xml:space="preserve"> </w:t>
      </w:r>
    </w:p>
    <w:p w:rsidR="00A14462" w:rsidP="00441671" w14:paraId="25F84225" w14:textId="5CD30C6B">
      <w:pPr>
        <w:numPr>
          <w:ilvl w:val="0"/>
          <w:numId w:val="6"/>
        </w:numPr>
        <w:rPr>
          <w:b/>
          <w:bCs/>
          <w:u w:val="single"/>
        </w:rPr>
      </w:pPr>
      <w:r w:rsidRPr="004D5244">
        <w:rPr>
          <w:b/>
          <w:bCs/>
          <w:u w:val="single"/>
        </w:rPr>
        <w:t xml:space="preserve">The </w:t>
      </w:r>
      <w:r w:rsidRPr="004D5244" w:rsidR="007F4005">
        <w:rPr>
          <w:b/>
          <w:bCs/>
          <w:u w:val="single"/>
        </w:rPr>
        <w:t xml:space="preserve">estimation </w:t>
      </w:r>
      <w:r w:rsidRPr="004D5244" w:rsidR="007F4005">
        <w:rPr>
          <w:b/>
          <w:bCs/>
          <w:u w:val="single"/>
        </w:rPr>
        <w:t>procedure;</w:t>
      </w:r>
      <w:r w:rsidRPr="004D5244" w:rsidR="007F4005">
        <w:rPr>
          <w:b/>
          <w:bCs/>
          <w:u w:val="single"/>
        </w:rPr>
        <w:t xml:space="preserve"> </w:t>
      </w:r>
    </w:p>
    <w:p w:rsidR="00A14462" w:rsidP="00441671" w14:paraId="005EF65F" w14:textId="663B0156">
      <w:pPr>
        <w:numPr>
          <w:ilvl w:val="0"/>
          <w:numId w:val="6"/>
        </w:numPr>
        <w:rPr>
          <w:b/>
          <w:bCs/>
          <w:u w:val="single"/>
        </w:rPr>
      </w:pPr>
      <w:r w:rsidRPr="004D5244">
        <w:rPr>
          <w:b/>
          <w:bCs/>
          <w:u w:val="single"/>
        </w:rPr>
        <w:t xml:space="preserve">The </w:t>
      </w:r>
      <w:r w:rsidRPr="004D5244" w:rsidR="007F4005">
        <w:rPr>
          <w:b/>
          <w:bCs/>
          <w:u w:val="single"/>
        </w:rPr>
        <w:t xml:space="preserve">degree of accuracy needed for the purpose described in the </w:t>
      </w:r>
      <w:r w:rsidRPr="004D5244" w:rsidR="007F4005">
        <w:rPr>
          <w:b/>
          <w:bCs/>
          <w:u w:val="single"/>
        </w:rPr>
        <w:t>justification;</w:t>
      </w:r>
    </w:p>
    <w:p w:rsidR="00A14462" w:rsidP="00441671" w14:paraId="4B0D01B5" w14:textId="5A9391C3">
      <w:pPr>
        <w:numPr>
          <w:ilvl w:val="0"/>
          <w:numId w:val="6"/>
        </w:numPr>
        <w:rPr>
          <w:b/>
          <w:bCs/>
          <w:u w:val="single"/>
        </w:rPr>
      </w:pPr>
      <w:r w:rsidRPr="004D5244">
        <w:rPr>
          <w:b/>
          <w:bCs/>
          <w:u w:val="single"/>
        </w:rPr>
        <w:t xml:space="preserve">Any </w:t>
      </w:r>
      <w:r w:rsidRPr="004D5244" w:rsidR="007F4005">
        <w:rPr>
          <w:b/>
          <w:bCs/>
          <w:u w:val="single"/>
        </w:rPr>
        <w:t xml:space="preserve">unusual problems requiring specialized sampling procedures; and </w:t>
      </w:r>
    </w:p>
    <w:p w:rsidR="007F4005" w:rsidRPr="004D5244" w:rsidP="00441671" w14:paraId="63C5F1FA" w14:textId="79893660">
      <w:pPr>
        <w:numPr>
          <w:ilvl w:val="0"/>
          <w:numId w:val="6"/>
        </w:numPr>
        <w:rPr>
          <w:b/>
          <w:bCs/>
          <w:u w:val="single"/>
        </w:rPr>
      </w:pPr>
      <w:r w:rsidRPr="004D5244">
        <w:rPr>
          <w:b/>
          <w:bCs/>
          <w:u w:val="single"/>
        </w:rPr>
        <w:t xml:space="preserve">Any </w:t>
      </w:r>
      <w:r w:rsidRPr="004D5244">
        <w:rPr>
          <w:b/>
          <w:bCs/>
          <w:u w:val="single"/>
        </w:rPr>
        <w:t>use of periodic (less frequent than annual) data collection cycles to reduce burden.</w:t>
      </w:r>
    </w:p>
    <w:p w:rsidR="007F4005" w:rsidP="00770366" w14:paraId="3BE0E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P="00441671" w14:paraId="3E595A69" w14:textId="00B8BC16">
      <w:pPr>
        <w:pStyle w:val="H3PartB"/>
        <w:numPr>
          <w:ilvl w:val="0"/>
          <w:numId w:val="10"/>
        </w:numPr>
      </w:pPr>
      <w:r w:rsidRPr="00944C52">
        <w:t>Statistical methodology for stratification and sample selection</w:t>
      </w:r>
    </w:p>
    <w:p w:rsidR="00336747" w:rsidRPr="00BA46BE" w:rsidP="00390FD7" w14:paraId="75FFF935" w14:textId="06AD60D8">
      <w:pPr>
        <w:pStyle w:val="TableCaption"/>
        <w:spacing w:before="120"/>
      </w:pPr>
      <w:r w:rsidRPr="00BA46BE">
        <w:t xml:space="preserve">Table </w:t>
      </w:r>
      <w:r w:rsidRPr="00BA46BE" w:rsidR="000D323F">
        <w:t>3</w:t>
      </w:r>
      <w:r w:rsidRPr="00BA46BE">
        <w:t>.</w:t>
      </w:r>
      <w:r w:rsidRPr="00BA46BE" w:rsidR="00BA46BE">
        <w:tab/>
      </w:r>
      <w:r w:rsidRPr="00BA46BE">
        <w:t>Summary of Methods for Stratification and Sample Selection</w:t>
      </w:r>
    </w:p>
    <w:tbl>
      <w:tblPr>
        <w:tblStyle w:val="EconometricaTableStyle1"/>
        <w:tblW w:w="0" w:type="auto"/>
        <w:tblLook w:val="04A0"/>
      </w:tblPr>
      <w:tblGrid>
        <w:gridCol w:w="1423"/>
        <w:gridCol w:w="7937"/>
      </w:tblGrid>
      <w:tr w14:paraId="343B9871" w14:textId="77777777" w:rsidTr="00BA46BE">
        <w:tblPrEx>
          <w:tblW w:w="0" w:type="auto"/>
          <w:tblLook w:val="04A0"/>
        </w:tblPrEx>
        <w:tc>
          <w:tcPr>
            <w:tcW w:w="0" w:type="auto"/>
          </w:tcPr>
          <w:p w:rsidR="00E064A9" w:rsidRPr="004C7866" w:rsidP="00BA46BE" w14:paraId="31B4A3C3" w14:textId="0BF2C8E6">
            <w:pPr>
              <w:pStyle w:val="TableColumnHeading"/>
            </w:pPr>
            <w:r w:rsidRPr="004C7866">
              <w:t>Information Collection</w:t>
            </w:r>
          </w:p>
        </w:tc>
        <w:tc>
          <w:tcPr>
            <w:tcW w:w="0" w:type="auto"/>
          </w:tcPr>
          <w:p w:rsidR="00E064A9" w:rsidP="00BA46BE" w14:paraId="79FB2EB4" w14:textId="298C11D2">
            <w:pPr>
              <w:pStyle w:val="TableColumnHeading"/>
            </w:pPr>
            <w:r>
              <w:t>Stratification and Sampling Methods</w:t>
            </w:r>
          </w:p>
        </w:tc>
      </w:tr>
      <w:tr w14:paraId="42E5D667" w14:textId="77777777" w:rsidTr="00BA46BE">
        <w:tblPrEx>
          <w:tblW w:w="0" w:type="auto"/>
          <w:tblLook w:val="04A0"/>
        </w:tblPrEx>
        <w:tc>
          <w:tcPr>
            <w:tcW w:w="0" w:type="auto"/>
          </w:tcPr>
          <w:p w:rsidR="00215BB1" w:rsidRPr="00BA46BE" w:rsidP="00BA46BE" w14:paraId="128CEE22" w14:textId="543ADFED">
            <w:pPr>
              <w:pStyle w:val="TableCellGeneralText"/>
            </w:pPr>
            <w:r w:rsidRPr="00BA46BE">
              <w:t>First</w:t>
            </w:r>
            <w:r w:rsidRPr="00BA46BE" w:rsidR="00EA331E">
              <w:t xml:space="preserve"> </w:t>
            </w:r>
            <w:r w:rsidRPr="00BA46BE" w:rsidR="00C459E6">
              <w:t xml:space="preserve">Survey of </w:t>
            </w:r>
            <w:r w:rsidRPr="00BA46BE">
              <w:t>PHAs</w:t>
            </w:r>
          </w:p>
        </w:tc>
        <w:tc>
          <w:tcPr>
            <w:tcW w:w="0" w:type="auto"/>
          </w:tcPr>
          <w:p w:rsidR="000B4C20" w:rsidRPr="00BA46BE" w:rsidP="00BA46BE" w14:paraId="49381194" w14:textId="5086A276">
            <w:pPr>
              <w:pStyle w:val="TableCellGeneralText"/>
            </w:pPr>
            <w:r w:rsidRPr="00BA46BE">
              <w:t>S</w:t>
            </w:r>
            <w:r w:rsidRPr="00BA46BE" w:rsidR="00215BB1">
              <w:t xml:space="preserve">ample </w:t>
            </w:r>
            <w:r w:rsidRPr="00BA46BE" w:rsidR="00CF7138">
              <w:t>approximately</w:t>
            </w:r>
            <w:r w:rsidRPr="00BA46BE" w:rsidR="00E920AA">
              <w:t xml:space="preserve"> </w:t>
            </w:r>
            <w:r w:rsidRPr="00BA46BE" w:rsidR="00304BC4">
              <w:t>300</w:t>
            </w:r>
            <w:r w:rsidRPr="00BA46BE" w:rsidR="00215BB1">
              <w:t xml:space="preserve"> PHAs</w:t>
            </w:r>
            <w:r w:rsidRPr="00BA46BE">
              <w:t xml:space="preserve">. </w:t>
            </w:r>
          </w:p>
          <w:p w:rsidR="000B4C20" w:rsidRPr="00BA46BE" w:rsidP="00BA46BE" w14:paraId="5EAC4892" w14:textId="77777777">
            <w:pPr>
              <w:pStyle w:val="TableCellGeneralText"/>
            </w:pPr>
          </w:p>
          <w:p w:rsidR="00D32B81" w:rsidRPr="00BA46BE" w:rsidP="00BA46BE" w14:paraId="6F1F762C" w14:textId="213A5583">
            <w:pPr>
              <w:pStyle w:val="TableCellGeneralText"/>
            </w:pPr>
            <w:r w:rsidRPr="00BA46BE">
              <w:t xml:space="preserve">The research team </w:t>
            </w:r>
            <w:r w:rsidRPr="00BA46BE" w:rsidR="006B4C20">
              <w:t>will</w:t>
            </w:r>
            <w:r w:rsidRPr="00BA46BE" w:rsidR="000B4C20">
              <w:t xml:space="preserve"> use stratification </w:t>
            </w:r>
            <w:r w:rsidRPr="00BA46BE" w:rsidR="00AB7E6D">
              <w:t>and random selection</w:t>
            </w:r>
            <w:r w:rsidRPr="00BA46BE" w:rsidR="00AF5669">
              <w:t xml:space="preserve"> without replacement</w:t>
            </w:r>
            <w:r w:rsidRPr="00BA46BE" w:rsidR="00AB7E6D">
              <w:t xml:space="preserve"> </w:t>
            </w:r>
            <w:r w:rsidRPr="00BA46BE" w:rsidR="000B4C20">
              <w:t xml:space="preserve">to </w:t>
            </w:r>
            <w:r w:rsidRPr="00BA46BE" w:rsidR="00EB0FA2">
              <w:t xml:space="preserve">select a sample of PHAs to survey about their estimates of </w:t>
            </w:r>
            <w:r w:rsidRPr="00BA46BE" w:rsidR="007E67F6">
              <w:t>capital needs</w:t>
            </w:r>
            <w:r w:rsidRPr="00BA46BE" w:rsidR="00EB0FA2">
              <w:t>, the pr</w:t>
            </w:r>
            <w:r w:rsidRPr="00BA46BE" w:rsidR="0038195E">
              <w:t>actice</w:t>
            </w:r>
            <w:r w:rsidRPr="00BA46BE" w:rsidR="00EB0FA2">
              <w:t>s they use to arrive at these estimates, and their perception of barriers to</w:t>
            </w:r>
            <w:r w:rsidRPr="00BA46BE" w:rsidR="0038195E">
              <w:t xml:space="preserve"> meeting their capital needs</w:t>
            </w:r>
            <w:r w:rsidRPr="00BA46BE" w:rsidR="000B4C20">
              <w:t>.</w:t>
            </w:r>
          </w:p>
          <w:p w:rsidR="00554E1F" w:rsidRPr="00BA46BE" w:rsidP="00BA46BE" w14:paraId="3CDAEB52" w14:textId="5311DB86">
            <w:pPr>
              <w:pStyle w:val="TableCellGeneralText"/>
            </w:pPr>
            <w:r w:rsidRPr="00BA46BE">
              <w:t xml:space="preserve"> </w:t>
            </w:r>
          </w:p>
          <w:p w:rsidR="00215BB1" w:rsidRPr="00BA46BE" w:rsidP="00BA46BE" w14:paraId="43984041" w14:textId="6C529B39">
            <w:pPr>
              <w:pStyle w:val="TableCellGeneralText"/>
            </w:pPr>
            <w:r w:rsidRPr="00BA46BE">
              <w:t xml:space="preserve">Stratification </w:t>
            </w:r>
            <w:r w:rsidRPr="00BA46BE" w:rsidR="00A772AD">
              <w:t xml:space="preserve">variables </w:t>
            </w:r>
            <w:r w:rsidRPr="00BA46BE" w:rsidR="00D32B81">
              <w:t xml:space="preserve">will be </w:t>
            </w:r>
            <w:r w:rsidRPr="00BA46BE" w:rsidR="00A772AD">
              <w:t xml:space="preserve">identified in </w:t>
            </w:r>
            <w:r w:rsidRPr="00BA46BE" w:rsidR="00FD648C">
              <w:t xml:space="preserve">two </w:t>
            </w:r>
            <w:r w:rsidRPr="00BA46BE" w:rsidR="00A772AD">
              <w:t xml:space="preserve">stages. First, the research team will collect data on </w:t>
            </w:r>
            <w:r w:rsidRPr="00BA46BE">
              <w:t>1</w:t>
            </w:r>
            <w:r w:rsidRPr="00BA46BE" w:rsidR="008860B8">
              <w:t>3</w:t>
            </w:r>
            <w:r w:rsidRPr="00BA46BE">
              <w:t xml:space="preserve"> variables</w:t>
            </w:r>
            <w:r w:rsidR="00BA46BE">
              <w:t xml:space="preserve"> such as</w:t>
            </w:r>
            <w:r w:rsidRPr="00BA46BE" w:rsidR="00A772AD">
              <w:t xml:space="preserve"> property type, location, </w:t>
            </w:r>
            <w:r w:rsidRPr="00BA46BE" w:rsidR="00CA6876">
              <w:t xml:space="preserve">PHA size, </w:t>
            </w:r>
            <w:r w:rsidR="00BA46BE">
              <w:t xml:space="preserve">and </w:t>
            </w:r>
            <w:r w:rsidRPr="00BA46BE" w:rsidR="00CA6876">
              <w:t>building age.</w:t>
            </w:r>
            <w:r w:rsidRPr="00BA46BE" w:rsidR="000E394C">
              <w:t xml:space="preserve"> </w:t>
            </w:r>
            <w:r w:rsidRPr="00BA46BE" w:rsidR="00A772AD">
              <w:t>Second, the research t</w:t>
            </w:r>
            <w:r w:rsidRPr="00BA46BE" w:rsidR="00E77026">
              <w:t>eam will conduct a basic factor analysis on the</w:t>
            </w:r>
            <w:r w:rsidRPr="00BA46BE" w:rsidR="00993A47">
              <w:t xml:space="preserve"> </w:t>
            </w:r>
            <w:r w:rsidRPr="00BA46BE" w:rsidR="00E77026">
              <w:t xml:space="preserve">stratification variables with the </w:t>
            </w:r>
            <w:r w:rsidRPr="00BA46BE" w:rsidR="00993A47">
              <w:t xml:space="preserve">goal of reducing </w:t>
            </w:r>
            <w:r w:rsidRPr="00BA46BE" w:rsidR="00E77026">
              <w:t xml:space="preserve">the variables </w:t>
            </w:r>
            <w:r w:rsidRPr="00BA46BE" w:rsidR="00536037">
              <w:t xml:space="preserve">to a smaller number </w:t>
            </w:r>
            <w:r w:rsidRPr="00BA46BE" w:rsidR="00E77026">
              <w:t>of stratification factors.</w:t>
            </w:r>
          </w:p>
        </w:tc>
      </w:tr>
      <w:tr w14:paraId="201E9916" w14:textId="77777777" w:rsidTr="00BA46BE">
        <w:tblPrEx>
          <w:tblW w:w="0" w:type="auto"/>
          <w:tblLook w:val="04A0"/>
        </w:tblPrEx>
        <w:tc>
          <w:tcPr>
            <w:tcW w:w="0" w:type="auto"/>
          </w:tcPr>
          <w:p w:rsidR="00412390" w:rsidRPr="00BA46BE" w:rsidP="00BA46BE" w14:paraId="156917BD" w14:textId="4F71CCC6">
            <w:pPr>
              <w:pStyle w:val="TableCellGeneralText"/>
            </w:pPr>
            <w:r w:rsidRPr="00BA46BE">
              <w:t>Second</w:t>
            </w:r>
            <w:r w:rsidRPr="00BA46BE" w:rsidR="00EA331E">
              <w:t xml:space="preserve"> Survey of PHAs</w:t>
            </w:r>
          </w:p>
        </w:tc>
        <w:tc>
          <w:tcPr>
            <w:tcW w:w="0" w:type="auto"/>
          </w:tcPr>
          <w:p w:rsidR="00412390" w:rsidRPr="00BA46BE" w:rsidP="00BA46BE" w14:paraId="7A41B3C8" w14:textId="18CB72F6">
            <w:pPr>
              <w:pStyle w:val="TableCellGeneralText"/>
            </w:pPr>
            <w:r w:rsidRPr="00BA46BE">
              <w:t>Sample</w:t>
            </w:r>
            <w:r w:rsidRPr="00BA46BE" w:rsidR="000449B9">
              <w:t xml:space="preserve"> </w:t>
            </w:r>
            <w:r w:rsidRPr="00BA46BE" w:rsidR="00715B78">
              <w:t xml:space="preserve">a second, non-overlapping group of </w:t>
            </w:r>
            <w:r w:rsidRPr="00BA46BE" w:rsidR="002E4CEA">
              <w:t xml:space="preserve">approximately </w:t>
            </w:r>
            <w:r w:rsidRPr="00BA46BE" w:rsidR="002D0607">
              <w:t>500</w:t>
            </w:r>
            <w:r w:rsidRPr="00BA46BE">
              <w:t xml:space="preserve"> PHAs</w:t>
            </w:r>
            <w:r w:rsidRPr="00BA46BE">
              <w:t>.</w:t>
            </w:r>
            <w:r w:rsidRPr="00BA46BE">
              <w:t xml:space="preserve"> </w:t>
            </w:r>
          </w:p>
          <w:p w:rsidR="00D92CD0" w:rsidRPr="00BA46BE" w:rsidP="00BA46BE" w14:paraId="459B0973" w14:textId="77777777">
            <w:pPr>
              <w:pStyle w:val="TableCellGeneralText"/>
            </w:pPr>
          </w:p>
          <w:p w:rsidR="00D92CD0" w:rsidRPr="00BA46BE" w:rsidP="00BA46BE" w14:paraId="7BC06CE5" w14:textId="3B868D22">
            <w:pPr>
              <w:pStyle w:val="TableCellGeneralText"/>
            </w:pPr>
            <w:r w:rsidRPr="00BA46BE">
              <w:t>The second iteration sample will allow revisions to the initial sampling approach based on actual data.</w:t>
            </w:r>
            <w:r w:rsidRPr="00BA46BE" w:rsidR="00656F2C">
              <w:t xml:space="preserve"> The intention is to avoid overlap in PHAs between the two samples</w:t>
            </w:r>
            <w:r w:rsidRPr="00BA46BE" w:rsidR="00AF5669">
              <w:t xml:space="preserve"> by eliminating the PHAs in the first sample from the </w:t>
            </w:r>
            <w:r w:rsidRPr="00BA46BE" w:rsidR="00C34D95">
              <w:t>population to be sampled for the second survey</w:t>
            </w:r>
            <w:r w:rsidRPr="00BA46BE" w:rsidR="00A576BF">
              <w:t xml:space="preserve">. </w:t>
            </w:r>
            <w:r w:rsidRPr="00BA46BE" w:rsidR="001F51A1">
              <w:t>The research t</w:t>
            </w:r>
            <w:r w:rsidRPr="00BA46BE" w:rsidR="004F0886">
              <w:t xml:space="preserve">eam </w:t>
            </w:r>
            <w:r w:rsidRPr="00BA46BE" w:rsidR="0020584B">
              <w:t xml:space="preserve">may alter the specific strata used in the </w:t>
            </w:r>
            <w:r w:rsidRPr="00BA46BE" w:rsidR="001708CA">
              <w:t>first</w:t>
            </w:r>
            <w:r w:rsidRPr="00BA46BE" w:rsidR="0020584B">
              <w:t xml:space="preserve"> sample</w:t>
            </w:r>
            <w:r w:rsidRPr="00BA46BE" w:rsidR="001708CA">
              <w:t xml:space="preserve"> to stratify the second sample</w:t>
            </w:r>
            <w:r w:rsidRPr="00BA46BE" w:rsidR="0020584B">
              <w:t>.</w:t>
            </w:r>
          </w:p>
        </w:tc>
      </w:tr>
    </w:tbl>
    <w:p w:rsidR="007868F4" w:rsidP="00390FD7" w14:paraId="2160F3F8" w14:textId="00575184">
      <w:pPr>
        <w:pStyle w:val="H3PartB"/>
        <w:keepNext w:val="0"/>
        <w:widowControl w:val="0"/>
        <w:spacing w:before="240"/>
        <w:ind w:left="720"/>
      </w:pPr>
      <w:r>
        <w:t>Estimation procedure</w:t>
      </w:r>
    </w:p>
    <w:p w:rsidR="00855DEC" w:rsidP="0011598F" w14:paraId="713A54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715B78" w:rsidP="0044137A" w14:paraId="68E7E1AF" w14:textId="4D55F10C">
      <w:pPr>
        <w:pStyle w:val="Normalbeforebulletedlist"/>
      </w:pPr>
      <w:r>
        <w:t xml:space="preserve">Using data from the two separate surveys of PHAs, </w:t>
      </w:r>
      <w:r w:rsidR="003B5627">
        <w:t>the research team</w:t>
      </w:r>
      <w:r>
        <w:t xml:space="preserve"> will test the extent to </w:t>
      </w:r>
      <w:r w:rsidR="00FB65EF">
        <w:t xml:space="preserve">which </w:t>
      </w:r>
      <w:r w:rsidR="007020E6">
        <w:t>prim</w:t>
      </w:r>
      <w:r w:rsidR="00FB65EF">
        <w:t xml:space="preserve">ary data </w:t>
      </w:r>
      <w:r w:rsidR="00DC09D6">
        <w:t xml:space="preserve">provided by a representative sample of PHAs </w:t>
      </w:r>
      <w:r w:rsidR="00FB65EF">
        <w:t xml:space="preserve">can be used </w:t>
      </w:r>
      <w:r w:rsidR="00A26DF2">
        <w:t xml:space="preserve">in combination with HUD data and other </w:t>
      </w:r>
      <w:r w:rsidR="00DA18C4">
        <w:t xml:space="preserve">secondary </w:t>
      </w:r>
      <w:r w:rsidR="00A26DF2">
        <w:t xml:space="preserve">data available </w:t>
      </w:r>
      <w:r w:rsidR="00FB65EF">
        <w:t xml:space="preserve">to estimate the capital needs of public housing. The </w:t>
      </w:r>
      <w:r w:rsidR="00FD39DD">
        <w:t xml:space="preserve">two </w:t>
      </w:r>
      <w:r w:rsidR="00FB65EF">
        <w:t xml:space="preserve">surveys will </w:t>
      </w:r>
      <w:r w:rsidR="00FD39DD">
        <w:t xml:space="preserve">also </w:t>
      </w:r>
      <w:r w:rsidR="00FB65EF">
        <w:t xml:space="preserve">gather information about the </w:t>
      </w:r>
      <w:r w:rsidR="00FD39DD">
        <w:t xml:space="preserve">capital needs </w:t>
      </w:r>
      <w:r w:rsidR="00FB65EF">
        <w:t xml:space="preserve">data </w:t>
      </w:r>
      <w:r w:rsidR="00FD39DD">
        <w:t xml:space="preserve">that </w:t>
      </w:r>
      <w:r w:rsidR="00FB65EF">
        <w:t xml:space="preserve">PHAs collect, ask </w:t>
      </w:r>
      <w:r w:rsidR="00FD39DD">
        <w:t>PHAs</w:t>
      </w:r>
      <w:r w:rsidR="00FB65EF">
        <w:t xml:space="preserve"> to share those data</w:t>
      </w:r>
      <w:r w:rsidR="00FD39DD">
        <w:t xml:space="preserve"> with HUD</w:t>
      </w:r>
      <w:r w:rsidR="00FB65EF">
        <w:t>,</w:t>
      </w:r>
      <w:r w:rsidR="00BD4BC7">
        <w:t xml:space="preserve"> </w:t>
      </w:r>
      <w:r w:rsidR="00473206">
        <w:t>assess</w:t>
      </w:r>
      <w:r w:rsidR="00BD4BC7">
        <w:t xml:space="preserve"> the use of </w:t>
      </w:r>
      <w:r w:rsidR="00FB65EF">
        <w:t xml:space="preserve">best practices </w:t>
      </w:r>
      <w:r w:rsidR="00BD4BC7">
        <w:t xml:space="preserve">by PHAs </w:t>
      </w:r>
      <w:r w:rsidR="00FB65EF">
        <w:t>for CNAs</w:t>
      </w:r>
      <w:r w:rsidR="00BD4BC7">
        <w:t xml:space="preserve">, and </w:t>
      </w:r>
      <w:r w:rsidR="00473206">
        <w:t xml:space="preserve">help identify barriers to meeting </w:t>
      </w:r>
      <w:r w:rsidR="00F44651">
        <w:t>the capital needs of public housing.</w:t>
      </w:r>
    </w:p>
    <w:p w:rsidR="00855DEC" w:rsidP="0011598F" w14:paraId="3998BC0F" w14:textId="71D5F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1504CB" w:rsidP="009066CB" w14:paraId="28460EDE" w14:textId="34838876">
      <w:pPr>
        <w:pStyle w:val="ListBullet"/>
        <w:numPr>
          <w:ilvl w:val="0"/>
          <w:numId w:val="0"/>
        </w:numPr>
        <w:rPr>
          <w:b/>
          <w:bCs/>
        </w:rPr>
      </w:pPr>
      <w:r>
        <w:rPr>
          <w:b/>
          <w:bCs/>
        </w:rPr>
        <w:t>First</w:t>
      </w:r>
      <w:r w:rsidR="00AE37A0">
        <w:rPr>
          <w:b/>
          <w:bCs/>
        </w:rPr>
        <w:t xml:space="preserve"> Survey of PHAs </w:t>
      </w:r>
    </w:p>
    <w:p w:rsidR="009066CB" w:rsidRPr="001504CB" w:rsidP="009066CB" w14:paraId="6E7BBD16" w14:textId="3CFB2B76">
      <w:pPr>
        <w:pStyle w:val="ListBullet"/>
        <w:numPr>
          <w:ilvl w:val="0"/>
          <w:numId w:val="0"/>
        </w:numPr>
        <w:rPr>
          <w:b/>
          <w:bCs/>
        </w:rPr>
      </w:pPr>
      <w:r>
        <w:t xml:space="preserve">The main purpose of </w:t>
      </w:r>
      <w:r w:rsidR="003C08A9">
        <w:t>the first survey</w:t>
      </w:r>
      <w:r>
        <w:t xml:space="preserve"> will be to </w:t>
      </w:r>
      <w:r w:rsidR="00AE28E7">
        <w:t xml:space="preserve">develop and </w:t>
      </w:r>
      <w:r>
        <w:t xml:space="preserve">evaluate the performance of models </w:t>
      </w:r>
      <w:r w:rsidR="00867CEF">
        <w:t xml:space="preserve">using data collected from this survey and data collected </w:t>
      </w:r>
      <w:r>
        <w:t xml:space="preserve">in Phase 1 </w:t>
      </w:r>
      <w:r w:rsidR="00867CEF">
        <w:t>from HUD and other available sources</w:t>
      </w:r>
      <w:r>
        <w:t xml:space="preserve">. </w:t>
      </w:r>
      <w:bookmarkStart w:id="4" w:name="_Hlk93569491"/>
      <w:r w:rsidR="003B5627">
        <w:t xml:space="preserve">The research team </w:t>
      </w:r>
      <w:r>
        <w:t xml:space="preserve">will need to account for the differences between the survey data and the datasets </w:t>
      </w:r>
      <w:r w:rsidR="00070EB9">
        <w:t>collected</w:t>
      </w:r>
      <w:r>
        <w:t xml:space="preserve"> in Phase 1</w:t>
      </w:r>
      <w:r w:rsidR="00837C4F">
        <w:t xml:space="preserve">. </w:t>
      </w:r>
      <w:r w:rsidR="00264D42">
        <w:t>For example,</w:t>
      </w:r>
      <w:r w:rsidR="00165654">
        <w:t xml:space="preserve"> </w:t>
      </w:r>
      <w:r>
        <w:t xml:space="preserve">the survey sample will </w:t>
      </w:r>
      <w:r w:rsidR="00134A1D">
        <w:t xml:space="preserve">more likely </w:t>
      </w:r>
      <w:r>
        <w:t>be representative of the population upon which it is based</w:t>
      </w:r>
      <w:r w:rsidR="00264D42">
        <w:t xml:space="preserve">, whereas HUD and other data sources </w:t>
      </w:r>
      <w:r w:rsidR="00134A1D">
        <w:t xml:space="preserve">are less likely to be </w:t>
      </w:r>
      <w:r w:rsidR="00264D42">
        <w:t>representative</w:t>
      </w:r>
      <w:r w:rsidR="00134A1D">
        <w:t xml:space="preserve"> of all PHAs</w:t>
      </w:r>
      <w:r w:rsidR="004D16FF">
        <w:t xml:space="preserve">. </w:t>
      </w:r>
      <w:r w:rsidR="00136C1C">
        <w:t>In addition</w:t>
      </w:r>
      <w:r w:rsidR="003C23D7">
        <w:t xml:space="preserve">, </w:t>
      </w:r>
      <w:r>
        <w:t xml:space="preserve">the capital needs estimates obtained from the survey </w:t>
      </w:r>
      <w:r w:rsidR="00CB1EB8">
        <w:t xml:space="preserve">and secondary sources </w:t>
      </w:r>
      <w:r w:rsidR="003C23D7">
        <w:t>may</w:t>
      </w:r>
      <w:r>
        <w:t xml:space="preserve"> be based on different approaches and/or methods of implementation</w:t>
      </w:r>
      <w:r w:rsidR="004D16FF">
        <w:t xml:space="preserve">. </w:t>
      </w:r>
      <w:r>
        <w:t xml:space="preserve">Finally, </w:t>
      </w:r>
      <w:r w:rsidR="003B5627">
        <w:t>the research team</w:t>
      </w:r>
      <w:r>
        <w:t xml:space="preserve"> will need to address nonresponse bias in the survey data, which could be a significant issue</w:t>
      </w:r>
      <w:r w:rsidR="00C0463E">
        <w:t xml:space="preserve">. </w:t>
      </w:r>
      <w:r>
        <w:t xml:space="preserve">To the extent possible, the research </w:t>
      </w:r>
      <w:r w:rsidR="009052F9">
        <w:t xml:space="preserve">team </w:t>
      </w:r>
      <w:r>
        <w:t>will use data from Phase 1 to test the accuracy of out-of-sample predictions based on the survey-based model implementations.</w:t>
      </w:r>
    </w:p>
    <w:bookmarkEnd w:id="4"/>
    <w:p w:rsidR="00C0463E" w:rsidP="009066CB" w14:paraId="6B39611A" w14:textId="49EC322C">
      <w:pPr>
        <w:pStyle w:val="ListBullet-Last"/>
        <w:ind w:left="0" w:firstLine="0"/>
        <w:rPr>
          <w:b/>
          <w:bCs/>
        </w:rPr>
      </w:pPr>
      <w:r>
        <w:rPr>
          <w:b/>
          <w:bCs/>
        </w:rPr>
        <w:t>Second</w:t>
      </w:r>
      <w:r>
        <w:rPr>
          <w:b/>
          <w:bCs/>
        </w:rPr>
        <w:t xml:space="preserve"> Survey of PHAs</w:t>
      </w:r>
    </w:p>
    <w:p w:rsidR="007868F4" w:rsidP="0019072A" w14:paraId="1977BB81" w14:textId="4BF6F170">
      <w:pPr>
        <w:pStyle w:val="ListBullet-Last"/>
        <w:ind w:left="0" w:firstLine="0"/>
      </w:pPr>
      <w:r>
        <w:t>T</w:t>
      </w:r>
      <w:r w:rsidR="009066CB">
        <w:t xml:space="preserve">he objective of this phase </w:t>
      </w:r>
      <w:r>
        <w:t xml:space="preserve">of data collection is </w:t>
      </w:r>
      <w:r w:rsidR="009066CB">
        <w:t>to incorporate data from the second survey into the selected model specifications and assess the resulting improvements in predictive power. If any changes are made to the survey to address gaps/weaknesses in the first</w:t>
      </w:r>
      <w:r w:rsidR="00967088">
        <w:t xml:space="preserve">, </w:t>
      </w:r>
      <w:r w:rsidR="003B5627">
        <w:t>the analyst</w:t>
      </w:r>
      <w:r w:rsidR="009066CB">
        <w:t xml:space="preserve"> will need to determine the implications for how the second sample data can be used</w:t>
      </w:r>
      <w:r w:rsidR="00944D19">
        <w:t>.</w:t>
      </w:r>
      <w:r w:rsidR="009066CB">
        <w:t xml:space="preserve"> </w:t>
      </w:r>
    </w:p>
    <w:p w:rsidR="002F321F" w:rsidP="00D717EF" w14:paraId="123AB229" w14:textId="668CC375">
      <w:pPr>
        <w:pStyle w:val="H3PartB"/>
        <w:ind w:left="720"/>
      </w:pPr>
      <w:r>
        <w:t xml:space="preserve">The degree of accuracy needed for the purpose described in the justification. </w:t>
      </w:r>
    </w:p>
    <w:p w:rsidR="005B4384" w:rsidP="002F321F" w14:paraId="6C7DD53B"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4384" w:rsidP="002F321F" w14:paraId="326A3A96" w14:textId="2E113BD9">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i/>
          <w:iCs/>
        </w:rPr>
        <w:t>First</w:t>
      </w:r>
      <w:r w:rsidR="007A7CFE">
        <w:rPr>
          <w:b/>
          <w:i/>
          <w:iCs/>
        </w:rPr>
        <w:t xml:space="preserve"> Survey of PHAs </w:t>
      </w:r>
    </w:p>
    <w:p w:rsidR="007A7CFE" w:rsidP="0011598F" w14:paraId="7BAE1CFC"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7CFE" w:rsidP="0011598F" w14:paraId="0EE1169A" w14:textId="62FC47E1">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analyst</w:t>
      </w:r>
      <w:r>
        <w:t xml:space="preserve"> will examine all variables and use descriptive statistics to identify outliers, data entry errors, and missing values; records with such anomalies will be flagged and addressed by removal, imputation, or other appropriate methods. Variables that need to be standardized or normalized will be constructed where needed.</w:t>
      </w:r>
    </w:p>
    <w:p w:rsidR="00F431B5" w:rsidP="0011598F" w14:paraId="452D496A"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1D48" w:rsidP="00621D48" w14:paraId="1789EBAC" w14:textId="77777777">
      <w:pPr>
        <w:pStyle w:val="Normalbeforebulletedlist"/>
      </w:pPr>
      <w:r>
        <w:t>Missing values in the survey data will require special attention. It is possible that some PHAs that respond to the survey may not be able to provide an estimate of their capital needs or choose not to do so. This could result in the following three categories of missing values:</w:t>
      </w:r>
    </w:p>
    <w:p w:rsidR="00621D48" w:rsidP="00441671" w14:paraId="2122DB36" w14:textId="77777777">
      <w:pPr>
        <w:pStyle w:val="ListBullet-SingleLine"/>
        <w:keepNext/>
        <w:numPr>
          <w:ilvl w:val="0"/>
          <w:numId w:val="14"/>
        </w:numPr>
      </w:pPr>
      <w:r>
        <w:t>PHAs that do not respond to the survey.</w:t>
      </w:r>
    </w:p>
    <w:p w:rsidR="00621D48" w:rsidP="00441671" w14:paraId="51406329" w14:textId="77777777">
      <w:pPr>
        <w:pStyle w:val="ListBullet-SingleLine"/>
        <w:numPr>
          <w:ilvl w:val="0"/>
          <w:numId w:val="14"/>
        </w:numPr>
      </w:pPr>
      <w:r>
        <w:t>PHAs that respond but cannot provide estimates of their capital needs.</w:t>
      </w:r>
    </w:p>
    <w:p w:rsidR="008706AD" w:rsidP="00441671" w14:paraId="1E202A1A" w14:textId="714E5728">
      <w:pPr>
        <w:pStyle w:val="ListBullet-SingleLine-Last"/>
        <w:numPr>
          <w:ilvl w:val="0"/>
          <w:numId w:val="14"/>
        </w:numPr>
      </w:pPr>
      <w:r>
        <w:t>PHAs that respond but choose not to provide estimates of their capital needs.</w:t>
      </w:r>
    </w:p>
    <w:p w:rsidR="005B4384" w:rsidP="00CC0127" w14:paraId="0EDF7564" w14:textId="7B9B7812">
      <w:pPr>
        <w:pStyle w:val="ListBullet"/>
        <w:numPr>
          <w:ilvl w:val="0"/>
          <w:numId w:val="0"/>
        </w:numPr>
      </w:pPr>
      <w:r>
        <w:t xml:space="preserve">There are several ways to handle these nonresponses. First, </w:t>
      </w:r>
      <w:r w:rsidR="003B5627">
        <w:t>the analyst</w:t>
      </w:r>
      <w:r>
        <w:t xml:space="preserve"> could treat all three categories as a simple nonresponse and develop a single nonresponse adjustment factor for the sample weights. Another option would be to treat each category separately and develop three specific nonresponse adjustment factors (one for each category). For both approaches, the capital needs estimates for each strat</w:t>
      </w:r>
      <w:r w:rsidR="004A2D92">
        <w:t>um</w:t>
      </w:r>
      <w:r>
        <w:t xml:space="preserve"> would be weighted by its corresponding sample weight and nonresponse adjustment factor to produce the desired population estimate for the strata. A potential issue with these approaches, however, is the likely possibility that many of the strata may not have enough data (or any at all) to yield credible estimates. In other words, </w:t>
      </w:r>
      <w:r w:rsidR="003B5627">
        <w:t>the</w:t>
      </w:r>
      <w:r>
        <w:t xml:space="preserve"> expect</w:t>
      </w:r>
      <w:r w:rsidR="003B5627">
        <w:t>ation is</w:t>
      </w:r>
      <w:r>
        <w:t xml:space="preserve"> that there will be a lack of CNA data from many </w:t>
      </w:r>
      <w:r w:rsidR="009C1D43">
        <w:t>project</w:t>
      </w:r>
      <w:r>
        <w:t xml:space="preserve">s. </w:t>
      </w:r>
    </w:p>
    <w:p w:rsidR="00C21469" w:rsidP="00CC0127" w14:paraId="0F062FDD" w14:textId="77777777">
      <w:pPr>
        <w:pStyle w:val="ListBullet"/>
        <w:numPr>
          <w:ilvl w:val="0"/>
          <w:numId w:val="0"/>
        </w:numPr>
      </w:pPr>
    </w:p>
    <w:p w:rsidR="005B4384" w:rsidP="002F321F" w14:paraId="4E99C022" w14:textId="25B09549">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i/>
          <w:iCs/>
        </w:rPr>
        <w:t>Second</w:t>
      </w:r>
      <w:r w:rsidR="00CC0127">
        <w:rPr>
          <w:b/>
          <w:bCs/>
          <w:i/>
          <w:iCs/>
        </w:rPr>
        <w:t xml:space="preserve"> </w:t>
      </w:r>
      <w:r w:rsidRPr="000F4D56">
        <w:rPr>
          <w:b/>
          <w:bCs/>
          <w:i/>
          <w:iCs/>
        </w:rPr>
        <w:t xml:space="preserve">Survey of </w:t>
      </w:r>
      <w:r w:rsidR="00CC0127">
        <w:rPr>
          <w:b/>
          <w:bCs/>
          <w:i/>
          <w:iCs/>
        </w:rPr>
        <w:t xml:space="preserve">PHAs </w:t>
      </w:r>
    </w:p>
    <w:p w:rsidR="00461189" w:rsidP="0011598F" w14:paraId="482A2758" w14:textId="204E5438">
      <w:r>
        <w:t xml:space="preserve">The second iteration of </w:t>
      </w:r>
      <w:r w:rsidR="00AF5669">
        <w:t xml:space="preserve">the PHA </w:t>
      </w:r>
      <w:r w:rsidR="0058723B">
        <w:t>survey</w:t>
      </w:r>
      <w:r>
        <w:t xml:space="preserve"> will allow</w:t>
      </w:r>
      <w:r w:rsidR="00196CC9">
        <w:t xml:space="preserve"> </w:t>
      </w:r>
      <w:r w:rsidR="00FB6F54">
        <w:t xml:space="preserve">the analyst to </w:t>
      </w:r>
      <w:r>
        <w:t>test model(s) with new observations, comparing predicted-to-actual capital needs at a representative sample of</w:t>
      </w:r>
      <w:r w:rsidR="00DA3A70">
        <w:t xml:space="preserve"> </w:t>
      </w:r>
      <w:r w:rsidR="009C1D43">
        <w:t>projects</w:t>
      </w:r>
      <w:r>
        <w:t xml:space="preserve">. Results of these tests will be used to further refine the model(s). The finalized model(s) will be applied to the universe of eligible public housing </w:t>
      </w:r>
      <w:r w:rsidR="009C1D43">
        <w:t>projects</w:t>
      </w:r>
      <w:r>
        <w:t xml:space="preserve"> to produce an estimate of total capital needs.</w:t>
      </w:r>
    </w:p>
    <w:p w:rsidR="005B4384" w:rsidRPr="002F321F" w:rsidP="002F321F" w14:paraId="5706CFE6"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C2248" w:rsidP="00A01997" w14:paraId="3C85E42C" w14:textId="1441F52F">
      <w:pPr>
        <w:pStyle w:val="H3PartB"/>
        <w:ind w:left="720"/>
      </w:pPr>
      <w:r w:rsidRPr="009C2248">
        <w:t xml:space="preserve">Any unusual problems requiring specialized sampling </w:t>
      </w:r>
      <w:r w:rsidRPr="009C2248">
        <w:t>procedures</w:t>
      </w:r>
    </w:p>
    <w:p w:rsidR="00846C7C" w:rsidRPr="00944C52" w:rsidP="00846C7C" w14:paraId="4167C877" w14:textId="7C16F930">
      <w:r>
        <w:t xml:space="preserve">There are no unusual problems that require specialized sampling procedures. </w:t>
      </w:r>
    </w:p>
    <w:p w:rsidR="009C2248" w:rsidP="009C2248" w14:paraId="41E27E8D"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944C52" w:rsidRPr="00944C52" w:rsidP="00A01997" w14:paraId="61931384" w14:textId="3C3B6C50">
      <w:pPr>
        <w:pStyle w:val="H3PartB"/>
        <w:ind w:left="720"/>
      </w:pPr>
      <w:r w:rsidRPr="009C2248">
        <w:t>Use of periodic (</w:t>
      </w:r>
      <w:r w:rsidRPr="009C2248" w:rsidR="009C2248">
        <w:t xml:space="preserve">less frequent than annual) data collection cycles to reduce burden. </w:t>
      </w:r>
    </w:p>
    <w:p w:rsidR="009C2248" w:rsidP="009C2248" w14:paraId="2710D528" w14:textId="67047F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of the </w:t>
      </w:r>
      <w:r w:rsidR="0092602E">
        <w:t>data</w:t>
      </w:r>
      <w:r>
        <w:t xml:space="preserve"> proposed is a one-time occurrence</w:t>
      </w:r>
      <w:r w:rsidR="00136C1C">
        <w:t>;</w:t>
      </w:r>
      <w:r w:rsidR="00846C7C">
        <w:t xml:space="preserve"> thus</w:t>
      </w:r>
      <w:r w:rsidR="00136C1C">
        <w:t>,</w:t>
      </w:r>
      <w:r w:rsidR="00846C7C">
        <w:t xml:space="preserve"> a period</w:t>
      </w:r>
      <w:r w:rsidR="000374A5">
        <w:t>ic</w:t>
      </w:r>
      <w:r w:rsidR="00846C7C">
        <w:t xml:space="preserve"> cycle is unnecessary. </w:t>
      </w:r>
    </w:p>
    <w:p w:rsidR="00122CA6" w:rsidP="00122CA6" w14:paraId="45D3200B" w14:textId="77777777"/>
    <w:p w:rsidR="007F4005" w:rsidRPr="00EB1698" w:rsidP="00441671" w14:paraId="6AFD7605" w14:textId="6EAB89D2">
      <w:pPr>
        <w:pStyle w:val="ListParagraph"/>
        <w:numPr>
          <w:ilvl w:val="0"/>
          <w:numId w:val="13"/>
        </w:numPr>
        <w:rPr>
          <w:b/>
          <w:bCs/>
        </w:rPr>
      </w:pPr>
      <w:r w:rsidRPr="00EB1698">
        <w:rPr>
          <w:b/>
          <w:bCs/>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w:t>
      </w:r>
      <w:r w:rsidRPr="00EB1698">
        <w:rPr>
          <w:b/>
          <w:bCs/>
          <w:szCs w:val="28"/>
        </w:rPr>
        <w:t>provided if they will not yield “reliable” data that can be generalized to the universe studied.</w:t>
      </w:r>
    </w:p>
    <w:p w:rsidR="0048474C" w:rsidRPr="00EB1698" w:rsidP="00EB1698" w14:paraId="64B3A767" w14:textId="77777777">
      <w:pPr>
        <w:rPr>
          <w:b/>
          <w:bCs/>
        </w:rPr>
      </w:pPr>
    </w:p>
    <w:p w:rsidR="003B086D" w:rsidRPr="003B086D" w:rsidP="00A47B84" w14:paraId="64E97069" w14:textId="62BC3CB7">
      <w:pPr>
        <w:rPr>
          <w:b/>
          <w:bCs/>
          <w:i/>
          <w:iCs/>
        </w:rPr>
      </w:pPr>
      <w:r>
        <w:rPr>
          <w:b/>
          <w:bCs/>
          <w:i/>
          <w:iCs/>
        </w:rPr>
        <w:t>First (</w:t>
      </w:r>
      <w:r w:rsidRPr="003B086D" w:rsidR="00863B9C">
        <w:rPr>
          <w:b/>
          <w:bCs/>
          <w:i/>
          <w:iCs/>
        </w:rPr>
        <w:t>Phase 2</w:t>
      </w:r>
      <w:r>
        <w:rPr>
          <w:b/>
          <w:bCs/>
          <w:i/>
          <w:iCs/>
        </w:rPr>
        <w:t>)</w:t>
      </w:r>
      <w:r w:rsidRPr="003B086D" w:rsidR="00863B9C">
        <w:rPr>
          <w:b/>
          <w:bCs/>
          <w:i/>
          <w:iCs/>
        </w:rPr>
        <w:t xml:space="preserve"> Survey of PHAs </w:t>
      </w:r>
    </w:p>
    <w:p w:rsidR="006E2FFC" w:rsidRPr="00D23DD0" w:rsidP="00A47B84" w14:paraId="20784D43" w14:textId="6C687BDF">
      <w:r>
        <w:t xml:space="preserve">The </w:t>
      </w:r>
      <w:r w:rsidR="0092602E">
        <w:t>research t</w:t>
      </w:r>
      <w:r>
        <w:t xml:space="preserve">eam will recruit PHA and HUD staff members to pretest the data collection protocols and instruments to check the survey flow, clarity of questions, length, time to complete, and general data collection procedure. Based on the results of the pretest and in conjunction with HUD, the data collection </w:t>
      </w:r>
      <w:r>
        <w:t>protocols</w:t>
      </w:r>
      <w:r>
        <w:t xml:space="preserve"> and survey instrument will be finalized. </w:t>
      </w:r>
      <w:r w:rsidR="00F35D4F">
        <w:t>A</w:t>
      </w:r>
      <w:r>
        <w:t xml:space="preserve"> pilot test or soft launch of the survey with a handful of PHAs</w:t>
      </w:r>
      <w:r w:rsidR="00055ABC">
        <w:t xml:space="preserve"> will be conducted</w:t>
      </w:r>
      <w:r>
        <w:t>. Any key issues identified during the pilot test will be summarized and submitted to HUD to allow for revisions to the data collection protocol as necessary.</w:t>
      </w:r>
    </w:p>
    <w:p w:rsidR="00AA306E" w:rsidRPr="002E1D35" w:rsidP="00441671" w14:paraId="36069F1F" w14:textId="55193553">
      <w:pPr>
        <w:pStyle w:val="ListBullet"/>
        <w:numPr>
          <w:ilvl w:val="0"/>
          <w:numId w:val="12"/>
        </w:numPr>
      </w:pPr>
      <w:r>
        <w:t>E</w:t>
      </w:r>
      <w:r w:rsidRPr="002E1D35">
        <w:t>nsure that questions are clear and easy to understand and that the time needed to complete the survey is short. One method of doing so is to use close-ended questions as much as possible.</w:t>
      </w:r>
    </w:p>
    <w:p w:rsidR="00AA306E" w:rsidRPr="002E1D35" w:rsidP="00441671" w14:paraId="37134147" w14:textId="10CC915D">
      <w:pPr>
        <w:pStyle w:val="ListBullet"/>
        <w:numPr>
          <w:ilvl w:val="0"/>
          <w:numId w:val="12"/>
        </w:numPr>
      </w:pPr>
      <w:r w:rsidRPr="002E1D35">
        <w:t xml:space="preserve">To underscore the survey’s importance, requests to participate in the survey </w:t>
      </w:r>
      <w:r w:rsidR="003B5627">
        <w:t xml:space="preserve">should </w:t>
      </w:r>
      <w:r w:rsidRPr="002E1D35">
        <w:t>come from a HUD official on HUD letterhead and a HUD email address.</w:t>
      </w:r>
    </w:p>
    <w:p w:rsidR="00AA306E" w:rsidRPr="002E1D35" w:rsidP="00441671" w14:paraId="78BC1289" w14:textId="2FDAE5CD">
      <w:pPr>
        <w:pStyle w:val="ListBullet"/>
        <w:numPr>
          <w:ilvl w:val="0"/>
          <w:numId w:val="12"/>
        </w:numPr>
      </w:pPr>
      <w:r>
        <w:t>C</w:t>
      </w:r>
      <w:r w:rsidRPr="002E1D35">
        <w:t>ontact public housing industry groups to convey the importance of this research to their members and encourage responses.</w:t>
      </w:r>
    </w:p>
    <w:p w:rsidR="00AA306E" w:rsidRPr="002E1D35" w:rsidP="00441671" w14:paraId="6220187D" w14:textId="45CCF883">
      <w:pPr>
        <w:pStyle w:val="ListBullet"/>
        <w:numPr>
          <w:ilvl w:val="0"/>
          <w:numId w:val="12"/>
        </w:numPr>
      </w:pPr>
      <w:r w:rsidRPr="002E1D35">
        <w:t xml:space="preserve">Letter and email invitations and follow-up postcard and email reminders will be drafted in personalized form and addressed to the primary contact person. </w:t>
      </w:r>
      <w:r w:rsidR="00FE3A92">
        <w:t>C</w:t>
      </w:r>
      <w:r w:rsidRPr="002E1D35">
        <w:t>all the primary contact to resolve substantially incomplete or problematic responses. If possible, HUD letterhead and logos will be included in these invitations and reminders.</w:t>
      </w:r>
    </w:p>
    <w:p w:rsidR="00AA306E" w:rsidRPr="002E1D35" w:rsidP="00441671" w14:paraId="04586408" w14:textId="77777777">
      <w:pPr>
        <w:pStyle w:val="ListBullet"/>
        <w:numPr>
          <w:ilvl w:val="0"/>
          <w:numId w:val="12"/>
        </w:numPr>
      </w:pPr>
      <w:r w:rsidRPr="002E1D35">
        <w:t>The invitation will clearly state why it will benefit the PHA to respond to the survey.</w:t>
      </w:r>
    </w:p>
    <w:p w:rsidR="00AA306E" w:rsidRPr="002E1D35" w:rsidP="00441671" w14:paraId="4E023A9B" w14:textId="77777777">
      <w:pPr>
        <w:pStyle w:val="ListBullet"/>
        <w:numPr>
          <w:ilvl w:val="0"/>
          <w:numId w:val="12"/>
        </w:numPr>
      </w:pPr>
      <w:r w:rsidRPr="002E1D35">
        <w:t>To make it easy to respond, the online survey will be accessible via a variety of mediums (for example, tablets, smartphones, computers) and internet browsers.</w:t>
      </w:r>
    </w:p>
    <w:p w:rsidR="00AA306E" w:rsidRPr="002E1D35" w:rsidP="00441671" w14:paraId="468F32E3" w14:textId="77777777">
      <w:pPr>
        <w:pStyle w:val="ListBullet"/>
        <w:numPr>
          <w:ilvl w:val="0"/>
          <w:numId w:val="12"/>
        </w:numPr>
      </w:pPr>
      <w:r w:rsidRPr="002E1D35">
        <w:t>The online survey will clearly identify that it is sponsored by HUD with HUD’s logo.</w:t>
      </w:r>
    </w:p>
    <w:p w:rsidR="00AA306E" w:rsidRPr="002E1D35" w:rsidP="00441671" w14:paraId="7E9FFB7D" w14:textId="7F64FEA3">
      <w:pPr>
        <w:pStyle w:val="ListBullet"/>
        <w:numPr>
          <w:ilvl w:val="0"/>
          <w:numId w:val="12"/>
        </w:numPr>
      </w:pPr>
      <w:r>
        <w:t>S</w:t>
      </w:r>
      <w:r w:rsidRPr="002E1D35">
        <w:t xml:space="preserve">uggest calling nonrespondents by telephone if the response rate is below 70 percent. Here, a two-step approach is recommended: </w:t>
      </w:r>
      <w:r>
        <w:t>The team</w:t>
      </w:r>
      <w:r w:rsidRPr="002E1D35">
        <w:t xml:space="preserve"> will make a series of follow-up phone calls to PHAs </w:t>
      </w:r>
      <w:r>
        <w:t>that</w:t>
      </w:r>
      <w:r w:rsidRPr="002E1D35">
        <w:t xml:space="preserve"> do not respond to the survey within 2 weeks of the original mail and email request. If </w:t>
      </w:r>
      <w:r w:rsidR="003B5627">
        <w:t xml:space="preserve">the research team is </w:t>
      </w:r>
      <w:r w:rsidRPr="002E1D35">
        <w:t xml:space="preserve">not able to obtain the minimum number of acceptable responses for each group, </w:t>
      </w:r>
      <w:r w:rsidR="003B5627">
        <w:t xml:space="preserve">the team will </w:t>
      </w:r>
      <w:r w:rsidRPr="002E1D35">
        <w:t>enlist the help of HUD staff to make one further follow-up call.</w:t>
      </w:r>
    </w:p>
    <w:p w:rsidR="007F7AD4" w:rsidP="00AB25B4" w14:paraId="038D06CE" w14:textId="77777777">
      <w:pPr>
        <w:rPr>
          <w:b/>
          <w:bCs/>
          <w:i/>
          <w:iCs/>
        </w:rPr>
      </w:pPr>
    </w:p>
    <w:p w:rsidR="006B0A4A" w:rsidP="00AB25B4" w14:paraId="4930F843" w14:textId="4DB3BE01">
      <w:pPr>
        <w:rPr>
          <w:b/>
          <w:bCs/>
          <w:i/>
          <w:iCs/>
        </w:rPr>
      </w:pPr>
      <w:r>
        <w:rPr>
          <w:b/>
          <w:bCs/>
          <w:i/>
          <w:iCs/>
        </w:rPr>
        <w:t>Second (</w:t>
      </w:r>
      <w:r w:rsidR="003B086D">
        <w:rPr>
          <w:b/>
          <w:bCs/>
          <w:i/>
          <w:iCs/>
        </w:rPr>
        <w:t>Phase 3</w:t>
      </w:r>
      <w:r>
        <w:rPr>
          <w:b/>
          <w:bCs/>
          <w:i/>
          <w:iCs/>
        </w:rPr>
        <w:t>)</w:t>
      </w:r>
      <w:r w:rsidR="003B086D">
        <w:rPr>
          <w:b/>
          <w:bCs/>
          <w:i/>
          <w:iCs/>
        </w:rPr>
        <w:t xml:space="preserve"> </w:t>
      </w:r>
      <w:r w:rsidRPr="00AB25B4">
        <w:rPr>
          <w:b/>
          <w:bCs/>
          <w:i/>
          <w:iCs/>
        </w:rPr>
        <w:t xml:space="preserve">Survey of </w:t>
      </w:r>
      <w:r w:rsidR="00B20720">
        <w:rPr>
          <w:b/>
          <w:bCs/>
          <w:i/>
          <w:iCs/>
        </w:rPr>
        <w:t xml:space="preserve">PHAs </w:t>
      </w:r>
    </w:p>
    <w:p w:rsidR="008A6EEF" w:rsidRPr="001E5DD3" w:rsidP="00441671" w14:paraId="5D26AF5A" w14:textId="3850EC86">
      <w:pPr>
        <w:pStyle w:val="ListBullet-Last"/>
        <w:numPr>
          <w:ilvl w:val="0"/>
          <w:numId w:val="12"/>
        </w:numPr>
      </w:pPr>
      <w:r w:rsidRPr="002E1D35">
        <w:t>The second iteration of the survey will allow us to adjust our approach to fielding the survey as needed to increase response rates.</w:t>
      </w:r>
    </w:p>
    <w:p w:rsidR="00971133" w:rsidP="00971133" w14:paraId="3F8C29A5" w14:textId="77777777"/>
    <w:p w:rsidR="00971133" w:rsidP="00FD6EF2" w14:paraId="7F266A04" w14:textId="47C4BC47">
      <w:pPr>
        <w:pStyle w:val="TableCaption"/>
      </w:pPr>
      <w:bookmarkStart w:id="5" w:name="_Ref57205106"/>
      <w:r>
        <w:t xml:space="preserve">Table </w:t>
      </w:r>
      <w:bookmarkEnd w:id="5"/>
      <w:r w:rsidR="005552FB">
        <w:t>4</w:t>
      </w:r>
      <w:r w:rsidR="00FD6EF2">
        <w:t>.</w:t>
      </w:r>
      <w:r w:rsidR="00D23DD0">
        <w:tab/>
      </w:r>
      <w:r w:rsidR="00915C18">
        <w:t>PHA</w:t>
      </w:r>
      <w:r w:rsidRPr="003C086C">
        <w:t xml:space="preserve"> Survey Fielding </w:t>
      </w:r>
    </w:p>
    <w:tbl>
      <w:tblPr>
        <w:tblStyle w:val="EconometricaTableStyle1"/>
        <w:tblW w:w="0" w:type="auto"/>
        <w:tblLook w:val="04A0"/>
      </w:tblPr>
      <w:tblGrid>
        <w:gridCol w:w="2820"/>
        <w:gridCol w:w="931"/>
        <w:gridCol w:w="798"/>
        <w:gridCol w:w="1659"/>
        <w:gridCol w:w="3152"/>
      </w:tblGrid>
      <w:tr w14:paraId="6C398317" w14:textId="77777777" w:rsidTr="00D23DD0">
        <w:tblPrEx>
          <w:tblW w:w="0" w:type="auto"/>
          <w:tblLook w:val="04A0"/>
        </w:tblPrEx>
        <w:tc>
          <w:tcPr>
            <w:tcW w:w="0" w:type="auto"/>
          </w:tcPr>
          <w:p w:rsidR="00971133" w:rsidRPr="00D23DD0" w:rsidP="00D23DD0" w14:paraId="7FBE1BCD" w14:textId="77777777">
            <w:pPr>
              <w:pStyle w:val="TableColumnHeading"/>
            </w:pPr>
            <w:r w:rsidRPr="00D23DD0">
              <w:t>Proposed Survey</w:t>
            </w:r>
          </w:p>
        </w:tc>
        <w:tc>
          <w:tcPr>
            <w:tcW w:w="0" w:type="auto"/>
          </w:tcPr>
          <w:p w:rsidR="00971133" w:rsidRPr="00D23DD0" w:rsidP="00D23DD0" w14:paraId="3B3D8D85" w14:textId="77777777">
            <w:pPr>
              <w:pStyle w:val="TableColumnHeading"/>
            </w:pPr>
            <w:r w:rsidRPr="00D23DD0">
              <w:t>Universe</w:t>
            </w:r>
          </w:p>
        </w:tc>
        <w:tc>
          <w:tcPr>
            <w:tcW w:w="0" w:type="auto"/>
          </w:tcPr>
          <w:p w:rsidR="00971133" w:rsidRPr="00D23DD0" w:rsidP="00D23DD0" w14:paraId="436AFF82" w14:textId="77777777">
            <w:pPr>
              <w:pStyle w:val="TableColumnHeading"/>
            </w:pPr>
            <w:r w:rsidRPr="00D23DD0">
              <w:t>Sample</w:t>
            </w:r>
          </w:p>
        </w:tc>
        <w:tc>
          <w:tcPr>
            <w:tcW w:w="0" w:type="auto"/>
          </w:tcPr>
          <w:p w:rsidR="00971133" w:rsidRPr="00D23DD0" w:rsidP="00D23DD0" w14:paraId="7AD8F00C" w14:textId="77777777">
            <w:pPr>
              <w:pStyle w:val="TableColumnHeading"/>
            </w:pPr>
            <w:r w:rsidRPr="00D23DD0">
              <w:t>Target Completes</w:t>
            </w:r>
          </w:p>
        </w:tc>
        <w:tc>
          <w:tcPr>
            <w:tcW w:w="0" w:type="auto"/>
          </w:tcPr>
          <w:p w:rsidR="00971133" w:rsidRPr="00D23DD0" w:rsidP="00D23DD0" w14:paraId="6F7DE3AF" w14:textId="38C0F1C1">
            <w:pPr>
              <w:pStyle w:val="TableColumnHeading"/>
            </w:pPr>
            <w:r w:rsidRPr="00D23DD0">
              <w:t>Response Rate (Minimum</w:t>
            </w:r>
            <w:r w:rsidRPr="00D23DD0" w:rsidR="00BA3D78">
              <w:t>-Maximum</w:t>
            </w:r>
            <w:r w:rsidRPr="00D23DD0">
              <w:t>)</w:t>
            </w:r>
          </w:p>
        </w:tc>
      </w:tr>
      <w:tr w14:paraId="26CF323F" w14:textId="77777777" w:rsidTr="00D23DD0">
        <w:tblPrEx>
          <w:tblW w:w="0" w:type="auto"/>
          <w:tblLook w:val="04A0"/>
        </w:tblPrEx>
        <w:trPr>
          <w:trHeight w:val="333"/>
        </w:trPr>
        <w:tc>
          <w:tcPr>
            <w:tcW w:w="0" w:type="auto"/>
          </w:tcPr>
          <w:p w:rsidR="00971133" w:rsidP="00E35213" w14:paraId="1F57B62F" w14:textId="482706CF">
            <w:pPr>
              <w:pStyle w:val="TableCellGeneralText"/>
            </w:pPr>
            <w:r>
              <w:t>First Survey (</w:t>
            </w:r>
            <w:r w:rsidR="00400B40">
              <w:t>Phase 2</w:t>
            </w:r>
            <w:r>
              <w:t>)</w:t>
            </w:r>
            <w:r w:rsidR="00400B40">
              <w:t xml:space="preserve"> PHAs survey </w:t>
            </w:r>
          </w:p>
        </w:tc>
        <w:tc>
          <w:tcPr>
            <w:tcW w:w="0" w:type="auto"/>
          </w:tcPr>
          <w:p w:rsidR="00971133" w:rsidRPr="00A87531" w:rsidP="00E35213" w14:paraId="02F4F0DC" w14:textId="0A3944F5">
            <w:pPr>
              <w:pStyle w:val="TableCellNumbers"/>
            </w:pPr>
            <w:r>
              <w:t>2,</w:t>
            </w:r>
            <w:r w:rsidR="00F05A99">
              <w:t>780</w:t>
            </w:r>
          </w:p>
        </w:tc>
        <w:tc>
          <w:tcPr>
            <w:tcW w:w="0" w:type="auto"/>
          </w:tcPr>
          <w:p w:rsidR="00971133" w:rsidP="00E35213" w14:paraId="09C8DBDA" w14:textId="2745578C">
            <w:pPr>
              <w:pStyle w:val="TableCellNumbers"/>
            </w:pPr>
            <w:r>
              <w:t>300</w:t>
            </w:r>
          </w:p>
        </w:tc>
        <w:tc>
          <w:tcPr>
            <w:tcW w:w="0" w:type="auto"/>
          </w:tcPr>
          <w:p w:rsidR="00971133" w:rsidP="00F92DFD" w14:paraId="79A6E8F3" w14:textId="352F5558">
            <w:pPr>
              <w:pStyle w:val="TableCellNumbers"/>
            </w:pPr>
            <w:r>
              <w:t>240</w:t>
            </w:r>
          </w:p>
        </w:tc>
        <w:tc>
          <w:tcPr>
            <w:tcW w:w="0" w:type="auto"/>
          </w:tcPr>
          <w:p w:rsidR="00971133" w:rsidRPr="00A87531" w:rsidP="00E35213" w14:paraId="1343B04D" w14:textId="4A83006B">
            <w:pPr>
              <w:pStyle w:val="TableCellNumbers"/>
            </w:pPr>
            <w:r>
              <w:t>80</w:t>
            </w:r>
            <w:r>
              <w:t>%</w:t>
            </w:r>
          </w:p>
        </w:tc>
      </w:tr>
      <w:tr w14:paraId="427DAC75" w14:textId="77777777" w:rsidTr="00D23DD0">
        <w:tblPrEx>
          <w:tblW w:w="0" w:type="auto"/>
          <w:tblLook w:val="04A0"/>
        </w:tblPrEx>
        <w:tc>
          <w:tcPr>
            <w:tcW w:w="0" w:type="auto"/>
          </w:tcPr>
          <w:p w:rsidR="00971133" w:rsidP="00E35213" w14:paraId="75C75E2B" w14:textId="3D215C06">
            <w:pPr>
              <w:pStyle w:val="TableCellGeneralText"/>
            </w:pPr>
            <w:r>
              <w:t>Second Survey (</w:t>
            </w:r>
            <w:r w:rsidR="00400B40">
              <w:t>Phase 3</w:t>
            </w:r>
            <w:r>
              <w:t>)</w:t>
            </w:r>
            <w:r w:rsidR="00400B40">
              <w:t xml:space="preserve"> PHAs survey </w:t>
            </w:r>
          </w:p>
        </w:tc>
        <w:tc>
          <w:tcPr>
            <w:tcW w:w="0" w:type="auto"/>
          </w:tcPr>
          <w:p w:rsidR="00971133" w:rsidRPr="00A87531" w:rsidP="00E35213" w14:paraId="7C749C2A" w14:textId="42801900">
            <w:pPr>
              <w:pStyle w:val="TableCellNumbers"/>
            </w:pPr>
            <w:r>
              <w:t>2,</w:t>
            </w:r>
            <w:r w:rsidR="00756CEC">
              <w:t>480</w:t>
            </w:r>
            <w:r w:rsidR="00F85498">
              <w:t>*</w:t>
            </w:r>
          </w:p>
        </w:tc>
        <w:tc>
          <w:tcPr>
            <w:tcW w:w="0" w:type="auto"/>
          </w:tcPr>
          <w:p w:rsidR="00971133" w:rsidP="00E35213" w14:paraId="209803E7" w14:textId="3C315877">
            <w:pPr>
              <w:pStyle w:val="TableCellNumbers"/>
            </w:pPr>
            <w:r>
              <w:t>500</w:t>
            </w:r>
          </w:p>
        </w:tc>
        <w:tc>
          <w:tcPr>
            <w:tcW w:w="0" w:type="auto"/>
          </w:tcPr>
          <w:p w:rsidR="00971133" w:rsidP="00E35213" w14:paraId="02DA6626" w14:textId="583B31E7">
            <w:pPr>
              <w:pStyle w:val="TableCellNumbers"/>
            </w:pPr>
            <w:r>
              <w:t>400</w:t>
            </w:r>
          </w:p>
        </w:tc>
        <w:tc>
          <w:tcPr>
            <w:tcW w:w="0" w:type="auto"/>
          </w:tcPr>
          <w:p w:rsidR="00971133" w:rsidRPr="00A87531" w:rsidP="00E35213" w14:paraId="0F8D803F" w14:textId="4BCCD158">
            <w:pPr>
              <w:pStyle w:val="TableCellNumbers"/>
            </w:pPr>
            <w:r>
              <w:t>80</w:t>
            </w:r>
            <w:r>
              <w:t>%</w:t>
            </w:r>
          </w:p>
        </w:tc>
      </w:tr>
    </w:tbl>
    <w:p w:rsidR="00A35260" w:rsidP="00390FD7" w14:paraId="368B94D8" w14:textId="737E1988">
      <w:pPr>
        <w:pStyle w:val="TableNote"/>
      </w:pPr>
      <w:r>
        <w:t>*</w:t>
      </w:r>
      <w:r w:rsidR="00390FD7">
        <w:t xml:space="preserve"> </w:t>
      </w:r>
      <w:r>
        <w:t xml:space="preserve">The second survey will use a sample drawn from the population of PHAs with public housing </w:t>
      </w:r>
      <w:r w:rsidR="009C1D43">
        <w:t>projects</w:t>
      </w:r>
      <w:r>
        <w:t xml:space="preserve"> excluding the 300 PHAs included in the samp</w:t>
      </w:r>
      <w:r w:rsidR="00CA2C5A">
        <w:t>le for the first survey.</w:t>
      </w:r>
    </w:p>
    <w:p w:rsidR="00971133" w:rsidP="00CD692B" w14:paraId="6BF6BF26" w14:textId="4C8497EC">
      <w:r>
        <w:t>The research team</w:t>
      </w:r>
      <w:r>
        <w:t xml:space="preserve"> will address nonresponse bias through comparison of known characteristics of respondents to nonrespondents and an analysis of the nonresponse sample at the end of fielding. </w:t>
      </w:r>
      <w:r>
        <w:t>O</w:t>
      </w:r>
      <w:r>
        <w:t xml:space="preserve">ur nonresponse sample of </w:t>
      </w:r>
      <w:r w:rsidR="00436234">
        <w:t>16</w:t>
      </w:r>
      <w:r>
        <w:t xml:space="preserve">0, resulting in at least </w:t>
      </w:r>
      <w:r w:rsidR="0060323A">
        <w:t>64</w:t>
      </w:r>
      <w:r>
        <w:t>0 completes, will identify statistically significant bias at a small effect size</w:t>
      </w:r>
      <w:r w:rsidR="00AB582D">
        <w:t>.</w:t>
      </w:r>
    </w:p>
    <w:p w:rsidR="00971133" w:rsidP="00770366" w14:paraId="6ADE9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P="00441671" w14:paraId="67B9164A" w14:textId="3065B575">
      <w:pPr>
        <w:pStyle w:val="H2PartB"/>
        <w:numPr>
          <w:ilvl w:val="0"/>
          <w:numId w:val="13"/>
        </w:numPr>
      </w:pPr>
      <w:r w:rsidRPr="0082666B">
        <w:t>Describe any tests of procedures or methods to be undertaken. Tests are encouraged as effective means to refine collections, but if ten or more test respondents are involved OMB must give prior approval.</w:t>
      </w:r>
    </w:p>
    <w:p w:rsidR="00A64055" w:rsidP="00A64055" w14:paraId="48EF1B1A" w14:textId="4D2A4EF6"/>
    <w:p w:rsidR="007A2965" w:rsidP="007D7DA6" w14:paraId="777B5B5B" w14:textId="38C12ADA">
      <w:pPr>
        <w:rPr>
          <w:b/>
          <w:bCs/>
          <w:i/>
          <w:iCs/>
        </w:rPr>
      </w:pPr>
      <w:r>
        <w:rPr>
          <w:b/>
          <w:bCs/>
          <w:i/>
          <w:iCs/>
        </w:rPr>
        <w:t>Phase 2 Survey of PHAs and Phase 3 Survey of PHAs</w:t>
      </w:r>
    </w:p>
    <w:p w:rsidR="00B10496" w:rsidP="00B10496" w14:paraId="3A4720E1" w14:textId="7C11D772">
      <w:bookmarkStart w:id="6" w:name="_Hlk93570066"/>
      <w:r>
        <w:t xml:space="preserve">Multivariate regression analysis is the main technique </w:t>
      </w:r>
      <w:r w:rsidR="00607DF6">
        <w:t>the research team</w:t>
      </w:r>
      <w:r>
        <w:t xml:space="preserve"> will employ to evaluate the use of </w:t>
      </w:r>
      <w:r w:rsidR="00A56080">
        <w:t xml:space="preserve">primary and </w:t>
      </w:r>
      <w:r>
        <w:t xml:space="preserve">secondary data to develop national-level estimates of </w:t>
      </w:r>
      <w:r w:rsidR="007C673C">
        <w:t xml:space="preserve">the </w:t>
      </w:r>
      <w:r>
        <w:t>capital needs</w:t>
      </w:r>
      <w:r w:rsidR="007C673C">
        <w:t xml:space="preserve"> of public housing</w:t>
      </w:r>
      <w:r>
        <w:t>. In this approach,</w:t>
      </w:r>
      <w:r w:rsidR="00607DF6">
        <w:t xml:space="preserve"> </w:t>
      </w:r>
      <w:r w:rsidR="003B5E69">
        <w:t xml:space="preserve">the analyst </w:t>
      </w:r>
      <w:r>
        <w:t xml:space="preserve">will regress different measures of capital needs obtained from the survey on independent variables obtained from </w:t>
      </w:r>
      <w:r w:rsidR="00BB6BE6">
        <w:t xml:space="preserve">primary and </w:t>
      </w:r>
      <w:r>
        <w:t>secondary data sources, such as building age, number of units, and location.</w:t>
      </w:r>
    </w:p>
    <w:bookmarkEnd w:id="6"/>
    <w:p w:rsidR="00825AF7" w:rsidP="00CD692B" w14:paraId="1407989F" w14:textId="03D763DE"/>
    <w:p w:rsidR="00105831" w:rsidP="00105831" w14:paraId="2ECA56A5" w14:textId="5D3B6B40">
      <w:r>
        <w:t xml:space="preserve">If this possibility materializes, </w:t>
      </w:r>
      <w:r w:rsidR="00293A95">
        <w:t>the research team</w:t>
      </w:r>
      <w:r>
        <w:t xml:space="preserve"> propose</w:t>
      </w:r>
      <w:r w:rsidR="00293A95">
        <w:t>s</w:t>
      </w:r>
      <w:r>
        <w:t xml:space="preserve"> to take the following steps to address the significant lack of CNA data in the survey sample. </w:t>
      </w:r>
      <w:r w:rsidR="003B5627">
        <w:t xml:space="preserve">The </w:t>
      </w:r>
      <w:r w:rsidR="009E6FC4">
        <w:t xml:space="preserve">research team’s </w:t>
      </w:r>
      <w:r w:rsidR="003B5627">
        <w:t>analyst</w:t>
      </w:r>
      <w:r>
        <w:t xml:space="preserve"> will begin by implementing a post-stratification adjustment, which will entail (1) adding a new binary stratum that reflects the presence or absence of a CNA, and (2) using a raking algorithm to recalibrate the original weights. </w:t>
      </w:r>
      <w:r w:rsidR="003B5627">
        <w:t>The analyst</w:t>
      </w:r>
      <w:r>
        <w:t xml:space="preserve"> will then use propensity scores to match the survey observations without CNAs to observations in a larger separately constructed dataset of historical CNAs. Imputed values for the matched survey observations will then be drawn and inflated to the specified year of the analysis. In the final step, </w:t>
      </w:r>
      <w:r w:rsidR="003B5627">
        <w:t>the analyst</w:t>
      </w:r>
      <w:r>
        <w:t xml:space="preserve"> will extrapolate the sample capital needs estimates (including the imputed values) to the population using either the sample weights or a regression-based approach as described above.</w:t>
      </w:r>
    </w:p>
    <w:p w:rsidR="00FB5ADE" w:rsidRPr="00CD7531" w:rsidP="0060238C" w14:paraId="387992DB" w14:textId="77777777"/>
    <w:p w:rsidR="0060238C" w:rsidP="0060238C" w14:paraId="6327493B" w14:textId="42953CF3">
      <w:pPr>
        <w:pStyle w:val="TableCaption"/>
      </w:pPr>
      <w:bookmarkStart w:id="7" w:name="_Ref59101421"/>
      <w:r>
        <w:t xml:space="preserve">Table </w:t>
      </w:r>
      <w:bookmarkEnd w:id="7"/>
      <w:r w:rsidR="000667F4">
        <w:rPr>
          <w:noProof/>
        </w:rPr>
        <w:t>5</w:t>
      </w:r>
      <w:r>
        <w:t>.</w:t>
      </w:r>
      <w:r>
        <w:tab/>
      </w:r>
      <w:r w:rsidR="00FC2A94">
        <w:t xml:space="preserve">Sample Stratification Variables </w:t>
      </w:r>
    </w:p>
    <w:tbl>
      <w:tblPr>
        <w:tblStyle w:val="EconometricaTableStyle1"/>
        <w:tblW w:w="0" w:type="auto"/>
        <w:tblLook w:val="04A0"/>
      </w:tblPr>
      <w:tblGrid>
        <w:gridCol w:w="5498"/>
        <w:gridCol w:w="1336"/>
        <w:gridCol w:w="2526"/>
      </w:tblGrid>
      <w:tr w14:paraId="27FC7FDF" w14:textId="77777777" w:rsidTr="00D23DD0">
        <w:tblPrEx>
          <w:tblW w:w="0" w:type="auto"/>
          <w:tblLook w:val="04A0"/>
        </w:tblPrEx>
        <w:tc>
          <w:tcPr>
            <w:tcW w:w="0" w:type="auto"/>
            <w:hideMark/>
          </w:tcPr>
          <w:p w:rsidR="00BC6CF2" w:rsidRPr="00D23DD0" w:rsidP="00D23DD0" w14:paraId="66683BC9" w14:textId="77777777">
            <w:pPr>
              <w:pStyle w:val="TableColumnHeading"/>
            </w:pPr>
            <w:r w:rsidRPr="00D23DD0">
              <w:t>Stratification Variable</w:t>
            </w:r>
          </w:p>
        </w:tc>
        <w:tc>
          <w:tcPr>
            <w:tcW w:w="0" w:type="auto"/>
            <w:hideMark/>
          </w:tcPr>
          <w:p w:rsidR="00BC6CF2" w:rsidRPr="00D23DD0" w:rsidP="00D23DD0" w14:paraId="47CA8109" w14:textId="77777777">
            <w:pPr>
              <w:pStyle w:val="TableColumnHeading"/>
            </w:pPr>
            <w:r w:rsidRPr="00D23DD0">
              <w:t>PHA Coverage</w:t>
            </w:r>
          </w:p>
        </w:tc>
        <w:tc>
          <w:tcPr>
            <w:tcW w:w="0" w:type="auto"/>
            <w:hideMark/>
          </w:tcPr>
          <w:p w:rsidR="00BC6CF2" w:rsidRPr="00D23DD0" w:rsidP="00D23DD0" w14:paraId="3EC50924" w14:textId="77777777">
            <w:pPr>
              <w:pStyle w:val="TableColumnHeading"/>
            </w:pPr>
            <w:r w:rsidRPr="00D23DD0">
              <w:t>Development/AMP Coverage</w:t>
            </w:r>
          </w:p>
        </w:tc>
      </w:tr>
      <w:tr w14:paraId="738220A0" w14:textId="77777777" w:rsidTr="00D23DD0">
        <w:tblPrEx>
          <w:tblW w:w="0" w:type="auto"/>
          <w:tblLook w:val="04A0"/>
        </w:tblPrEx>
        <w:tc>
          <w:tcPr>
            <w:tcW w:w="0" w:type="auto"/>
            <w:hideMark/>
          </w:tcPr>
          <w:p w:rsidR="00BC6CF2" w:rsidP="00AA2206" w14:paraId="1CC26707" w14:textId="6177C07D">
            <w:pPr>
              <w:pStyle w:val="TableCellGeneralText"/>
            </w:pPr>
            <w:r>
              <w:t>Information that HUD already possesses on CNAs and cost estimates</w:t>
            </w:r>
            <w:r w:rsidR="00D23DD0">
              <w:t>.</w:t>
            </w:r>
          </w:p>
        </w:tc>
        <w:tc>
          <w:tcPr>
            <w:tcW w:w="0" w:type="auto"/>
            <w:hideMark/>
          </w:tcPr>
          <w:p w:rsidR="00BC6CF2" w:rsidP="00AA2206" w14:paraId="68F7494A" w14:textId="77777777">
            <w:pPr>
              <w:pStyle w:val="TableCellYear"/>
            </w:pPr>
            <w:r>
              <w:t>Unknown</w:t>
            </w:r>
          </w:p>
        </w:tc>
        <w:tc>
          <w:tcPr>
            <w:tcW w:w="0" w:type="auto"/>
            <w:hideMark/>
          </w:tcPr>
          <w:p w:rsidR="00BC6CF2" w:rsidP="00AA2206" w14:paraId="71C37C3D" w14:textId="77777777">
            <w:pPr>
              <w:pStyle w:val="TableCellYear"/>
            </w:pPr>
            <w:r>
              <w:t>Unknown</w:t>
            </w:r>
          </w:p>
        </w:tc>
      </w:tr>
      <w:tr w14:paraId="42D5443A" w14:textId="77777777" w:rsidTr="00D23DD0">
        <w:tblPrEx>
          <w:tblW w:w="0" w:type="auto"/>
          <w:tblLook w:val="04A0"/>
        </w:tblPrEx>
        <w:tc>
          <w:tcPr>
            <w:tcW w:w="0" w:type="auto"/>
            <w:hideMark/>
          </w:tcPr>
          <w:p w:rsidR="00BC6CF2" w:rsidP="00AA2206" w14:paraId="622A8CB0" w14:textId="47A67243">
            <w:pPr>
              <w:pStyle w:val="TableCellGeneralText"/>
            </w:pPr>
            <w:r>
              <w:t xml:space="preserve">Information that HUD needs to understand the full range of activities involved in a </w:t>
            </w:r>
            <w:r w:rsidR="00A925EF">
              <w:t>CNA</w:t>
            </w:r>
            <w:r w:rsidR="00D23DD0">
              <w:t>.</w:t>
            </w:r>
          </w:p>
        </w:tc>
        <w:tc>
          <w:tcPr>
            <w:tcW w:w="0" w:type="auto"/>
            <w:hideMark/>
          </w:tcPr>
          <w:p w:rsidR="00BC6CF2" w:rsidP="00AA2206" w14:paraId="156431CD" w14:textId="77777777">
            <w:pPr>
              <w:pStyle w:val="TableCellYear"/>
            </w:pPr>
            <w:r>
              <w:t>Unknown</w:t>
            </w:r>
          </w:p>
        </w:tc>
        <w:tc>
          <w:tcPr>
            <w:tcW w:w="0" w:type="auto"/>
            <w:hideMark/>
          </w:tcPr>
          <w:p w:rsidR="00BC6CF2" w:rsidP="00AA2206" w14:paraId="3FD75499" w14:textId="77777777">
            <w:pPr>
              <w:pStyle w:val="TableCellYear"/>
            </w:pPr>
            <w:r>
              <w:t>Unknown</w:t>
            </w:r>
          </w:p>
        </w:tc>
      </w:tr>
      <w:tr w14:paraId="48FE9272" w14:textId="77777777" w:rsidTr="00D23DD0">
        <w:tblPrEx>
          <w:tblW w:w="0" w:type="auto"/>
          <w:tblLook w:val="04A0"/>
        </w:tblPrEx>
        <w:tc>
          <w:tcPr>
            <w:tcW w:w="0" w:type="auto"/>
            <w:hideMark/>
          </w:tcPr>
          <w:p w:rsidR="00BC6CF2" w:rsidP="00AA2206" w14:paraId="0AA74C53" w14:textId="359FC639">
            <w:pPr>
              <w:pStyle w:val="TableCellGeneralText"/>
            </w:pPr>
            <w:r>
              <w:t>CNAs and RAD conversions</w:t>
            </w:r>
            <w:r w:rsidR="00D23DD0">
              <w:t>.</w:t>
            </w:r>
          </w:p>
        </w:tc>
        <w:tc>
          <w:tcPr>
            <w:tcW w:w="0" w:type="auto"/>
            <w:hideMark/>
          </w:tcPr>
          <w:p w:rsidR="00BC6CF2" w:rsidP="00AA2206" w14:paraId="4F27CB2B" w14:textId="77777777">
            <w:pPr>
              <w:pStyle w:val="TableCellYear"/>
            </w:pPr>
            <w:r>
              <w:t>100%</w:t>
            </w:r>
          </w:p>
        </w:tc>
        <w:tc>
          <w:tcPr>
            <w:tcW w:w="0" w:type="auto"/>
            <w:hideMark/>
          </w:tcPr>
          <w:p w:rsidR="00BC6CF2" w:rsidP="00AA2206" w14:paraId="44AA013E" w14:textId="77777777">
            <w:pPr>
              <w:pStyle w:val="TableCellYear"/>
            </w:pPr>
            <w:r>
              <w:t>100%</w:t>
            </w:r>
          </w:p>
        </w:tc>
      </w:tr>
      <w:tr w14:paraId="178826C2" w14:textId="77777777" w:rsidTr="00D23DD0">
        <w:tblPrEx>
          <w:tblW w:w="0" w:type="auto"/>
          <w:tblLook w:val="04A0"/>
        </w:tblPrEx>
        <w:tc>
          <w:tcPr>
            <w:tcW w:w="0" w:type="auto"/>
            <w:hideMark/>
          </w:tcPr>
          <w:p w:rsidR="00BC6CF2" w:rsidP="00AA2206" w14:paraId="694500F8" w14:textId="4D844D13">
            <w:pPr>
              <w:pStyle w:val="TableCellGeneralText"/>
            </w:pPr>
            <w:r>
              <w:t>PHAs that have not performed a CNA or PNA</w:t>
            </w:r>
            <w:r w:rsidR="00D23DD0">
              <w:t>.</w:t>
            </w:r>
          </w:p>
        </w:tc>
        <w:tc>
          <w:tcPr>
            <w:tcW w:w="0" w:type="auto"/>
            <w:hideMark/>
          </w:tcPr>
          <w:p w:rsidR="00BC6CF2" w:rsidP="00AA2206" w14:paraId="174316F8" w14:textId="77777777">
            <w:pPr>
              <w:pStyle w:val="TableCellYear"/>
            </w:pPr>
            <w:r>
              <w:t>7.5% to 45.0%</w:t>
            </w:r>
          </w:p>
        </w:tc>
        <w:tc>
          <w:tcPr>
            <w:tcW w:w="0" w:type="auto"/>
            <w:hideMark/>
          </w:tcPr>
          <w:p w:rsidR="00BC6CF2" w:rsidP="00AA2206" w14:paraId="03D4D8A7" w14:textId="77777777">
            <w:pPr>
              <w:pStyle w:val="TableCellYear"/>
            </w:pPr>
            <w:r>
              <w:t>8.9% to 50.0%</w:t>
            </w:r>
          </w:p>
        </w:tc>
      </w:tr>
      <w:tr w14:paraId="025241D2" w14:textId="77777777" w:rsidTr="00D23DD0">
        <w:tblPrEx>
          <w:tblW w:w="0" w:type="auto"/>
          <w:tblLook w:val="04A0"/>
        </w:tblPrEx>
        <w:tc>
          <w:tcPr>
            <w:tcW w:w="0" w:type="auto"/>
            <w:hideMark/>
          </w:tcPr>
          <w:p w:rsidR="00BC6CF2" w:rsidP="00AA2206" w14:paraId="5D439AC5" w14:textId="4EA3C10A">
            <w:pPr>
              <w:pStyle w:val="TableCellGeneralText"/>
            </w:pPr>
            <w:r>
              <w:t>PHAs that could not address all capital needs identified in a CNA or PNA</w:t>
            </w:r>
            <w:r w:rsidR="00390FD7">
              <w:t>.</w:t>
            </w:r>
          </w:p>
        </w:tc>
        <w:tc>
          <w:tcPr>
            <w:tcW w:w="0" w:type="auto"/>
            <w:hideMark/>
          </w:tcPr>
          <w:p w:rsidR="00BC6CF2" w:rsidP="00AA2206" w14:paraId="05955D8C" w14:textId="77777777">
            <w:pPr>
              <w:pStyle w:val="TableCellYear"/>
            </w:pPr>
            <w:r>
              <w:t>Minimal</w:t>
            </w:r>
          </w:p>
        </w:tc>
        <w:tc>
          <w:tcPr>
            <w:tcW w:w="0" w:type="auto"/>
            <w:hideMark/>
          </w:tcPr>
          <w:p w:rsidR="00BC6CF2" w:rsidP="00AA2206" w14:paraId="4E327F80" w14:textId="77777777">
            <w:pPr>
              <w:pStyle w:val="TableCellYear"/>
            </w:pPr>
            <w:r>
              <w:t>Minimal</w:t>
            </w:r>
          </w:p>
        </w:tc>
      </w:tr>
      <w:tr w14:paraId="1B288CB9" w14:textId="77777777" w:rsidTr="00D23DD0">
        <w:tblPrEx>
          <w:tblW w:w="0" w:type="auto"/>
          <w:tblLook w:val="04A0"/>
        </w:tblPrEx>
        <w:tc>
          <w:tcPr>
            <w:tcW w:w="0" w:type="auto"/>
            <w:hideMark/>
          </w:tcPr>
          <w:p w:rsidR="00BC6CF2" w:rsidP="00AA2206" w14:paraId="28B3D37B" w14:textId="7B318CF2">
            <w:pPr>
              <w:pStyle w:val="TableCellGeneralText"/>
            </w:pPr>
            <w:r>
              <w:t>Geography</w:t>
            </w:r>
            <w:r w:rsidR="00390FD7">
              <w:t>.</w:t>
            </w:r>
          </w:p>
        </w:tc>
        <w:tc>
          <w:tcPr>
            <w:tcW w:w="0" w:type="auto"/>
            <w:hideMark/>
          </w:tcPr>
          <w:p w:rsidR="00BC6CF2" w:rsidP="00AA2206" w14:paraId="15C4E663" w14:textId="77777777">
            <w:pPr>
              <w:pStyle w:val="TableCellYear"/>
            </w:pPr>
            <w:r>
              <w:t>100%</w:t>
            </w:r>
          </w:p>
        </w:tc>
        <w:tc>
          <w:tcPr>
            <w:tcW w:w="0" w:type="auto"/>
            <w:hideMark/>
          </w:tcPr>
          <w:p w:rsidR="00BC6CF2" w:rsidP="00AA2206" w14:paraId="3DC72022" w14:textId="77777777">
            <w:pPr>
              <w:pStyle w:val="TableCellYear"/>
            </w:pPr>
            <w:r>
              <w:t>100%</w:t>
            </w:r>
          </w:p>
        </w:tc>
      </w:tr>
      <w:tr w14:paraId="3207F5C4" w14:textId="77777777" w:rsidTr="00D23DD0">
        <w:tblPrEx>
          <w:tblW w:w="0" w:type="auto"/>
          <w:tblLook w:val="04A0"/>
        </w:tblPrEx>
        <w:tc>
          <w:tcPr>
            <w:tcW w:w="0" w:type="auto"/>
            <w:hideMark/>
          </w:tcPr>
          <w:p w:rsidR="00BC6CF2" w:rsidP="00AA2206" w14:paraId="7DAB5CE9" w14:textId="36F92AD5">
            <w:pPr>
              <w:pStyle w:val="TableCellGeneralText"/>
            </w:pPr>
            <w:r>
              <w:t>Building size</w:t>
            </w:r>
            <w:r w:rsidR="00390FD7">
              <w:t>.</w:t>
            </w:r>
          </w:p>
        </w:tc>
        <w:tc>
          <w:tcPr>
            <w:tcW w:w="0" w:type="auto"/>
            <w:hideMark/>
          </w:tcPr>
          <w:p w:rsidR="00BC6CF2" w:rsidP="00AA2206" w14:paraId="32185054" w14:textId="77777777">
            <w:pPr>
              <w:pStyle w:val="TableCellYear"/>
            </w:pPr>
            <w:r>
              <w:t>100%</w:t>
            </w:r>
          </w:p>
        </w:tc>
        <w:tc>
          <w:tcPr>
            <w:tcW w:w="0" w:type="auto"/>
            <w:hideMark/>
          </w:tcPr>
          <w:p w:rsidR="00BC6CF2" w:rsidP="00AA2206" w14:paraId="69CE7FC1" w14:textId="77777777">
            <w:pPr>
              <w:pStyle w:val="TableCellYear"/>
            </w:pPr>
            <w:r>
              <w:t>100%</w:t>
            </w:r>
          </w:p>
        </w:tc>
      </w:tr>
      <w:tr w14:paraId="0D738601" w14:textId="77777777" w:rsidTr="00D23DD0">
        <w:tblPrEx>
          <w:tblW w:w="0" w:type="auto"/>
          <w:tblLook w:val="04A0"/>
        </w:tblPrEx>
        <w:tc>
          <w:tcPr>
            <w:tcW w:w="0" w:type="auto"/>
            <w:hideMark/>
          </w:tcPr>
          <w:p w:rsidR="00BC6CF2" w:rsidP="00AA2206" w14:paraId="766C3432" w14:textId="0FECFE3B">
            <w:pPr>
              <w:pStyle w:val="TableCellGeneralText"/>
            </w:pPr>
            <w:r>
              <w:t>Building age</w:t>
            </w:r>
            <w:r w:rsidR="00390FD7">
              <w:t>.</w:t>
            </w:r>
          </w:p>
        </w:tc>
        <w:tc>
          <w:tcPr>
            <w:tcW w:w="0" w:type="auto"/>
            <w:hideMark/>
          </w:tcPr>
          <w:p w:rsidR="00BC6CF2" w:rsidP="00AA2206" w14:paraId="301B53C2" w14:textId="77777777">
            <w:pPr>
              <w:pStyle w:val="TableCellYear"/>
            </w:pPr>
            <w:r>
              <w:t>100%</w:t>
            </w:r>
          </w:p>
        </w:tc>
        <w:tc>
          <w:tcPr>
            <w:tcW w:w="0" w:type="auto"/>
            <w:hideMark/>
          </w:tcPr>
          <w:p w:rsidR="00BC6CF2" w:rsidP="00AA2206" w14:paraId="2368FB0A" w14:textId="77777777">
            <w:pPr>
              <w:pStyle w:val="TableCellYear"/>
            </w:pPr>
            <w:r>
              <w:t>100%</w:t>
            </w:r>
          </w:p>
        </w:tc>
      </w:tr>
      <w:tr w14:paraId="6073A54E" w14:textId="77777777" w:rsidTr="00D23DD0">
        <w:tblPrEx>
          <w:tblW w:w="0" w:type="auto"/>
          <w:tblLook w:val="04A0"/>
        </w:tblPrEx>
        <w:tc>
          <w:tcPr>
            <w:tcW w:w="0" w:type="auto"/>
            <w:hideMark/>
          </w:tcPr>
          <w:p w:rsidR="00BC6CF2" w:rsidP="00AA2206" w14:paraId="23E87FE6" w14:textId="11E1D08A">
            <w:pPr>
              <w:pStyle w:val="TableCellGeneralText"/>
            </w:pPr>
            <w:r>
              <w:t>Market rates</w:t>
            </w:r>
            <w:r w:rsidR="00390FD7">
              <w:t>.</w:t>
            </w:r>
          </w:p>
        </w:tc>
        <w:tc>
          <w:tcPr>
            <w:tcW w:w="0" w:type="auto"/>
            <w:hideMark/>
          </w:tcPr>
          <w:p w:rsidR="00BC6CF2" w:rsidP="00AA2206" w14:paraId="297F627D" w14:textId="77777777">
            <w:pPr>
              <w:pStyle w:val="TableCellYear"/>
            </w:pPr>
            <w:r>
              <w:t>100%</w:t>
            </w:r>
          </w:p>
        </w:tc>
        <w:tc>
          <w:tcPr>
            <w:tcW w:w="0" w:type="auto"/>
            <w:hideMark/>
          </w:tcPr>
          <w:p w:rsidR="00BC6CF2" w:rsidP="00AA2206" w14:paraId="16F21746" w14:textId="77777777">
            <w:pPr>
              <w:pStyle w:val="TableCellYear"/>
            </w:pPr>
            <w:r>
              <w:t>100%</w:t>
            </w:r>
          </w:p>
        </w:tc>
      </w:tr>
      <w:tr w14:paraId="53F11131" w14:textId="77777777" w:rsidTr="00D23DD0">
        <w:tblPrEx>
          <w:tblW w:w="0" w:type="auto"/>
          <w:tblLook w:val="04A0"/>
        </w:tblPrEx>
        <w:tc>
          <w:tcPr>
            <w:tcW w:w="0" w:type="auto"/>
            <w:hideMark/>
          </w:tcPr>
          <w:p w:rsidR="00BC6CF2" w:rsidP="00AA2206" w14:paraId="4F99891C" w14:textId="1F09ECF7">
            <w:pPr>
              <w:pStyle w:val="TableCellGeneralText"/>
            </w:pPr>
            <w:r>
              <w:t>Urban</w:t>
            </w:r>
            <w:r>
              <w:rPr>
                <w:rFonts w:cs="Times New Roman"/>
              </w:rPr>
              <w:t>–</w:t>
            </w:r>
            <w:r>
              <w:t>rural</w:t>
            </w:r>
            <w:r w:rsidR="00390FD7">
              <w:t>.</w:t>
            </w:r>
          </w:p>
        </w:tc>
        <w:tc>
          <w:tcPr>
            <w:tcW w:w="0" w:type="auto"/>
            <w:hideMark/>
          </w:tcPr>
          <w:p w:rsidR="00BC6CF2" w:rsidP="00AA2206" w14:paraId="502DE6F7" w14:textId="77777777">
            <w:pPr>
              <w:pStyle w:val="TableCellYear"/>
            </w:pPr>
            <w:r>
              <w:t>100%</w:t>
            </w:r>
          </w:p>
        </w:tc>
        <w:tc>
          <w:tcPr>
            <w:tcW w:w="0" w:type="auto"/>
            <w:hideMark/>
          </w:tcPr>
          <w:p w:rsidR="00BC6CF2" w:rsidP="00AA2206" w14:paraId="0C026BDF" w14:textId="77777777">
            <w:pPr>
              <w:pStyle w:val="TableCellYear"/>
            </w:pPr>
            <w:r>
              <w:t>100%</w:t>
            </w:r>
          </w:p>
        </w:tc>
      </w:tr>
      <w:tr w14:paraId="136DCECC" w14:textId="77777777" w:rsidTr="00D23DD0">
        <w:tblPrEx>
          <w:tblW w:w="0" w:type="auto"/>
          <w:tblLook w:val="04A0"/>
        </w:tblPrEx>
        <w:tc>
          <w:tcPr>
            <w:tcW w:w="0" w:type="auto"/>
            <w:hideMark/>
          </w:tcPr>
          <w:p w:rsidR="00BC6CF2" w:rsidP="00AA2206" w14:paraId="622D7411" w14:textId="5AD4875C">
            <w:pPr>
              <w:pStyle w:val="TableCellGeneralText"/>
            </w:pPr>
            <w:r>
              <w:t>Single-family homes or duplexes</w:t>
            </w:r>
            <w:r w:rsidR="00390FD7">
              <w:t>.</w:t>
            </w:r>
          </w:p>
        </w:tc>
        <w:tc>
          <w:tcPr>
            <w:tcW w:w="0" w:type="auto"/>
            <w:hideMark/>
          </w:tcPr>
          <w:p w:rsidR="00BC6CF2" w:rsidP="00AA2206" w14:paraId="04CAA644" w14:textId="77777777">
            <w:pPr>
              <w:pStyle w:val="TableCellYear"/>
            </w:pPr>
            <w:r>
              <w:t>100%</w:t>
            </w:r>
          </w:p>
        </w:tc>
        <w:tc>
          <w:tcPr>
            <w:tcW w:w="0" w:type="auto"/>
            <w:hideMark/>
          </w:tcPr>
          <w:p w:rsidR="00BC6CF2" w:rsidP="00AA2206" w14:paraId="6D593C5E" w14:textId="77777777">
            <w:pPr>
              <w:pStyle w:val="TableCellYear"/>
            </w:pPr>
            <w:r>
              <w:t>100%</w:t>
            </w:r>
          </w:p>
        </w:tc>
      </w:tr>
      <w:tr w14:paraId="5FFF1D16" w14:textId="77777777" w:rsidTr="00D23DD0">
        <w:tblPrEx>
          <w:tblW w:w="0" w:type="auto"/>
          <w:tblLook w:val="04A0"/>
        </w:tblPrEx>
        <w:tc>
          <w:tcPr>
            <w:tcW w:w="0" w:type="auto"/>
            <w:hideMark/>
          </w:tcPr>
          <w:p w:rsidR="00BC6CF2" w:rsidP="00AA2206" w14:paraId="76A32A45" w14:textId="577A57EB">
            <w:pPr>
              <w:pStyle w:val="TableCellGeneralText"/>
            </w:pPr>
            <w:r>
              <w:t xml:space="preserve">Mixed-income </w:t>
            </w:r>
            <w:r w:rsidR="009C1D43">
              <w:t>projects</w:t>
            </w:r>
            <w:r>
              <w:t xml:space="preserve"> with market-rate units</w:t>
            </w:r>
            <w:r w:rsidR="00390FD7">
              <w:t>.</w:t>
            </w:r>
          </w:p>
        </w:tc>
        <w:tc>
          <w:tcPr>
            <w:tcW w:w="0" w:type="auto"/>
            <w:hideMark/>
          </w:tcPr>
          <w:p w:rsidR="00BC6CF2" w:rsidP="00AA2206" w14:paraId="6C9981D0" w14:textId="77777777">
            <w:pPr>
              <w:pStyle w:val="TableCellYear"/>
            </w:pPr>
            <w:r>
              <w:t>100%</w:t>
            </w:r>
          </w:p>
        </w:tc>
        <w:tc>
          <w:tcPr>
            <w:tcW w:w="0" w:type="auto"/>
            <w:hideMark/>
          </w:tcPr>
          <w:p w:rsidR="00BC6CF2" w:rsidP="00AA2206" w14:paraId="5816065E" w14:textId="77777777">
            <w:pPr>
              <w:pStyle w:val="TableCellYear"/>
            </w:pPr>
            <w:r>
              <w:t>100%</w:t>
            </w:r>
          </w:p>
        </w:tc>
      </w:tr>
      <w:tr w14:paraId="4B427CD2" w14:textId="77777777" w:rsidTr="00D23DD0">
        <w:tblPrEx>
          <w:tblW w:w="0" w:type="auto"/>
          <w:tblLook w:val="04A0"/>
        </w:tblPrEx>
        <w:tc>
          <w:tcPr>
            <w:tcW w:w="0" w:type="auto"/>
            <w:hideMark/>
          </w:tcPr>
          <w:p w:rsidR="00BC6CF2" w:rsidP="00AA2206" w14:paraId="590BC622" w14:textId="5D396713">
            <w:pPr>
              <w:pStyle w:val="TableCellGeneralText"/>
            </w:pPr>
            <w:r>
              <w:t>HUD region</w:t>
            </w:r>
            <w:r w:rsidR="00390FD7">
              <w:t>.</w:t>
            </w:r>
          </w:p>
        </w:tc>
        <w:tc>
          <w:tcPr>
            <w:tcW w:w="0" w:type="auto"/>
            <w:hideMark/>
          </w:tcPr>
          <w:p w:rsidR="00BC6CF2" w:rsidP="00AA2206" w14:paraId="33BCEAD5" w14:textId="77777777">
            <w:pPr>
              <w:pStyle w:val="TableCellYear"/>
            </w:pPr>
            <w:r>
              <w:t>100%</w:t>
            </w:r>
          </w:p>
        </w:tc>
        <w:tc>
          <w:tcPr>
            <w:tcW w:w="0" w:type="auto"/>
            <w:hideMark/>
          </w:tcPr>
          <w:p w:rsidR="00BC6CF2" w:rsidP="00AA2206" w14:paraId="7189B71B" w14:textId="77777777">
            <w:pPr>
              <w:pStyle w:val="TableCellYear"/>
            </w:pPr>
            <w:r>
              <w:t>100%</w:t>
            </w:r>
          </w:p>
        </w:tc>
      </w:tr>
    </w:tbl>
    <w:p w:rsidR="00FC2A94" w:rsidP="00FC2A94" w14:paraId="26B2149E" w14:textId="77777777">
      <w:pPr>
        <w:pStyle w:val="TableNote"/>
      </w:pPr>
      <w:r>
        <w:t>Note: Building and development percentages are based on those with occupied low-rent units as of November 2021. Building age is based on the recorded date of first availability and may not reflect more recent rehabilitation or significant capital investment.</w:t>
      </w:r>
    </w:p>
    <w:p w:rsidR="004E534E" w:rsidP="00390FD7" w14:paraId="56EED240" w14:textId="0B8BBB93">
      <w:r>
        <w:t xml:space="preserve">Given the potentially large number of regressors and the associated risk of an over-fitted model, </w:t>
      </w:r>
      <w:r w:rsidR="003B5627">
        <w:t xml:space="preserve">the analyst </w:t>
      </w:r>
      <w:r>
        <w:t xml:space="preserve">will deploy a </w:t>
      </w:r>
      <w:r w:rsidR="00A925EF">
        <w:t>LASSO</w:t>
      </w:r>
      <w:r>
        <w:t xml:space="preserve"> </w:t>
      </w:r>
      <w:r w:rsidR="005A2FF8">
        <w:t xml:space="preserve">(Least </w:t>
      </w:r>
      <w:r w:rsidR="0075335D">
        <w:t xml:space="preserve">Absolute Shrinkage and Selection Operator) </w:t>
      </w:r>
      <w:r>
        <w:t>regression as part of the analytic framework. This method utilizes a shrinkage algorithm to reduce a set of variables and improve both predictive accuracy and interpretability of the coefficients. As standard practice, several test statistics will also inform variable selection; these include a t-test or p-value for the statistical significance of the coefficients and the Akaike information criterion, which is a measure of model quality that balances model fit with simplicity. To ensure us</w:t>
      </w:r>
      <w:r w:rsidR="003B5627">
        <w:t>e of</w:t>
      </w:r>
      <w:r>
        <w:t xml:space="preserve"> the best set of variables, </w:t>
      </w:r>
      <w:r w:rsidR="003B5627">
        <w:t xml:space="preserve">the analyst </w:t>
      </w:r>
      <w:r>
        <w:t>will also conduct a principal component analysis.</w:t>
      </w:r>
    </w:p>
    <w:p w:rsidR="009364F0" w:rsidP="004B5E59" w14:paraId="307D0B41" w14:textId="77777777"/>
    <w:p w:rsidR="004E534E" w:rsidP="004E534E" w14:paraId="2304D577" w14:textId="201008DE">
      <w:r>
        <w:t xml:space="preserve">Scatterplots between the dependent and independent variables, as well as analysis of residuals, will help determine the need for data transformations (for example, logging a variable) that will improve overall model fit. </w:t>
      </w:r>
      <w:r w:rsidR="003B5627">
        <w:t xml:space="preserve">The analyst </w:t>
      </w:r>
      <w:r>
        <w:t>will also consider potential interactions between specific variables by adding interactive terms when specifying the model.</w:t>
      </w:r>
    </w:p>
    <w:p w:rsidR="007F4005" w:rsidRPr="00324425" w:rsidP="00441671" w14:paraId="65D21A98" w14:textId="77777777">
      <w:pPr>
        <w:pStyle w:val="H2PartB"/>
        <w:numPr>
          <w:ilvl w:val="0"/>
          <w:numId w:val="13"/>
        </w:numPr>
      </w:pPr>
      <w:r w:rsidRPr="00324425">
        <w:t xml:space="preserve">Provide the name and telephone number of individuals consulted on the statistical aspects of the design, and the name of the agency unit, contractor(s), grantee(s), or other person(s) who will </w:t>
      </w:r>
      <w:r w:rsidRPr="00324425">
        <w:t>actually collect</w:t>
      </w:r>
      <w:r w:rsidRPr="00324425">
        <w:t xml:space="preserve"> and/or analyze the information for the agency.</w:t>
      </w:r>
    </w:p>
    <w:p w:rsidR="00D767AF" w:rsidRPr="00CD7531" w:rsidP="00D767AF" w14:paraId="25047159" w14:textId="77777777"/>
    <w:p w:rsidR="00D767AF" w:rsidP="00D767AF" w14:paraId="367D1B87" w14:textId="76081A98">
      <w:pPr>
        <w:pStyle w:val="TableCaption"/>
      </w:pPr>
      <w:bookmarkStart w:id="8" w:name="_Ref59101477"/>
      <w:r>
        <w:t xml:space="preserve">Table </w:t>
      </w:r>
      <w:bookmarkEnd w:id="8"/>
      <w:r w:rsidR="000667F4">
        <w:rPr>
          <w:noProof/>
        </w:rPr>
        <w:t>6</w:t>
      </w:r>
      <w:r>
        <w:t>.</w:t>
      </w:r>
      <w:r>
        <w:tab/>
      </w:r>
      <w:r w:rsidR="00431624">
        <w:t>Names, Affiliations, and Contact Information</w:t>
      </w:r>
    </w:p>
    <w:tbl>
      <w:tblPr>
        <w:tblStyle w:val="EconometricaTableStyle1"/>
        <w:tblW w:w="5000" w:type="pct"/>
        <w:tblLook w:val="04A0"/>
      </w:tblPr>
      <w:tblGrid>
        <w:gridCol w:w="2447"/>
        <w:gridCol w:w="2471"/>
        <w:gridCol w:w="4442"/>
      </w:tblGrid>
      <w:tr w14:paraId="3B9636F1" w14:textId="77777777" w:rsidTr="00390FD7">
        <w:tblPrEx>
          <w:tblW w:w="5000" w:type="pct"/>
          <w:tblLook w:val="04A0"/>
        </w:tblPrEx>
        <w:trPr>
          <w:trHeight w:val="20"/>
        </w:trPr>
        <w:tc>
          <w:tcPr>
            <w:tcW w:w="1319" w:type="pct"/>
          </w:tcPr>
          <w:p w:rsidR="00390FD7" w:rsidP="00E42AF5" w14:paraId="3AD06EBB" w14:textId="101DF65F">
            <w:pPr>
              <w:pStyle w:val="TableColumnHeading"/>
            </w:pPr>
            <w:r>
              <w:t>Role</w:t>
            </w:r>
          </w:p>
        </w:tc>
        <w:tc>
          <w:tcPr>
            <w:tcW w:w="1331" w:type="pct"/>
          </w:tcPr>
          <w:p w:rsidR="00390FD7" w:rsidP="00E42AF5" w14:paraId="43F50BAE" w14:textId="2A21BED4">
            <w:pPr>
              <w:pStyle w:val="TableColumnHeading"/>
            </w:pPr>
            <w:r>
              <w:t>Personnel</w:t>
            </w:r>
          </w:p>
        </w:tc>
        <w:tc>
          <w:tcPr>
            <w:tcW w:w="2351" w:type="pct"/>
            <w:noWrap/>
            <w:hideMark/>
          </w:tcPr>
          <w:p w:rsidR="00390FD7" w:rsidRPr="00CD7531" w:rsidP="00E42AF5" w14:paraId="2AA75784" w14:textId="518A5BEA">
            <w:pPr>
              <w:pStyle w:val="TableColumnHeading"/>
            </w:pPr>
            <w:r>
              <w:t xml:space="preserve">Phone Number/Email </w:t>
            </w:r>
          </w:p>
        </w:tc>
      </w:tr>
      <w:tr w14:paraId="4260F247" w14:textId="77777777" w:rsidTr="00390FD7">
        <w:tblPrEx>
          <w:tblW w:w="5000" w:type="pct"/>
          <w:tblLook w:val="04A0"/>
        </w:tblPrEx>
        <w:trPr>
          <w:trHeight w:val="20"/>
        </w:trPr>
        <w:tc>
          <w:tcPr>
            <w:tcW w:w="5000" w:type="pct"/>
            <w:gridSpan w:val="3"/>
            <w:shd w:val="clear" w:color="auto" w:fill="DBDBDB"/>
          </w:tcPr>
          <w:p w:rsidR="00390FD7" w:rsidRPr="001B2A61" w:rsidP="00390FD7" w14:paraId="383E7BEF" w14:textId="45D92E97">
            <w:pPr>
              <w:pStyle w:val="TableCell-SubheadingText"/>
            </w:pPr>
            <w:r w:rsidRPr="00A7368B">
              <w:t xml:space="preserve">Econometrica, Inc. – Prime </w:t>
            </w:r>
          </w:p>
        </w:tc>
      </w:tr>
      <w:tr w14:paraId="1234BE4D" w14:textId="77777777" w:rsidTr="00390FD7">
        <w:tblPrEx>
          <w:tblW w:w="5000" w:type="pct"/>
          <w:tblLook w:val="04A0"/>
        </w:tblPrEx>
        <w:trPr>
          <w:trHeight w:val="20"/>
        </w:trPr>
        <w:tc>
          <w:tcPr>
            <w:tcW w:w="1319" w:type="pct"/>
          </w:tcPr>
          <w:p w:rsidR="00390FD7" w:rsidRPr="001C6328" w:rsidP="00390FD7" w14:paraId="0E7C8458" w14:textId="3A55F2AC">
            <w:pPr>
              <w:pStyle w:val="TableCellGeneralText"/>
              <w:rPr>
                <w:iCs/>
              </w:rPr>
            </w:pPr>
            <w:r w:rsidRPr="00AB25B4">
              <w:rPr>
                <w:iCs/>
                <w:color w:val="000000"/>
                <w:szCs w:val="20"/>
              </w:rPr>
              <w:t xml:space="preserve">Project </w:t>
            </w:r>
            <w:r>
              <w:rPr>
                <w:iCs/>
                <w:color w:val="000000"/>
                <w:szCs w:val="20"/>
              </w:rPr>
              <w:t>Director</w:t>
            </w:r>
          </w:p>
        </w:tc>
        <w:tc>
          <w:tcPr>
            <w:tcW w:w="1331" w:type="pct"/>
          </w:tcPr>
          <w:p w:rsidR="00390FD7" w:rsidRPr="001B2A61" w:rsidP="00390FD7" w14:paraId="27B9A1C8" w14:textId="0A87B3BA">
            <w:pPr>
              <w:pStyle w:val="TableCellGeneralText"/>
            </w:pPr>
            <w:r>
              <w:t>Dennis Stout</w:t>
            </w:r>
          </w:p>
        </w:tc>
        <w:tc>
          <w:tcPr>
            <w:tcW w:w="2351" w:type="pct"/>
            <w:noWrap/>
          </w:tcPr>
          <w:p w:rsidR="00390FD7" w:rsidRPr="00390FD7" w:rsidP="00777351" w14:paraId="2CEF8FF1" w14:textId="14528F44">
            <w:pPr>
              <w:pStyle w:val="TableCellGeneralText"/>
            </w:pPr>
            <w:r w:rsidRPr="00390FD7">
              <w:t>(301) 657-9883</w:t>
            </w:r>
            <w:r w:rsidR="00777351">
              <w:t xml:space="preserve">; </w:t>
            </w:r>
            <w:hyperlink r:id="rId9" w:history="1">
              <w:r w:rsidRPr="00412226">
                <w:rPr>
                  <w:rStyle w:val="Hyperlink"/>
                </w:rPr>
                <w:t>DStout@EconometricaInc.com</w:t>
              </w:r>
            </w:hyperlink>
            <w:r>
              <w:t xml:space="preserve"> </w:t>
            </w:r>
          </w:p>
        </w:tc>
      </w:tr>
      <w:tr w14:paraId="2F0C3E90" w14:textId="77777777" w:rsidTr="00390FD7">
        <w:tblPrEx>
          <w:tblW w:w="5000" w:type="pct"/>
          <w:tblLook w:val="04A0"/>
        </w:tblPrEx>
        <w:trPr>
          <w:trHeight w:val="20"/>
        </w:trPr>
        <w:tc>
          <w:tcPr>
            <w:tcW w:w="1319" w:type="pct"/>
          </w:tcPr>
          <w:p w:rsidR="00390FD7" w:rsidRPr="00AB25B4" w:rsidP="00390FD7" w14:paraId="384F3D05" w14:textId="519298A7">
            <w:pPr>
              <w:pStyle w:val="TableCellGeneralText"/>
              <w:rPr>
                <w:iCs/>
                <w:color w:val="000000"/>
                <w:szCs w:val="20"/>
              </w:rPr>
            </w:pPr>
            <w:r>
              <w:rPr>
                <w:iCs/>
                <w:color w:val="000000"/>
                <w:szCs w:val="20"/>
              </w:rPr>
              <w:t>Survey Lead</w:t>
            </w:r>
          </w:p>
        </w:tc>
        <w:tc>
          <w:tcPr>
            <w:tcW w:w="1331" w:type="pct"/>
          </w:tcPr>
          <w:p w:rsidR="00390FD7" w:rsidP="00390FD7" w14:paraId="52E4C2CE" w14:textId="43D669EC">
            <w:pPr>
              <w:pStyle w:val="TableCellGeneralText"/>
            </w:pPr>
            <w:r>
              <w:t>Jennifer Stoloff</w:t>
            </w:r>
          </w:p>
        </w:tc>
        <w:tc>
          <w:tcPr>
            <w:tcW w:w="2351" w:type="pct"/>
            <w:noWrap/>
          </w:tcPr>
          <w:p w:rsidR="00390FD7" w:rsidRPr="00390FD7" w:rsidP="00777351" w14:paraId="2D123872" w14:textId="32E1EBFB">
            <w:pPr>
              <w:pStyle w:val="TableCellGeneralText"/>
            </w:pPr>
            <w:r w:rsidRPr="00390FD7">
              <w:t>(301) 657-9883</w:t>
            </w:r>
            <w:r w:rsidR="00777351">
              <w:t xml:space="preserve">; </w:t>
            </w:r>
            <w:hyperlink r:id="rId10" w:history="1">
              <w:r w:rsidRPr="00412226">
                <w:rPr>
                  <w:rStyle w:val="Hyperlink"/>
                </w:rPr>
                <w:t>JStoloff@EconometricaInc.com</w:t>
              </w:r>
            </w:hyperlink>
            <w:r>
              <w:t xml:space="preserve"> </w:t>
            </w:r>
          </w:p>
        </w:tc>
      </w:tr>
      <w:tr w14:paraId="4E6AB23B" w14:textId="77777777" w:rsidTr="00390FD7">
        <w:tblPrEx>
          <w:tblW w:w="5000" w:type="pct"/>
          <w:tblLook w:val="04A0"/>
        </w:tblPrEx>
        <w:trPr>
          <w:trHeight w:val="20"/>
        </w:trPr>
        <w:tc>
          <w:tcPr>
            <w:tcW w:w="1319" w:type="pct"/>
          </w:tcPr>
          <w:p w:rsidR="00390FD7" w:rsidRPr="001C6328" w:rsidP="00390FD7" w14:paraId="44EE7F33" w14:textId="4C4357CE">
            <w:pPr>
              <w:pStyle w:val="TableCellGeneralText"/>
              <w:rPr>
                <w:iCs/>
              </w:rPr>
            </w:pPr>
            <w:r>
              <w:rPr>
                <w:iCs/>
                <w:color w:val="000000"/>
                <w:szCs w:val="20"/>
              </w:rPr>
              <w:t>Data Analyst</w:t>
            </w:r>
          </w:p>
        </w:tc>
        <w:tc>
          <w:tcPr>
            <w:tcW w:w="1331" w:type="pct"/>
          </w:tcPr>
          <w:p w:rsidR="00390FD7" w:rsidRPr="001B2A61" w:rsidP="00390FD7" w14:paraId="0734BA03" w14:textId="2D54B0FF">
            <w:pPr>
              <w:pStyle w:val="TableCellGeneralText"/>
            </w:pPr>
            <w:r>
              <w:rPr>
                <w:color w:val="000000"/>
                <w:szCs w:val="20"/>
              </w:rPr>
              <w:t>Alex Thackeray</w:t>
            </w:r>
          </w:p>
        </w:tc>
        <w:tc>
          <w:tcPr>
            <w:tcW w:w="2351" w:type="pct"/>
            <w:noWrap/>
          </w:tcPr>
          <w:p w:rsidR="00390FD7" w:rsidRPr="00390FD7" w:rsidP="00777351" w14:paraId="17270154" w14:textId="6814D015">
            <w:pPr>
              <w:pStyle w:val="TableCellGeneralText"/>
            </w:pPr>
            <w:r w:rsidRPr="00390FD7">
              <w:t>(301) 657-9883</w:t>
            </w:r>
            <w:r w:rsidR="00777351">
              <w:t xml:space="preserve">; </w:t>
            </w:r>
            <w:hyperlink r:id="rId11" w:history="1">
              <w:r w:rsidRPr="00412226">
                <w:rPr>
                  <w:rStyle w:val="Hyperlink"/>
                </w:rPr>
                <w:t>AThackeray@EconometricaInc.com</w:t>
              </w:r>
            </w:hyperlink>
            <w:r>
              <w:t xml:space="preserve"> </w:t>
            </w:r>
          </w:p>
        </w:tc>
      </w:tr>
      <w:tr w14:paraId="6B83A2D1" w14:textId="77777777" w:rsidTr="00390FD7">
        <w:tblPrEx>
          <w:tblW w:w="5000" w:type="pct"/>
          <w:tblLook w:val="04A0"/>
        </w:tblPrEx>
        <w:trPr>
          <w:trHeight w:val="20"/>
        </w:trPr>
        <w:tc>
          <w:tcPr>
            <w:tcW w:w="1319" w:type="pct"/>
          </w:tcPr>
          <w:p w:rsidR="00390FD7" w:rsidRPr="001B2A61" w:rsidP="00390FD7" w14:paraId="4EDD186E" w14:textId="04910FEB">
            <w:pPr>
              <w:pStyle w:val="TableCellGeneralText"/>
            </w:pPr>
            <w:r>
              <w:t>Data Analysis Lead</w:t>
            </w:r>
          </w:p>
        </w:tc>
        <w:tc>
          <w:tcPr>
            <w:tcW w:w="1331" w:type="pct"/>
          </w:tcPr>
          <w:p w:rsidR="00390FD7" w:rsidRPr="001B2A61" w:rsidP="00390FD7" w14:paraId="27F4C1C3" w14:textId="6B3AC687">
            <w:pPr>
              <w:pStyle w:val="TableCellGeneralText"/>
            </w:pPr>
            <w:r>
              <w:t>Chris Holleyman</w:t>
            </w:r>
          </w:p>
        </w:tc>
        <w:tc>
          <w:tcPr>
            <w:tcW w:w="2351" w:type="pct"/>
            <w:noWrap/>
          </w:tcPr>
          <w:p w:rsidR="00390FD7" w:rsidRPr="00390FD7" w:rsidP="00777351" w14:paraId="781F8022" w14:textId="41B58BE4">
            <w:pPr>
              <w:pStyle w:val="TableCellGeneralText"/>
            </w:pPr>
            <w:r w:rsidRPr="00390FD7">
              <w:t>(301)</w:t>
            </w:r>
            <w:r>
              <w:t xml:space="preserve"> </w:t>
            </w:r>
            <w:r w:rsidRPr="00390FD7">
              <w:t>657-9883</w:t>
            </w:r>
            <w:r w:rsidR="00777351">
              <w:t xml:space="preserve">; </w:t>
            </w:r>
            <w:hyperlink r:id="rId12" w:history="1">
              <w:r w:rsidRPr="00412226">
                <w:rPr>
                  <w:rStyle w:val="Hyperlink"/>
                </w:rPr>
                <w:t>CHolleyman@EconometricaInc.com</w:t>
              </w:r>
            </w:hyperlink>
            <w:r>
              <w:t xml:space="preserve"> </w:t>
            </w:r>
          </w:p>
        </w:tc>
      </w:tr>
      <w:tr w14:paraId="343FF9B5" w14:textId="77777777" w:rsidTr="00390FD7">
        <w:tblPrEx>
          <w:tblW w:w="5000" w:type="pct"/>
          <w:tblLook w:val="04A0"/>
        </w:tblPrEx>
        <w:trPr>
          <w:trHeight w:val="20"/>
        </w:trPr>
        <w:tc>
          <w:tcPr>
            <w:tcW w:w="1319" w:type="pct"/>
          </w:tcPr>
          <w:p w:rsidR="00390FD7" w:rsidRPr="004D5244" w:rsidP="00390FD7" w14:paraId="6E8F7803" w14:textId="412C9B67">
            <w:pPr>
              <w:pStyle w:val="TableCellGeneralText"/>
              <w:rPr>
                <w:color w:val="222222"/>
                <w:szCs w:val="20"/>
              </w:rPr>
            </w:pPr>
            <w:r>
              <w:rPr>
                <w:color w:val="222222"/>
                <w:szCs w:val="20"/>
              </w:rPr>
              <w:t xml:space="preserve">Policy Options </w:t>
            </w:r>
            <w:r>
              <w:rPr>
                <w:color w:val="222222"/>
                <w:szCs w:val="20"/>
              </w:rPr>
              <w:t>Lead</w:t>
            </w:r>
          </w:p>
        </w:tc>
        <w:tc>
          <w:tcPr>
            <w:tcW w:w="1331" w:type="pct"/>
          </w:tcPr>
          <w:p w:rsidR="00390FD7" w:rsidRPr="004D5244" w:rsidP="00390FD7" w14:paraId="00247309" w14:textId="3BFFF655">
            <w:pPr>
              <w:pStyle w:val="TableCellGeneralText"/>
              <w:rPr>
                <w:color w:val="222222"/>
                <w:szCs w:val="20"/>
              </w:rPr>
            </w:pPr>
            <w:r>
              <w:rPr>
                <w:color w:val="222222"/>
                <w:szCs w:val="20"/>
              </w:rPr>
              <w:t>Margaret McGilvray</w:t>
            </w:r>
          </w:p>
        </w:tc>
        <w:tc>
          <w:tcPr>
            <w:tcW w:w="2351" w:type="pct"/>
            <w:noWrap/>
          </w:tcPr>
          <w:p w:rsidR="00390FD7" w:rsidRPr="00390FD7" w:rsidP="00777351" w14:paraId="39C0CB31" w14:textId="5CBEBEDA">
            <w:pPr>
              <w:pStyle w:val="TableCellGeneralText"/>
            </w:pPr>
            <w:r w:rsidRPr="00390FD7">
              <w:t>(301) 657-9883</w:t>
            </w:r>
            <w:r w:rsidR="00777351">
              <w:t xml:space="preserve">; </w:t>
            </w:r>
            <w:hyperlink r:id="rId13" w:history="1">
              <w:r w:rsidRPr="00412226">
                <w:rPr>
                  <w:rStyle w:val="Hyperlink"/>
                </w:rPr>
                <w:t>MMcGilvray@EconometricaInc.com</w:t>
              </w:r>
            </w:hyperlink>
            <w:r>
              <w:t xml:space="preserve"> </w:t>
            </w:r>
          </w:p>
        </w:tc>
      </w:tr>
    </w:tbl>
    <w:p w:rsidR="00D767AF" w:rsidP="00770366" w14:paraId="634D3C05" w14:textId="79CF747D">
      <w:pPr>
        <w:autoSpaceDE w:val="0"/>
        <w:autoSpaceDN w:val="0"/>
        <w:adjustRightInd w:val="0"/>
      </w:pPr>
    </w:p>
    <w:p w:rsidR="002F0E10" w:rsidP="002F0E10" w14:paraId="01EB1345" w14:textId="1E542D9D">
      <w:pPr>
        <w:pStyle w:val="TableCaption"/>
      </w:pPr>
      <w:bookmarkStart w:id="9" w:name="_Ref59101521"/>
      <w:r>
        <w:t xml:space="preserve">Table </w:t>
      </w:r>
      <w:bookmarkEnd w:id="9"/>
      <w:r w:rsidR="000667F4">
        <w:rPr>
          <w:noProof/>
        </w:rPr>
        <w:t>7</w:t>
      </w:r>
      <w:r>
        <w:t>.</w:t>
      </w:r>
      <w:r>
        <w:tab/>
        <w:t>HUD Staff Who Advised on the Survey and Interview Instruments</w:t>
      </w:r>
    </w:p>
    <w:tbl>
      <w:tblPr>
        <w:tblStyle w:val="EconometricaTableStyle1"/>
        <w:tblW w:w="5000" w:type="pct"/>
        <w:tblLook w:val="04A0"/>
      </w:tblPr>
      <w:tblGrid>
        <w:gridCol w:w="2817"/>
        <w:gridCol w:w="1803"/>
        <w:gridCol w:w="4740"/>
      </w:tblGrid>
      <w:tr w14:paraId="50F77A7E" w14:textId="77777777" w:rsidTr="004A2D92">
        <w:tblPrEx>
          <w:tblW w:w="5000" w:type="pct"/>
          <w:tblLook w:val="04A0"/>
        </w:tblPrEx>
        <w:trPr>
          <w:trHeight w:val="20"/>
        </w:trPr>
        <w:tc>
          <w:tcPr>
            <w:tcW w:w="1505" w:type="pct"/>
            <w:noWrap/>
            <w:hideMark/>
          </w:tcPr>
          <w:p w:rsidR="002F0E10" w:rsidRPr="00CD7531" w:rsidP="00E42AF5" w14:paraId="324EE9AD" w14:textId="67262C1F">
            <w:pPr>
              <w:pStyle w:val="TableColumnHeading"/>
            </w:pPr>
            <w:r>
              <w:t>Name</w:t>
            </w:r>
          </w:p>
        </w:tc>
        <w:tc>
          <w:tcPr>
            <w:tcW w:w="963" w:type="pct"/>
          </w:tcPr>
          <w:p w:rsidR="002F0E10" w:rsidP="00E42AF5" w14:paraId="64410EC4" w14:textId="5AC5BF7B">
            <w:pPr>
              <w:pStyle w:val="TableColumnHeading"/>
            </w:pPr>
            <w:r>
              <w:t>Role</w:t>
            </w:r>
          </w:p>
        </w:tc>
        <w:tc>
          <w:tcPr>
            <w:tcW w:w="2532" w:type="pct"/>
            <w:noWrap/>
            <w:hideMark/>
          </w:tcPr>
          <w:p w:rsidR="002F0E10" w:rsidRPr="00CD7531" w:rsidP="00E42AF5" w14:paraId="186760C1" w14:textId="4A52C449">
            <w:pPr>
              <w:pStyle w:val="TableColumnHeading"/>
            </w:pPr>
            <w:r>
              <w:t xml:space="preserve">Phone Number/Email </w:t>
            </w:r>
          </w:p>
        </w:tc>
      </w:tr>
      <w:tr w14:paraId="23E063C3" w14:textId="77777777" w:rsidTr="004A2D92">
        <w:tblPrEx>
          <w:tblW w:w="5000" w:type="pct"/>
          <w:tblLook w:val="04A0"/>
        </w:tblPrEx>
        <w:trPr>
          <w:trHeight w:val="20"/>
        </w:trPr>
        <w:tc>
          <w:tcPr>
            <w:tcW w:w="1505" w:type="pct"/>
          </w:tcPr>
          <w:p w:rsidR="002F0E10" w:rsidRPr="001B2A61" w:rsidP="00390FD7" w14:paraId="41231E52" w14:textId="233D2CAD">
            <w:pPr>
              <w:pStyle w:val="TableCellGeneralText"/>
            </w:pPr>
            <w:r>
              <w:t>Regina Gray</w:t>
            </w:r>
          </w:p>
        </w:tc>
        <w:tc>
          <w:tcPr>
            <w:tcW w:w="963" w:type="pct"/>
          </w:tcPr>
          <w:p w:rsidR="002F0E10" w:rsidRPr="001B2A61" w:rsidP="00390FD7" w14:paraId="64D339B1" w14:textId="23D51EA3">
            <w:pPr>
              <w:pStyle w:val="TableCellGeneralText"/>
            </w:pPr>
            <w:r>
              <w:t>Co-COR</w:t>
            </w:r>
          </w:p>
        </w:tc>
        <w:tc>
          <w:tcPr>
            <w:tcW w:w="2532" w:type="pct"/>
            <w:noWrap/>
          </w:tcPr>
          <w:p w:rsidR="002F0E10" w:rsidRPr="001B2A61" w:rsidP="00390FD7" w14:paraId="7B4F14DD" w14:textId="7EF9E442">
            <w:pPr>
              <w:pStyle w:val="TableCellGeneralText"/>
            </w:pPr>
            <w:r>
              <w:t xml:space="preserve">(202) 402-2876; </w:t>
            </w:r>
            <w:hyperlink r:id="rId14" w:history="1">
              <w:r w:rsidRPr="00412226">
                <w:rPr>
                  <w:rStyle w:val="Hyperlink"/>
                </w:rPr>
                <w:t>Regina.C.Gray@hud.gov</w:t>
              </w:r>
            </w:hyperlink>
            <w:r>
              <w:t xml:space="preserve"> </w:t>
            </w:r>
          </w:p>
        </w:tc>
      </w:tr>
      <w:tr w14:paraId="179923A4" w14:textId="77777777" w:rsidTr="004A2D92">
        <w:tblPrEx>
          <w:tblW w:w="5000" w:type="pct"/>
          <w:tblLook w:val="04A0"/>
        </w:tblPrEx>
        <w:trPr>
          <w:trHeight w:val="20"/>
        </w:trPr>
        <w:tc>
          <w:tcPr>
            <w:tcW w:w="1505" w:type="pct"/>
          </w:tcPr>
          <w:p w:rsidR="002F0E10" w:rsidRPr="001B2A61" w:rsidP="00390FD7" w14:paraId="726004E1" w14:textId="4DF4CAA0">
            <w:pPr>
              <w:pStyle w:val="TableCellGeneralText"/>
            </w:pPr>
            <w:r>
              <w:t>Mark Reardon</w:t>
            </w:r>
          </w:p>
        </w:tc>
        <w:tc>
          <w:tcPr>
            <w:tcW w:w="963" w:type="pct"/>
          </w:tcPr>
          <w:p w:rsidR="002F0E10" w:rsidRPr="001B2A61" w:rsidP="00390FD7" w14:paraId="419DC961" w14:textId="0885BE48">
            <w:pPr>
              <w:pStyle w:val="TableCellGeneralText"/>
            </w:pPr>
            <w:r>
              <w:t>Co-COR</w:t>
            </w:r>
          </w:p>
        </w:tc>
        <w:tc>
          <w:tcPr>
            <w:tcW w:w="2532" w:type="pct"/>
            <w:noWrap/>
          </w:tcPr>
          <w:p w:rsidR="002F0E10" w:rsidRPr="001B2A61" w:rsidP="00390FD7" w14:paraId="68A83228" w14:textId="73F9D848">
            <w:pPr>
              <w:pStyle w:val="TableCellGeneralText"/>
            </w:pPr>
            <w:r>
              <w:t>(202) 402-2133</w:t>
            </w:r>
            <w:r w:rsidR="00777351">
              <w:t xml:space="preserve">; </w:t>
            </w:r>
            <w:hyperlink r:id="rId15" w:history="1">
              <w:r w:rsidRPr="00412226" w:rsidR="00777351">
                <w:rPr>
                  <w:rStyle w:val="Hyperlink"/>
                </w:rPr>
                <w:t>Mark.A.Reardon@hud.gov</w:t>
              </w:r>
            </w:hyperlink>
            <w:r w:rsidR="00777351">
              <w:t xml:space="preserve"> </w:t>
            </w:r>
          </w:p>
        </w:tc>
      </w:tr>
    </w:tbl>
    <w:p w:rsidR="00F47B87" w:rsidP="00130665" w14:paraId="53FF9801" w14:textId="2873AE70">
      <w:pPr>
        <w:spacing w:after="200" w:line="276" w:lineRule="auto"/>
      </w:pPr>
    </w:p>
    <w:sectPr w:rsidSect="00E42AF5">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206" w14:paraId="751E538B" w14:textId="32BD5DB4">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r>
          <w:rPr>
            <w:noProof/>
          </w:rPr>
          <w:t xml:space="preserve"> – Part B Supporting Statement</w:t>
        </w:r>
      </w:sdtContent>
    </w:sdt>
  </w:p>
  <w:p w:rsidR="00AA2206" w:rsidRPr="007F4005" w:rsidP="007F4005" w14:paraId="277800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AA7" w14:paraId="3E3890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B2466"/>
    <w:multiLevelType w:val="multilevel"/>
    <w:tmpl w:val="F86857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1A772A"/>
    <w:multiLevelType w:val="multilevel"/>
    <w:tmpl w:val="CBEEE7A0"/>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
    <w:nsid w:val="0A7D04E8"/>
    <w:multiLevelType w:val="hybridMultilevel"/>
    <w:tmpl w:val="BAF4C302"/>
    <w:lvl w:ilvl="0">
      <w:start w:val="3"/>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1D3101B"/>
    <w:multiLevelType w:val="hybridMultilevel"/>
    <w:tmpl w:val="0A187C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E11FBD"/>
    <w:multiLevelType w:val="hybridMultilevel"/>
    <w:tmpl w:val="87AA2B0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C5D5DAB"/>
    <w:multiLevelType w:val="hybridMultilevel"/>
    <w:tmpl w:val="53660A4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1F031D"/>
    <w:multiLevelType w:val="hybridMultilevel"/>
    <w:tmpl w:val="477486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F201B4"/>
    <w:multiLevelType w:val="hybridMultilevel"/>
    <w:tmpl w:val="0D12BA6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C73177"/>
    <w:multiLevelType w:val="hybridMultilevel"/>
    <w:tmpl w:val="409CEE8C"/>
    <w:lvl w:ilvl="0">
      <w:start w:val="1"/>
      <w:numFmt w:val="upperLetter"/>
      <w:pStyle w:val="H1PartB"/>
      <w:lvlText w:val="%1."/>
      <w:lvlJc w:val="left"/>
      <w:pPr>
        <w:ind w:left="720" w:hanging="360"/>
      </w:pPr>
      <w:rPr>
        <w:rFonts w:hint="default"/>
      </w:rPr>
    </w:lvl>
    <w:lvl w:ilvl="1" w:tentative="1">
      <w:start w:val="1"/>
      <w:numFmt w:val="lowerLetter"/>
      <w:pStyle w:val="ListBullet2-Last"/>
      <w:lvlText w:val="%2."/>
      <w:lvlJc w:val="left"/>
      <w:pPr>
        <w:ind w:left="1440" w:hanging="360"/>
      </w:pPr>
    </w:lvl>
    <w:lvl w:ilvl="2" w:tentative="1">
      <w:start w:val="1"/>
      <w:numFmt w:val="lowerRoman"/>
      <w:pStyle w:val="ListBullet3-Last"/>
      <w:lvlText w:val="%3."/>
      <w:lvlJc w:val="right"/>
      <w:pPr>
        <w:ind w:left="2160" w:hanging="180"/>
      </w:pPr>
    </w:lvl>
    <w:lvl w:ilvl="3" w:tentative="1">
      <w:start w:val="1"/>
      <w:numFmt w:val="decimal"/>
      <w:pStyle w:val="ListBullet4-Last"/>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F2233"/>
    <w:multiLevelType w:val="hybridMultilevel"/>
    <w:tmpl w:val="679067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9542C"/>
    <w:multiLevelType w:val="hybridMultilevel"/>
    <w:tmpl w:val="CD34F4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9F36F5"/>
    <w:multiLevelType w:val="hybridMultilevel"/>
    <w:tmpl w:val="183AC3C6"/>
    <w:lvl w:ilvl="0">
      <w:start w:val="1"/>
      <w:numFmt w:val="decimal"/>
      <w:pStyle w:val="H2PartB"/>
      <w:lvlText w:val="%1."/>
      <w:lvlJc w:val="left"/>
      <w:pPr>
        <w:ind w:left="720" w:hanging="360"/>
      </w:pPr>
    </w:lvl>
    <w:lvl w:ilvl="1" w:tentative="1">
      <w:start w:val="1"/>
      <w:numFmt w:val="lowerLetter"/>
      <w:pStyle w:val="ListNumber2-SingleLine"/>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5255FC"/>
    <w:multiLevelType w:val="hybridMultilevel"/>
    <w:tmpl w:val="F25091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AE20BB"/>
    <w:multiLevelType w:val="hybridMultilevel"/>
    <w:tmpl w:val="DB525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nsid w:val="363E398D"/>
    <w:multiLevelType w:val="hybridMultilevel"/>
    <w:tmpl w:val="4704CE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057305"/>
    <w:multiLevelType w:val="hybridMultilevel"/>
    <w:tmpl w:val="952AD6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5D1639"/>
    <w:multiLevelType w:val="hybridMultilevel"/>
    <w:tmpl w:val="DBE45C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CE0904"/>
    <w:multiLevelType w:val="hybridMultilevel"/>
    <w:tmpl w:val="3D985F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3559A1"/>
    <w:multiLevelType w:val="hybridMultilevel"/>
    <w:tmpl w:val="5D9CA9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EA581A"/>
    <w:multiLevelType w:val="hybridMultilevel"/>
    <w:tmpl w:val="662ABB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2B2B31"/>
    <w:multiLevelType w:val="hybridMultilevel"/>
    <w:tmpl w:val="5142DE56"/>
    <w:lvl w:ilvl="0">
      <w:start w:val="1"/>
      <w:numFmt w:val="bullet"/>
      <w:pStyle w:val="H3PartB"/>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9404CD"/>
    <w:multiLevelType w:val="hybridMultilevel"/>
    <w:tmpl w:val="BD26FA4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F4722D"/>
    <w:multiLevelType w:val="hybridMultilevel"/>
    <w:tmpl w:val="EBE081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3E7828"/>
    <w:multiLevelType w:val="hybridMultilevel"/>
    <w:tmpl w:val="439C1740"/>
    <w:styleLink w:val="NumberedList5"/>
    <w:lvl w:ilvl="0">
      <w:start w:val="1"/>
      <w:numFmt w:val="decimal"/>
      <w:lvlText w:val="%1."/>
      <w:lvlJc w:val="left"/>
      <w:pPr>
        <w:ind w:left="720" w:hanging="360"/>
      </w:pPr>
      <w:rPr>
        <w:rFonts w:hint="default"/>
        <w:b/>
      </w:rPr>
    </w:lvl>
    <w:lvl w:ilvl="1">
      <w:start w:val="1"/>
      <w:numFmt w:val="lowerLetter"/>
      <w:pStyle w:val="ListBullet2-SingleLine"/>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2658632">
    <w:abstractNumId w:val="1"/>
  </w:num>
  <w:num w:numId="2" w16cid:durableId="805128490">
    <w:abstractNumId w:val="26"/>
  </w:num>
  <w:num w:numId="3" w16cid:durableId="1622608455">
    <w:abstractNumId w:val="8"/>
  </w:num>
  <w:num w:numId="4" w16cid:durableId="797141375">
    <w:abstractNumId w:val="11"/>
  </w:num>
  <w:num w:numId="5" w16cid:durableId="782924245">
    <w:abstractNumId w:val="23"/>
  </w:num>
  <w:num w:numId="6" w16cid:durableId="1420251753">
    <w:abstractNumId w:val="5"/>
  </w:num>
  <w:num w:numId="7" w16cid:durableId="1756314788">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627053534">
    <w:abstractNumId w:val="18"/>
  </w:num>
  <w:num w:numId="9" w16cid:durableId="340743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661997">
    <w:abstractNumId w:val="23"/>
    <w:lvlOverride w:ilvl="0">
      <w:startOverride w:val="1"/>
    </w:lvlOverride>
  </w:num>
  <w:num w:numId="11" w16cid:durableId="124322715">
    <w:abstractNumId w:val="24"/>
  </w:num>
  <w:num w:numId="12" w16cid:durableId="106972124">
    <w:abstractNumId w:val="13"/>
  </w:num>
  <w:num w:numId="13" w16cid:durableId="1819420141">
    <w:abstractNumId w:val="2"/>
  </w:num>
  <w:num w:numId="14" w16cid:durableId="955136533">
    <w:abstractNumId w:val="14"/>
  </w:num>
  <w:num w:numId="15" w16cid:durableId="316299440">
    <w:abstractNumId w:val="19"/>
  </w:num>
  <w:num w:numId="16" w16cid:durableId="622075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5354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6701568">
    <w:abstractNumId w:val="4"/>
  </w:num>
  <w:num w:numId="19" w16cid:durableId="1781679516">
    <w:abstractNumId w:val="17"/>
  </w:num>
  <w:num w:numId="20" w16cid:durableId="658002785">
    <w:abstractNumId w:val="7"/>
  </w:num>
  <w:num w:numId="21" w16cid:durableId="2127119429">
    <w:abstractNumId w:val="21"/>
  </w:num>
  <w:num w:numId="22" w16cid:durableId="1603609122">
    <w:abstractNumId w:val="22"/>
  </w:num>
  <w:num w:numId="23" w16cid:durableId="764305650">
    <w:abstractNumId w:val="3"/>
  </w:num>
  <w:num w:numId="24" w16cid:durableId="2032418199">
    <w:abstractNumId w:val="16"/>
  </w:num>
  <w:num w:numId="25" w16cid:durableId="2063626426">
    <w:abstractNumId w:val="0"/>
  </w:num>
  <w:num w:numId="26" w16cid:durableId="1503858396">
    <w:abstractNumId w:val="25"/>
  </w:num>
  <w:num w:numId="27" w16cid:durableId="881870676">
    <w:abstractNumId w:val="6"/>
  </w:num>
  <w:num w:numId="28" w16cid:durableId="825166174">
    <w:abstractNumId w:val="12"/>
  </w:num>
  <w:num w:numId="29" w16cid:durableId="48112218">
    <w:abstractNumId w:val="10"/>
  </w:num>
  <w:num w:numId="30" w16cid:durableId="47728443">
    <w:abstractNumId w:val="20"/>
  </w:num>
  <w:num w:numId="31" w16cid:durableId="2002812023">
    <w:abstractNumId w:val="9"/>
  </w:num>
  <w:num w:numId="32" w16cid:durableId="59455591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05"/>
    <w:rsid w:val="000023CD"/>
    <w:rsid w:val="00002C82"/>
    <w:rsid w:val="0000397F"/>
    <w:rsid w:val="00005603"/>
    <w:rsid w:val="00012ECC"/>
    <w:rsid w:val="0001529B"/>
    <w:rsid w:val="00016B96"/>
    <w:rsid w:val="00020408"/>
    <w:rsid w:val="0002052C"/>
    <w:rsid w:val="00020E4A"/>
    <w:rsid w:val="0002166C"/>
    <w:rsid w:val="000224D6"/>
    <w:rsid w:val="000261CF"/>
    <w:rsid w:val="00031389"/>
    <w:rsid w:val="00031E3F"/>
    <w:rsid w:val="0003247F"/>
    <w:rsid w:val="00034D4D"/>
    <w:rsid w:val="00035C21"/>
    <w:rsid w:val="000363C4"/>
    <w:rsid w:val="000374A5"/>
    <w:rsid w:val="00042001"/>
    <w:rsid w:val="00043683"/>
    <w:rsid w:val="000449B9"/>
    <w:rsid w:val="00045E9C"/>
    <w:rsid w:val="0004663C"/>
    <w:rsid w:val="000470D5"/>
    <w:rsid w:val="000503E4"/>
    <w:rsid w:val="0005464A"/>
    <w:rsid w:val="00055ABC"/>
    <w:rsid w:val="00056F83"/>
    <w:rsid w:val="00061AA7"/>
    <w:rsid w:val="00063C28"/>
    <w:rsid w:val="000667F4"/>
    <w:rsid w:val="000671DD"/>
    <w:rsid w:val="00067727"/>
    <w:rsid w:val="00070EB9"/>
    <w:rsid w:val="00071166"/>
    <w:rsid w:val="00073488"/>
    <w:rsid w:val="00076DD4"/>
    <w:rsid w:val="00082A1C"/>
    <w:rsid w:val="00085F2D"/>
    <w:rsid w:val="00087AB8"/>
    <w:rsid w:val="00087FF2"/>
    <w:rsid w:val="00090380"/>
    <w:rsid w:val="000906CC"/>
    <w:rsid w:val="00091310"/>
    <w:rsid w:val="00091523"/>
    <w:rsid w:val="00093E43"/>
    <w:rsid w:val="0009412C"/>
    <w:rsid w:val="00097418"/>
    <w:rsid w:val="000A046F"/>
    <w:rsid w:val="000A0586"/>
    <w:rsid w:val="000A084E"/>
    <w:rsid w:val="000A161A"/>
    <w:rsid w:val="000A29FF"/>
    <w:rsid w:val="000A54DC"/>
    <w:rsid w:val="000A63EB"/>
    <w:rsid w:val="000A649E"/>
    <w:rsid w:val="000A6829"/>
    <w:rsid w:val="000A77EA"/>
    <w:rsid w:val="000B38C6"/>
    <w:rsid w:val="000B3DF8"/>
    <w:rsid w:val="000B4625"/>
    <w:rsid w:val="000B4C20"/>
    <w:rsid w:val="000B5724"/>
    <w:rsid w:val="000B5B2A"/>
    <w:rsid w:val="000C2D1E"/>
    <w:rsid w:val="000C709A"/>
    <w:rsid w:val="000D0015"/>
    <w:rsid w:val="000D323F"/>
    <w:rsid w:val="000D5087"/>
    <w:rsid w:val="000D5768"/>
    <w:rsid w:val="000D616E"/>
    <w:rsid w:val="000D7365"/>
    <w:rsid w:val="000E0FEF"/>
    <w:rsid w:val="000E394C"/>
    <w:rsid w:val="000E78A4"/>
    <w:rsid w:val="000F081E"/>
    <w:rsid w:val="000F0D57"/>
    <w:rsid w:val="000F32B4"/>
    <w:rsid w:val="000F4D56"/>
    <w:rsid w:val="000F4E47"/>
    <w:rsid w:val="000F5B3F"/>
    <w:rsid w:val="000F5DF2"/>
    <w:rsid w:val="00101EA9"/>
    <w:rsid w:val="00102BFC"/>
    <w:rsid w:val="00103302"/>
    <w:rsid w:val="00103B2F"/>
    <w:rsid w:val="001044BC"/>
    <w:rsid w:val="001056B6"/>
    <w:rsid w:val="001056EE"/>
    <w:rsid w:val="00105831"/>
    <w:rsid w:val="001071E9"/>
    <w:rsid w:val="0011080E"/>
    <w:rsid w:val="00111333"/>
    <w:rsid w:val="00111A04"/>
    <w:rsid w:val="0011352A"/>
    <w:rsid w:val="001135D3"/>
    <w:rsid w:val="00115841"/>
    <w:rsid w:val="0011598F"/>
    <w:rsid w:val="00116B08"/>
    <w:rsid w:val="00116B3D"/>
    <w:rsid w:val="00117C48"/>
    <w:rsid w:val="00122CA6"/>
    <w:rsid w:val="00130665"/>
    <w:rsid w:val="00131270"/>
    <w:rsid w:val="00132B9C"/>
    <w:rsid w:val="00133051"/>
    <w:rsid w:val="00134A1D"/>
    <w:rsid w:val="00134B28"/>
    <w:rsid w:val="00135C92"/>
    <w:rsid w:val="00136C1C"/>
    <w:rsid w:val="001426C6"/>
    <w:rsid w:val="001431D0"/>
    <w:rsid w:val="00146B45"/>
    <w:rsid w:val="001504CB"/>
    <w:rsid w:val="00150AA2"/>
    <w:rsid w:val="00150F2B"/>
    <w:rsid w:val="001515A3"/>
    <w:rsid w:val="00153E81"/>
    <w:rsid w:val="0015644E"/>
    <w:rsid w:val="001572EA"/>
    <w:rsid w:val="00160AD6"/>
    <w:rsid w:val="00162508"/>
    <w:rsid w:val="001650F6"/>
    <w:rsid w:val="00165654"/>
    <w:rsid w:val="00165E3D"/>
    <w:rsid w:val="001668C5"/>
    <w:rsid w:val="001708CA"/>
    <w:rsid w:val="00171CC7"/>
    <w:rsid w:val="00175838"/>
    <w:rsid w:val="00176C53"/>
    <w:rsid w:val="0018078D"/>
    <w:rsid w:val="00180976"/>
    <w:rsid w:val="001903E1"/>
    <w:rsid w:val="0019072A"/>
    <w:rsid w:val="00191314"/>
    <w:rsid w:val="00195860"/>
    <w:rsid w:val="001960C6"/>
    <w:rsid w:val="00196C91"/>
    <w:rsid w:val="00196CC9"/>
    <w:rsid w:val="001A10EB"/>
    <w:rsid w:val="001A3829"/>
    <w:rsid w:val="001B0008"/>
    <w:rsid w:val="001B05B9"/>
    <w:rsid w:val="001B2A61"/>
    <w:rsid w:val="001B3F4E"/>
    <w:rsid w:val="001B6800"/>
    <w:rsid w:val="001B6876"/>
    <w:rsid w:val="001B6D20"/>
    <w:rsid w:val="001C0BD8"/>
    <w:rsid w:val="001C0FE6"/>
    <w:rsid w:val="001C16EA"/>
    <w:rsid w:val="001C3057"/>
    <w:rsid w:val="001C6328"/>
    <w:rsid w:val="001C65A7"/>
    <w:rsid w:val="001C6F94"/>
    <w:rsid w:val="001C7546"/>
    <w:rsid w:val="001D1D0D"/>
    <w:rsid w:val="001D3541"/>
    <w:rsid w:val="001E14B2"/>
    <w:rsid w:val="001E15ED"/>
    <w:rsid w:val="001E35B8"/>
    <w:rsid w:val="001E5DD3"/>
    <w:rsid w:val="001E68FE"/>
    <w:rsid w:val="001E7949"/>
    <w:rsid w:val="001E7A1F"/>
    <w:rsid w:val="001F0F17"/>
    <w:rsid w:val="001F2347"/>
    <w:rsid w:val="001F51A1"/>
    <w:rsid w:val="001F5B76"/>
    <w:rsid w:val="001F68C5"/>
    <w:rsid w:val="00200F95"/>
    <w:rsid w:val="00202CEA"/>
    <w:rsid w:val="0020584B"/>
    <w:rsid w:val="00206FD5"/>
    <w:rsid w:val="0020715A"/>
    <w:rsid w:val="002104B1"/>
    <w:rsid w:val="00211784"/>
    <w:rsid w:val="002125E9"/>
    <w:rsid w:val="00212DAF"/>
    <w:rsid w:val="00215BB1"/>
    <w:rsid w:val="00216EF0"/>
    <w:rsid w:val="00224AA6"/>
    <w:rsid w:val="00227705"/>
    <w:rsid w:val="002334F8"/>
    <w:rsid w:val="002368BC"/>
    <w:rsid w:val="00240CB9"/>
    <w:rsid w:val="0024283B"/>
    <w:rsid w:val="00243B71"/>
    <w:rsid w:val="00250462"/>
    <w:rsid w:val="00252F65"/>
    <w:rsid w:val="002561CB"/>
    <w:rsid w:val="00264D42"/>
    <w:rsid w:val="00266AE7"/>
    <w:rsid w:val="002826A8"/>
    <w:rsid w:val="0028757B"/>
    <w:rsid w:val="0029220E"/>
    <w:rsid w:val="0029345C"/>
    <w:rsid w:val="00293A95"/>
    <w:rsid w:val="00294029"/>
    <w:rsid w:val="002962E6"/>
    <w:rsid w:val="00296BD3"/>
    <w:rsid w:val="002A4A50"/>
    <w:rsid w:val="002A53DB"/>
    <w:rsid w:val="002A6027"/>
    <w:rsid w:val="002B00B4"/>
    <w:rsid w:val="002B0371"/>
    <w:rsid w:val="002B0C1B"/>
    <w:rsid w:val="002B2A98"/>
    <w:rsid w:val="002B6992"/>
    <w:rsid w:val="002B6BC8"/>
    <w:rsid w:val="002B7945"/>
    <w:rsid w:val="002C07EF"/>
    <w:rsid w:val="002C505A"/>
    <w:rsid w:val="002C65DC"/>
    <w:rsid w:val="002D0607"/>
    <w:rsid w:val="002D0E45"/>
    <w:rsid w:val="002D614D"/>
    <w:rsid w:val="002E1D35"/>
    <w:rsid w:val="002E2102"/>
    <w:rsid w:val="002E3DEE"/>
    <w:rsid w:val="002E4CEA"/>
    <w:rsid w:val="002E768D"/>
    <w:rsid w:val="002E7B7E"/>
    <w:rsid w:val="002F0E10"/>
    <w:rsid w:val="002F0F16"/>
    <w:rsid w:val="002F12B2"/>
    <w:rsid w:val="002F1C8C"/>
    <w:rsid w:val="002F28B6"/>
    <w:rsid w:val="002F321F"/>
    <w:rsid w:val="002F5A9A"/>
    <w:rsid w:val="00301207"/>
    <w:rsid w:val="00301831"/>
    <w:rsid w:val="00304BC4"/>
    <w:rsid w:val="0030644C"/>
    <w:rsid w:val="003105B1"/>
    <w:rsid w:val="00310C79"/>
    <w:rsid w:val="00311604"/>
    <w:rsid w:val="00315792"/>
    <w:rsid w:val="00323F3D"/>
    <w:rsid w:val="00324425"/>
    <w:rsid w:val="00324D05"/>
    <w:rsid w:val="00324D30"/>
    <w:rsid w:val="003252C7"/>
    <w:rsid w:val="0032616C"/>
    <w:rsid w:val="0033021A"/>
    <w:rsid w:val="00332390"/>
    <w:rsid w:val="00332CB0"/>
    <w:rsid w:val="00333EE1"/>
    <w:rsid w:val="00335150"/>
    <w:rsid w:val="0033664E"/>
    <w:rsid w:val="00336747"/>
    <w:rsid w:val="00337BC6"/>
    <w:rsid w:val="0034247D"/>
    <w:rsid w:val="0034721B"/>
    <w:rsid w:val="00351451"/>
    <w:rsid w:val="00351A1A"/>
    <w:rsid w:val="00354600"/>
    <w:rsid w:val="0035724F"/>
    <w:rsid w:val="003609C6"/>
    <w:rsid w:val="00360B0E"/>
    <w:rsid w:val="00362BE2"/>
    <w:rsid w:val="003656F1"/>
    <w:rsid w:val="00371A0C"/>
    <w:rsid w:val="00372A9F"/>
    <w:rsid w:val="00373833"/>
    <w:rsid w:val="003738A9"/>
    <w:rsid w:val="0037713E"/>
    <w:rsid w:val="003779FF"/>
    <w:rsid w:val="0038195E"/>
    <w:rsid w:val="00384FDE"/>
    <w:rsid w:val="0038512A"/>
    <w:rsid w:val="00390FD7"/>
    <w:rsid w:val="003916D7"/>
    <w:rsid w:val="003919EC"/>
    <w:rsid w:val="0039613F"/>
    <w:rsid w:val="00396D87"/>
    <w:rsid w:val="003A26CB"/>
    <w:rsid w:val="003A4C91"/>
    <w:rsid w:val="003A750C"/>
    <w:rsid w:val="003B086D"/>
    <w:rsid w:val="003B1456"/>
    <w:rsid w:val="003B5627"/>
    <w:rsid w:val="003B5E69"/>
    <w:rsid w:val="003C086C"/>
    <w:rsid w:val="003C08A9"/>
    <w:rsid w:val="003C0D4A"/>
    <w:rsid w:val="003C23D7"/>
    <w:rsid w:val="003C5AC4"/>
    <w:rsid w:val="003C5F8A"/>
    <w:rsid w:val="003C619E"/>
    <w:rsid w:val="003D7257"/>
    <w:rsid w:val="003E0A1C"/>
    <w:rsid w:val="003E0FEA"/>
    <w:rsid w:val="003E10C8"/>
    <w:rsid w:val="003E15B2"/>
    <w:rsid w:val="003E259B"/>
    <w:rsid w:val="003E7B2D"/>
    <w:rsid w:val="00400AB1"/>
    <w:rsid w:val="00400B40"/>
    <w:rsid w:val="00401BBE"/>
    <w:rsid w:val="00405198"/>
    <w:rsid w:val="00412226"/>
    <w:rsid w:val="00412390"/>
    <w:rsid w:val="00415E25"/>
    <w:rsid w:val="0041678C"/>
    <w:rsid w:val="0042073C"/>
    <w:rsid w:val="00421230"/>
    <w:rsid w:val="00421C65"/>
    <w:rsid w:val="00422728"/>
    <w:rsid w:val="00422B17"/>
    <w:rsid w:val="004232D0"/>
    <w:rsid w:val="00423CC6"/>
    <w:rsid w:val="00431624"/>
    <w:rsid w:val="00431BBE"/>
    <w:rsid w:val="00432F20"/>
    <w:rsid w:val="0043350C"/>
    <w:rsid w:val="004338C0"/>
    <w:rsid w:val="00434C93"/>
    <w:rsid w:val="0043604E"/>
    <w:rsid w:val="00436234"/>
    <w:rsid w:val="004405BC"/>
    <w:rsid w:val="00440B16"/>
    <w:rsid w:val="00440DFA"/>
    <w:rsid w:val="0044137A"/>
    <w:rsid w:val="00441671"/>
    <w:rsid w:val="00442901"/>
    <w:rsid w:val="00442FE2"/>
    <w:rsid w:val="0044627A"/>
    <w:rsid w:val="004464E2"/>
    <w:rsid w:val="00451CF6"/>
    <w:rsid w:val="004539E9"/>
    <w:rsid w:val="0045412B"/>
    <w:rsid w:val="0045510D"/>
    <w:rsid w:val="00455332"/>
    <w:rsid w:val="0045601C"/>
    <w:rsid w:val="00456A6C"/>
    <w:rsid w:val="00461189"/>
    <w:rsid w:val="00462638"/>
    <w:rsid w:val="00462E76"/>
    <w:rsid w:val="0046320B"/>
    <w:rsid w:val="00463723"/>
    <w:rsid w:val="00465ED0"/>
    <w:rsid w:val="0047004E"/>
    <w:rsid w:val="00471DDE"/>
    <w:rsid w:val="00473206"/>
    <w:rsid w:val="00475773"/>
    <w:rsid w:val="004758AE"/>
    <w:rsid w:val="0048474C"/>
    <w:rsid w:val="004847E2"/>
    <w:rsid w:val="0048652B"/>
    <w:rsid w:val="00486B6D"/>
    <w:rsid w:val="00490BED"/>
    <w:rsid w:val="004918EA"/>
    <w:rsid w:val="00491FBF"/>
    <w:rsid w:val="00492AC8"/>
    <w:rsid w:val="00493A6E"/>
    <w:rsid w:val="00496C93"/>
    <w:rsid w:val="004A0BF4"/>
    <w:rsid w:val="004A164D"/>
    <w:rsid w:val="004A2D92"/>
    <w:rsid w:val="004A38D2"/>
    <w:rsid w:val="004B2ED8"/>
    <w:rsid w:val="004B525A"/>
    <w:rsid w:val="004B5E59"/>
    <w:rsid w:val="004C1ED7"/>
    <w:rsid w:val="004C36D4"/>
    <w:rsid w:val="004C54D9"/>
    <w:rsid w:val="004C69C2"/>
    <w:rsid w:val="004C7866"/>
    <w:rsid w:val="004D138C"/>
    <w:rsid w:val="004D16FF"/>
    <w:rsid w:val="004D346A"/>
    <w:rsid w:val="004D35E4"/>
    <w:rsid w:val="004D3E67"/>
    <w:rsid w:val="004D5244"/>
    <w:rsid w:val="004E534E"/>
    <w:rsid w:val="004F0886"/>
    <w:rsid w:val="004F0F18"/>
    <w:rsid w:val="004F109F"/>
    <w:rsid w:val="004F4A8F"/>
    <w:rsid w:val="004F6239"/>
    <w:rsid w:val="0050197C"/>
    <w:rsid w:val="005038A6"/>
    <w:rsid w:val="005075F2"/>
    <w:rsid w:val="005123E4"/>
    <w:rsid w:val="00514B06"/>
    <w:rsid w:val="005163A2"/>
    <w:rsid w:val="00516546"/>
    <w:rsid w:val="0051662D"/>
    <w:rsid w:val="005166CF"/>
    <w:rsid w:val="00517D9E"/>
    <w:rsid w:val="005219F7"/>
    <w:rsid w:val="00522B71"/>
    <w:rsid w:val="0052549F"/>
    <w:rsid w:val="0052563B"/>
    <w:rsid w:val="00525B35"/>
    <w:rsid w:val="00531F07"/>
    <w:rsid w:val="00535791"/>
    <w:rsid w:val="00536037"/>
    <w:rsid w:val="005408E7"/>
    <w:rsid w:val="00544BA4"/>
    <w:rsid w:val="0054627C"/>
    <w:rsid w:val="00552DE3"/>
    <w:rsid w:val="00554317"/>
    <w:rsid w:val="00554E1F"/>
    <w:rsid w:val="005552FB"/>
    <w:rsid w:val="00555480"/>
    <w:rsid w:val="0056340F"/>
    <w:rsid w:val="00563D0B"/>
    <w:rsid w:val="00564E3D"/>
    <w:rsid w:val="005659E8"/>
    <w:rsid w:val="00570ACB"/>
    <w:rsid w:val="005753BE"/>
    <w:rsid w:val="00575703"/>
    <w:rsid w:val="005828EC"/>
    <w:rsid w:val="00582948"/>
    <w:rsid w:val="0058723B"/>
    <w:rsid w:val="005929F6"/>
    <w:rsid w:val="00592D5B"/>
    <w:rsid w:val="0059519B"/>
    <w:rsid w:val="00595C1B"/>
    <w:rsid w:val="00595C39"/>
    <w:rsid w:val="00596369"/>
    <w:rsid w:val="00597562"/>
    <w:rsid w:val="00597A64"/>
    <w:rsid w:val="005A2C04"/>
    <w:rsid w:val="005A2FF8"/>
    <w:rsid w:val="005A3827"/>
    <w:rsid w:val="005A4EBE"/>
    <w:rsid w:val="005A54A6"/>
    <w:rsid w:val="005A7081"/>
    <w:rsid w:val="005B4384"/>
    <w:rsid w:val="005B49FB"/>
    <w:rsid w:val="005B4B65"/>
    <w:rsid w:val="005C0324"/>
    <w:rsid w:val="005C0660"/>
    <w:rsid w:val="005C09E1"/>
    <w:rsid w:val="005C14D1"/>
    <w:rsid w:val="005C3B3F"/>
    <w:rsid w:val="005C7437"/>
    <w:rsid w:val="005D211C"/>
    <w:rsid w:val="005D44A3"/>
    <w:rsid w:val="005D5630"/>
    <w:rsid w:val="005D622F"/>
    <w:rsid w:val="005D7F44"/>
    <w:rsid w:val="005E191C"/>
    <w:rsid w:val="005E1925"/>
    <w:rsid w:val="005E2195"/>
    <w:rsid w:val="005E65E7"/>
    <w:rsid w:val="005F14CB"/>
    <w:rsid w:val="005F2019"/>
    <w:rsid w:val="005F58ED"/>
    <w:rsid w:val="00600F5E"/>
    <w:rsid w:val="00601A83"/>
    <w:rsid w:val="0060238C"/>
    <w:rsid w:val="0060323A"/>
    <w:rsid w:val="00607001"/>
    <w:rsid w:val="00607DF6"/>
    <w:rsid w:val="00612768"/>
    <w:rsid w:val="006130C9"/>
    <w:rsid w:val="00613BB9"/>
    <w:rsid w:val="0061659A"/>
    <w:rsid w:val="00617BFD"/>
    <w:rsid w:val="00617FB5"/>
    <w:rsid w:val="00621D48"/>
    <w:rsid w:val="006239F7"/>
    <w:rsid w:val="006246F3"/>
    <w:rsid w:val="00624F2D"/>
    <w:rsid w:val="00632CC1"/>
    <w:rsid w:val="0063407C"/>
    <w:rsid w:val="006346C7"/>
    <w:rsid w:val="00635C87"/>
    <w:rsid w:val="00637B25"/>
    <w:rsid w:val="0064177B"/>
    <w:rsid w:val="00641E53"/>
    <w:rsid w:val="00644400"/>
    <w:rsid w:val="00644740"/>
    <w:rsid w:val="006464FE"/>
    <w:rsid w:val="00646578"/>
    <w:rsid w:val="00653101"/>
    <w:rsid w:val="0065391C"/>
    <w:rsid w:val="006557A3"/>
    <w:rsid w:val="00656BB9"/>
    <w:rsid w:val="00656D12"/>
    <w:rsid w:val="00656F2C"/>
    <w:rsid w:val="00660AEB"/>
    <w:rsid w:val="0066232D"/>
    <w:rsid w:val="00663434"/>
    <w:rsid w:val="0066491D"/>
    <w:rsid w:val="00666B58"/>
    <w:rsid w:val="00666C67"/>
    <w:rsid w:val="00670722"/>
    <w:rsid w:val="00670BE5"/>
    <w:rsid w:val="00670C47"/>
    <w:rsid w:val="00672BDF"/>
    <w:rsid w:val="00673218"/>
    <w:rsid w:val="0067446B"/>
    <w:rsid w:val="006766CE"/>
    <w:rsid w:val="00676C5D"/>
    <w:rsid w:val="00677859"/>
    <w:rsid w:val="00680FD9"/>
    <w:rsid w:val="00682B25"/>
    <w:rsid w:val="0068544B"/>
    <w:rsid w:val="00686528"/>
    <w:rsid w:val="00687D09"/>
    <w:rsid w:val="00691B71"/>
    <w:rsid w:val="00692062"/>
    <w:rsid w:val="00693D32"/>
    <w:rsid w:val="006959D9"/>
    <w:rsid w:val="00697A2A"/>
    <w:rsid w:val="006A0E01"/>
    <w:rsid w:val="006A756D"/>
    <w:rsid w:val="006B0A4A"/>
    <w:rsid w:val="006B16EE"/>
    <w:rsid w:val="006B1FED"/>
    <w:rsid w:val="006B3EA7"/>
    <w:rsid w:val="006B4C20"/>
    <w:rsid w:val="006C061E"/>
    <w:rsid w:val="006C0922"/>
    <w:rsid w:val="006C24F1"/>
    <w:rsid w:val="006C56BC"/>
    <w:rsid w:val="006C6F40"/>
    <w:rsid w:val="006D0D9C"/>
    <w:rsid w:val="006D1E71"/>
    <w:rsid w:val="006D2245"/>
    <w:rsid w:val="006E0799"/>
    <w:rsid w:val="006E2FFC"/>
    <w:rsid w:val="006E4C17"/>
    <w:rsid w:val="006E5DF7"/>
    <w:rsid w:val="006E6477"/>
    <w:rsid w:val="006E72D9"/>
    <w:rsid w:val="006F14AC"/>
    <w:rsid w:val="006F5B09"/>
    <w:rsid w:val="006F6CE4"/>
    <w:rsid w:val="007020E6"/>
    <w:rsid w:val="00704BF1"/>
    <w:rsid w:val="00707E58"/>
    <w:rsid w:val="007110E9"/>
    <w:rsid w:val="00711A8E"/>
    <w:rsid w:val="00714C77"/>
    <w:rsid w:val="00715B78"/>
    <w:rsid w:val="00717AB4"/>
    <w:rsid w:val="00721418"/>
    <w:rsid w:val="007219D3"/>
    <w:rsid w:val="007263FB"/>
    <w:rsid w:val="00726444"/>
    <w:rsid w:val="0073043D"/>
    <w:rsid w:val="00732D9D"/>
    <w:rsid w:val="00735A39"/>
    <w:rsid w:val="00736CD9"/>
    <w:rsid w:val="00737AFF"/>
    <w:rsid w:val="00742F11"/>
    <w:rsid w:val="007432E2"/>
    <w:rsid w:val="00743647"/>
    <w:rsid w:val="00745DA9"/>
    <w:rsid w:val="00746EF3"/>
    <w:rsid w:val="007473B6"/>
    <w:rsid w:val="00747A4A"/>
    <w:rsid w:val="0075014E"/>
    <w:rsid w:val="0075335D"/>
    <w:rsid w:val="00756CEC"/>
    <w:rsid w:val="007606E0"/>
    <w:rsid w:val="00761C76"/>
    <w:rsid w:val="00761FC0"/>
    <w:rsid w:val="007674C3"/>
    <w:rsid w:val="00767A02"/>
    <w:rsid w:val="00770366"/>
    <w:rsid w:val="00773E59"/>
    <w:rsid w:val="0077501E"/>
    <w:rsid w:val="00777351"/>
    <w:rsid w:val="00781DF9"/>
    <w:rsid w:val="007843C7"/>
    <w:rsid w:val="00784B51"/>
    <w:rsid w:val="007868F4"/>
    <w:rsid w:val="00791AE3"/>
    <w:rsid w:val="00796BB4"/>
    <w:rsid w:val="007972B4"/>
    <w:rsid w:val="0079737C"/>
    <w:rsid w:val="00797B5F"/>
    <w:rsid w:val="007A00E0"/>
    <w:rsid w:val="007A2965"/>
    <w:rsid w:val="007A534E"/>
    <w:rsid w:val="007A7CFE"/>
    <w:rsid w:val="007B14A0"/>
    <w:rsid w:val="007B34D1"/>
    <w:rsid w:val="007B57A5"/>
    <w:rsid w:val="007B5CC6"/>
    <w:rsid w:val="007C4C1D"/>
    <w:rsid w:val="007C64E9"/>
    <w:rsid w:val="007C673C"/>
    <w:rsid w:val="007C7176"/>
    <w:rsid w:val="007D1880"/>
    <w:rsid w:val="007D28CC"/>
    <w:rsid w:val="007D4300"/>
    <w:rsid w:val="007D7DA6"/>
    <w:rsid w:val="007E32A3"/>
    <w:rsid w:val="007E4FDF"/>
    <w:rsid w:val="007E58F2"/>
    <w:rsid w:val="007E67F6"/>
    <w:rsid w:val="007F0D9C"/>
    <w:rsid w:val="007F2B2D"/>
    <w:rsid w:val="007F4005"/>
    <w:rsid w:val="007F6959"/>
    <w:rsid w:val="007F7958"/>
    <w:rsid w:val="007F7AD4"/>
    <w:rsid w:val="0080004A"/>
    <w:rsid w:val="00800F4F"/>
    <w:rsid w:val="0080240E"/>
    <w:rsid w:val="008042FB"/>
    <w:rsid w:val="008049D9"/>
    <w:rsid w:val="0080595D"/>
    <w:rsid w:val="00812F1E"/>
    <w:rsid w:val="00813D3F"/>
    <w:rsid w:val="008210AB"/>
    <w:rsid w:val="00821159"/>
    <w:rsid w:val="008237AF"/>
    <w:rsid w:val="00825AF7"/>
    <w:rsid w:val="0082666B"/>
    <w:rsid w:val="00826A9E"/>
    <w:rsid w:val="00832A6D"/>
    <w:rsid w:val="00834801"/>
    <w:rsid w:val="00834B87"/>
    <w:rsid w:val="0083754B"/>
    <w:rsid w:val="00837C4F"/>
    <w:rsid w:val="0084087A"/>
    <w:rsid w:val="00841543"/>
    <w:rsid w:val="00842770"/>
    <w:rsid w:val="0084380D"/>
    <w:rsid w:val="008450A1"/>
    <w:rsid w:val="008463CD"/>
    <w:rsid w:val="00846BCC"/>
    <w:rsid w:val="00846C7C"/>
    <w:rsid w:val="0085048A"/>
    <w:rsid w:val="0085068B"/>
    <w:rsid w:val="00855DEC"/>
    <w:rsid w:val="00863559"/>
    <w:rsid w:val="008635B3"/>
    <w:rsid w:val="00863B9C"/>
    <w:rsid w:val="00866902"/>
    <w:rsid w:val="00866EBB"/>
    <w:rsid w:val="008670A9"/>
    <w:rsid w:val="0086729E"/>
    <w:rsid w:val="00867CEF"/>
    <w:rsid w:val="008706AD"/>
    <w:rsid w:val="00871454"/>
    <w:rsid w:val="008726BF"/>
    <w:rsid w:val="00872D65"/>
    <w:rsid w:val="008752C4"/>
    <w:rsid w:val="00875ED8"/>
    <w:rsid w:val="008765BA"/>
    <w:rsid w:val="00876FEB"/>
    <w:rsid w:val="0088395D"/>
    <w:rsid w:val="008844CF"/>
    <w:rsid w:val="0088495F"/>
    <w:rsid w:val="008860B8"/>
    <w:rsid w:val="0088676B"/>
    <w:rsid w:val="00886E04"/>
    <w:rsid w:val="00893C81"/>
    <w:rsid w:val="00894595"/>
    <w:rsid w:val="00895231"/>
    <w:rsid w:val="008A1EA6"/>
    <w:rsid w:val="008A41F6"/>
    <w:rsid w:val="008A6EEF"/>
    <w:rsid w:val="008A7778"/>
    <w:rsid w:val="008A7A7D"/>
    <w:rsid w:val="008B22F2"/>
    <w:rsid w:val="008B26E6"/>
    <w:rsid w:val="008B46D2"/>
    <w:rsid w:val="008B4965"/>
    <w:rsid w:val="008B6ECD"/>
    <w:rsid w:val="008C0966"/>
    <w:rsid w:val="008C1BB0"/>
    <w:rsid w:val="008C70AE"/>
    <w:rsid w:val="008D253B"/>
    <w:rsid w:val="008D3A58"/>
    <w:rsid w:val="008D3D03"/>
    <w:rsid w:val="008D3E20"/>
    <w:rsid w:val="008E099A"/>
    <w:rsid w:val="008E1494"/>
    <w:rsid w:val="008E26AD"/>
    <w:rsid w:val="008E35DD"/>
    <w:rsid w:val="008E36B8"/>
    <w:rsid w:val="008E67C3"/>
    <w:rsid w:val="008F09DD"/>
    <w:rsid w:val="008F2C28"/>
    <w:rsid w:val="0090323E"/>
    <w:rsid w:val="00903C04"/>
    <w:rsid w:val="009052F9"/>
    <w:rsid w:val="00906394"/>
    <w:rsid w:val="009066CB"/>
    <w:rsid w:val="00907C3A"/>
    <w:rsid w:val="00912E38"/>
    <w:rsid w:val="00913164"/>
    <w:rsid w:val="00915A56"/>
    <w:rsid w:val="00915C18"/>
    <w:rsid w:val="009206EF"/>
    <w:rsid w:val="009211F5"/>
    <w:rsid w:val="009225CA"/>
    <w:rsid w:val="00922B15"/>
    <w:rsid w:val="00924984"/>
    <w:rsid w:val="00924CCF"/>
    <w:rsid w:val="0092602E"/>
    <w:rsid w:val="00926527"/>
    <w:rsid w:val="0093111B"/>
    <w:rsid w:val="009326D2"/>
    <w:rsid w:val="0093284E"/>
    <w:rsid w:val="00936231"/>
    <w:rsid w:val="009364F0"/>
    <w:rsid w:val="00936670"/>
    <w:rsid w:val="00941792"/>
    <w:rsid w:val="00941D8B"/>
    <w:rsid w:val="00944284"/>
    <w:rsid w:val="00944C52"/>
    <w:rsid w:val="00944D19"/>
    <w:rsid w:val="00950C38"/>
    <w:rsid w:val="00960AF6"/>
    <w:rsid w:val="00962F89"/>
    <w:rsid w:val="009654FF"/>
    <w:rsid w:val="00965947"/>
    <w:rsid w:val="00965C55"/>
    <w:rsid w:val="009668EB"/>
    <w:rsid w:val="00966976"/>
    <w:rsid w:val="00967088"/>
    <w:rsid w:val="00971133"/>
    <w:rsid w:val="00977ED6"/>
    <w:rsid w:val="00983264"/>
    <w:rsid w:val="009842FA"/>
    <w:rsid w:val="00985550"/>
    <w:rsid w:val="009860FB"/>
    <w:rsid w:val="00990D49"/>
    <w:rsid w:val="009916C6"/>
    <w:rsid w:val="00993250"/>
    <w:rsid w:val="00993A47"/>
    <w:rsid w:val="009966BE"/>
    <w:rsid w:val="00996930"/>
    <w:rsid w:val="009974E5"/>
    <w:rsid w:val="009975CC"/>
    <w:rsid w:val="00997B94"/>
    <w:rsid w:val="009A0AC2"/>
    <w:rsid w:val="009A7316"/>
    <w:rsid w:val="009B36FE"/>
    <w:rsid w:val="009B5886"/>
    <w:rsid w:val="009B6A19"/>
    <w:rsid w:val="009B7EB7"/>
    <w:rsid w:val="009C1D43"/>
    <w:rsid w:val="009C2248"/>
    <w:rsid w:val="009C4D87"/>
    <w:rsid w:val="009C56C5"/>
    <w:rsid w:val="009C5A54"/>
    <w:rsid w:val="009C6B13"/>
    <w:rsid w:val="009D0803"/>
    <w:rsid w:val="009D090E"/>
    <w:rsid w:val="009D2317"/>
    <w:rsid w:val="009D2900"/>
    <w:rsid w:val="009D4869"/>
    <w:rsid w:val="009E150F"/>
    <w:rsid w:val="009E4ABC"/>
    <w:rsid w:val="009E4B5D"/>
    <w:rsid w:val="009E6FC4"/>
    <w:rsid w:val="009F24C7"/>
    <w:rsid w:val="009F273F"/>
    <w:rsid w:val="009F355E"/>
    <w:rsid w:val="009F6125"/>
    <w:rsid w:val="00A01997"/>
    <w:rsid w:val="00A02EB8"/>
    <w:rsid w:val="00A05944"/>
    <w:rsid w:val="00A05D85"/>
    <w:rsid w:val="00A12214"/>
    <w:rsid w:val="00A13A66"/>
    <w:rsid w:val="00A13C09"/>
    <w:rsid w:val="00A14462"/>
    <w:rsid w:val="00A16311"/>
    <w:rsid w:val="00A20DFE"/>
    <w:rsid w:val="00A230D6"/>
    <w:rsid w:val="00A26DF2"/>
    <w:rsid w:val="00A272F1"/>
    <w:rsid w:val="00A34BFE"/>
    <w:rsid w:val="00A35260"/>
    <w:rsid w:val="00A358BA"/>
    <w:rsid w:val="00A35A4C"/>
    <w:rsid w:val="00A35EAE"/>
    <w:rsid w:val="00A40FD5"/>
    <w:rsid w:val="00A42724"/>
    <w:rsid w:val="00A4500F"/>
    <w:rsid w:val="00A476FE"/>
    <w:rsid w:val="00A47B84"/>
    <w:rsid w:val="00A52E6A"/>
    <w:rsid w:val="00A5330D"/>
    <w:rsid w:val="00A53C66"/>
    <w:rsid w:val="00A54144"/>
    <w:rsid w:val="00A56080"/>
    <w:rsid w:val="00A576BF"/>
    <w:rsid w:val="00A63F95"/>
    <w:rsid w:val="00A64055"/>
    <w:rsid w:val="00A65C6B"/>
    <w:rsid w:val="00A70C62"/>
    <w:rsid w:val="00A71217"/>
    <w:rsid w:val="00A71653"/>
    <w:rsid w:val="00A72DB9"/>
    <w:rsid w:val="00A7368B"/>
    <w:rsid w:val="00A772AD"/>
    <w:rsid w:val="00A80207"/>
    <w:rsid w:val="00A824AB"/>
    <w:rsid w:val="00A84CE0"/>
    <w:rsid w:val="00A87531"/>
    <w:rsid w:val="00A879E8"/>
    <w:rsid w:val="00A87A06"/>
    <w:rsid w:val="00A91797"/>
    <w:rsid w:val="00A925EF"/>
    <w:rsid w:val="00A951FE"/>
    <w:rsid w:val="00A957E9"/>
    <w:rsid w:val="00AA2206"/>
    <w:rsid w:val="00AA2397"/>
    <w:rsid w:val="00AA306E"/>
    <w:rsid w:val="00AA50D4"/>
    <w:rsid w:val="00AA691D"/>
    <w:rsid w:val="00AA7F95"/>
    <w:rsid w:val="00AB05D7"/>
    <w:rsid w:val="00AB0FAE"/>
    <w:rsid w:val="00AB25B4"/>
    <w:rsid w:val="00AB2E42"/>
    <w:rsid w:val="00AB323D"/>
    <w:rsid w:val="00AB4E94"/>
    <w:rsid w:val="00AB582D"/>
    <w:rsid w:val="00AB63EB"/>
    <w:rsid w:val="00AB7E6D"/>
    <w:rsid w:val="00AC08F4"/>
    <w:rsid w:val="00AC1CCF"/>
    <w:rsid w:val="00AD11D7"/>
    <w:rsid w:val="00AD1A08"/>
    <w:rsid w:val="00AD49DB"/>
    <w:rsid w:val="00AD4BB4"/>
    <w:rsid w:val="00AD5BE1"/>
    <w:rsid w:val="00AE23E4"/>
    <w:rsid w:val="00AE28E7"/>
    <w:rsid w:val="00AE37A0"/>
    <w:rsid w:val="00AE5002"/>
    <w:rsid w:val="00AE6B46"/>
    <w:rsid w:val="00AE6FB5"/>
    <w:rsid w:val="00AE7B42"/>
    <w:rsid w:val="00AF423D"/>
    <w:rsid w:val="00AF5157"/>
    <w:rsid w:val="00AF5669"/>
    <w:rsid w:val="00AF5729"/>
    <w:rsid w:val="00B00032"/>
    <w:rsid w:val="00B00CF8"/>
    <w:rsid w:val="00B014F9"/>
    <w:rsid w:val="00B0683A"/>
    <w:rsid w:val="00B10496"/>
    <w:rsid w:val="00B20720"/>
    <w:rsid w:val="00B20AA7"/>
    <w:rsid w:val="00B228FF"/>
    <w:rsid w:val="00B25F16"/>
    <w:rsid w:val="00B2765B"/>
    <w:rsid w:val="00B340F8"/>
    <w:rsid w:val="00B37E7C"/>
    <w:rsid w:val="00B404A2"/>
    <w:rsid w:val="00B42516"/>
    <w:rsid w:val="00B50272"/>
    <w:rsid w:val="00B5269D"/>
    <w:rsid w:val="00B53D8C"/>
    <w:rsid w:val="00B6038F"/>
    <w:rsid w:val="00B64415"/>
    <w:rsid w:val="00B66519"/>
    <w:rsid w:val="00B707A2"/>
    <w:rsid w:val="00B720A7"/>
    <w:rsid w:val="00B72DC8"/>
    <w:rsid w:val="00B7364A"/>
    <w:rsid w:val="00B77700"/>
    <w:rsid w:val="00B8708E"/>
    <w:rsid w:val="00B8767D"/>
    <w:rsid w:val="00B9079B"/>
    <w:rsid w:val="00B92746"/>
    <w:rsid w:val="00B95073"/>
    <w:rsid w:val="00B9714C"/>
    <w:rsid w:val="00BA101E"/>
    <w:rsid w:val="00BA1675"/>
    <w:rsid w:val="00BA1885"/>
    <w:rsid w:val="00BA3D78"/>
    <w:rsid w:val="00BA4481"/>
    <w:rsid w:val="00BA46BE"/>
    <w:rsid w:val="00BB1DF1"/>
    <w:rsid w:val="00BB6BE6"/>
    <w:rsid w:val="00BB79BA"/>
    <w:rsid w:val="00BC6CF2"/>
    <w:rsid w:val="00BD1854"/>
    <w:rsid w:val="00BD426B"/>
    <w:rsid w:val="00BD4586"/>
    <w:rsid w:val="00BD4BC7"/>
    <w:rsid w:val="00BE08ED"/>
    <w:rsid w:val="00BE21C2"/>
    <w:rsid w:val="00BE2A63"/>
    <w:rsid w:val="00BE38FE"/>
    <w:rsid w:val="00BE3B67"/>
    <w:rsid w:val="00BE65F0"/>
    <w:rsid w:val="00BE7071"/>
    <w:rsid w:val="00BF03E9"/>
    <w:rsid w:val="00BF0B15"/>
    <w:rsid w:val="00BF1089"/>
    <w:rsid w:val="00BF5B2D"/>
    <w:rsid w:val="00BF5C71"/>
    <w:rsid w:val="00BF7E70"/>
    <w:rsid w:val="00C011D8"/>
    <w:rsid w:val="00C01C17"/>
    <w:rsid w:val="00C0364C"/>
    <w:rsid w:val="00C03FBA"/>
    <w:rsid w:val="00C0463E"/>
    <w:rsid w:val="00C118A3"/>
    <w:rsid w:val="00C12A1F"/>
    <w:rsid w:val="00C12FF8"/>
    <w:rsid w:val="00C1753F"/>
    <w:rsid w:val="00C21469"/>
    <w:rsid w:val="00C25801"/>
    <w:rsid w:val="00C34D95"/>
    <w:rsid w:val="00C34E00"/>
    <w:rsid w:val="00C3676A"/>
    <w:rsid w:val="00C37374"/>
    <w:rsid w:val="00C37473"/>
    <w:rsid w:val="00C42404"/>
    <w:rsid w:val="00C43247"/>
    <w:rsid w:val="00C4553C"/>
    <w:rsid w:val="00C459E6"/>
    <w:rsid w:val="00C46E56"/>
    <w:rsid w:val="00C47270"/>
    <w:rsid w:val="00C47A9C"/>
    <w:rsid w:val="00C5363C"/>
    <w:rsid w:val="00C53B70"/>
    <w:rsid w:val="00C543C9"/>
    <w:rsid w:val="00C565AB"/>
    <w:rsid w:val="00C57A07"/>
    <w:rsid w:val="00C611E9"/>
    <w:rsid w:val="00C61FF9"/>
    <w:rsid w:val="00C6680B"/>
    <w:rsid w:val="00C706EA"/>
    <w:rsid w:val="00C7276D"/>
    <w:rsid w:val="00C737CD"/>
    <w:rsid w:val="00C74157"/>
    <w:rsid w:val="00C745BA"/>
    <w:rsid w:val="00C76D11"/>
    <w:rsid w:val="00C808A1"/>
    <w:rsid w:val="00C80AFF"/>
    <w:rsid w:val="00C80C97"/>
    <w:rsid w:val="00C86A60"/>
    <w:rsid w:val="00C9038C"/>
    <w:rsid w:val="00C93902"/>
    <w:rsid w:val="00C94006"/>
    <w:rsid w:val="00C95D9F"/>
    <w:rsid w:val="00C96FB8"/>
    <w:rsid w:val="00C97765"/>
    <w:rsid w:val="00CA017C"/>
    <w:rsid w:val="00CA1F9E"/>
    <w:rsid w:val="00CA2C5A"/>
    <w:rsid w:val="00CA4F61"/>
    <w:rsid w:val="00CA6111"/>
    <w:rsid w:val="00CA6876"/>
    <w:rsid w:val="00CA7A22"/>
    <w:rsid w:val="00CA7B72"/>
    <w:rsid w:val="00CB05A8"/>
    <w:rsid w:val="00CB1EB8"/>
    <w:rsid w:val="00CB2923"/>
    <w:rsid w:val="00CB2A2E"/>
    <w:rsid w:val="00CB4B4E"/>
    <w:rsid w:val="00CB6F22"/>
    <w:rsid w:val="00CC0127"/>
    <w:rsid w:val="00CC1FE0"/>
    <w:rsid w:val="00CC2119"/>
    <w:rsid w:val="00CC39D8"/>
    <w:rsid w:val="00CC3DA9"/>
    <w:rsid w:val="00CC3E3A"/>
    <w:rsid w:val="00CC78BA"/>
    <w:rsid w:val="00CD2A93"/>
    <w:rsid w:val="00CD692B"/>
    <w:rsid w:val="00CD7531"/>
    <w:rsid w:val="00CD7897"/>
    <w:rsid w:val="00CE1349"/>
    <w:rsid w:val="00CE1ED6"/>
    <w:rsid w:val="00CE508B"/>
    <w:rsid w:val="00CF22AA"/>
    <w:rsid w:val="00CF3DEE"/>
    <w:rsid w:val="00CF66FF"/>
    <w:rsid w:val="00CF7138"/>
    <w:rsid w:val="00D0236D"/>
    <w:rsid w:val="00D04748"/>
    <w:rsid w:val="00D114BF"/>
    <w:rsid w:val="00D12039"/>
    <w:rsid w:val="00D12615"/>
    <w:rsid w:val="00D1297F"/>
    <w:rsid w:val="00D14E72"/>
    <w:rsid w:val="00D165AB"/>
    <w:rsid w:val="00D16F70"/>
    <w:rsid w:val="00D20F17"/>
    <w:rsid w:val="00D23DD0"/>
    <w:rsid w:val="00D253DB"/>
    <w:rsid w:val="00D263A8"/>
    <w:rsid w:val="00D30F2B"/>
    <w:rsid w:val="00D318BB"/>
    <w:rsid w:val="00D32B81"/>
    <w:rsid w:val="00D35B94"/>
    <w:rsid w:val="00D373C3"/>
    <w:rsid w:val="00D37BD0"/>
    <w:rsid w:val="00D40F55"/>
    <w:rsid w:val="00D4654A"/>
    <w:rsid w:val="00D47850"/>
    <w:rsid w:val="00D513E9"/>
    <w:rsid w:val="00D56A7B"/>
    <w:rsid w:val="00D57031"/>
    <w:rsid w:val="00D57BD4"/>
    <w:rsid w:val="00D62023"/>
    <w:rsid w:val="00D624C9"/>
    <w:rsid w:val="00D62A95"/>
    <w:rsid w:val="00D717EF"/>
    <w:rsid w:val="00D74476"/>
    <w:rsid w:val="00D746E8"/>
    <w:rsid w:val="00D7635D"/>
    <w:rsid w:val="00D767AF"/>
    <w:rsid w:val="00D830B4"/>
    <w:rsid w:val="00D84714"/>
    <w:rsid w:val="00D8478A"/>
    <w:rsid w:val="00D87295"/>
    <w:rsid w:val="00D92CD0"/>
    <w:rsid w:val="00D93D13"/>
    <w:rsid w:val="00DA18C4"/>
    <w:rsid w:val="00DA2E27"/>
    <w:rsid w:val="00DA3A70"/>
    <w:rsid w:val="00DA3FCF"/>
    <w:rsid w:val="00DA6148"/>
    <w:rsid w:val="00DA77DA"/>
    <w:rsid w:val="00DB13C6"/>
    <w:rsid w:val="00DB2587"/>
    <w:rsid w:val="00DB27E6"/>
    <w:rsid w:val="00DB2C76"/>
    <w:rsid w:val="00DB3D6A"/>
    <w:rsid w:val="00DB70BC"/>
    <w:rsid w:val="00DB7FCD"/>
    <w:rsid w:val="00DC09D6"/>
    <w:rsid w:val="00DC4749"/>
    <w:rsid w:val="00DC57DD"/>
    <w:rsid w:val="00DD150B"/>
    <w:rsid w:val="00DD1B11"/>
    <w:rsid w:val="00DD202D"/>
    <w:rsid w:val="00DD55CF"/>
    <w:rsid w:val="00DD6F51"/>
    <w:rsid w:val="00DE032A"/>
    <w:rsid w:val="00DE08E6"/>
    <w:rsid w:val="00DE7EC1"/>
    <w:rsid w:val="00DF0348"/>
    <w:rsid w:val="00DF19A2"/>
    <w:rsid w:val="00DF49C8"/>
    <w:rsid w:val="00DF4DC9"/>
    <w:rsid w:val="00DF4E1A"/>
    <w:rsid w:val="00DF6EC3"/>
    <w:rsid w:val="00E02249"/>
    <w:rsid w:val="00E04B4E"/>
    <w:rsid w:val="00E064A9"/>
    <w:rsid w:val="00E10B6A"/>
    <w:rsid w:val="00E1141C"/>
    <w:rsid w:val="00E12FD8"/>
    <w:rsid w:val="00E15F55"/>
    <w:rsid w:val="00E200CF"/>
    <w:rsid w:val="00E20420"/>
    <w:rsid w:val="00E21474"/>
    <w:rsid w:val="00E22F29"/>
    <w:rsid w:val="00E24664"/>
    <w:rsid w:val="00E2719A"/>
    <w:rsid w:val="00E31A45"/>
    <w:rsid w:val="00E33042"/>
    <w:rsid w:val="00E33755"/>
    <w:rsid w:val="00E35213"/>
    <w:rsid w:val="00E35576"/>
    <w:rsid w:val="00E3561A"/>
    <w:rsid w:val="00E37E13"/>
    <w:rsid w:val="00E42AF5"/>
    <w:rsid w:val="00E452DB"/>
    <w:rsid w:val="00E45A04"/>
    <w:rsid w:val="00E507A2"/>
    <w:rsid w:val="00E53077"/>
    <w:rsid w:val="00E54A74"/>
    <w:rsid w:val="00E55181"/>
    <w:rsid w:val="00E552D8"/>
    <w:rsid w:val="00E570F3"/>
    <w:rsid w:val="00E625EB"/>
    <w:rsid w:val="00E63096"/>
    <w:rsid w:val="00E64790"/>
    <w:rsid w:val="00E65706"/>
    <w:rsid w:val="00E65F59"/>
    <w:rsid w:val="00E67E7A"/>
    <w:rsid w:val="00E75B51"/>
    <w:rsid w:val="00E75D07"/>
    <w:rsid w:val="00E77026"/>
    <w:rsid w:val="00E80ECE"/>
    <w:rsid w:val="00E819D1"/>
    <w:rsid w:val="00E82934"/>
    <w:rsid w:val="00E8604A"/>
    <w:rsid w:val="00E86898"/>
    <w:rsid w:val="00E86ACD"/>
    <w:rsid w:val="00E878D8"/>
    <w:rsid w:val="00E87DE2"/>
    <w:rsid w:val="00E920AA"/>
    <w:rsid w:val="00E925F6"/>
    <w:rsid w:val="00E95796"/>
    <w:rsid w:val="00E9627D"/>
    <w:rsid w:val="00E975B8"/>
    <w:rsid w:val="00EA06A0"/>
    <w:rsid w:val="00EA124C"/>
    <w:rsid w:val="00EA242B"/>
    <w:rsid w:val="00EA331E"/>
    <w:rsid w:val="00EA5729"/>
    <w:rsid w:val="00EA61E4"/>
    <w:rsid w:val="00EB0FA2"/>
    <w:rsid w:val="00EB1698"/>
    <w:rsid w:val="00EB4439"/>
    <w:rsid w:val="00EB4E44"/>
    <w:rsid w:val="00EB5CDD"/>
    <w:rsid w:val="00EC0075"/>
    <w:rsid w:val="00EC0200"/>
    <w:rsid w:val="00EC4702"/>
    <w:rsid w:val="00EC49B4"/>
    <w:rsid w:val="00ED166F"/>
    <w:rsid w:val="00ED6331"/>
    <w:rsid w:val="00ED73A1"/>
    <w:rsid w:val="00EF1A80"/>
    <w:rsid w:val="00EF2CBC"/>
    <w:rsid w:val="00EF5B89"/>
    <w:rsid w:val="00EF6138"/>
    <w:rsid w:val="00EF7BDF"/>
    <w:rsid w:val="00F001C3"/>
    <w:rsid w:val="00F00A5E"/>
    <w:rsid w:val="00F0347A"/>
    <w:rsid w:val="00F05A99"/>
    <w:rsid w:val="00F0736A"/>
    <w:rsid w:val="00F158B0"/>
    <w:rsid w:val="00F160AE"/>
    <w:rsid w:val="00F16B5A"/>
    <w:rsid w:val="00F17365"/>
    <w:rsid w:val="00F209F8"/>
    <w:rsid w:val="00F2188A"/>
    <w:rsid w:val="00F24F3E"/>
    <w:rsid w:val="00F26104"/>
    <w:rsid w:val="00F31845"/>
    <w:rsid w:val="00F35C40"/>
    <w:rsid w:val="00F35D4F"/>
    <w:rsid w:val="00F431B5"/>
    <w:rsid w:val="00F44651"/>
    <w:rsid w:val="00F45EB3"/>
    <w:rsid w:val="00F46265"/>
    <w:rsid w:val="00F462B7"/>
    <w:rsid w:val="00F47443"/>
    <w:rsid w:val="00F479DE"/>
    <w:rsid w:val="00F47B87"/>
    <w:rsid w:val="00F50C2D"/>
    <w:rsid w:val="00F52878"/>
    <w:rsid w:val="00F53456"/>
    <w:rsid w:val="00F54AF0"/>
    <w:rsid w:val="00F5782F"/>
    <w:rsid w:val="00F601BE"/>
    <w:rsid w:val="00F61F66"/>
    <w:rsid w:val="00F6240D"/>
    <w:rsid w:val="00F62CC0"/>
    <w:rsid w:val="00F70DFC"/>
    <w:rsid w:val="00F72C5F"/>
    <w:rsid w:val="00F73863"/>
    <w:rsid w:val="00F75E00"/>
    <w:rsid w:val="00F75F91"/>
    <w:rsid w:val="00F7728B"/>
    <w:rsid w:val="00F826FC"/>
    <w:rsid w:val="00F827A4"/>
    <w:rsid w:val="00F84263"/>
    <w:rsid w:val="00F85498"/>
    <w:rsid w:val="00F86397"/>
    <w:rsid w:val="00F91A4A"/>
    <w:rsid w:val="00F9229A"/>
    <w:rsid w:val="00F92DFD"/>
    <w:rsid w:val="00F95DFD"/>
    <w:rsid w:val="00F95EB7"/>
    <w:rsid w:val="00F968E2"/>
    <w:rsid w:val="00FA1A7E"/>
    <w:rsid w:val="00FA447A"/>
    <w:rsid w:val="00FB2324"/>
    <w:rsid w:val="00FB37A9"/>
    <w:rsid w:val="00FB4DC2"/>
    <w:rsid w:val="00FB5649"/>
    <w:rsid w:val="00FB5ADE"/>
    <w:rsid w:val="00FB65EF"/>
    <w:rsid w:val="00FB6DA9"/>
    <w:rsid w:val="00FB6F54"/>
    <w:rsid w:val="00FC104C"/>
    <w:rsid w:val="00FC2A94"/>
    <w:rsid w:val="00FC36C5"/>
    <w:rsid w:val="00FC477F"/>
    <w:rsid w:val="00FC5555"/>
    <w:rsid w:val="00FC79A3"/>
    <w:rsid w:val="00FD33D1"/>
    <w:rsid w:val="00FD39DD"/>
    <w:rsid w:val="00FD648C"/>
    <w:rsid w:val="00FD6EF2"/>
    <w:rsid w:val="00FE0213"/>
    <w:rsid w:val="00FE34E0"/>
    <w:rsid w:val="00FE36A0"/>
    <w:rsid w:val="00FE3A92"/>
    <w:rsid w:val="00FE3D15"/>
    <w:rsid w:val="00FE456F"/>
    <w:rsid w:val="00FE4E5B"/>
    <w:rsid w:val="00FF1B9B"/>
    <w:rsid w:val="00FF299A"/>
    <w:rsid w:val="00FF3D26"/>
    <w:rsid w:val="00FF45F8"/>
    <w:rsid w:val="00FF466F"/>
    <w:rsid w:val="00FF56AA"/>
    <w:rsid w:val="00FF615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EBD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8A1"/>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4005"/>
    <w:pPr>
      <w:keepNext/>
      <w:numPr>
        <w:numId w:val="1"/>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uiPriority w:val="9"/>
    <w:qFormat/>
    <w:rsid w:val="007F4005"/>
    <w:pPr>
      <w:keepNext/>
      <w:numPr>
        <w:ilvl w:val="1"/>
        <w:numId w:val="1"/>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uiPriority w:val="9"/>
    <w:qFormat/>
    <w:rsid w:val="007F4005"/>
    <w:pPr>
      <w:keepNext/>
      <w:numPr>
        <w:ilvl w:val="2"/>
        <w:numId w:val="1"/>
      </w:numPr>
      <w:outlineLvl w:val="2"/>
    </w:pPr>
    <w:rPr>
      <w:rFonts w:ascii="Arial Bold" w:hAnsi="Arial Bold" w:cs="Arial"/>
      <w:b/>
      <w:bCs/>
      <w:color w:val="0096FF"/>
      <w:szCs w:val="26"/>
    </w:rPr>
  </w:style>
  <w:style w:type="paragraph" w:styleId="Heading4">
    <w:name w:val="heading 4"/>
    <w:basedOn w:val="Normal"/>
    <w:next w:val="Normal"/>
    <w:link w:val="Heading4Char"/>
    <w:uiPriority w:val="9"/>
    <w:unhideWhenUsed/>
    <w:qFormat/>
    <w:rsid w:val="007F4005"/>
    <w:pPr>
      <w:keepNext/>
      <w:numPr>
        <w:ilvl w:val="3"/>
        <w:numId w:val="1"/>
      </w:numPr>
      <w:outlineLvl w:val="3"/>
    </w:pPr>
    <w:rPr>
      <w:rFonts w:ascii="Arial" w:hAnsi="Arial"/>
      <w:b/>
      <w:bCs/>
      <w:sz w:val="22"/>
      <w:szCs w:val="28"/>
    </w:rPr>
  </w:style>
  <w:style w:type="paragraph" w:styleId="Heading5">
    <w:name w:val="heading 5"/>
    <w:basedOn w:val="Normal"/>
    <w:next w:val="Normal"/>
    <w:link w:val="Heading5Char"/>
    <w:uiPriority w:val="9"/>
    <w:unhideWhenUsed/>
    <w:qFormat/>
    <w:rsid w:val="00F8426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Appendix Heading 1)"/>
    <w:next w:val="Normal"/>
    <w:link w:val="Heading6Char"/>
    <w:uiPriority w:val="9"/>
    <w:qFormat/>
    <w:rsid w:val="00F84263"/>
    <w:pPr>
      <w:keepNext/>
      <w:spacing w:after="240" w:line="240" w:lineRule="auto"/>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F84263"/>
    <w:pPr>
      <w:spacing w:before="120" w:after="180"/>
      <w:ind w:left="677" w:hanging="677"/>
      <w:jc w:val="both"/>
      <w:outlineLvl w:val="6"/>
    </w:pPr>
    <w:rPr>
      <w:iCs w:val="0"/>
      <w:sz w:val="28"/>
    </w:rPr>
  </w:style>
  <w:style w:type="paragraph" w:styleId="Heading8">
    <w:name w:val="heading 8"/>
    <w:aliases w:val="Heading 8 (Appendix Heading 3)"/>
    <w:basedOn w:val="Heading7"/>
    <w:next w:val="Normal"/>
    <w:link w:val="Heading8Char"/>
    <w:uiPriority w:val="9"/>
    <w:qFormat/>
    <w:rsid w:val="00F84263"/>
    <w:pPr>
      <w:spacing w:before="0" w:after="0"/>
      <w:ind w:left="720" w:hanging="720"/>
      <w:outlineLvl w:val="7"/>
    </w:pPr>
    <w:rPr>
      <w:sz w:val="24"/>
      <w:szCs w:val="20"/>
    </w:rPr>
  </w:style>
  <w:style w:type="paragraph" w:styleId="Heading9">
    <w:name w:val="heading 9"/>
    <w:aliases w:val="Heading 9 (Appendix Heading 4)"/>
    <w:basedOn w:val="Heading8"/>
    <w:next w:val="Normal"/>
    <w:link w:val="Heading9Char"/>
    <w:uiPriority w:val="9"/>
    <w:qFormat/>
    <w:rsid w:val="00F84263"/>
    <w:pPr>
      <w:ind w:left="778" w:hanging="778"/>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uiPriority w:val="9"/>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uiPriority w:val="9"/>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uiPriority w:val="9"/>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 Char Char,Footnote Text Char Char Char Char,Footnote Text Char1 Char,Footnote Text-no space"/>
    <w:basedOn w:val="Normal"/>
    <w:link w:val="FootnoteTextChar"/>
    <w:uiPriority w:val="99"/>
    <w:rsid w:val="007F4005"/>
    <w:rPr>
      <w:sz w:val="20"/>
      <w:szCs w:val="20"/>
    </w:rPr>
  </w:style>
  <w:style w:type="character" w:customStyle="1" w:styleId="FootnoteTextChar">
    <w:name w:val="Footnote Text Char"/>
    <w:aliases w:val="F1 Char,F11 Char,Footnote Text Char Char Char,Footnote Text Char Char Char Char Char,Footnote Text Char1 Char Char,Footnote Text-no space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unhideWhenUsed/>
    <w:rsid w:val="00CE508B"/>
    <w:rPr>
      <w:sz w:val="20"/>
      <w:szCs w:val="20"/>
    </w:rPr>
  </w:style>
  <w:style w:type="character" w:customStyle="1" w:styleId="CommentTextChar">
    <w:name w:val="Comment Text Char"/>
    <w:basedOn w:val="DefaultParagraphFont"/>
    <w:link w:val="CommentText"/>
    <w:uiPriority w:val="99"/>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 w:type="paragraph" w:styleId="Revision">
    <w:name w:val="Revision"/>
    <w:hidden/>
    <w:uiPriority w:val="99"/>
    <w:semiHidden/>
    <w:rsid w:val="0063407C"/>
    <w:pPr>
      <w:spacing w:after="0" w:line="240" w:lineRule="auto"/>
    </w:pPr>
    <w:rPr>
      <w:rFonts w:ascii="Times New Roman" w:eastAsia="Times New Roman" w:hAnsi="Times New Roman" w:cs="Times New Roman"/>
      <w:sz w:val="24"/>
      <w:szCs w:val="24"/>
    </w:rPr>
  </w:style>
  <w:style w:type="paragraph" w:customStyle="1" w:styleId="Cover-1ProjectName">
    <w:name w:val="Cover - 1. Project Name"/>
    <w:basedOn w:val="Normal"/>
    <w:qFormat/>
    <w:rsid w:val="00AA691D"/>
    <w:pPr>
      <w:suppressAutoHyphens/>
      <w:spacing w:before="480" w:after="720"/>
      <w:jc w:val="center"/>
    </w:pPr>
    <w:rPr>
      <w:rFonts w:ascii="Arial" w:hAnsi="Arial" w:eastAsiaTheme="minorEastAsia" w:cs="Arial"/>
      <w:b/>
      <w:position w:val="-12"/>
      <w:sz w:val="42"/>
    </w:rPr>
  </w:style>
  <w:style w:type="paragraph" w:styleId="Caption">
    <w:name w:val="caption"/>
    <w:basedOn w:val="Normal"/>
    <w:next w:val="Normal"/>
    <w:uiPriority w:val="35"/>
    <w:unhideWhenUsed/>
    <w:qFormat/>
    <w:rsid w:val="0056340F"/>
    <w:pPr>
      <w:spacing w:after="200"/>
    </w:pPr>
    <w:rPr>
      <w:i/>
      <w:iCs/>
      <w:color w:val="1F497D" w:themeColor="text2"/>
      <w:sz w:val="18"/>
      <w:szCs w:val="18"/>
    </w:rPr>
  </w:style>
  <w:style w:type="paragraph" w:customStyle="1" w:styleId="TableColumnHeading">
    <w:name w:val="Table Column Heading"/>
    <w:link w:val="TableColumnHeadingChar"/>
    <w:qFormat/>
    <w:rsid w:val="00FF6150"/>
    <w:pPr>
      <w:keepNext/>
      <w:spacing w:after="0" w:line="240" w:lineRule="auto"/>
      <w:jc w:val="center"/>
    </w:pPr>
    <w:rPr>
      <w:rFonts w:ascii="Arial" w:eastAsia="Times New Roman" w:hAnsi="Arial" w:cs="Times New Roman"/>
      <w:bCs/>
      <w:color w:val="FFFFFF" w:themeColor="background1"/>
      <w:sz w:val="20"/>
      <w:szCs w:val="24"/>
    </w:rPr>
  </w:style>
  <w:style w:type="paragraph" w:customStyle="1" w:styleId="TableCellGeneralText">
    <w:name w:val="Table Cell General Text"/>
    <w:link w:val="TableCellGeneralTextChar"/>
    <w:qFormat/>
    <w:rsid w:val="00FF6150"/>
    <w:pPr>
      <w:spacing w:after="0" w:line="240" w:lineRule="auto"/>
    </w:pPr>
    <w:rPr>
      <w:rFonts w:ascii="Times New Roman" w:eastAsia="Times New Roman" w:hAnsi="Times New Roman" w:cs="Arial"/>
      <w:bCs/>
      <w:color w:val="000000" w:themeColor="text1"/>
      <w:sz w:val="20"/>
      <w:szCs w:val="24"/>
    </w:rPr>
  </w:style>
  <w:style w:type="character" w:customStyle="1" w:styleId="TableColumnHeadingChar">
    <w:name w:val="Table Column Heading Char"/>
    <w:basedOn w:val="DefaultParagraphFont"/>
    <w:link w:val="TableColumnHeading"/>
    <w:rsid w:val="00FF6150"/>
    <w:rPr>
      <w:rFonts w:ascii="Arial" w:eastAsia="Times New Roman" w:hAnsi="Arial" w:cs="Times New Roman"/>
      <w:bCs/>
      <w:color w:val="FFFFFF" w:themeColor="background1"/>
      <w:sz w:val="20"/>
      <w:szCs w:val="24"/>
    </w:rPr>
  </w:style>
  <w:style w:type="paragraph" w:customStyle="1" w:styleId="TableCellNumbers">
    <w:name w:val="Table Cell Numbers"/>
    <w:basedOn w:val="TableCellGeneralText"/>
    <w:link w:val="TableCellNumbersChar"/>
    <w:qFormat/>
    <w:rsid w:val="00EA06A0"/>
    <w:pPr>
      <w:jc w:val="right"/>
    </w:pPr>
  </w:style>
  <w:style w:type="character" w:customStyle="1" w:styleId="TableCellGeneralTextChar">
    <w:name w:val="Table Cell General Text Char"/>
    <w:basedOn w:val="DefaultParagraphFont"/>
    <w:link w:val="TableCellGeneralText"/>
    <w:rsid w:val="00FF6150"/>
    <w:rPr>
      <w:rFonts w:ascii="Times New Roman" w:eastAsia="Times New Roman" w:hAnsi="Times New Roman" w:cs="Arial"/>
      <w:bCs/>
      <w:color w:val="000000" w:themeColor="text1"/>
      <w:sz w:val="20"/>
      <w:szCs w:val="24"/>
    </w:rPr>
  </w:style>
  <w:style w:type="character" w:customStyle="1" w:styleId="TableCellNumbersChar">
    <w:name w:val="Table Cell Numbers Char"/>
    <w:basedOn w:val="DefaultParagraphFont"/>
    <w:link w:val="TableCellNumbers"/>
    <w:rsid w:val="00EA06A0"/>
    <w:rPr>
      <w:rFonts w:ascii="Arial" w:eastAsia="Times New Roman" w:hAnsi="Arial" w:cs="Arial"/>
      <w:bCs/>
      <w:color w:val="000000" w:themeColor="text1"/>
      <w:sz w:val="20"/>
      <w:szCs w:val="24"/>
    </w:rPr>
  </w:style>
  <w:style w:type="paragraph" w:customStyle="1" w:styleId="TableCell-SubheadingText">
    <w:name w:val="Table Cell - Subheading Text"/>
    <w:basedOn w:val="TableCellNumbers"/>
    <w:link w:val="TableCell-SubheadingTextChar"/>
    <w:qFormat/>
    <w:rsid w:val="00EA06A0"/>
    <w:pPr>
      <w:keepNext/>
      <w:jc w:val="left"/>
    </w:pPr>
    <w:rPr>
      <w:b/>
      <w:bCs w:val="0"/>
    </w:rPr>
  </w:style>
  <w:style w:type="character" w:customStyle="1" w:styleId="TableCell-SubheadingTextChar">
    <w:name w:val="Table Cell - Subheading Text Char"/>
    <w:basedOn w:val="TableCellNumbersChar"/>
    <w:link w:val="TableCell-SubheadingText"/>
    <w:rsid w:val="00EA06A0"/>
    <w:rPr>
      <w:rFonts w:ascii="Arial" w:eastAsia="Times New Roman" w:hAnsi="Arial" w:cs="Arial"/>
      <w:b/>
      <w:bCs w:val="0"/>
      <w:color w:val="000000" w:themeColor="text1"/>
      <w:sz w:val="20"/>
      <w:szCs w:val="24"/>
    </w:rPr>
  </w:style>
  <w:style w:type="paragraph" w:customStyle="1" w:styleId="TableCaption">
    <w:name w:val="Table Caption"/>
    <w:basedOn w:val="Caption"/>
    <w:link w:val="TableCaptionChar"/>
    <w:qFormat/>
    <w:rsid w:val="00FF6150"/>
    <w:pPr>
      <w:keepNext/>
      <w:spacing w:after="0"/>
      <w:ind w:left="1080" w:hanging="1080"/>
    </w:pPr>
    <w:rPr>
      <w:rFonts w:ascii="Arial" w:hAnsi="Arial" w:eastAsiaTheme="minorHAnsi" w:cstheme="minorBidi"/>
      <w:b/>
      <w:bCs/>
      <w:i w:val="0"/>
      <w:iCs w:val="0"/>
      <w:color w:val="000075"/>
      <w:sz w:val="22"/>
    </w:rPr>
  </w:style>
  <w:style w:type="character" w:customStyle="1" w:styleId="TableCaptionChar">
    <w:name w:val="Table Caption Char"/>
    <w:basedOn w:val="DefaultParagraphFont"/>
    <w:link w:val="TableCaption"/>
    <w:rsid w:val="00FF6150"/>
    <w:rPr>
      <w:rFonts w:ascii="Arial" w:hAnsi="Arial"/>
      <w:b/>
      <w:bCs/>
      <w:color w:val="000075"/>
      <w:szCs w:val="18"/>
    </w:rPr>
  </w:style>
  <w:style w:type="table" w:customStyle="1" w:styleId="EconometricaTableStyle2">
    <w:name w:val="Econometrica Table Style2"/>
    <w:basedOn w:val="TableNormal"/>
    <w:uiPriority w:val="99"/>
    <w:rsid w:val="00EA06A0"/>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ListParagraph">
    <w:name w:val="List Paragraph"/>
    <w:aliases w:val="Bullet List Paragraph,Proposal Bullet List,Step Style"/>
    <w:basedOn w:val="Normal"/>
    <w:link w:val="ListParagraphChar"/>
    <w:uiPriority w:val="34"/>
    <w:qFormat/>
    <w:rsid w:val="00180976"/>
    <w:pPr>
      <w:ind w:left="720"/>
      <w:contextualSpacing/>
    </w:pPr>
  </w:style>
  <w:style w:type="table" w:customStyle="1" w:styleId="EconometricaTableStyle">
    <w:name w:val="Econometrica Table Style"/>
    <w:basedOn w:val="TableNormal"/>
    <w:uiPriority w:val="99"/>
    <w:rsid w:val="00B707A2"/>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Normalaftertable">
    <w:name w:val="Normal after table"/>
    <w:basedOn w:val="Normal"/>
    <w:next w:val="Normal"/>
    <w:link w:val="NormalaftertableChar"/>
    <w:qFormat/>
    <w:rsid w:val="007E58F2"/>
    <w:pPr>
      <w:spacing w:before="240" w:after="240"/>
    </w:pPr>
    <w:rPr>
      <w:rFonts w:eastAsiaTheme="minorHAnsi" w:cstheme="minorBidi"/>
    </w:rPr>
  </w:style>
  <w:style w:type="character" w:customStyle="1" w:styleId="NormalaftertableChar">
    <w:name w:val="Normal after table Char"/>
    <w:basedOn w:val="DefaultParagraphFont"/>
    <w:link w:val="Normalaftertable"/>
    <w:rsid w:val="007E58F2"/>
    <w:rPr>
      <w:rFonts w:ascii="Times New Roman" w:hAnsi="Times New Roman"/>
      <w:sz w:val="24"/>
      <w:szCs w:val="24"/>
    </w:rPr>
  </w:style>
  <w:style w:type="paragraph" w:customStyle="1" w:styleId="H1PartB">
    <w:name w:val="H1 PartB"/>
    <w:basedOn w:val="ListParagraph"/>
    <w:link w:val="H1PartBChar"/>
    <w:qFormat/>
    <w:rsid w:val="00834B87"/>
    <w:pPr>
      <w:numPr>
        <w:numId w:val="3"/>
      </w:numPr>
      <w:ind w:left="360"/>
    </w:pPr>
    <w:rPr>
      <w:b/>
      <w:bCs/>
    </w:rPr>
  </w:style>
  <w:style w:type="paragraph" w:customStyle="1" w:styleId="H2PartB">
    <w:name w:val="H2 PartB"/>
    <w:basedOn w:val="Heading2"/>
    <w:next w:val="Normal"/>
    <w:link w:val="H2PartBChar"/>
    <w:qFormat/>
    <w:rsid w:val="000470D5"/>
    <w:pPr>
      <w:numPr>
        <w:ilvl w:val="0"/>
        <w:numId w:val="4"/>
      </w:numPr>
      <w:ind w:left="360"/>
    </w:pPr>
    <w:rPr>
      <w:rFonts w:ascii="Times New Roman" w:hAnsi="Times New Roman"/>
      <w:color w:val="000000" w:themeColor="text1"/>
      <w:sz w:val="24"/>
    </w:rPr>
  </w:style>
  <w:style w:type="character" w:customStyle="1" w:styleId="ListParagraphChar">
    <w:name w:val="List Paragraph Char"/>
    <w:aliases w:val="Bullet List Paragraph Char,Proposal Bullet List Char,Step Style Char"/>
    <w:basedOn w:val="DefaultParagraphFont"/>
    <w:link w:val="ListParagraph"/>
    <w:uiPriority w:val="34"/>
    <w:rsid w:val="00834B87"/>
    <w:rPr>
      <w:rFonts w:ascii="Times New Roman" w:eastAsia="Times New Roman" w:hAnsi="Times New Roman" w:cs="Times New Roman"/>
      <w:sz w:val="24"/>
      <w:szCs w:val="24"/>
    </w:rPr>
  </w:style>
  <w:style w:type="character" w:customStyle="1" w:styleId="H1PartBChar">
    <w:name w:val="H1 PartB Char"/>
    <w:basedOn w:val="ListParagraphChar"/>
    <w:link w:val="H1PartB"/>
    <w:rsid w:val="00834B87"/>
    <w:rPr>
      <w:rFonts w:ascii="Times New Roman" w:eastAsia="Times New Roman" w:hAnsi="Times New Roman" w:cs="Times New Roman"/>
      <w:b/>
      <w:bCs/>
      <w:sz w:val="24"/>
      <w:szCs w:val="24"/>
    </w:rPr>
  </w:style>
  <w:style w:type="paragraph" w:customStyle="1" w:styleId="H3PartB">
    <w:name w:val="H3 PartB"/>
    <w:basedOn w:val="Heading3"/>
    <w:link w:val="H3PartBChar"/>
    <w:qFormat/>
    <w:rsid w:val="000470D5"/>
    <w:pPr>
      <w:numPr>
        <w:ilvl w:val="0"/>
        <w:numId w:val="5"/>
      </w:numPr>
    </w:pPr>
    <w:rPr>
      <w:rFonts w:ascii="Times New Roman" w:hAnsi="Times New Roman"/>
      <w:i/>
      <w:color w:val="auto"/>
    </w:rPr>
  </w:style>
  <w:style w:type="character" w:customStyle="1" w:styleId="H2PartBChar">
    <w:name w:val="H2 PartB Char"/>
    <w:basedOn w:val="Heading2Char"/>
    <w:link w:val="H2PartB"/>
    <w:rsid w:val="000470D5"/>
    <w:rPr>
      <w:rFonts w:ascii="Times New Roman" w:eastAsia="Times New Roman" w:hAnsi="Times New Roman" w:cs="Arial"/>
      <w:b/>
      <w:bCs/>
      <w:iCs/>
      <w:color w:val="000000" w:themeColor="text1"/>
      <w:sz w:val="24"/>
      <w:szCs w:val="28"/>
    </w:rPr>
  </w:style>
  <w:style w:type="paragraph" w:customStyle="1" w:styleId="TableNote">
    <w:name w:val="Table Note"/>
    <w:basedOn w:val="TableCellGeneralText"/>
    <w:link w:val="TableNoteChar"/>
    <w:qFormat/>
    <w:rsid w:val="00D62A95"/>
    <w:pPr>
      <w:spacing w:after="240"/>
      <w:contextualSpacing/>
    </w:pPr>
    <w:rPr>
      <w:sz w:val="18"/>
      <w:szCs w:val="18"/>
    </w:rPr>
  </w:style>
  <w:style w:type="character" w:customStyle="1" w:styleId="H3PartBChar">
    <w:name w:val="H3 PartB Char"/>
    <w:basedOn w:val="Heading3Char"/>
    <w:link w:val="H3PartB"/>
    <w:rsid w:val="000470D5"/>
    <w:rPr>
      <w:rFonts w:ascii="Times New Roman" w:eastAsia="Times New Roman" w:hAnsi="Times New Roman" w:cs="Arial"/>
      <w:b/>
      <w:bCs/>
      <w:i/>
      <w:color w:val="0096FF"/>
      <w:sz w:val="24"/>
      <w:szCs w:val="26"/>
    </w:rPr>
  </w:style>
  <w:style w:type="character" w:customStyle="1" w:styleId="TableNoteChar">
    <w:name w:val="Table Note Char"/>
    <w:basedOn w:val="DefaultParagraphFont"/>
    <w:link w:val="TableNote"/>
    <w:rsid w:val="00D62A95"/>
    <w:rPr>
      <w:rFonts w:ascii="Arial" w:eastAsia="Times New Roman" w:hAnsi="Arial" w:cs="Arial"/>
      <w:bCs/>
      <w:color w:val="000000" w:themeColor="text1"/>
      <w:sz w:val="18"/>
      <w:szCs w:val="18"/>
    </w:rPr>
  </w:style>
  <w:style w:type="paragraph" w:customStyle="1" w:styleId="TableCellYear">
    <w:name w:val="Table Cell Year"/>
    <w:basedOn w:val="TableCellGeneralText"/>
    <w:link w:val="TableCellYearChar"/>
    <w:qFormat/>
    <w:rsid w:val="0060238C"/>
    <w:pPr>
      <w:jc w:val="center"/>
    </w:pPr>
    <w:rPr>
      <w:bCs w:val="0"/>
    </w:rPr>
  </w:style>
  <w:style w:type="character" w:customStyle="1" w:styleId="TableCellYearChar">
    <w:name w:val="Table Cell Year Char"/>
    <w:basedOn w:val="DefaultParagraphFont"/>
    <w:link w:val="TableCellYear"/>
    <w:rsid w:val="0060238C"/>
    <w:rPr>
      <w:rFonts w:ascii="Arial" w:eastAsia="Times New Roman" w:hAnsi="Arial" w:cs="Arial"/>
      <w:color w:val="000000" w:themeColor="text1"/>
      <w:sz w:val="20"/>
      <w:szCs w:val="24"/>
    </w:rPr>
  </w:style>
  <w:style w:type="paragraph" w:styleId="ListBullet">
    <w:name w:val="List Bullet"/>
    <w:basedOn w:val="Normal"/>
    <w:link w:val="ListBulletChar"/>
    <w:uiPriority w:val="99"/>
    <w:qFormat/>
    <w:rsid w:val="0060238C"/>
    <w:pPr>
      <w:numPr>
        <w:numId w:val="7"/>
      </w:numPr>
      <w:spacing w:before="120"/>
    </w:pPr>
    <w:rPr>
      <w:rFonts w:eastAsiaTheme="minorHAnsi" w:cstheme="minorBidi"/>
    </w:rPr>
  </w:style>
  <w:style w:type="paragraph" w:styleId="ListBullet2">
    <w:name w:val="List Bullet 2"/>
    <w:basedOn w:val="ListBullet"/>
    <w:rsid w:val="0060238C"/>
    <w:pPr>
      <w:numPr>
        <w:ilvl w:val="1"/>
      </w:numPr>
    </w:pPr>
  </w:style>
  <w:style w:type="paragraph" w:styleId="ListBullet3">
    <w:name w:val="List Bullet 3"/>
    <w:basedOn w:val="ListBullet2"/>
    <w:link w:val="ListBullet3Char"/>
    <w:rsid w:val="0060238C"/>
    <w:pPr>
      <w:numPr>
        <w:ilvl w:val="2"/>
      </w:numPr>
    </w:pPr>
  </w:style>
  <w:style w:type="paragraph" w:styleId="ListBullet4">
    <w:name w:val="List Bullet 4"/>
    <w:basedOn w:val="ListBullet3"/>
    <w:rsid w:val="0060238C"/>
    <w:pPr>
      <w:numPr>
        <w:ilvl w:val="3"/>
      </w:numPr>
    </w:pPr>
  </w:style>
  <w:style w:type="paragraph" w:styleId="ListBullet5">
    <w:name w:val="List Bullet 5"/>
    <w:basedOn w:val="ListBullet4"/>
    <w:rsid w:val="0060238C"/>
    <w:pPr>
      <w:numPr>
        <w:ilvl w:val="4"/>
      </w:numPr>
    </w:pPr>
  </w:style>
  <w:style w:type="paragraph" w:customStyle="1" w:styleId="ListBullet-SingleLine">
    <w:name w:val="List Bullet - Single Line"/>
    <w:basedOn w:val="ListBullet"/>
    <w:link w:val="ListBullet-SingleLineChar"/>
    <w:qFormat/>
    <w:rsid w:val="0060238C"/>
    <w:pPr>
      <w:contextualSpacing/>
    </w:pPr>
  </w:style>
  <w:style w:type="character" w:customStyle="1" w:styleId="ListBullet-SingleLineChar">
    <w:name w:val="List Bullet - Single Line Char"/>
    <w:basedOn w:val="DefaultParagraphFont"/>
    <w:link w:val="ListBullet-SingleLine"/>
    <w:rsid w:val="0060238C"/>
    <w:rPr>
      <w:rFonts w:ascii="Times New Roman" w:hAnsi="Times New Roman"/>
      <w:sz w:val="24"/>
      <w:szCs w:val="24"/>
    </w:rPr>
  </w:style>
  <w:style w:type="paragraph" w:customStyle="1" w:styleId="Normalbeforebulletedlist">
    <w:name w:val="Normal before bulleted list"/>
    <w:basedOn w:val="Normal"/>
    <w:next w:val="ListBullet"/>
    <w:link w:val="NormalbeforebulletedlistChar"/>
    <w:qFormat/>
    <w:rsid w:val="0060238C"/>
    <w:pPr>
      <w:keepNext/>
    </w:pPr>
    <w:rPr>
      <w:rFonts w:eastAsiaTheme="minorHAnsi" w:cstheme="minorBidi"/>
    </w:rPr>
  </w:style>
  <w:style w:type="character" w:customStyle="1" w:styleId="NormalbeforebulletedlistChar">
    <w:name w:val="Normal before bulleted list Char"/>
    <w:basedOn w:val="DefaultParagraphFont"/>
    <w:link w:val="Normalbeforebulletedlist"/>
    <w:rsid w:val="0060238C"/>
    <w:rPr>
      <w:rFonts w:ascii="Times New Roman" w:hAnsi="Times New Roman"/>
      <w:sz w:val="24"/>
      <w:szCs w:val="24"/>
    </w:rPr>
  </w:style>
  <w:style w:type="paragraph" w:customStyle="1" w:styleId="ListBullet-SingleLine-Last">
    <w:name w:val="List Bullet - Single Line - Last"/>
    <w:basedOn w:val="ListBullet-SingleLine"/>
    <w:link w:val="ListBullet-SingleLine-LastChar"/>
    <w:qFormat/>
    <w:rsid w:val="0060238C"/>
    <w:pPr>
      <w:spacing w:before="0" w:after="240"/>
      <w:contextualSpacing w:val="0"/>
    </w:pPr>
  </w:style>
  <w:style w:type="character" w:customStyle="1" w:styleId="ListBullet-SingleLine-LastChar">
    <w:name w:val="List Bullet - Single Line - Last Char"/>
    <w:basedOn w:val="ListBullet-SingleLineChar"/>
    <w:link w:val="ListBullet-SingleLine-Last"/>
    <w:rsid w:val="0060238C"/>
    <w:rPr>
      <w:rFonts w:ascii="Times New Roman" w:hAnsi="Times New Roman"/>
      <w:sz w:val="24"/>
      <w:szCs w:val="24"/>
    </w:rPr>
  </w:style>
  <w:style w:type="paragraph" w:customStyle="1" w:styleId="ListBullet-Last">
    <w:name w:val="List Bullet - Last"/>
    <w:basedOn w:val="ListBullet"/>
    <w:link w:val="ListBullet-LastChar"/>
    <w:qFormat/>
    <w:rsid w:val="000D5768"/>
    <w:pPr>
      <w:numPr>
        <w:numId w:val="0"/>
      </w:numPr>
      <w:spacing w:after="240"/>
      <w:ind w:left="432" w:hanging="432"/>
    </w:pPr>
  </w:style>
  <w:style w:type="character" w:customStyle="1" w:styleId="ListBulletChar">
    <w:name w:val="List Bullet Char"/>
    <w:basedOn w:val="DefaultParagraphFont"/>
    <w:link w:val="ListBullet"/>
    <w:uiPriority w:val="99"/>
    <w:rsid w:val="000D5768"/>
    <w:rPr>
      <w:rFonts w:ascii="Times New Roman" w:hAnsi="Times New Roman"/>
      <w:sz w:val="24"/>
      <w:szCs w:val="24"/>
    </w:rPr>
  </w:style>
  <w:style w:type="character" w:customStyle="1" w:styleId="ListBullet-LastChar">
    <w:name w:val="List Bullet - Last Char"/>
    <w:basedOn w:val="ListBulletChar"/>
    <w:link w:val="ListBullet-Last"/>
    <w:rsid w:val="000D5768"/>
    <w:rPr>
      <w:rFonts w:ascii="Times New Roman" w:hAnsi="Times New Roman"/>
      <w:sz w:val="24"/>
      <w:szCs w:val="24"/>
    </w:rPr>
  </w:style>
  <w:style w:type="numbering" w:customStyle="1" w:styleId="NumberedList">
    <w:name w:val="Numbered List"/>
    <w:uiPriority w:val="99"/>
    <w:rsid w:val="000D5768"/>
    <w:pPr>
      <w:numPr>
        <w:numId w:val="8"/>
      </w:numPr>
    </w:pPr>
  </w:style>
  <w:style w:type="paragraph" w:customStyle="1" w:styleId="ListNumber-Last">
    <w:name w:val="List Number - Last"/>
    <w:basedOn w:val="ListNumber"/>
    <w:link w:val="ListNumber-LastChar"/>
    <w:qFormat/>
    <w:rsid w:val="000D5768"/>
    <w:pPr>
      <w:spacing w:after="240"/>
    </w:pPr>
  </w:style>
  <w:style w:type="paragraph" w:styleId="ListNumber">
    <w:name w:val="List Number"/>
    <w:link w:val="ListNumberChar"/>
    <w:rsid w:val="000D5768"/>
    <w:pPr>
      <w:numPr>
        <w:numId w:val="8"/>
      </w:numPr>
      <w:spacing w:before="120" w:after="0" w:line="240" w:lineRule="auto"/>
      <w:jc w:val="both"/>
    </w:pPr>
    <w:rPr>
      <w:rFonts w:ascii="Times New Roman" w:hAnsi="Times New Roman"/>
      <w:sz w:val="24"/>
      <w:szCs w:val="24"/>
    </w:rPr>
  </w:style>
  <w:style w:type="paragraph" w:styleId="ListNumber2">
    <w:name w:val="List Number 2"/>
    <w:basedOn w:val="ListNumber"/>
    <w:rsid w:val="000D5768"/>
    <w:pPr>
      <w:numPr>
        <w:ilvl w:val="1"/>
      </w:numPr>
      <w:tabs>
        <w:tab w:val="num" w:pos="360"/>
        <w:tab w:val="clear" w:pos="1440"/>
      </w:tabs>
    </w:pPr>
  </w:style>
  <w:style w:type="paragraph" w:styleId="ListNumber3">
    <w:name w:val="List Number 3"/>
    <w:basedOn w:val="ListNumber2"/>
    <w:rsid w:val="000D5768"/>
    <w:pPr>
      <w:numPr>
        <w:ilvl w:val="2"/>
      </w:numPr>
      <w:tabs>
        <w:tab w:val="num" w:pos="360"/>
        <w:tab w:val="clear" w:pos="2160"/>
      </w:tabs>
    </w:pPr>
  </w:style>
  <w:style w:type="paragraph" w:styleId="ListNumber4">
    <w:name w:val="List Number 4"/>
    <w:basedOn w:val="ListNumber3"/>
    <w:rsid w:val="000D5768"/>
    <w:pPr>
      <w:numPr>
        <w:ilvl w:val="3"/>
      </w:numPr>
      <w:tabs>
        <w:tab w:val="num" w:pos="360"/>
        <w:tab w:val="clear" w:pos="2880"/>
      </w:tabs>
    </w:pPr>
  </w:style>
  <w:style w:type="paragraph" w:styleId="ListNumber5">
    <w:name w:val="List Number 5"/>
    <w:basedOn w:val="ListNumber4"/>
    <w:rsid w:val="000D5768"/>
    <w:pPr>
      <w:numPr>
        <w:ilvl w:val="4"/>
      </w:numPr>
      <w:tabs>
        <w:tab w:val="num" w:pos="360"/>
        <w:tab w:val="clear" w:pos="3600"/>
      </w:tabs>
    </w:pPr>
  </w:style>
  <w:style w:type="character" w:customStyle="1" w:styleId="ListNumberChar">
    <w:name w:val="List Number Char"/>
    <w:basedOn w:val="DefaultParagraphFont"/>
    <w:link w:val="ListNumber"/>
    <w:rsid w:val="000D5768"/>
    <w:rPr>
      <w:rFonts w:ascii="Times New Roman" w:hAnsi="Times New Roman"/>
      <w:sz w:val="24"/>
      <w:szCs w:val="24"/>
    </w:rPr>
  </w:style>
  <w:style w:type="character" w:customStyle="1" w:styleId="ListNumber-LastChar">
    <w:name w:val="List Number - Last Char"/>
    <w:basedOn w:val="ListNumberChar"/>
    <w:link w:val="ListNumber-Last"/>
    <w:rsid w:val="000D5768"/>
    <w:rPr>
      <w:rFonts w:ascii="Times New Roman" w:hAnsi="Times New Roman"/>
      <w:sz w:val="24"/>
      <w:szCs w:val="24"/>
    </w:rPr>
  </w:style>
  <w:style w:type="paragraph" w:styleId="ListContinue2">
    <w:name w:val="List Continue 2"/>
    <w:basedOn w:val="Normal"/>
    <w:uiPriority w:val="99"/>
    <w:unhideWhenUsed/>
    <w:rsid w:val="000D5768"/>
    <w:pPr>
      <w:spacing w:before="120"/>
      <w:ind w:left="720"/>
    </w:pPr>
    <w:rPr>
      <w:rFonts w:eastAsiaTheme="minorHAnsi" w:cstheme="minorBidi"/>
    </w:rPr>
  </w:style>
  <w:style w:type="character" w:customStyle="1" w:styleId="Heading5Char">
    <w:name w:val="Heading 5 Char"/>
    <w:basedOn w:val="DefaultParagraphFont"/>
    <w:link w:val="Heading5"/>
    <w:uiPriority w:val="9"/>
    <w:semiHidden/>
    <w:rsid w:val="00F84263"/>
    <w:rPr>
      <w:rFonts w:asciiTheme="majorHAnsi" w:eastAsiaTheme="majorEastAsia" w:hAnsiTheme="majorHAnsi" w:cstheme="majorBidi"/>
      <w:color w:val="365F91" w:themeColor="accent1" w:themeShade="BF"/>
      <w:sz w:val="24"/>
      <w:szCs w:val="24"/>
    </w:rPr>
  </w:style>
  <w:style w:type="character" w:customStyle="1" w:styleId="Heading6Char">
    <w:name w:val="Heading 6 Char"/>
    <w:aliases w:val="Heading 6 (Appendix Heading 1) Char"/>
    <w:basedOn w:val="DefaultParagraphFont"/>
    <w:link w:val="Heading6"/>
    <w:uiPriority w:val="9"/>
    <w:rsid w:val="00F84263"/>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F84263"/>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F84263"/>
    <w:rPr>
      <w:rFonts w:ascii="Arial" w:eastAsia="Times New Roman" w:hAnsi="Arial" w:cs="Times New Roman"/>
      <w:b/>
      <w:bCs/>
      <w:color w:val="0096FF"/>
      <w:sz w:val="24"/>
      <w:szCs w:val="20"/>
    </w:rPr>
  </w:style>
  <w:style w:type="character" w:customStyle="1" w:styleId="Heading9Char">
    <w:name w:val="Heading 9 Char"/>
    <w:aliases w:val="Heading 9 (Appendix Heading 4) Char"/>
    <w:basedOn w:val="DefaultParagraphFont"/>
    <w:link w:val="Heading9"/>
    <w:uiPriority w:val="9"/>
    <w:rsid w:val="00F84263"/>
    <w:rPr>
      <w:rFonts w:ascii="Times New Roman" w:eastAsia="Times New Roman" w:hAnsi="Times New Roman" w:cs="Times New Roman"/>
      <w:b/>
      <w:bCs/>
      <w:i/>
      <w:iCs/>
      <w:sz w:val="24"/>
      <w:szCs w:val="20"/>
    </w:rPr>
  </w:style>
  <w:style w:type="paragraph" w:customStyle="1" w:styleId="ListBullet2-SingleLine">
    <w:name w:val="List Bullet 2 - Single Line"/>
    <w:basedOn w:val="ListBullet2"/>
    <w:link w:val="ListBullet2-SingleLineChar"/>
    <w:qFormat/>
    <w:rsid w:val="00F84263"/>
    <w:pPr>
      <w:numPr>
        <w:numId w:val="2"/>
      </w:numPr>
      <w:contextualSpacing/>
    </w:pPr>
  </w:style>
  <w:style w:type="character" w:customStyle="1" w:styleId="ListBullet2-SingleLineChar">
    <w:name w:val="List Bullet 2 - Single Line Char"/>
    <w:basedOn w:val="DefaultParagraphFont"/>
    <w:link w:val="ListBullet2-SingleLine"/>
    <w:rsid w:val="00F84263"/>
    <w:rPr>
      <w:rFonts w:ascii="Times New Roman" w:hAnsi="Times New Roman"/>
      <w:sz w:val="24"/>
      <w:szCs w:val="24"/>
    </w:rPr>
  </w:style>
  <w:style w:type="paragraph" w:customStyle="1" w:styleId="ListBullet2-SingleLine-Last">
    <w:name w:val="List Bullet 2 - Single Line - Last"/>
    <w:basedOn w:val="ListBullet2-SingleLine"/>
    <w:link w:val="ListBullet2-SingleLine-LastChar"/>
    <w:qFormat/>
    <w:rsid w:val="00F84263"/>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F84263"/>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F423D"/>
    <w:rPr>
      <w:color w:val="605E5C"/>
      <w:shd w:val="clear" w:color="auto" w:fill="E1DFDD"/>
    </w:rPr>
  </w:style>
  <w:style w:type="table" w:styleId="GridTable1Light">
    <w:name w:val="Grid Table 1 Light"/>
    <w:basedOn w:val="TableNormal"/>
    <w:uiPriority w:val="46"/>
    <w:rsid w:val="007304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72D65"/>
    <w:rPr>
      <w:color w:val="605E5C"/>
      <w:shd w:val="clear" w:color="auto" w:fill="E1DFDD"/>
    </w:rPr>
  </w:style>
  <w:style w:type="paragraph" w:customStyle="1" w:styleId="Resume-7bEducationBullet2">
    <w:name w:val="Resume - 7.b. Education Bullet 2"/>
    <w:basedOn w:val="Normal"/>
    <w:qFormat/>
    <w:rsid w:val="00621D48"/>
    <w:pPr>
      <w:numPr>
        <w:numId w:val="15"/>
      </w:numPr>
      <w:tabs>
        <w:tab w:val="clear" w:pos="720"/>
      </w:tabs>
      <w:ind w:left="1440"/>
    </w:pPr>
    <w:rPr>
      <w:rFonts w:eastAsiaTheme="minorHAnsi" w:cstheme="minorBidi"/>
    </w:rPr>
  </w:style>
  <w:style w:type="paragraph" w:customStyle="1" w:styleId="ListBullet4-Last">
    <w:name w:val="List Bullet 4 - Last"/>
    <w:basedOn w:val="ListBullet4"/>
    <w:link w:val="ListBullet4-LastChar"/>
    <w:qFormat/>
    <w:rsid w:val="000C2D1E"/>
    <w:pPr>
      <w:numPr>
        <w:numId w:val="3"/>
      </w:numPr>
      <w:spacing w:after="240"/>
    </w:pPr>
  </w:style>
  <w:style w:type="character" w:customStyle="1" w:styleId="ListBullet4-LastChar">
    <w:name w:val="List Bullet 4 - Last Char"/>
    <w:basedOn w:val="DefaultParagraphFont"/>
    <w:link w:val="ListBullet4-Last"/>
    <w:rsid w:val="000C2D1E"/>
    <w:rPr>
      <w:rFonts w:ascii="Times New Roman" w:hAnsi="Times New Roman"/>
      <w:sz w:val="24"/>
      <w:szCs w:val="24"/>
    </w:rPr>
  </w:style>
  <w:style w:type="character" w:customStyle="1" w:styleId="ListBullet3Char">
    <w:name w:val="List Bullet 3 Char"/>
    <w:basedOn w:val="DefaultParagraphFont"/>
    <w:link w:val="ListBullet3"/>
    <w:rsid w:val="000C2D1E"/>
    <w:rPr>
      <w:rFonts w:ascii="Times New Roman" w:hAnsi="Times New Roman"/>
      <w:sz w:val="24"/>
      <w:szCs w:val="24"/>
    </w:rPr>
  </w:style>
  <w:style w:type="paragraph" w:customStyle="1" w:styleId="CoverLetterText">
    <w:name w:val="Cover Letter Text"/>
    <w:link w:val="CoverLetterTextChar"/>
    <w:uiPriority w:val="7"/>
    <w:qFormat/>
    <w:rsid w:val="000C2D1E"/>
    <w:pPr>
      <w:spacing w:after="240" w:line="240" w:lineRule="auto"/>
      <w:jc w:val="both"/>
    </w:pPr>
    <w:rPr>
      <w:rFonts w:ascii="Times New Roman" w:hAnsi="Times New Roman"/>
      <w:sz w:val="24"/>
      <w:szCs w:val="24"/>
    </w:rPr>
  </w:style>
  <w:style w:type="character" w:customStyle="1" w:styleId="CoverLetterTextChar">
    <w:name w:val="Cover Letter Text Char"/>
    <w:basedOn w:val="DefaultParagraphFont"/>
    <w:link w:val="CoverLetterText"/>
    <w:uiPriority w:val="7"/>
    <w:rsid w:val="000C2D1E"/>
    <w:rPr>
      <w:rFonts w:ascii="Times New Roman" w:hAnsi="Times New Roman"/>
      <w:sz w:val="24"/>
      <w:szCs w:val="24"/>
    </w:rPr>
  </w:style>
  <w:style w:type="paragraph" w:customStyle="1" w:styleId="BasicParagraph">
    <w:name w:val="[Basic Paragraph]"/>
    <w:basedOn w:val="Normal"/>
    <w:link w:val="BasicParagraphChar"/>
    <w:uiPriority w:val="99"/>
    <w:unhideWhenUsed/>
    <w:rsid w:val="000C2D1E"/>
    <w:pPr>
      <w:widowControl w:val="0"/>
      <w:autoSpaceDE w:val="0"/>
      <w:autoSpaceDN w:val="0"/>
      <w:adjustRightInd w:val="0"/>
      <w:spacing w:line="288" w:lineRule="auto"/>
      <w:textAlignment w:val="center"/>
    </w:pPr>
    <w:rPr>
      <w:color w:val="000000"/>
    </w:rPr>
  </w:style>
  <w:style w:type="character" w:customStyle="1" w:styleId="BasicParagraphChar">
    <w:name w:val="[Basic Paragraph] Char"/>
    <w:basedOn w:val="DefaultParagraphFont"/>
    <w:link w:val="BasicParagraph"/>
    <w:uiPriority w:val="99"/>
    <w:rsid w:val="000C2D1E"/>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A4EBE"/>
    <w:pPr>
      <w:spacing w:before="100" w:beforeAutospacing="1" w:after="100" w:afterAutospacing="1"/>
    </w:pPr>
  </w:style>
  <w:style w:type="numbering" w:customStyle="1" w:styleId="NumberedList1">
    <w:name w:val="Numbered List1"/>
    <w:uiPriority w:val="99"/>
    <w:rsid w:val="000D323F"/>
  </w:style>
  <w:style w:type="table" w:customStyle="1" w:styleId="EconometricaTableStyle1">
    <w:name w:val="Econometrica Table Style1"/>
    <w:basedOn w:val="TableNormal"/>
    <w:uiPriority w:val="99"/>
    <w:rsid w:val="000D323F"/>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hemeFill="background1"/>
      </w:tcPr>
    </w:tblStylePr>
    <w:tblStylePr w:type="band2Horz">
      <w:rPr>
        <w:color w:val="auto"/>
      </w:rPr>
      <w:tblPr/>
      <w:tcPr>
        <w:shd w:val="clear" w:color="auto" w:fill="FFFFFF" w:themeFill="background1"/>
      </w:tcPr>
    </w:tblStylePr>
  </w:style>
  <w:style w:type="numbering" w:customStyle="1" w:styleId="NumberedList2">
    <w:name w:val="Numbered List2"/>
    <w:uiPriority w:val="99"/>
    <w:rsid w:val="00DF19A2"/>
  </w:style>
  <w:style w:type="numbering" w:customStyle="1" w:styleId="NumberedList3">
    <w:name w:val="Numbered List3"/>
    <w:uiPriority w:val="99"/>
    <w:rsid w:val="00DF19A2"/>
  </w:style>
  <w:style w:type="numbering" w:customStyle="1" w:styleId="NumberedList4">
    <w:name w:val="Numbered List4"/>
    <w:uiPriority w:val="99"/>
    <w:rsid w:val="005D5630"/>
  </w:style>
  <w:style w:type="paragraph" w:customStyle="1" w:styleId="ListBullet2-Last">
    <w:name w:val="List Bullet 2 - Last"/>
    <w:basedOn w:val="ListBullet2"/>
    <w:link w:val="ListBullet2-LastChar"/>
    <w:qFormat/>
    <w:rsid w:val="00866902"/>
    <w:pPr>
      <w:numPr>
        <w:numId w:val="3"/>
      </w:numPr>
      <w:spacing w:after="240"/>
    </w:pPr>
  </w:style>
  <w:style w:type="paragraph" w:customStyle="1" w:styleId="ListBullet3-Last">
    <w:name w:val="List Bullet 3 - Last"/>
    <w:basedOn w:val="ListBullet3"/>
    <w:link w:val="ListBullet3-LastChar"/>
    <w:qFormat/>
    <w:rsid w:val="00866902"/>
    <w:pPr>
      <w:numPr>
        <w:numId w:val="3"/>
      </w:numPr>
      <w:spacing w:after="240"/>
    </w:pPr>
  </w:style>
  <w:style w:type="character" w:customStyle="1" w:styleId="ListBullet2-LastChar">
    <w:name w:val="List Bullet 2 - Last Char"/>
    <w:basedOn w:val="DefaultParagraphFont"/>
    <w:link w:val="ListBullet2-Last"/>
    <w:rsid w:val="00866902"/>
    <w:rPr>
      <w:rFonts w:ascii="Times New Roman" w:hAnsi="Times New Roman"/>
      <w:sz w:val="24"/>
      <w:szCs w:val="24"/>
    </w:rPr>
  </w:style>
  <w:style w:type="character" w:customStyle="1" w:styleId="ListBullet3-LastChar">
    <w:name w:val="List Bullet 3 - Last Char"/>
    <w:basedOn w:val="ListBullet3Char"/>
    <w:link w:val="ListBullet3-Last"/>
    <w:rsid w:val="00866902"/>
    <w:rPr>
      <w:rFonts w:ascii="Times New Roman" w:hAnsi="Times New Roman"/>
      <w:sz w:val="24"/>
      <w:szCs w:val="24"/>
    </w:rPr>
  </w:style>
  <w:style w:type="paragraph" w:customStyle="1" w:styleId="ListBullet3-SingleLine-Last">
    <w:name w:val="List Bullet 3 - Single Line - Last"/>
    <w:basedOn w:val="Normal"/>
    <w:link w:val="ListBullet3-SingleLine-LastChar"/>
    <w:qFormat/>
    <w:rsid w:val="00866902"/>
    <w:pPr>
      <w:spacing w:after="240"/>
      <w:ind w:left="2160" w:hanging="180"/>
    </w:pPr>
    <w:rPr>
      <w:rFonts w:eastAsiaTheme="minorHAnsi" w:cstheme="minorBidi"/>
    </w:rPr>
  </w:style>
  <w:style w:type="character" w:customStyle="1" w:styleId="ListBullet3-SingleLine-LastChar">
    <w:name w:val="List Bullet 3 - Single Line - Last Char"/>
    <w:basedOn w:val="DefaultParagraphFont"/>
    <w:link w:val="ListBullet3-SingleLine-Last"/>
    <w:rsid w:val="00866902"/>
    <w:rPr>
      <w:rFonts w:ascii="Times New Roman" w:hAnsi="Times New Roman"/>
      <w:sz w:val="24"/>
      <w:szCs w:val="24"/>
    </w:rPr>
  </w:style>
  <w:style w:type="paragraph" w:customStyle="1" w:styleId="ListNumber2-SingleLine">
    <w:name w:val="List Number 2 - Single Line"/>
    <w:basedOn w:val="ListNumber2"/>
    <w:link w:val="ListNumber2-SingleLineChar"/>
    <w:qFormat/>
    <w:rsid w:val="00866902"/>
    <w:pPr>
      <w:numPr>
        <w:numId w:val="4"/>
      </w:numPr>
      <w:contextualSpacing/>
    </w:pPr>
  </w:style>
  <w:style w:type="character" w:customStyle="1" w:styleId="ListNumber2-SingleLineChar">
    <w:name w:val="List Number 2 - Single Line Char"/>
    <w:basedOn w:val="DefaultParagraphFont"/>
    <w:link w:val="ListNumber2-SingleLine"/>
    <w:rsid w:val="00866902"/>
    <w:rPr>
      <w:rFonts w:ascii="Times New Roman" w:hAnsi="Times New Roman"/>
      <w:sz w:val="24"/>
      <w:szCs w:val="24"/>
    </w:rPr>
  </w:style>
  <w:style w:type="paragraph" w:customStyle="1" w:styleId="ListNumber2-SingleLine-Last">
    <w:name w:val="List Number 2 - Single Line - Last"/>
    <w:basedOn w:val="ListNumber2-SingleLine"/>
    <w:link w:val="ListNumber2-SingleLine-LastChar"/>
    <w:qFormat/>
    <w:rsid w:val="00866902"/>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866902"/>
    <w:rPr>
      <w:rFonts w:ascii="Times New Roman" w:hAnsi="Times New Roman"/>
      <w:sz w:val="24"/>
      <w:szCs w:val="24"/>
    </w:rPr>
  </w:style>
  <w:style w:type="numbering" w:customStyle="1" w:styleId="NumberedList5">
    <w:name w:val="Numbered List5"/>
    <w:uiPriority w:val="99"/>
    <w:rsid w:val="00FE36A0"/>
    <w:pPr>
      <w:numPr>
        <w:numId w:val="2"/>
      </w:numPr>
    </w:pPr>
  </w:style>
  <w:style w:type="table" w:customStyle="1" w:styleId="EconometricaTableStyle3">
    <w:name w:val="Econometrica Table Style3"/>
    <w:basedOn w:val="TableNormal"/>
    <w:uiPriority w:val="99"/>
    <w:rsid w:val="00FE36A0"/>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table" w:customStyle="1" w:styleId="EconometricaTableStyle4">
    <w:name w:val="Econometrica Table Style4"/>
    <w:basedOn w:val="TableNormal"/>
    <w:uiPriority w:val="99"/>
    <w:rsid w:val="00F61F66"/>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Stoloff@EconometricaInc.com" TargetMode="External" /><Relationship Id="rId11" Type="http://schemas.openxmlformats.org/officeDocument/2006/relationships/hyperlink" Target="mailto:AThackeray@EconometricaInc.com" TargetMode="External" /><Relationship Id="rId12" Type="http://schemas.openxmlformats.org/officeDocument/2006/relationships/hyperlink" Target="mailto:CHolleyman@EconometricaInc.com" TargetMode="External" /><Relationship Id="rId13" Type="http://schemas.openxmlformats.org/officeDocument/2006/relationships/hyperlink" Target="mailto:MMcGilvray@EconometricaInc.com" TargetMode="External" /><Relationship Id="rId14" Type="http://schemas.openxmlformats.org/officeDocument/2006/relationships/hyperlink" Target="mailto:Regina.C.Gray@hud.gov" TargetMode="External" /><Relationship Id="rId15" Type="http://schemas.openxmlformats.org/officeDocument/2006/relationships/hyperlink" Target="mailto:Mark.A.Reardon@hud.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Stout@Econometrica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2910</Clear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9DCF-988A-4D9C-B337-14D329ACF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78D88-066D-4D0C-8459-4933BA3A2D47}">
  <ds:schemaRefs>
    <ds:schemaRef ds:uri="http://schemas.microsoft.com/sharepoint/events"/>
  </ds:schemaRefs>
</ds:datastoreItem>
</file>

<file path=customXml/itemProps3.xml><?xml version="1.0" encoding="utf-8"?>
<ds:datastoreItem xmlns:ds="http://schemas.openxmlformats.org/officeDocument/2006/customXml" ds:itemID="{6501E4F6-A5AE-4083-A77E-6C0710989304}">
  <ds:schemaRefs>
    <ds:schemaRef ds:uri="http://schemas.microsoft.com/sharepoint/v3/contenttype/forms"/>
  </ds:schemaRefs>
</ds:datastoreItem>
</file>

<file path=customXml/itemProps4.xml><?xml version="1.0" encoding="utf-8"?>
<ds:datastoreItem xmlns:ds="http://schemas.openxmlformats.org/officeDocument/2006/customXml" ds:itemID="{4CB2757D-0EAB-47C2-B756-E324016AC734}">
  <ds:schemaRefs>
    <ds:schemaRef ds:uri="http://schemas.microsoft.com/office/2006/metadata/properties"/>
    <ds:schemaRef ds:uri="http://schemas.microsoft.com/office/infopath/2007/PartnerControls"/>
    <ds:schemaRef ds:uri="ae2a2941-2dbe-4eaa-9281-19e6e20101f1"/>
  </ds:schemaRefs>
</ds:datastoreItem>
</file>

<file path=customXml/itemProps5.xml><?xml version="1.0" encoding="utf-8"?>
<ds:datastoreItem xmlns:ds="http://schemas.openxmlformats.org/officeDocument/2006/customXml" ds:itemID="{F04C391D-7CD3-41BF-BBDE-B052AFB8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2023-04-11T11:12:00Z</dcterms:created>
  <dcterms:modified xsi:type="dcterms:W3CDTF">2023-04-11T11:12:00Z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