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5227" w:rsidRDefault="004E5227" w14:paraId="13FB1719" w14:textId="77777777">
      <w:pPr>
        <w:rPr>
          <w:rFonts w:ascii="Times New Roman" w:hAnsi="Times New Roman"/>
          <w:b/>
          <w:sz w:val="24"/>
        </w:rPr>
      </w:pPr>
    </w:p>
    <w:p w:rsidR="004E5227" w:rsidRDefault="004E5227" w14:paraId="22B1D281" w14:textId="114FD206">
      <w:pPr>
        <w:jc w:val="center"/>
        <w:rPr>
          <w:rFonts w:ascii="Times New Roman" w:hAnsi="Times New Roman"/>
          <w:b/>
          <w:sz w:val="24"/>
          <w:szCs w:val="28"/>
        </w:rPr>
      </w:pPr>
      <w:r>
        <w:rPr>
          <w:rFonts w:ascii="Times New Roman" w:hAnsi="Times New Roman"/>
          <w:b/>
          <w:sz w:val="24"/>
          <w:szCs w:val="28"/>
        </w:rPr>
        <w:t>Support Statement for Information Collection Requirements</w:t>
      </w:r>
    </w:p>
    <w:p w:rsidR="004E5227" w:rsidRDefault="00B92F00" w14:paraId="1AE57017" w14:textId="6AB7BACD">
      <w:pPr>
        <w:pStyle w:val="Title"/>
        <w:tabs>
          <w:tab w:val="left" w:pos="10224"/>
        </w:tabs>
        <w:ind w:right="-36"/>
        <w:jc w:val="center"/>
        <w:rPr>
          <w:rFonts w:ascii="Times New Roman" w:hAnsi="Times New Roman"/>
          <w:i w:val="0"/>
          <w:iCs w:val="0"/>
          <w:color w:val="auto"/>
          <w:spacing w:val="15"/>
          <w:sz w:val="24"/>
        </w:rPr>
      </w:pPr>
      <w:r>
        <w:rPr>
          <w:rFonts w:ascii="Times New Roman" w:hAnsi="Times New Roman"/>
          <w:i w:val="0"/>
          <w:iCs w:val="0"/>
          <w:color w:val="auto"/>
          <w:spacing w:val="15"/>
          <w:sz w:val="24"/>
        </w:rPr>
        <w:t xml:space="preserve">X-59 Quiet </w:t>
      </w:r>
      <w:proofErr w:type="spellStart"/>
      <w:r>
        <w:rPr>
          <w:rFonts w:ascii="Times New Roman" w:hAnsi="Times New Roman"/>
          <w:i w:val="0"/>
          <w:iCs w:val="0"/>
          <w:color w:val="auto"/>
          <w:spacing w:val="15"/>
          <w:sz w:val="24"/>
        </w:rPr>
        <w:t>SuperSonic</w:t>
      </w:r>
      <w:proofErr w:type="spellEnd"/>
      <w:r>
        <w:rPr>
          <w:rFonts w:ascii="Times New Roman" w:hAnsi="Times New Roman"/>
          <w:i w:val="0"/>
          <w:iCs w:val="0"/>
          <w:color w:val="auto"/>
          <w:spacing w:val="15"/>
          <w:sz w:val="24"/>
        </w:rPr>
        <w:t xml:space="preserve"> </w:t>
      </w:r>
      <w:r w:rsidR="00827142">
        <w:rPr>
          <w:rFonts w:ascii="Times New Roman" w:hAnsi="Times New Roman"/>
          <w:i w:val="0"/>
          <w:iCs w:val="0"/>
          <w:color w:val="auto"/>
          <w:spacing w:val="15"/>
          <w:sz w:val="24"/>
        </w:rPr>
        <w:t>Community</w:t>
      </w:r>
      <w:r w:rsidR="00FD3E1E">
        <w:rPr>
          <w:rFonts w:ascii="Times New Roman" w:hAnsi="Times New Roman"/>
          <w:i w:val="0"/>
          <w:iCs w:val="0"/>
          <w:color w:val="auto"/>
          <w:spacing w:val="15"/>
          <w:sz w:val="24"/>
        </w:rPr>
        <w:t xml:space="preserve"> </w:t>
      </w:r>
      <w:r w:rsidR="00E91F45">
        <w:rPr>
          <w:rFonts w:ascii="Times New Roman" w:hAnsi="Times New Roman"/>
          <w:i w:val="0"/>
          <w:iCs w:val="0"/>
          <w:color w:val="auto"/>
          <w:spacing w:val="15"/>
          <w:sz w:val="24"/>
        </w:rPr>
        <w:t xml:space="preserve">Response </w:t>
      </w:r>
      <w:r w:rsidR="008D7A7D">
        <w:rPr>
          <w:rFonts w:ascii="Times New Roman" w:hAnsi="Times New Roman"/>
          <w:i w:val="0"/>
          <w:iCs w:val="0"/>
          <w:color w:val="auto"/>
          <w:spacing w:val="15"/>
          <w:sz w:val="24"/>
        </w:rPr>
        <w:t>Survey</w:t>
      </w:r>
      <w:r w:rsidR="00E91F45">
        <w:rPr>
          <w:rFonts w:ascii="Times New Roman" w:hAnsi="Times New Roman"/>
          <w:i w:val="0"/>
          <w:iCs w:val="0"/>
          <w:color w:val="auto"/>
          <w:spacing w:val="15"/>
          <w:sz w:val="24"/>
        </w:rPr>
        <w:t xml:space="preserve"> Preparation</w:t>
      </w:r>
    </w:p>
    <w:p w:rsidR="0069304D" w:rsidP="00BE2BF5" w:rsidRDefault="0069304D" w14:paraId="20384E97" w14:textId="77E1BEC9">
      <w:pPr>
        <w:pStyle w:val="Subtitle"/>
        <w:jc w:val="center"/>
        <w:rPr>
          <w:b w:val="0"/>
        </w:rPr>
      </w:pPr>
    </w:p>
    <w:p w:rsidR="004E5227" w:rsidP="00D26842" w:rsidRDefault="00B620D7" w14:paraId="0E62154F" w14:textId="54948D5F">
      <w:pPr>
        <w:spacing w:before="0"/>
        <w:rPr>
          <w:rFonts w:ascii="Times New Roman" w:hAnsi="Times New Roman"/>
          <w:b/>
          <w:sz w:val="24"/>
          <w:szCs w:val="22"/>
        </w:rPr>
      </w:pPr>
      <w:r>
        <w:rPr>
          <w:rFonts w:ascii="Times New Roman" w:hAnsi="Times New Roman"/>
          <w:b/>
          <w:sz w:val="24"/>
          <w:szCs w:val="22"/>
        </w:rPr>
        <w:t xml:space="preserve">Part </w:t>
      </w:r>
      <w:r w:rsidR="004E5227">
        <w:rPr>
          <w:rFonts w:ascii="Times New Roman" w:hAnsi="Times New Roman"/>
          <w:b/>
          <w:sz w:val="24"/>
          <w:szCs w:val="22"/>
        </w:rPr>
        <w:t>B.  Collections of Information Employing Statistical Methods</w:t>
      </w:r>
      <w:r w:rsidR="00C50807">
        <w:rPr>
          <w:rFonts w:ascii="Times New Roman" w:hAnsi="Times New Roman"/>
          <w:b/>
          <w:sz w:val="24"/>
          <w:szCs w:val="22"/>
        </w:rPr>
        <w:t xml:space="preserve"> </w:t>
      </w:r>
    </w:p>
    <w:p w:rsidRPr="00F75E70" w:rsidR="004E5227" w:rsidP="00EB1F5C" w:rsidRDefault="004E5227" w14:paraId="18A1A75C" w14:textId="25759310">
      <w:pPr>
        <w:tabs>
          <w:tab w:val="left" w:pos="440"/>
        </w:tabs>
        <w:rPr>
          <w:rFonts w:ascii="Times New Roman" w:hAnsi="Times New Roman"/>
          <w:sz w:val="24"/>
          <w:szCs w:val="22"/>
          <w:u w:val="single"/>
        </w:rPr>
      </w:pPr>
      <w:r w:rsidRPr="00F75E70">
        <w:rPr>
          <w:rFonts w:ascii="Times New Roman" w:hAnsi="Times New Roman"/>
          <w:sz w:val="24"/>
          <w:szCs w:val="22"/>
          <w:u w:val="single"/>
        </w:rPr>
        <w:t xml:space="preserve">1. </w:t>
      </w:r>
      <w:r w:rsidRPr="00F75E70" w:rsidR="005228ED">
        <w:rPr>
          <w:rFonts w:ascii="Times New Roman" w:hAnsi="Times New Roman"/>
          <w:sz w:val="24"/>
          <w:szCs w:val="22"/>
          <w:u w:val="single"/>
        </w:rPr>
        <w:t xml:space="preserve"> Potential respondent universe</w:t>
      </w:r>
    </w:p>
    <w:p w:rsidR="005228ED" w:rsidP="005228ED" w:rsidRDefault="00397B09" w14:paraId="63207651" w14:textId="6D94B451">
      <w:pPr>
        <w:tabs>
          <w:tab w:val="left" w:pos="440"/>
        </w:tabs>
        <w:rPr>
          <w:rFonts w:ascii="Times New Roman" w:hAnsi="Times New Roman"/>
          <w:sz w:val="24"/>
          <w:szCs w:val="22"/>
        </w:rPr>
      </w:pPr>
      <w:r>
        <w:rPr>
          <w:rFonts w:ascii="Times New Roman" w:hAnsi="Times New Roman"/>
          <w:sz w:val="24"/>
          <w:szCs w:val="22"/>
        </w:rPr>
        <w:t xml:space="preserve">The </w:t>
      </w:r>
      <w:r w:rsidR="008F362E">
        <w:rPr>
          <w:rFonts w:ascii="Times New Roman" w:hAnsi="Times New Roman"/>
          <w:sz w:val="24"/>
          <w:szCs w:val="22"/>
        </w:rPr>
        <w:t xml:space="preserve">NASA </w:t>
      </w:r>
      <w:r>
        <w:rPr>
          <w:rFonts w:ascii="Times New Roman" w:hAnsi="Times New Roman"/>
          <w:sz w:val="24"/>
          <w:szCs w:val="22"/>
        </w:rPr>
        <w:t xml:space="preserve">project team </w:t>
      </w:r>
      <w:r w:rsidR="008F362E">
        <w:rPr>
          <w:rFonts w:ascii="Times New Roman" w:hAnsi="Times New Roman"/>
          <w:sz w:val="24"/>
          <w:szCs w:val="22"/>
        </w:rPr>
        <w:t xml:space="preserve">has selected an area in and near Nashville, TN to conduct the </w:t>
      </w:r>
      <w:r w:rsidR="00D11A64">
        <w:rPr>
          <w:rFonts w:ascii="Times New Roman" w:hAnsi="Times New Roman"/>
          <w:sz w:val="24"/>
          <w:szCs w:val="22"/>
        </w:rPr>
        <w:t>Community Response Survey Preparation</w:t>
      </w:r>
      <w:r w:rsidR="008F362E">
        <w:rPr>
          <w:rFonts w:ascii="Times New Roman" w:hAnsi="Times New Roman"/>
          <w:sz w:val="24"/>
          <w:szCs w:val="22"/>
        </w:rPr>
        <w:t>.  Th</w:t>
      </w:r>
      <w:r w:rsidR="001824A5">
        <w:rPr>
          <w:rFonts w:ascii="Times New Roman" w:hAnsi="Times New Roman"/>
          <w:sz w:val="24"/>
          <w:szCs w:val="22"/>
        </w:rPr>
        <w:t xml:space="preserve">e size of the </w:t>
      </w:r>
      <w:r w:rsidR="008F362E">
        <w:rPr>
          <w:rFonts w:ascii="Times New Roman" w:hAnsi="Times New Roman"/>
          <w:sz w:val="24"/>
          <w:szCs w:val="22"/>
        </w:rPr>
        <w:t>sampling area was defined by the planned sound profile of the X-59</w:t>
      </w:r>
      <w:r w:rsidR="0070158A">
        <w:rPr>
          <w:rFonts w:ascii="Times New Roman" w:hAnsi="Times New Roman"/>
          <w:sz w:val="24"/>
          <w:szCs w:val="22"/>
        </w:rPr>
        <w:t xml:space="preserve">, </w:t>
      </w:r>
      <w:r w:rsidR="008F362E">
        <w:rPr>
          <w:rFonts w:ascii="Times New Roman" w:hAnsi="Times New Roman"/>
          <w:sz w:val="24"/>
          <w:szCs w:val="22"/>
        </w:rPr>
        <w:t xml:space="preserve">an area approximately 30 </w:t>
      </w:r>
      <w:r w:rsidR="00CC106A">
        <w:rPr>
          <w:rFonts w:ascii="Times New Roman" w:hAnsi="Times New Roman"/>
          <w:sz w:val="24"/>
          <w:szCs w:val="22"/>
        </w:rPr>
        <w:t xml:space="preserve">nautical miles </w:t>
      </w:r>
      <w:r w:rsidR="008F362E">
        <w:rPr>
          <w:rFonts w:ascii="Times New Roman" w:hAnsi="Times New Roman"/>
          <w:sz w:val="24"/>
          <w:szCs w:val="22"/>
        </w:rPr>
        <w:t xml:space="preserve">x </w:t>
      </w:r>
      <w:r w:rsidR="00CC106A">
        <w:rPr>
          <w:rFonts w:ascii="Times New Roman" w:hAnsi="Times New Roman"/>
          <w:sz w:val="24"/>
          <w:szCs w:val="22"/>
        </w:rPr>
        <w:t>20</w:t>
      </w:r>
      <w:r w:rsidR="008F362E">
        <w:rPr>
          <w:rFonts w:ascii="Times New Roman" w:hAnsi="Times New Roman"/>
          <w:sz w:val="24"/>
          <w:szCs w:val="22"/>
        </w:rPr>
        <w:t xml:space="preserve"> </w:t>
      </w:r>
      <w:r w:rsidR="00CC106A">
        <w:rPr>
          <w:rFonts w:ascii="Times New Roman" w:hAnsi="Times New Roman"/>
          <w:sz w:val="24"/>
          <w:szCs w:val="22"/>
        </w:rPr>
        <w:t xml:space="preserve">nautical </w:t>
      </w:r>
      <w:r w:rsidR="008F362E">
        <w:rPr>
          <w:rFonts w:ascii="Times New Roman" w:hAnsi="Times New Roman"/>
          <w:sz w:val="24"/>
          <w:szCs w:val="22"/>
        </w:rPr>
        <w:t xml:space="preserve">miles where the </w:t>
      </w:r>
      <w:r w:rsidR="00554306">
        <w:rPr>
          <w:rFonts w:ascii="Times New Roman" w:hAnsi="Times New Roman"/>
          <w:sz w:val="24"/>
          <w:szCs w:val="22"/>
        </w:rPr>
        <w:t>supersonic signature</w:t>
      </w:r>
      <w:r w:rsidR="008F362E">
        <w:rPr>
          <w:rFonts w:ascii="Times New Roman" w:hAnsi="Times New Roman"/>
          <w:sz w:val="24"/>
          <w:szCs w:val="22"/>
        </w:rPr>
        <w:t xml:space="preserve"> would likely be audible if a supersonic test flight occurred.  </w:t>
      </w:r>
      <w:r w:rsidR="001824A5">
        <w:rPr>
          <w:rFonts w:ascii="Times New Roman" w:hAnsi="Times New Roman"/>
          <w:sz w:val="24"/>
          <w:szCs w:val="22"/>
        </w:rPr>
        <w:t xml:space="preserve">The </w:t>
      </w:r>
      <w:r w:rsidR="00B3646A">
        <w:rPr>
          <w:rFonts w:ascii="Times New Roman" w:hAnsi="Times New Roman"/>
          <w:sz w:val="24"/>
          <w:szCs w:val="22"/>
        </w:rPr>
        <w:t xml:space="preserve">location of the sampling area was chosen to be where the </w:t>
      </w:r>
      <w:r w:rsidR="000F7328">
        <w:rPr>
          <w:rFonts w:ascii="Times New Roman" w:hAnsi="Times New Roman"/>
          <w:sz w:val="24"/>
          <w:szCs w:val="22"/>
        </w:rPr>
        <w:t>public</w:t>
      </w:r>
      <w:r w:rsidR="00B3646A">
        <w:rPr>
          <w:rFonts w:ascii="Times New Roman" w:hAnsi="Times New Roman"/>
          <w:sz w:val="24"/>
          <w:szCs w:val="22"/>
        </w:rPr>
        <w:t xml:space="preserve"> </w:t>
      </w:r>
      <w:r w:rsidR="000F7328">
        <w:rPr>
          <w:rFonts w:ascii="Times New Roman" w:hAnsi="Times New Roman"/>
          <w:sz w:val="24"/>
          <w:szCs w:val="22"/>
        </w:rPr>
        <w:t xml:space="preserve">could </w:t>
      </w:r>
      <w:r w:rsidR="00B3646A">
        <w:rPr>
          <w:rFonts w:ascii="Times New Roman" w:hAnsi="Times New Roman"/>
          <w:sz w:val="24"/>
          <w:szCs w:val="22"/>
        </w:rPr>
        <w:t xml:space="preserve">hear (subsonic) aircraft noise </w:t>
      </w:r>
      <w:r w:rsidR="000F7328">
        <w:rPr>
          <w:rFonts w:ascii="Times New Roman" w:hAnsi="Times New Roman"/>
          <w:sz w:val="24"/>
          <w:szCs w:val="22"/>
        </w:rPr>
        <w:t>from aircraft operating to/from Nashville International Airport</w:t>
      </w:r>
      <w:r w:rsidR="00080547">
        <w:rPr>
          <w:rFonts w:ascii="Times New Roman" w:hAnsi="Times New Roman"/>
          <w:sz w:val="24"/>
          <w:szCs w:val="22"/>
        </w:rPr>
        <w:t xml:space="preserve">, but </w:t>
      </w:r>
      <w:r w:rsidR="005F16A7">
        <w:rPr>
          <w:rFonts w:ascii="Times New Roman" w:hAnsi="Times New Roman"/>
          <w:sz w:val="24"/>
          <w:szCs w:val="22"/>
        </w:rPr>
        <w:t xml:space="preserve">sufficiently far from the airport so that the aircraft noise would </w:t>
      </w:r>
      <w:r w:rsidR="007B2613">
        <w:rPr>
          <w:rFonts w:ascii="Times New Roman" w:hAnsi="Times New Roman"/>
          <w:sz w:val="24"/>
          <w:szCs w:val="22"/>
        </w:rPr>
        <w:t>not be the primary noise source</w:t>
      </w:r>
      <w:r w:rsidR="000F7328">
        <w:rPr>
          <w:rFonts w:ascii="Times New Roman" w:hAnsi="Times New Roman"/>
          <w:sz w:val="24"/>
          <w:szCs w:val="22"/>
        </w:rPr>
        <w:t xml:space="preserve">. </w:t>
      </w:r>
      <w:r w:rsidR="008F362E">
        <w:rPr>
          <w:rFonts w:ascii="Times New Roman" w:hAnsi="Times New Roman"/>
          <w:sz w:val="24"/>
          <w:szCs w:val="22"/>
        </w:rPr>
        <w:t xml:space="preserve">While the potential universe would include </w:t>
      </w:r>
      <w:r w:rsidR="00E21C7A">
        <w:rPr>
          <w:rFonts w:ascii="Times New Roman" w:hAnsi="Times New Roman"/>
          <w:sz w:val="24"/>
          <w:szCs w:val="22"/>
        </w:rPr>
        <w:t>all adults</w:t>
      </w:r>
      <w:r w:rsidR="008F362E">
        <w:rPr>
          <w:rFonts w:ascii="Times New Roman" w:hAnsi="Times New Roman"/>
          <w:sz w:val="24"/>
          <w:szCs w:val="22"/>
        </w:rPr>
        <w:t xml:space="preserve"> who </w:t>
      </w:r>
      <w:r w:rsidR="00E21C7A">
        <w:rPr>
          <w:rFonts w:ascii="Times New Roman" w:hAnsi="Times New Roman"/>
          <w:sz w:val="24"/>
          <w:szCs w:val="22"/>
        </w:rPr>
        <w:t>are</w:t>
      </w:r>
      <w:r w:rsidR="008F362E">
        <w:rPr>
          <w:rFonts w:ascii="Times New Roman" w:hAnsi="Times New Roman"/>
          <w:sz w:val="24"/>
          <w:szCs w:val="22"/>
        </w:rPr>
        <w:t xml:space="preserve"> in this area during the scheduled times</w:t>
      </w:r>
      <w:r w:rsidR="00E21C7A">
        <w:rPr>
          <w:rFonts w:ascii="Times New Roman" w:hAnsi="Times New Roman"/>
          <w:sz w:val="24"/>
          <w:szCs w:val="22"/>
        </w:rPr>
        <w:t xml:space="preserve">, sampling practicalities led to restricting the </w:t>
      </w:r>
      <w:r w:rsidR="00CB367D">
        <w:rPr>
          <w:rFonts w:ascii="Times New Roman" w:hAnsi="Times New Roman"/>
          <w:sz w:val="24"/>
          <w:szCs w:val="22"/>
        </w:rPr>
        <w:t>frame</w:t>
      </w:r>
      <w:r w:rsidR="00E21C7A">
        <w:rPr>
          <w:rFonts w:ascii="Times New Roman" w:hAnsi="Times New Roman"/>
          <w:sz w:val="24"/>
          <w:szCs w:val="22"/>
        </w:rPr>
        <w:t xml:space="preserve"> to people living in households within the defined area.</w:t>
      </w:r>
    </w:p>
    <w:p w:rsidR="004E5227" w:rsidRDefault="004E5227" w14:paraId="2C789CB1" w14:textId="7B024409">
      <w:pPr>
        <w:pStyle w:val="BodyText"/>
        <w:rPr>
          <w:u w:val="single"/>
        </w:rPr>
      </w:pPr>
      <w:r>
        <w:t xml:space="preserve">2.  </w:t>
      </w:r>
      <w:r>
        <w:rPr>
          <w:u w:val="single"/>
        </w:rPr>
        <w:t>Procedures for the Collection of Information</w:t>
      </w:r>
    </w:p>
    <w:p w:rsidRPr="008B77A3" w:rsidR="004E5227" w:rsidP="008B77A3" w:rsidRDefault="004E5227" w14:paraId="2742B7FF" w14:textId="57B759F0">
      <w:pPr>
        <w:pStyle w:val="ListParagraph"/>
        <w:numPr>
          <w:ilvl w:val="0"/>
          <w:numId w:val="29"/>
        </w:numPr>
        <w:tabs>
          <w:tab w:val="left" w:pos="1100"/>
        </w:tabs>
        <w:spacing w:before="120"/>
        <w:rPr>
          <w:rFonts w:ascii="Times New Roman" w:hAnsi="Times New Roman"/>
          <w:sz w:val="24"/>
          <w:szCs w:val="22"/>
        </w:rPr>
      </w:pPr>
      <w:r w:rsidRPr="008B77A3">
        <w:rPr>
          <w:rFonts w:ascii="Times New Roman" w:hAnsi="Times New Roman"/>
          <w:sz w:val="24"/>
          <w:szCs w:val="22"/>
        </w:rPr>
        <w:t>Statistical methodologies for stratification and sample selection</w:t>
      </w:r>
    </w:p>
    <w:p w:rsidR="00207B24" w:rsidP="00207B24" w:rsidRDefault="00A93A77" w14:paraId="2DE2C571" w14:textId="2B897E03">
      <w:pPr>
        <w:tabs>
          <w:tab w:val="left" w:pos="1100"/>
        </w:tabs>
        <w:spacing w:before="120"/>
        <w:rPr>
          <w:rFonts w:ascii="Times New Roman" w:hAnsi="Times New Roman"/>
          <w:sz w:val="24"/>
          <w:szCs w:val="24"/>
        </w:rPr>
      </w:pPr>
      <w:r w:rsidRPr="485928B5">
        <w:rPr>
          <w:rFonts w:ascii="Times New Roman" w:hAnsi="Times New Roman"/>
          <w:sz w:val="24"/>
          <w:szCs w:val="24"/>
        </w:rPr>
        <w:t xml:space="preserve">The research plan is to </w:t>
      </w:r>
      <w:r w:rsidRPr="485928B5" w:rsidR="00207B24">
        <w:rPr>
          <w:rFonts w:ascii="Times New Roman" w:hAnsi="Times New Roman"/>
          <w:sz w:val="24"/>
          <w:szCs w:val="24"/>
        </w:rPr>
        <w:t xml:space="preserve">sample from the population </w:t>
      </w:r>
      <w:r w:rsidRPr="485928B5" w:rsidR="00E21C7A">
        <w:rPr>
          <w:rFonts w:ascii="Times New Roman" w:hAnsi="Times New Roman"/>
          <w:sz w:val="24"/>
          <w:szCs w:val="24"/>
        </w:rPr>
        <w:t>using</w:t>
      </w:r>
      <w:r w:rsidRPr="485928B5" w:rsidR="00207B24">
        <w:rPr>
          <w:rFonts w:ascii="Times New Roman" w:hAnsi="Times New Roman"/>
          <w:sz w:val="24"/>
          <w:szCs w:val="24"/>
        </w:rPr>
        <w:t xml:space="preserve"> a targeted </w:t>
      </w:r>
      <w:r w:rsidRPr="485928B5" w:rsidR="001E3BD1">
        <w:rPr>
          <w:rFonts w:ascii="Times New Roman" w:hAnsi="Times New Roman"/>
          <w:sz w:val="24"/>
          <w:szCs w:val="24"/>
        </w:rPr>
        <w:t xml:space="preserve">Address-Based sampling (ABS) </w:t>
      </w:r>
      <w:r w:rsidRPr="485928B5" w:rsidR="00207B24">
        <w:rPr>
          <w:rFonts w:ascii="Times New Roman" w:hAnsi="Times New Roman"/>
          <w:sz w:val="24"/>
          <w:szCs w:val="24"/>
        </w:rPr>
        <w:t>approach</w:t>
      </w:r>
      <w:r w:rsidRPr="485928B5" w:rsidR="009810E7">
        <w:rPr>
          <w:rFonts w:ascii="Times New Roman" w:hAnsi="Times New Roman"/>
          <w:sz w:val="24"/>
          <w:szCs w:val="24"/>
        </w:rPr>
        <w:t xml:space="preserve"> t</w:t>
      </w:r>
      <w:r w:rsidRPr="485928B5" w:rsidR="00207B24">
        <w:rPr>
          <w:rFonts w:ascii="Times New Roman" w:hAnsi="Times New Roman"/>
          <w:sz w:val="24"/>
          <w:szCs w:val="24"/>
        </w:rPr>
        <w:t xml:space="preserve">owards a goal of reaching 500 respondents </w:t>
      </w:r>
      <w:r w:rsidRPr="485928B5">
        <w:rPr>
          <w:rFonts w:ascii="Times New Roman" w:hAnsi="Times New Roman"/>
          <w:sz w:val="24"/>
          <w:szCs w:val="24"/>
        </w:rPr>
        <w:t xml:space="preserve">to </w:t>
      </w:r>
      <w:r w:rsidRPr="485928B5" w:rsidR="00E21C7A">
        <w:rPr>
          <w:rFonts w:ascii="Times New Roman" w:hAnsi="Times New Roman"/>
          <w:sz w:val="24"/>
          <w:szCs w:val="24"/>
        </w:rPr>
        <w:t>complete the background survey and commit to responding to the subsequent surveys</w:t>
      </w:r>
      <w:r w:rsidRPr="485928B5" w:rsidR="005D3FBD">
        <w:rPr>
          <w:rFonts w:ascii="Times New Roman" w:hAnsi="Times New Roman"/>
          <w:sz w:val="24"/>
          <w:szCs w:val="24"/>
        </w:rPr>
        <w:t>.</w:t>
      </w:r>
      <w:r w:rsidRPr="485928B5" w:rsidR="009810E7">
        <w:rPr>
          <w:rFonts w:ascii="Times New Roman" w:hAnsi="Times New Roman"/>
          <w:sz w:val="24"/>
          <w:szCs w:val="24"/>
        </w:rPr>
        <w:t xml:space="preserve"> T</w:t>
      </w:r>
      <w:r w:rsidRPr="485928B5" w:rsidR="00207B24">
        <w:rPr>
          <w:rFonts w:ascii="Times New Roman" w:hAnsi="Times New Roman"/>
          <w:sz w:val="24"/>
          <w:szCs w:val="24"/>
        </w:rPr>
        <w:t xml:space="preserve">he recruiting strategy </w:t>
      </w:r>
      <w:r w:rsidRPr="485928B5" w:rsidR="00E21C7A">
        <w:rPr>
          <w:rFonts w:ascii="Times New Roman" w:hAnsi="Times New Roman"/>
          <w:sz w:val="24"/>
          <w:szCs w:val="24"/>
        </w:rPr>
        <w:t>uses</w:t>
      </w:r>
      <w:r w:rsidRPr="485928B5" w:rsidR="00207B24">
        <w:rPr>
          <w:rFonts w:ascii="Times New Roman" w:hAnsi="Times New Roman"/>
          <w:sz w:val="24"/>
          <w:szCs w:val="24"/>
        </w:rPr>
        <w:t xml:space="preserve"> a Tailored Design Method (</w:t>
      </w:r>
      <w:proofErr w:type="spellStart"/>
      <w:r w:rsidRPr="485928B5" w:rsidR="00207B24">
        <w:rPr>
          <w:rFonts w:ascii="Times New Roman" w:hAnsi="Times New Roman"/>
          <w:sz w:val="24"/>
          <w:szCs w:val="24"/>
        </w:rPr>
        <w:t>Dillman</w:t>
      </w:r>
      <w:proofErr w:type="spellEnd"/>
      <w:r w:rsidRPr="485928B5" w:rsidR="00207B24">
        <w:rPr>
          <w:rFonts w:ascii="Times New Roman" w:hAnsi="Times New Roman"/>
          <w:sz w:val="24"/>
          <w:szCs w:val="24"/>
        </w:rPr>
        <w:t xml:space="preserve">, Smyth and Christian, 2009) approach to </w:t>
      </w:r>
      <w:r w:rsidRPr="485928B5">
        <w:rPr>
          <w:rFonts w:ascii="Times New Roman" w:hAnsi="Times New Roman"/>
          <w:sz w:val="24"/>
          <w:szCs w:val="24"/>
        </w:rPr>
        <w:t xml:space="preserve">reach </w:t>
      </w:r>
      <w:r w:rsidRPr="485928B5" w:rsidR="00E21C7A">
        <w:rPr>
          <w:rFonts w:ascii="Times New Roman" w:hAnsi="Times New Roman"/>
          <w:sz w:val="24"/>
          <w:szCs w:val="24"/>
        </w:rPr>
        <w:t>approximately 5000 randomly</w:t>
      </w:r>
      <w:r w:rsidRPr="485928B5" w:rsidR="00207B24">
        <w:rPr>
          <w:rFonts w:ascii="Times New Roman" w:hAnsi="Times New Roman"/>
          <w:sz w:val="24"/>
          <w:szCs w:val="24"/>
        </w:rPr>
        <w:t xml:space="preserve"> </w:t>
      </w:r>
      <w:r w:rsidRPr="485928B5" w:rsidR="00E21C7A">
        <w:rPr>
          <w:rFonts w:ascii="Times New Roman" w:hAnsi="Times New Roman"/>
          <w:sz w:val="24"/>
          <w:szCs w:val="24"/>
        </w:rPr>
        <w:t>sampled household addresses</w:t>
      </w:r>
      <w:r w:rsidRPr="485928B5" w:rsidR="00207B24">
        <w:rPr>
          <w:rFonts w:ascii="Times New Roman" w:hAnsi="Times New Roman"/>
          <w:sz w:val="24"/>
          <w:szCs w:val="24"/>
        </w:rPr>
        <w:t xml:space="preserve"> in th</w:t>
      </w:r>
      <w:r w:rsidRPr="485928B5">
        <w:rPr>
          <w:rFonts w:ascii="Times New Roman" w:hAnsi="Times New Roman"/>
          <w:sz w:val="24"/>
          <w:szCs w:val="24"/>
        </w:rPr>
        <w:t>e</w:t>
      </w:r>
      <w:r w:rsidRPr="485928B5" w:rsidR="00207B24">
        <w:rPr>
          <w:rFonts w:ascii="Times New Roman" w:hAnsi="Times New Roman"/>
          <w:sz w:val="24"/>
          <w:szCs w:val="24"/>
        </w:rPr>
        <w:t xml:space="preserve"> targete</w:t>
      </w:r>
      <w:r w:rsidRPr="485928B5" w:rsidR="00E21C7A">
        <w:rPr>
          <w:rFonts w:ascii="Times New Roman" w:hAnsi="Times New Roman"/>
          <w:sz w:val="24"/>
          <w:szCs w:val="24"/>
        </w:rPr>
        <w:t>d area.  For households with multiple adults</w:t>
      </w:r>
      <w:r w:rsidRPr="485928B5" w:rsidR="00CB367D">
        <w:rPr>
          <w:rFonts w:ascii="Times New Roman" w:hAnsi="Times New Roman"/>
          <w:sz w:val="24"/>
          <w:szCs w:val="24"/>
        </w:rPr>
        <w:t>, the web survey will apply Rizzo-Brick-Park method (</w:t>
      </w:r>
      <w:r w:rsidRPr="485928B5" w:rsidR="00163433">
        <w:rPr>
          <w:rFonts w:ascii="Times New Roman" w:hAnsi="Times New Roman"/>
          <w:sz w:val="24"/>
          <w:szCs w:val="24"/>
        </w:rPr>
        <w:t>Rizzo et al., 2004</w:t>
      </w:r>
      <w:r w:rsidRPr="485928B5" w:rsidR="00CB367D">
        <w:rPr>
          <w:rFonts w:ascii="Times New Roman" w:hAnsi="Times New Roman"/>
          <w:sz w:val="24"/>
          <w:szCs w:val="24"/>
        </w:rPr>
        <w:t>) to randomly select a specific adult from the household as the respondent (see Appendix A).</w:t>
      </w:r>
    </w:p>
    <w:p w:rsidRPr="00D079E7" w:rsidR="00B64739" w:rsidP="00D079E7" w:rsidRDefault="00B64739" w14:paraId="0C69E848" w14:textId="6CD09218">
      <w:pPr>
        <w:pStyle w:val="ListParagraph"/>
        <w:numPr>
          <w:ilvl w:val="0"/>
          <w:numId w:val="29"/>
        </w:numPr>
        <w:tabs>
          <w:tab w:val="left" w:pos="1100"/>
        </w:tabs>
        <w:spacing w:before="120"/>
        <w:rPr>
          <w:rFonts w:ascii="Times New Roman" w:hAnsi="Times New Roman"/>
          <w:sz w:val="24"/>
          <w:szCs w:val="22"/>
        </w:rPr>
      </w:pPr>
      <w:r w:rsidRPr="00D079E7">
        <w:rPr>
          <w:rFonts w:ascii="Times New Roman" w:hAnsi="Times New Roman"/>
          <w:sz w:val="24"/>
          <w:szCs w:val="22"/>
        </w:rPr>
        <w:t xml:space="preserve">Sample size </w:t>
      </w:r>
    </w:p>
    <w:p w:rsidR="007F6118" w:rsidP="00097255" w:rsidRDefault="00CB367D" w14:paraId="599EFBB2" w14:textId="16C9C8B1">
      <w:pPr>
        <w:rPr>
          <w:rFonts w:ascii="Times New Roman" w:hAnsi="Times New Roman"/>
          <w:sz w:val="24"/>
          <w:szCs w:val="22"/>
        </w:rPr>
      </w:pPr>
      <w:r>
        <w:rPr>
          <w:rFonts w:ascii="Times New Roman" w:hAnsi="Times New Roman"/>
          <w:sz w:val="24"/>
          <w:szCs w:val="22"/>
        </w:rPr>
        <w:t>As mentioned above, this study targets 500 adults.  This sample size should be sufficient to answer the key research questions below</w:t>
      </w:r>
      <w:r w:rsidR="00421208">
        <w:rPr>
          <w:rFonts w:ascii="Times New Roman" w:hAnsi="Times New Roman"/>
          <w:sz w:val="24"/>
          <w:szCs w:val="22"/>
        </w:rPr>
        <w:t xml:space="preserve">.   </w:t>
      </w:r>
      <w:r w:rsidR="00AC5B2F">
        <w:rPr>
          <w:rFonts w:ascii="Times New Roman" w:hAnsi="Times New Roman"/>
          <w:sz w:val="24"/>
          <w:szCs w:val="22"/>
        </w:rPr>
        <w:t>Questions related to response rates will be based</w:t>
      </w:r>
      <w:r w:rsidR="006F5C97">
        <w:rPr>
          <w:rFonts w:ascii="Times New Roman" w:hAnsi="Times New Roman"/>
          <w:sz w:val="24"/>
          <w:szCs w:val="22"/>
        </w:rPr>
        <w:t xml:space="preserve"> </w:t>
      </w:r>
      <w:r w:rsidR="00421208">
        <w:rPr>
          <w:rFonts w:ascii="Times New Roman" w:hAnsi="Times New Roman"/>
          <w:sz w:val="24"/>
          <w:szCs w:val="22"/>
        </w:rPr>
        <w:t xml:space="preserve">on all sampled households and not just those responding, so estimates will have a level of precision based on a sample of about 5,000 initially selected addresses.  </w:t>
      </w:r>
      <w:r w:rsidR="00AC5B2F">
        <w:rPr>
          <w:rFonts w:ascii="Times New Roman" w:hAnsi="Times New Roman"/>
          <w:sz w:val="24"/>
          <w:szCs w:val="22"/>
        </w:rPr>
        <w:t xml:space="preserve">For </w:t>
      </w:r>
      <w:r w:rsidR="007F6118">
        <w:rPr>
          <w:rFonts w:ascii="Times New Roman" w:hAnsi="Times New Roman"/>
          <w:sz w:val="24"/>
          <w:szCs w:val="22"/>
        </w:rPr>
        <w:t xml:space="preserve">a sample of 5,000 households, Table </w:t>
      </w:r>
      <w:r w:rsidR="002B7736">
        <w:rPr>
          <w:rFonts w:ascii="Times New Roman" w:hAnsi="Times New Roman"/>
          <w:sz w:val="24"/>
          <w:szCs w:val="22"/>
        </w:rPr>
        <w:t>1</w:t>
      </w:r>
      <w:r w:rsidR="007F6118">
        <w:rPr>
          <w:rFonts w:ascii="Times New Roman" w:hAnsi="Times New Roman"/>
          <w:sz w:val="24"/>
          <w:szCs w:val="22"/>
        </w:rPr>
        <w:t xml:space="preserve"> provides the standard errors and half</w:t>
      </w:r>
      <w:r w:rsidR="00AC5B2F">
        <w:rPr>
          <w:rFonts w:ascii="Times New Roman" w:hAnsi="Times New Roman"/>
          <w:sz w:val="24"/>
          <w:szCs w:val="22"/>
        </w:rPr>
        <w:t>-width 95% confidence intervals</w:t>
      </w:r>
      <w:r w:rsidR="007F6118">
        <w:rPr>
          <w:rFonts w:ascii="Times New Roman" w:hAnsi="Times New Roman"/>
          <w:sz w:val="24"/>
          <w:szCs w:val="22"/>
        </w:rPr>
        <w:t xml:space="preserve"> for response rat</w:t>
      </w:r>
      <w:r w:rsidR="003C2AE9">
        <w:rPr>
          <w:rFonts w:ascii="Times New Roman" w:hAnsi="Times New Roman"/>
          <w:sz w:val="24"/>
          <w:szCs w:val="22"/>
        </w:rPr>
        <w:t>es ranging from 10 percent to 25</w:t>
      </w:r>
      <w:r w:rsidR="007F6118">
        <w:rPr>
          <w:rFonts w:ascii="Times New Roman" w:hAnsi="Times New Roman"/>
          <w:sz w:val="24"/>
          <w:szCs w:val="22"/>
        </w:rPr>
        <w:t xml:space="preserve"> percent.</w:t>
      </w:r>
      <w:r w:rsidR="003C2AE9">
        <w:rPr>
          <w:rFonts w:ascii="Times New Roman" w:hAnsi="Times New Roman"/>
          <w:sz w:val="24"/>
          <w:szCs w:val="22"/>
        </w:rPr>
        <w:t xml:space="preserve">  </w:t>
      </w:r>
      <w:r w:rsidR="006F5C97">
        <w:rPr>
          <w:rFonts w:ascii="Times New Roman" w:hAnsi="Times New Roman"/>
          <w:sz w:val="24"/>
          <w:szCs w:val="22"/>
        </w:rPr>
        <w:t>All</w:t>
      </w:r>
      <w:r w:rsidR="003C2AE9">
        <w:rPr>
          <w:rFonts w:ascii="Times New Roman" w:hAnsi="Times New Roman"/>
          <w:sz w:val="24"/>
          <w:szCs w:val="22"/>
        </w:rPr>
        <w:t xml:space="preserve"> the confidence intervals are around 1 percentage point, which gives adequate precision for estimating the response rate for the study.</w:t>
      </w:r>
    </w:p>
    <w:p w:rsidR="003C2AE9" w:rsidP="00097255" w:rsidRDefault="002B7736" w14:paraId="3711EE70" w14:textId="1F832BA1">
      <w:pPr>
        <w:rPr>
          <w:rFonts w:ascii="Times New Roman" w:hAnsi="Times New Roman"/>
          <w:sz w:val="24"/>
          <w:szCs w:val="22"/>
        </w:rPr>
      </w:pPr>
      <w:r>
        <w:rPr>
          <w:rFonts w:ascii="Times New Roman" w:hAnsi="Times New Roman"/>
          <w:sz w:val="24"/>
          <w:szCs w:val="22"/>
        </w:rPr>
        <w:t xml:space="preserve">Table 1.  </w:t>
      </w:r>
      <w:r w:rsidR="003C2AE9">
        <w:rPr>
          <w:rFonts w:ascii="Times New Roman" w:hAnsi="Times New Roman"/>
          <w:sz w:val="24"/>
          <w:szCs w:val="22"/>
        </w:rPr>
        <w:t xml:space="preserve">Standard Errors and Half-width Confidence Intervals for </w:t>
      </w:r>
      <w:r w:rsidR="006A05D9">
        <w:rPr>
          <w:rFonts w:ascii="Times New Roman" w:hAnsi="Times New Roman"/>
          <w:sz w:val="24"/>
          <w:szCs w:val="22"/>
        </w:rPr>
        <w:t>R</w:t>
      </w:r>
      <w:r w:rsidR="003C2AE9">
        <w:rPr>
          <w:rFonts w:ascii="Times New Roman" w:hAnsi="Times New Roman"/>
          <w:sz w:val="24"/>
          <w:szCs w:val="22"/>
        </w:rPr>
        <w:t xml:space="preserve">esponse </w:t>
      </w:r>
      <w:r w:rsidR="006A05D9">
        <w:rPr>
          <w:rFonts w:ascii="Times New Roman" w:hAnsi="Times New Roman"/>
          <w:sz w:val="24"/>
          <w:szCs w:val="22"/>
        </w:rPr>
        <w:t>R</w:t>
      </w:r>
      <w:r w:rsidR="003C2AE9">
        <w:rPr>
          <w:rFonts w:ascii="Times New Roman" w:hAnsi="Times New Roman"/>
          <w:sz w:val="24"/>
          <w:szCs w:val="22"/>
        </w:rPr>
        <w:t xml:space="preserve">ates for a </w:t>
      </w:r>
      <w:r w:rsidR="006A05D9">
        <w:rPr>
          <w:rFonts w:ascii="Times New Roman" w:hAnsi="Times New Roman"/>
          <w:sz w:val="24"/>
          <w:szCs w:val="22"/>
        </w:rPr>
        <w:t>S</w:t>
      </w:r>
      <w:r w:rsidR="003C2AE9">
        <w:rPr>
          <w:rFonts w:ascii="Times New Roman" w:hAnsi="Times New Roman"/>
          <w:sz w:val="24"/>
          <w:szCs w:val="22"/>
        </w:rPr>
        <w:t>ample of 5</w:t>
      </w:r>
      <w:r w:rsidR="006A05D9">
        <w:rPr>
          <w:rFonts w:ascii="Times New Roman" w:hAnsi="Times New Roman"/>
          <w:sz w:val="24"/>
          <w:szCs w:val="22"/>
        </w:rPr>
        <w:t>,</w:t>
      </w:r>
      <w:r w:rsidR="003C2AE9">
        <w:rPr>
          <w:rFonts w:ascii="Times New Roman" w:hAnsi="Times New Roman"/>
          <w:sz w:val="24"/>
          <w:szCs w:val="22"/>
        </w:rPr>
        <w:t xml:space="preserve">000 </w:t>
      </w:r>
      <w:r w:rsidR="006A05D9">
        <w:rPr>
          <w:rFonts w:ascii="Times New Roman" w:hAnsi="Times New Roman"/>
          <w:sz w:val="24"/>
          <w:szCs w:val="22"/>
        </w:rPr>
        <w:t>H</w:t>
      </w:r>
      <w:r w:rsidR="003C2AE9">
        <w:rPr>
          <w:rFonts w:ascii="Times New Roman" w:hAnsi="Times New Roman"/>
          <w:sz w:val="24"/>
          <w:szCs w:val="22"/>
        </w:rPr>
        <w:t>ouseholds.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95"/>
        <w:gridCol w:w="1800"/>
        <w:gridCol w:w="2250"/>
      </w:tblGrid>
      <w:tr w:rsidR="003C2AE9" w:rsidTr="005A69E0" w14:paraId="666273E8" w14:textId="77777777">
        <w:tc>
          <w:tcPr>
            <w:tcW w:w="1795" w:type="dxa"/>
            <w:tcBorders>
              <w:bottom w:val="single" w:color="auto" w:sz="4" w:space="0"/>
            </w:tcBorders>
            <w:vAlign w:val="bottom"/>
          </w:tcPr>
          <w:p w:rsidR="003C2AE9" w:rsidP="005A69E0" w:rsidRDefault="003C2AE9" w14:paraId="4C345E02" w14:textId="2AD06ECA">
            <w:pPr>
              <w:jc w:val="center"/>
              <w:rPr>
                <w:rFonts w:ascii="Times New Roman" w:hAnsi="Times New Roman"/>
                <w:sz w:val="24"/>
              </w:rPr>
            </w:pPr>
            <w:r>
              <w:rPr>
                <w:rFonts w:ascii="Times New Roman" w:hAnsi="Times New Roman"/>
                <w:sz w:val="24"/>
              </w:rPr>
              <w:lastRenderedPageBreak/>
              <w:t>Response Rate</w:t>
            </w:r>
          </w:p>
        </w:tc>
        <w:tc>
          <w:tcPr>
            <w:tcW w:w="1800" w:type="dxa"/>
            <w:tcBorders>
              <w:bottom w:val="single" w:color="auto" w:sz="4" w:space="0"/>
            </w:tcBorders>
            <w:vAlign w:val="bottom"/>
          </w:tcPr>
          <w:p w:rsidR="003C2AE9" w:rsidP="005A69E0" w:rsidRDefault="003C2AE9" w14:paraId="10075EDA" w14:textId="4B9BDA0B">
            <w:pPr>
              <w:jc w:val="center"/>
              <w:rPr>
                <w:rFonts w:ascii="Times New Roman" w:hAnsi="Times New Roman"/>
                <w:sz w:val="24"/>
              </w:rPr>
            </w:pPr>
            <w:r>
              <w:rPr>
                <w:rFonts w:ascii="Times New Roman" w:hAnsi="Times New Roman"/>
                <w:sz w:val="24"/>
              </w:rPr>
              <w:t>Standard Error</w:t>
            </w:r>
          </w:p>
        </w:tc>
        <w:tc>
          <w:tcPr>
            <w:tcW w:w="2250" w:type="dxa"/>
            <w:tcBorders>
              <w:bottom w:val="single" w:color="auto" w:sz="4" w:space="0"/>
            </w:tcBorders>
            <w:vAlign w:val="bottom"/>
          </w:tcPr>
          <w:p w:rsidR="003C2AE9" w:rsidP="005A69E0" w:rsidRDefault="003C2AE9" w14:paraId="05CE88CC" w14:textId="032822A7">
            <w:pPr>
              <w:jc w:val="center"/>
              <w:rPr>
                <w:rFonts w:ascii="Times New Roman" w:hAnsi="Times New Roman"/>
                <w:sz w:val="24"/>
              </w:rPr>
            </w:pPr>
            <w:r>
              <w:rPr>
                <w:rFonts w:ascii="Times New Roman" w:hAnsi="Times New Roman"/>
                <w:sz w:val="24"/>
              </w:rPr>
              <w:t>Half-width 95% confidence Interval</w:t>
            </w:r>
          </w:p>
        </w:tc>
      </w:tr>
      <w:tr w:rsidR="003C2AE9" w:rsidTr="005A69E0" w14:paraId="11332A29" w14:textId="77777777">
        <w:tc>
          <w:tcPr>
            <w:tcW w:w="1795" w:type="dxa"/>
            <w:tcBorders>
              <w:top w:val="single" w:color="auto" w:sz="4" w:space="0"/>
            </w:tcBorders>
            <w:vAlign w:val="bottom"/>
          </w:tcPr>
          <w:p w:rsidR="003C2AE9" w:rsidP="005A69E0" w:rsidRDefault="003C2AE9" w14:paraId="6A056E1C" w14:textId="5DA4CEB9">
            <w:pPr>
              <w:jc w:val="center"/>
              <w:rPr>
                <w:rFonts w:ascii="Times New Roman" w:hAnsi="Times New Roman"/>
                <w:sz w:val="24"/>
              </w:rPr>
            </w:pPr>
            <w:r>
              <w:rPr>
                <w:rFonts w:ascii="Times New Roman" w:hAnsi="Times New Roman"/>
                <w:sz w:val="24"/>
              </w:rPr>
              <w:t>10%</w:t>
            </w:r>
          </w:p>
        </w:tc>
        <w:tc>
          <w:tcPr>
            <w:tcW w:w="1800" w:type="dxa"/>
            <w:tcBorders>
              <w:top w:val="single" w:color="auto" w:sz="4" w:space="0"/>
            </w:tcBorders>
            <w:vAlign w:val="bottom"/>
          </w:tcPr>
          <w:p w:rsidR="003C2AE9" w:rsidP="005A69E0" w:rsidRDefault="003C2AE9" w14:paraId="6D5E1869" w14:textId="6464F6E8">
            <w:pPr>
              <w:jc w:val="center"/>
              <w:rPr>
                <w:rFonts w:ascii="Times New Roman" w:hAnsi="Times New Roman"/>
                <w:sz w:val="24"/>
              </w:rPr>
            </w:pPr>
            <w:r>
              <w:rPr>
                <w:rFonts w:ascii="Times New Roman" w:hAnsi="Times New Roman"/>
                <w:sz w:val="24"/>
              </w:rPr>
              <w:t>0.4%</w:t>
            </w:r>
          </w:p>
        </w:tc>
        <w:tc>
          <w:tcPr>
            <w:tcW w:w="2250" w:type="dxa"/>
            <w:tcBorders>
              <w:top w:val="single" w:color="auto" w:sz="4" w:space="0"/>
            </w:tcBorders>
            <w:vAlign w:val="bottom"/>
          </w:tcPr>
          <w:p w:rsidR="003C2AE9" w:rsidP="005A69E0" w:rsidRDefault="003C2AE9" w14:paraId="4DDB7818" w14:textId="4F945B6F">
            <w:pPr>
              <w:jc w:val="center"/>
              <w:rPr>
                <w:rFonts w:ascii="Times New Roman" w:hAnsi="Times New Roman"/>
                <w:sz w:val="24"/>
              </w:rPr>
            </w:pPr>
            <w:r>
              <w:rPr>
                <w:rFonts w:ascii="Times New Roman" w:hAnsi="Times New Roman"/>
                <w:sz w:val="24"/>
              </w:rPr>
              <w:t>0.8%</w:t>
            </w:r>
          </w:p>
        </w:tc>
      </w:tr>
      <w:tr w:rsidR="003C2AE9" w:rsidTr="005A69E0" w14:paraId="640989F2" w14:textId="77777777">
        <w:tc>
          <w:tcPr>
            <w:tcW w:w="1795" w:type="dxa"/>
            <w:vAlign w:val="bottom"/>
          </w:tcPr>
          <w:p w:rsidR="003C2AE9" w:rsidP="005A69E0" w:rsidRDefault="003C2AE9" w14:paraId="72E51D5D" w14:textId="2EBD0395">
            <w:pPr>
              <w:jc w:val="center"/>
              <w:rPr>
                <w:rFonts w:ascii="Times New Roman" w:hAnsi="Times New Roman"/>
                <w:sz w:val="24"/>
              </w:rPr>
            </w:pPr>
            <w:r>
              <w:rPr>
                <w:rFonts w:ascii="Times New Roman" w:hAnsi="Times New Roman"/>
                <w:sz w:val="24"/>
              </w:rPr>
              <w:t>15%</w:t>
            </w:r>
          </w:p>
        </w:tc>
        <w:tc>
          <w:tcPr>
            <w:tcW w:w="1800" w:type="dxa"/>
            <w:vAlign w:val="bottom"/>
          </w:tcPr>
          <w:p w:rsidR="003C2AE9" w:rsidP="005A69E0" w:rsidRDefault="003C2AE9" w14:paraId="5AA47B02" w14:textId="06C6707D">
            <w:pPr>
              <w:jc w:val="center"/>
              <w:rPr>
                <w:rFonts w:ascii="Times New Roman" w:hAnsi="Times New Roman"/>
                <w:sz w:val="24"/>
              </w:rPr>
            </w:pPr>
            <w:r>
              <w:rPr>
                <w:rFonts w:ascii="Times New Roman" w:hAnsi="Times New Roman"/>
                <w:sz w:val="24"/>
              </w:rPr>
              <w:t>0.5%</w:t>
            </w:r>
          </w:p>
        </w:tc>
        <w:tc>
          <w:tcPr>
            <w:tcW w:w="2250" w:type="dxa"/>
            <w:vAlign w:val="bottom"/>
          </w:tcPr>
          <w:p w:rsidR="003C2AE9" w:rsidP="005A69E0" w:rsidRDefault="003C2AE9" w14:paraId="730FF03D" w14:textId="5D3B3588">
            <w:pPr>
              <w:jc w:val="center"/>
              <w:rPr>
                <w:rFonts w:ascii="Times New Roman" w:hAnsi="Times New Roman"/>
                <w:sz w:val="24"/>
              </w:rPr>
            </w:pPr>
            <w:r>
              <w:rPr>
                <w:rFonts w:ascii="Times New Roman" w:hAnsi="Times New Roman"/>
                <w:sz w:val="24"/>
              </w:rPr>
              <w:t>1.0%</w:t>
            </w:r>
          </w:p>
        </w:tc>
      </w:tr>
      <w:tr w:rsidR="003C2AE9" w:rsidTr="005A69E0" w14:paraId="213D6FBE" w14:textId="77777777">
        <w:tc>
          <w:tcPr>
            <w:tcW w:w="1795" w:type="dxa"/>
            <w:vAlign w:val="bottom"/>
          </w:tcPr>
          <w:p w:rsidR="003C2AE9" w:rsidP="005A69E0" w:rsidRDefault="003C2AE9" w14:paraId="5CFDF75B" w14:textId="61792967">
            <w:pPr>
              <w:jc w:val="center"/>
              <w:rPr>
                <w:rFonts w:ascii="Times New Roman" w:hAnsi="Times New Roman"/>
                <w:sz w:val="24"/>
              </w:rPr>
            </w:pPr>
            <w:r>
              <w:rPr>
                <w:rFonts w:ascii="Times New Roman" w:hAnsi="Times New Roman"/>
                <w:sz w:val="24"/>
              </w:rPr>
              <w:t>20%</w:t>
            </w:r>
          </w:p>
        </w:tc>
        <w:tc>
          <w:tcPr>
            <w:tcW w:w="1800" w:type="dxa"/>
            <w:vAlign w:val="bottom"/>
          </w:tcPr>
          <w:p w:rsidR="003C2AE9" w:rsidP="005A69E0" w:rsidRDefault="003C2AE9" w14:paraId="16075439" w14:textId="3DA5B870">
            <w:pPr>
              <w:jc w:val="center"/>
              <w:rPr>
                <w:rFonts w:ascii="Times New Roman" w:hAnsi="Times New Roman"/>
                <w:sz w:val="24"/>
              </w:rPr>
            </w:pPr>
            <w:r>
              <w:rPr>
                <w:rFonts w:ascii="Times New Roman" w:hAnsi="Times New Roman"/>
                <w:sz w:val="24"/>
              </w:rPr>
              <w:t>0.6%</w:t>
            </w:r>
          </w:p>
        </w:tc>
        <w:tc>
          <w:tcPr>
            <w:tcW w:w="2250" w:type="dxa"/>
            <w:vAlign w:val="bottom"/>
          </w:tcPr>
          <w:p w:rsidR="003C2AE9" w:rsidP="005A69E0" w:rsidRDefault="003C2AE9" w14:paraId="3236D358" w14:textId="418109EF">
            <w:pPr>
              <w:jc w:val="center"/>
              <w:rPr>
                <w:rFonts w:ascii="Times New Roman" w:hAnsi="Times New Roman"/>
                <w:sz w:val="24"/>
              </w:rPr>
            </w:pPr>
            <w:r>
              <w:rPr>
                <w:rFonts w:ascii="Times New Roman" w:hAnsi="Times New Roman"/>
                <w:sz w:val="24"/>
              </w:rPr>
              <w:t>1.1%</w:t>
            </w:r>
          </w:p>
        </w:tc>
      </w:tr>
      <w:tr w:rsidR="003C2AE9" w:rsidTr="005A69E0" w14:paraId="48007152" w14:textId="77777777">
        <w:tc>
          <w:tcPr>
            <w:tcW w:w="1795" w:type="dxa"/>
            <w:vAlign w:val="bottom"/>
          </w:tcPr>
          <w:p w:rsidR="003C2AE9" w:rsidP="005A69E0" w:rsidRDefault="003C2AE9" w14:paraId="2D3D9D17" w14:textId="0A222D05">
            <w:pPr>
              <w:jc w:val="center"/>
              <w:rPr>
                <w:rFonts w:ascii="Times New Roman" w:hAnsi="Times New Roman"/>
                <w:sz w:val="24"/>
              </w:rPr>
            </w:pPr>
            <w:r>
              <w:rPr>
                <w:rFonts w:ascii="Times New Roman" w:hAnsi="Times New Roman"/>
                <w:sz w:val="24"/>
              </w:rPr>
              <w:t>25%</w:t>
            </w:r>
          </w:p>
        </w:tc>
        <w:tc>
          <w:tcPr>
            <w:tcW w:w="1800" w:type="dxa"/>
            <w:vAlign w:val="bottom"/>
          </w:tcPr>
          <w:p w:rsidR="003C2AE9" w:rsidP="005A69E0" w:rsidRDefault="003C2AE9" w14:paraId="2FC03C65" w14:textId="24C5004F">
            <w:pPr>
              <w:jc w:val="center"/>
              <w:rPr>
                <w:rFonts w:ascii="Times New Roman" w:hAnsi="Times New Roman"/>
                <w:sz w:val="24"/>
              </w:rPr>
            </w:pPr>
            <w:r>
              <w:rPr>
                <w:rFonts w:ascii="Times New Roman" w:hAnsi="Times New Roman"/>
                <w:sz w:val="24"/>
              </w:rPr>
              <w:t>0.6%</w:t>
            </w:r>
          </w:p>
        </w:tc>
        <w:tc>
          <w:tcPr>
            <w:tcW w:w="2250" w:type="dxa"/>
            <w:vAlign w:val="bottom"/>
          </w:tcPr>
          <w:p w:rsidR="003C2AE9" w:rsidP="005A69E0" w:rsidRDefault="003C2AE9" w14:paraId="7CD9BBA4" w14:textId="42E499CF">
            <w:pPr>
              <w:jc w:val="center"/>
              <w:rPr>
                <w:rFonts w:ascii="Times New Roman" w:hAnsi="Times New Roman"/>
                <w:sz w:val="24"/>
              </w:rPr>
            </w:pPr>
            <w:r>
              <w:rPr>
                <w:rFonts w:ascii="Times New Roman" w:hAnsi="Times New Roman"/>
                <w:sz w:val="24"/>
              </w:rPr>
              <w:t>1.2%</w:t>
            </w:r>
          </w:p>
        </w:tc>
      </w:tr>
    </w:tbl>
    <w:p w:rsidRPr="00B92F00" w:rsidR="0055277D" w:rsidP="00097255" w:rsidRDefault="00421208" w14:paraId="09F99B06" w14:textId="25862BE2">
      <w:pPr>
        <w:rPr>
          <w:rFonts w:ascii="Times New Roman" w:hAnsi="Times New Roman"/>
          <w:sz w:val="24"/>
          <w:szCs w:val="24"/>
        </w:rPr>
      </w:pPr>
      <w:r w:rsidRPr="7B46FFF7">
        <w:rPr>
          <w:rFonts w:ascii="Times New Roman" w:hAnsi="Times New Roman"/>
          <w:sz w:val="24"/>
          <w:szCs w:val="24"/>
        </w:rPr>
        <w:t xml:space="preserve">For questions that address respondent behavior (choosing to use the app, turning off app notifications, working outside the target area), the level of precision offered by a sample </w:t>
      </w:r>
      <w:r w:rsidRPr="7B46FFF7" w:rsidR="00AC5B2F">
        <w:rPr>
          <w:rFonts w:ascii="Times New Roman" w:hAnsi="Times New Roman"/>
          <w:sz w:val="24"/>
          <w:szCs w:val="24"/>
        </w:rPr>
        <w:t xml:space="preserve">with </w:t>
      </w:r>
      <w:r w:rsidRPr="7B46FFF7">
        <w:rPr>
          <w:rFonts w:ascii="Times New Roman" w:hAnsi="Times New Roman"/>
          <w:sz w:val="24"/>
          <w:szCs w:val="24"/>
        </w:rPr>
        <w:t>500</w:t>
      </w:r>
      <w:r w:rsidRPr="7B46FFF7" w:rsidR="00AC5B2F">
        <w:rPr>
          <w:rFonts w:ascii="Times New Roman" w:hAnsi="Times New Roman"/>
          <w:sz w:val="24"/>
          <w:szCs w:val="24"/>
        </w:rPr>
        <w:t xml:space="preserve"> resp</w:t>
      </w:r>
      <w:r w:rsidRPr="7B46FFF7" w:rsidR="002B7736">
        <w:rPr>
          <w:rFonts w:ascii="Times New Roman" w:hAnsi="Times New Roman"/>
          <w:sz w:val="24"/>
          <w:szCs w:val="24"/>
        </w:rPr>
        <w:t>o</w:t>
      </w:r>
      <w:r w:rsidRPr="7B46FFF7" w:rsidR="00AC5B2F">
        <w:rPr>
          <w:rFonts w:ascii="Times New Roman" w:hAnsi="Times New Roman"/>
          <w:sz w:val="24"/>
          <w:szCs w:val="24"/>
        </w:rPr>
        <w:t>ndents</w:t>
      </w:r>
      <w:r w:rsidRPr="7B46FFF7">
        <w:rPr>
          <w:rFonts w:ascii="Times New Roman" w:hAnsi="Times New Roman"/>
          <w:sz w:val="24"/>
          <w:szCs w:val="24"/>
        </w:rPr>
        <w:t xml:space="preserve"> will suffice to determine the protocols for the later Community Response Surveys.  </w:t>
      </w:r>
      <w:r w:rsidRPr="7B46FFF7" w:rsidR="00343284">
        <w:rPr>
          <w:rFonts w:ascii="Times New Roman" w:hAnsi="Times New Roman"/>
          <w:sz w:val="24"/>
          <w:szCs w:val="24"/>
        </w:rPr>
        <w:t xml:space="preserve">Table </w:t>
      </w:r>
      <w:r w:rsidRPr="7B46FFF7" w:rsidR="002B7736">
        <w:rPr>
          <w:rFonts w:ascii="Times New Roman" w:hAnsi="Times New Roman"/>
          <w:sz w:val="24"/>
          <w:szCs w:val="24"/>
        </w:rPr>
        <w:t>2</w:t>
      </w:r>
      <w:r w:rsidRPr="7B46FFF7" w:rsidR="00343284">
        <w:rPr>
          <w:rFonts w:ascii="Times New Roman" w:hAnsi="Times New Roman"/>
          <w:sz w:val="24"/>
          <w:szCs w:val="24"/>
        </w:rPr>
        <w:t xml:space="preserve"> provides the standard errors and half-width confidence intervals for proportions ranging from </w:t>
      </w:r>
      <w:r w:rsidRPr="7B46FFF7" w:rsidR="0023386E">
        <w:rPr>
          <w:rFonts w:ascii="Times New Roman" w:hAnsi="Times New Roman"/>
          <w:sz w:val="24"/>
          <w:szCs w:val="24"/>
        </w:rPr>
        <w:t>0</w:t>
      </w:r>
      <w:r w:rsidRPr="7B46FFF7" w:rsidR="00343284">
        <w:rPr>
          <w:rFonts w:ascii="Times New Roman" w:hAnsi="Times New Roman"/>
          <w:sz w:val="24"/>
          <w:szCs w:val="24"/>
        </w:rPr>
        <w:t xml:space="preserve">.1 to </w:t>
      </w:r>
      <w:r w:rsidRPr="7B46FFF7" w:rsidR="0023386E">
        <w:rPr>
          <w:rFonts w:ascii="Times New Roman" w:hAnsi="Times New Roman"/>
          <w:sz w:val="24"/>
          <w:szCs w:val="24"/>
        </w:rPr>
        <w:t>0</w:t>
      </w:r>
      <w:r w:rsidRPr="7B46FFF7" w:rsidR="00343284">
        <w:rPr>
          <w:rFonts w:ascii="Times New Roman" w:hAnsi="Times New Roman"/>
          <w:sz w:val="24"/>
          <w:szCs w:val="24"/>
        </w:rPr>
        <w:t>.5 for 500</w:t>
      </w:r>
      <w:r w:rsidRPr="7B46FFF7" w:rsidR="00E27EFD">
        <w:rPr>
          <w:rFonts w:ascii="Times New Roman" w:hAnsi="Times New Roman"/>
          <w:sz w:val="24"/>
          <w:szCs w:val="24"/>
        </w:rPr>
        <w:t xml:space="preserve"> respondents</w:t>
      </w:r>
      <w:r w:rsidRPr="7B46FFF7" w:rsidR="00343284">
        <w:rPr>
          <w:rFonts w:ascii="Times New Roman" w:hAnsi="Times New Roman"/>
          <w:sz w:val="24"/>
          <w:szCs w:val="24"/>
        </w:rPr>
        <w:t xml:space="preserve"> and a design effect of 1.2.  For example, if the proportion of persons who work outside the target area is estimated to be around 20%, this will have a 95% confidence interval of </w:t>
      </w:r>
      <w:r w:rsidRPr="7B46FFF7" w:rsidR="0023386E">
        <w:rPr>
          <w:rFonts w:ascii="Times New Roman" w:hAnsi="Times New Roman"/>
          <w:sz w:val="24"/>
          <w:szCs w:val="24"/>
        </w:rPr>
        <w:t>±</w:t>
      </w:r>
      <w:r w:rsidRPr="7B46FFF7" w:rsidR="00343284">
        <w:rPr>
          <w:rFonts w:ascii="Times New Roman" w:hAnsi="Times New Roman"/>
          <w:sz w:val="24"/>
          <w:szCs w:val="24"/>
        </w:rPr>
        <w:t>3.8 percentage points.  This is adequate precision for planning for the larger Community Response Survey Preparation.  Similarly, the precision for other estimates is adequate for planning purposes (for full set of questions to be assessed from the Community Response Survey Preparation, see below).</w:t>
      </w:r>
      <w:r w:rsidRPr="7B46FFF7" w:rsidR="0055277D">
        <w:rPr>
          <w:rFonts w:ascii="Times New Roman" w:hAnsi="Times New Roman"/>
          <w:sz w:val="24"/>
          <w:szCs w:val="24"/>
        </w:rPr>
        <w:t xml:space="preserve"> </w:t>
      </w:r>
    </w:p>
    <w:p w:rsidR="00343284" w:rsidP="0055277D" w:rsidRDefault="0055277D" w14:paraId="62DCCB24" w14:textId="156E894E">
      <w:pPr>
        <w:rPr>
          <w:rFonts w:ascii="Times New Roman" w:hAnsi="Times New Roman"/>
          <w:sz w:val="24"/>
          <w:szCs w:val="22"/>
        </w:rPr>
      </w:pPr>
      <w:r>
        <w:rPr>
          <w:rFonts w:ascii="Times New Roman" w:hAnsi="Times New Roman"/>
          <w:sz w:val="24"/>
          <w:szCs w:val="22"/>
        </w:rPr>
        <w:t xml:space="preserve">Table 2. Standard Errors and Half-width Confidence Intervals for </w:t>
      </w:r>
      <w:r w:rsidR="00D546D0">
        <w:rPr>
          <w:rFonts w:ascii="Times New Roman" w:hAnsi="Times New Roman"/>
          <w:sz w:val="24"/>
          <w:szCs w:val="22"/>
        </w:rPr>
        <w:t>R</w:t>
      </w:r>
      <w:r>
        <w:rPr>
          <w:rFonts w:ascii="Times New Roman" w:hAnsi="Times New Roman"/>
          <w:sz w:val="24"/>
          <w:szCs w:val="22"/>
        </w:rPr>
        <w:t xml:space="preserve">esponse </w:t>
      </w:r>
      <w:r w:rsidR="00D546D0">
        <w:rPr>
          <w:rFonts w:ascii="Times New Roman" w:hAnsi="Times New Roman"/>
          <w:sz w:val="24"/>
          <w:szCs w:val="22"/>
        </w:rPr>
        <w:t>R</w:t>
      </w:r>
      <w:r>
        <w:rPr>
          <w:rFonts w:ascii="Times New Roman" w:hAnsi="Times New Roman"/>
          <w:sz w:val="24"/>
          <w:szCs w:val="22"/>
        </w:rPr>
        <w:t xml:space="preserve">ates for a </w:t>
      </w:r>
      <w:r w:rsidR="00D546D0">
        <w:rPr>
          <w:rFonts w:ascii="Times New Roman" w:hAnsi="Times New Roman"/>
          <w:sz w:val="24"/>
          <w:szCs w:val="22"/>
        </w:rPr>
        <w:t>S</w:t>
      </w:r>
      <w:r>
        <w:rPr>
          <w:rFonts w:ascii="Times New Roman" w:hAnsi="Times New Roman"/>
          <w:sz w:val="24"/>
          <w:szCs w:val="22"/>
        </w:rPr>
        <w:t xml:space="preserve">ample of 500 </w:t>
      </w:r>
      <w:r w:rsidR="00D546D0">
        <w:rPr>
          <w:rFonts w:ascii="Times New Roman" w:hAnsi="Times New Roman"/>
          <w:sz w:val="24"/>
          <w:szCs w:val="22"/>
        </w:rPr>
        <w:t>R</w:t>
      </w:r>
      <w:r>
        <w:rPr>
          <w:rFonts w:ascii="Times New Roman" w:hAnsi="Times New Roman"/>
          <w:sz w:val="24"/>
          <w:szCs w:val="22"/>
        </w:rPr>
        <w:t>espondents.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95"/>
        <w:gridCol w:w="1800"/>
        <w:gridCol w:w="2250"/>
      </w:tblGrid>
      <w:tr w:rsidR="00343284" w:rsidTr="370B1743" w14:paraId="5D1E8861" w14:textId="77777777">
        <w:tc>
          <w:tcPr>
            <w:tcW w:w="1795" w:type="dxa"/>
            <w:tcBorders>
              <w:bottom w:val="single" w:color="auto" w:sz="4" w:space="0"/>
            </w:tcBorders>
            <w:vAlign w:val="bottom"/>
          </w:tcPr>
          <w:p w:rsidR="00343284" w:rsidP="00072965" w:rsidRDefault="370B1743" w14:paraId="4B69FD9E" w14:textId="20DA2B3E">
            <w:pPr>
              <w:spacing w:line="259" w:lineRule="auto"/>
              <w:jc w:val="center"/>
              <w:rPr>
                <w:rFonts w:ascii="Times New Roman" w:hAnsi="Times New Roman"/>
                <w:sz w:val="24"/>
                <w:szCs w:val="24"/>
              </w:rPr>
            </w:pPr>
            <w:r w:rsidRPr="370B1743">
              <w:rPr>
                <w:rFonts w:ascii="Times New Roman" w:hAnsi="Times New Roman"/>
                <w:sz w:val="24"/>
                <w:szCs w:val="24"/>
              </w:rPr>
              <w:t>Survey Estimate</w:t>
            </w:r>
          </w:p>
        </w:tc>
        <w:tc>
          <w:tcPr>
            <w:tcW w:w="1800" w:type="dxa"/>
            <w:tcBorders>
              <w:bottom w:val="single" w:color="auto" w:sz="4" w:space="0"/>
            </w:tcBorders>
            <w:vAlign w:val="bottom"/>
          </w:tcPr>
          <w:p w:rsidR="00343284" w:rsidP="00D546D0" w:rsidRDefault="00343284" w14:paraId="3C337290" w14:textId="77777777">
            <w:pPr>
              <w:jc w:val="center"/>
              <w:rPr>
                <w:rFonts w:ascii="Times New Roman" w:hAnsi="Times New Roman"/>
                <w:sz w:val="24"/>
              </w:rPr>
            </w:pPr>
            <w:r>
              <w:rPr>
                <w:rFonts w:ascii="Times New Roman" w:hAnsi="Times New Roman"/>
                <w:sz w:val="24"/>
              </w:rPr>
              <w:t>Standard Error</w:t>
            </w:r>
          </w:p>
        </w:tc>
        <w:tc>
          <w:tcPr>
            <w:tcW w:w="2250" w:type="dxa"/>
            <w:tcBorders>
              <w:bottom w:val="single" w:color="auto" w:sz="4" w:space="0"/>
            </w:tcBorders>
            <w:vAlign w:val="bottom"/>
          </w:tcPr>
          <w:p w:rsidR="00343284" w:rsidP="00D546D0" w:rsidRDefault="00343284" w14:paraId="1CBEC1D3" w14:textId="77777777">
            <w:pPr>
              <w:jc w:val="center"/>
              <w:rPr>
                <w:rFonts w:ascii="Times New Roman" w:hAnsi="Times New Roman"/>
                <w:sz w:val="24"/>
              </w:rPr>
            </w:pPr>
            <w:r>
              <w:rPr>
                <w:rFonts w:ascii="Times New Roman" w:hAnsi="Times New Roman"/>
                <w:sz w:val="24"/>
              </w:rPr>
              <w:t>Half-width 95% confidence Interval</w:t>
            </w:r>
          </w:p>
        </w:tc>
      </w:tr>
      <w:tr w:rsidR="00343284" w:rsidTr="006602F0" w14:paraId="2B4492BC" w14:textId="77777777">
        <w:trPr>
          <w:trHeight w:val="144"/>
        </w:trPr>
        <w:tc>
          <w:tcPr>
            <w:tcW w:w="1795" w:type="dxa"/>
            <w:tcBorders>
              <w:top w:val="single" w:color="auto" w:sz="4" w:space="0"/>
            </w:tcBorders>
            <w:vAlign w:val="center"/>
          </w:tcPr>
          <w:p w:rsidR="00343284" w:rsidP="006602F0" w:rsidRDefault="00343284" w14:paraId="7762CB13" w14:textId="77777777">
            <w:pPr>
              <w:jc w:val="center"/>
              <w:rPr>
                <w:rFonts w:ascii="Times New Roman" w:hAnsi="Times New Roman"/>
                <w:sz w:val="24"/>
              </w:rPr>
            </w:pPr>
            <w:r>
              <w:rPr>
                <w:rFonts w:ascii="Times New Roman" w:hAnsi="Times New Roman"/>
                <w:sz w:val="24"/>
              </w:rPr>
              <w:t>10%</w:t>
            </w:r>
          </w:p>
        </w:tc>
        <w:tc>
          <w:tcPr>
            <w:tcW w:w="1800" w:type="dxa"/>
            <w:tcBorders>
              <w:top w:val="single" w:color="auto" w:sz="4" w:space="0"/>
            </w:tcBorders>
            <w:vAlign w:val="center"/>
          </w:tcPr>
          <w:p w:rsidR="00343284" w:rsidP="006602F0" w:rsidRDefault="00343284" w14:paraId="24158FF1" w14:textId="2B837D0C">
            <w:pPr>
              <w:jc w:val="center"/>
              <w:rPr>
                <w:rFonts w:ascii="Times New Roman" w:hAnsi="Times New Roman"/>
                <w:sz w:val="24"/>
              </w:rPr>
            </w:pPr>
            <w:r>
              <w:rPr>
                <w:rFonts w:ascii="Times New Roman" w:hAnsi="Times New Roman"/>
                <w:sz w:val="24"/>
              </w:rPr>
              <w:t>1.5%</w:t>
            </w:r>
          </w:p>
        </w:tc>
        <w:tc>
          <w:tcPr>
            <w:tcW w:w="2250" w:type="dxa"/>
            <w:tcBorders>
              <w:top w:val="single" w:color="auto" w:sz="4" w:space="0"/>
            </w:tcBorders>
            <w:vAlign w:val="center"/>
          </w:tcPr>
          <w:p w:rsidR="00343284" w:rsidP="006602F0" w:rsidRDefault="00343284" w14:paraId="6A3FC3B9" w14:textId="4ADDC5D9">
            <w:pPr>
              <w:jc w:val="center"/>
              <w:rPr>
                <w:rFonts w:ascii="Times New Roman" w:hAnsi="Times New Roman"/>
                <w:sz w:val="24"/>
              </w:rPr>
            </w:pPr>
            <w:r>
              <w:rPr>
                <w:rFonts w:ascii="Times New Roman" w:hAnsi="Times New Roman"/>
                <w:sz w:val="24"/>
              </w:rPr>
              <w:t>2.9%</w:t>
            </w:r>
          </w:p>
        </w:tc>
      </w:tr>
      <w:tr w:rsidR="00343284" w:rsidTr="006602F0" w14:paraId="7082935C" w14:textId="77777777">
        <w:trPr>
          <w:trHeight w:val="144"/>
        </w:trPr>
        <w:tc>
          <w:tcPr>
            <w:tcW w:w="1795" w:type="dxa"/>
            <w:vAlign w:val="center"/>
          </w:tcPr>
          <w:p w:rsidR="00343284" w:rsidP="006602F0" w:rsidRDefault="00343284" w14:paraId="00BDF9D0" w14:textId="22B9D924">
            <w:pPr>
              <w:jc w:val="center"/>
              <w:rPr>
                <w:rFonts w:ascii="Times New Roman" w:hAnsi="Times New Roman"/>
                <w:sz w:val="24"/>
              </w:rPr>
            </w:pPr>
            <w:r>
              <w:rPr>
                <w:rFonts w:ascii="Times New Roman" w:hAnsi="Times New Roman"/>
                <w:sz w:val="24"/>
              </w:rPr>
              <w:t>20%</w:t>
            </w:r>
          </w:p>
        </w:tc>
        <w:tc>
          <w:tcPr>
            <w:tcW w:w="1800" w:type="dxa"/>
            <w:vAlign w:val="center"/>
          </w:tcPr>
          <w:p w:rsidR="00343284" w:rsidP="006602F0" w:rsidRDefault="00343284" w14:paraId="132546EE" w14:textId="4DBCF31D">
            <w:pPr>
              <w:jc w:val="center"/>
              <w:rPr>
                <w:rFonts w:ascii="Times New Roman" w:hAnsi="Times New Roman"/>
                <w:sz w:val="24"/>
              </w:rPr>
            </w:pPr>
            <w:r>
              <w:rPr>
                <w:rFonts w:ascii="Times New Roman" w:hAnsi="Times New Roman"/>
                <w:sz w:val="24"/>
              </w:rPr>
              <w:t>2.0%</w:t>
            </w:r>
          </w:p>
        </w:tc>
        <w:tc>
          <w:tcPr>
            <w:tcW w:w="2250" w:type="dxa"/>
            <w:vAlign w:val="center"/>
          </w:tcPr>
          <w:p w:rsidR="00343284" w:rsidP="006602F0" w:rsidRDefault="00343284" w14:paraId="181ECBF1" w14:textId="32FEE199">
            <w:pPr>
              <w:jc w:val="center"/>
              <w:rPr>
                <w:rFonts w:ascii="Times New Roman" w:hAnsi="Times New Roman"/>
                <w:sz w:val="24"/>
              </w:rPr>
            </w:pPr>
            <w:r>
              <w:rPr>
                <w:rFonts w:ascii="Times New Roman" w:hAnsi="Times New Roman"/>
                <w:sz w:val="24"/>
              </w:rPr>
              <w:t>3.8%</w:t>
            </w:r>
          </w:p>
        </w:tc>
      </w:tr>
      <w:tr w:rsidR="00343284" w:rsidTr="006602F0" w14:paraId="7B9DC42A" w14:textId="77777777">
        <w:trPr>
          <w:trHeight w:val="144"/>
        </w:trPr>
        <w:tc>
          <w:tcPr>
            <w:tcW w:w="1795" w:type="dxa"/>
            <w:vAlign w:val="center"/>
          </w:tcPr>
          <w:p w:rsidR="00343284" w:rsidP="006602F0" w:rsidRDefault="00343284" w14:paraId="5C5C1875" w14:textId="274CE40B">
            <w:pPr>
              <w:jc w:val="center"/>
              <w:rPr>
                <w:rFonts w:ascii="Times New Roman" w:hAnsi="Times New Roman"/>
                <w:sz w:val="24"/>
              </w:rPr>
            </w:pPr>
            <w:r>
              <w:rPr>
                <w:rFonts w:ascii="Times New Roman" w:hAnsi="Times New Roman"/>
                <w:sz w:val="24"/>
              </w:rPr>
              <w:t>30%</w:t>
            </w:r>
          </w:p>
        </w:tc>
        <w:tc>
          <w:tcPr>
            <w:tcW w:w="1800" w:type="dxa"/>
            <w:vAlign w:val="center"/>
          </w:tcPr>
          <w:p w:rsidR="00343284" w:rsidP="006602F0" w:rsidRDefault="00343284" w14:paraId="5423359E" w14:textId="3CB0FEDD">
            <w:pPr>
              <w:jc w:val="center"/>
              <w:rPr>
                <w:rFonts w:ascii="Times New Roman" w:hAnsi="Times New Roman"/>
                <w:sz w:val="24"/>
              </w:rPr>
            </w:pPr>
            <w:r>
              <w:rPr>
                <w:rFonts w:ascii="Times New Roman" w:hAnsi="Times New Roman"/>
                <w:sz w:val="24"/>
              </w:rPr>
              <w:t>2.2%</w:t>
            </w:r>
          </w:p>
        </w:tc>
        <w:tc>
          <w:tcPr>
            <w:tcW w:w="2250" w:type="dxa"/>
            <w:vAlign w:val="center"/>
          </w:tcPr>
          <w:p w:rsidR="00343284" w:rsidP="006602F0" w:rsidRDefault="00343284" w14:paraId="65CCC490" w14:textId="71B94E68">
            <w:pPr>
              <w:jc w:val="center"/>
              <w:rPr>
                <w:rFonts w:ascii="Times New Roman" w:hAnsi="Times New Roman"/>
                <w:sz w:val="24"/>
              </w:rPr>
            </w:pPr>
            <w:r>
              <w:rPr>
                <w:rFonts w:ascii="Times New Roman" w:hAnsi="Times New Roman"/>
                <w:sz w:val="24"/>
              </w:rPr>
              <w:t>4.4%</w:t>
            </w:r>
          </w:p>
        </w:tc>
      </w:tr>
      <w:tr w:rsidR="00343284" w:rsidTr="006602F0" w14:paraId="39E432EF" w14:textId="77777777">
        <w:trPr>
          <w:trHeight w:val="144"/>
        </w:trPr>
        <w:tc>
          <w:tcPr>
            <w:tcW w:w="1795" w:type="dxa"/>
            <w:vAlign w:val="center"/>
          </w:tcPr>
          <w:p w:rsidR="00343284" w:rsidP="006602F0" w:rsidRDefault="00343284" w14:paraId="6E7B8920" w14:textId="644C09FF">
            <w:pPr>
              <w:jc w:val="center"/>
              <w:rPr>
                <w:rFonts w:ascii="Times New Roman" w:hAnsi="Times New Roman"/>
                <w:sz w:val="24"/>
              </w:rPr>
            </w:pPr>
            <w:r>
              <w:rPr>
                <w:rFonts w:ascii="Times New Roman" w:hAnsi="Times New Roman"/>
                <w:sz w:val="24"/>
              </w:rPr>
              <w:t>40%</w:t>
            </w:r>
          </w:p>
        </w:tc>
        <w:tc>
          <w:tcPr>
            <w:tcW w:w="1800" w:type="dxa"/>
            <w:vAlign w:val="center"/>
          </w:tcPr>
          <w:p w:rsidR="00343284" w:rsidP="006602F0" w:rsidRDefault="00343284" w14:paraId="144872DC" w14:textId="201663A5">
            <w:pPr>
              <w:jc w:val="center"/>
              <w:rPr>
                <w:rFonts w:ascii="Times New Roman" w:hAnsi="Times New Roman"/>
                <w:sz w:val="24"/>
              </w:rPr>
            </w:pPr>
            <w:r>
              <w:rPr>
                <w:rFonts w:ascii="Times New Roman" w:hAnsi="Times New Roman"/>
                <w:sz w:val="24"/>
              </w:rPr>
              <w:t>2.4%</w:t>
            </w:r>
          </w:p>
        </w:tc>
        <w:tc>
          <w:tcPr>
            <w:tcW w:w="2250" w:type="dxa"/>
            <w:vAlign w:val="center"/>
          </w:tcPr>
          <w:p w:rsidR="00343284" w:rsidP="006602F0" w:rsidRDefault="00343284" w14:paraId="3A6B1A7E" w14:textId="00E9E526">
            <w:pPr>
              <w:jc w:val="center"/>
              <w:rPr>
                <w:rFonts w:ascii="Times New Roman" w:hAnsi="Times New Roman"/>
                <w:sz w:val="24"/>
              </w:rPr>
            </w:pPr>
            <w:r>
              <w:rPr>
                <w:rFonts w:ascii="Times New Roman" w:hAnsi="Times New Roman"/>
                <w:sz w:val="24"/>
              </w:rPr>
              <w:t>4.7%</w:t>
            </w:r>
          </w:p>
        </w:tc>
      </w:tr>
      <w:tr w:rsidR="00343284" w:rsidTr="006602F0" w14:paraId="28726C07" w14:textId="77777777">
        <w:trPr>
          <w:trHeight w:val="144"/>
        </w:trPr>
        <w:tc>
          <w:tcPr>
            <w:tcW w:w="1795" w:type="dxa"/>
            <w:vAlign w:val="center"/>
          </w:tcPr>
          <w:p w:rsidR="00343284" w:rsidP="006602F0" w:rsidRDefault="00343284" w14:paraId="5FE39AA7" w14:textId="2D20A89E">
            <w:pPr>
              <w:jc w:val="center"/>
              <w:rPr>
                <w:rFonts w:ascii="Times New Roman" w:hAnsi="Times New Roman"/>
                <w:sz w:val="24"/>
              </w:rPr>
            </w:pPr>
            <w:r>
              <w:rPr>
                <w:rFonts w:ascii="Times New Roman" w:hAnsi="Times New Roman"/>
                <w:sz w:val="24"/>
              </w:rPr>
              <w:t>50%</w:t>
            </w:r>
          </w:p>
        </w:tc>
        <w:tc>
          <w:tcPr>
            <w:tcW w:w="1800" w:type="dxa"/>
            <w:vAlign w:val="center"/>
          </w:tcPr>
          <w:p w:rsidR="00343284" w:rsidP="006602F0" w:rsidRDefault="00343284" w14:paraId="39B0D5E1" w14:textId="489D4079">
            <w:pPr>
              <w:jc w:val="center"/>
              <w:rPr>
                <w:rFonts w:ascii="Times New Roman" w:hAnsi="Times New Roman"/>
                <w:sz w:val="24"/>
              </w:rPr>
            </w:pPr>
            <w:r>
              <w:rPr>
                <w:rFonts w:ascii="Times New Roman" w:hAnsi="Times New Roman"/>
                <w:sz w:val="24"/>
              </w:rPr>
              <w:t>2.4%</w:t>
            </w:r>
          </w:p>
        </w:tc>
        <w:tc>
          <w:tcPr>
            <w:tcW w:w="2250" w:type="dxa"/>
            <w:vAlign w:val="center"/>
          </w:tcPr>
          <w:p w:rsidR="00343284" w:rsidP="006602F0" w:rsidRDefault="00343284" w14:paraId="5009F114" w14:textId="5A39A7A2">
            <w:pPr>
              <w:jc w:val="center"/>
              <w:rPr>
                <w:rFonts w:ascii="Times New Roman" w:hAnsi="Times New Roman"/>
                <w:sz w:val="24"/>
              </w:rPr>
            </w:pPr>
            <w:r>
              <w:rPr>
                <w:rFonts w:ascii="Times New Roman" w:hAnsi="Times New Roman"/>
                <w:sz w:val="24"/>
              </w:rPr>
              <w:t>4.8%</w:t>
            </w:r>
          </w:p>
        </w:tc>
      </w:tr>
    </w:tbl>
    <w:p w:rsidR="003C2AE9" w:rsidP="00097255" w:rsidRDefault="003C2AE9" w14:paraId="025184EB" w14:textId="77777777">
      <w:pPr>
        <w:rPr>
          <w:rFonts w:ascii="Times New Roman" w:hAnsi="Times New Roman"/>
          <w:sz w:val="24"/>
          <w:szCs w:val="22"/>
        </w:rPr>
      </w:pPr>
    </w:p>
    <w:p w:rsidR="00CB367D" w:rsidP="00097255" w:rsidRDefault="00421208" w14:paraId="591A50CA" w14:textId="2386F8E0">
      <w:pPr>
        <w:rPr>
          <w:rFonts w:ascii="Times New Roman" w:hAnsi="Times New Roman"/>
          <w:sz w:val="24"/>
          <w:szCs w:val="22"/>
        </w:rPr>
      </w:pPr>
      <w:r>
        <w:rPr>
          <w:rFonts w:ascii="Times New Roman" w:hAnsi="Times New Roman"/>
          <w:sz w:val="24"/>
          <w:szCs w:val="22"/>
        </w:rPr>
        <w:t xml:space="preserve">Research questions about </w:t>
      </w:r>
      <w:r w:rsidR="00C70F4E">
        <w:rPr>
          <w:rFonts w:ascii="Times New Roman" w:hAnsi="Times New Roman"/>
          <w:sz w:val="24"/>
          <w:szCs w:val="22"/>
        </w:rPr>
        <w:t xml:space="preserve">operations </w:t>
      </w:r>
      <w:r>
        <w:rPr>
          <w:rFonts w:ascii="Times New Roman" w:hAnsi="Times New Roman"/>
          <w:sz w:val="24"/>
          <w:szCs w:val="22"/>
        </w:rPr>
        <w:t>require only a small sample to confirm and Westat knows from many previous surveys that the scalability of a sample of 500 to 1</w:t>
      </w:r>
      <w:r w:rsidR="00CD493F">
        <w:rPr>
          <w:rFonts w:ascii="Times New Roman" w:hAnsi="Times New Roman"/>
          <w:sz w:val="24"/>
          <w:szCs w:val="22"/>
        </w:rPr>
        <w:t>,</w:t>
      </w:r>
      <w:r>
        <w:rPr>
          <w:rFonts w:ascii="Times New Roman" w:hAnsi="Times New Roman"/>
          <w:sz w:val="24"/>
          <w:szCs w:val="22"/>
        </w:rPr>
        <w:t xml:space="preserve">000 will not be an issue.  The remaining questions are about respondents’ perceptions and understanding of the instruments and specific questions.  These questions are more qualitative where identifying potential issues will prompt careful review regardless of how frequent they occur. </w:t>
      </w:r>
    </w:p>
    <w:p w:rsidRPr="0055277D" w:rsidR="00C70F4E" w:rsidP="0055277D" w:rsidRDefault="00C70F4E" w14:paraId="5175DB79" w14:textId="0906BB9B">
      <w:pPr>
        <w:pStyle w:val="BodyText"/>
        <w:spacing w:before="0"/>
        <w:rPr>
          <w:i/>
        </w:rPr>
      </w:pPr>
      <w:r>
        <w:lastRenderedPageBreak/>
        <w:tab/>
      </w:r>
      <w:r w:rsidRPr="0055277D">
        <w:rPr>
          <w:i/>
        </w:rPr>
        <w:t>Response Rates</w:t>
      </w:r>
    </w:p>
    <w:p w:rsidR="00CB367D" w:rsidP="00CB367D" w:rsidRDefault="00CB367D" w14:paraId="74918793" w14:textId="4FBAEF29">
      <w:pPr>
        <w:pStyle w:val="BodyText"/>
        <w:numPr>
          <w:ilvl w:val="0"/>
          <w:numId w:val="30"/>
        </w:numPr>
        <w:spacing w:before="0"/>
      </w:pPr>
      <w:r>
        <w:t>What is the response rate for the study overall, and to each of the different surveys?​</w:t>
      </w:r>
    </w:p>
    <w:p w:rsidRPr="0055277D" w:rsidR="00C70F4E" w:rsidP="0055277D" w:rsidRDefault="00C70F4E" w14:paraId="48349669" w14:textId="244F7E6B">
      <w:pPr>
        <w:pStyle w:val="BodyText"/>
        <w:spacing w:before="0"/>
        <w:ind w:left="720"/>
        <w:rPr>
          <w:i/>
        </w:rPr>
      </w:pPr>
      <w:r w:rsidRPr="0055277D">
        <w:rPr>
          <w:i/>
        </w:rPr>
        <w:t>Respondent Behavior</w:t>
      </w:r>
      <w:r w:rsidR="004A4FD5">
        <w:rPr>
          <w:i/>
        </w:rPr>
        <w:t xml:space="preserve"> and Perceptions</w:t>
      </w:r>
    </w:p>
    <w:p w:rsidR="00CB367D" w:rsidP="00CB367D" w:rsidRDefault="00CB367D" w14:paraId="0E0B0007" w14:textId="76697EDB">
      <w:pPr>
        <w:pStyle w:val="BodyText"/>
        <w:numPr>
          <w:ilvl w:val="0"/>
          <w:numId w:val="30"/>
        </w:numPr>
        <w:spacing w:before="0"/>
      </w:pPr>
      <w:r>
        <w:t>What proportion of respondents chooses to use the app versus the web?​</w:t>
      </w:r>
    </w:p>
    <w:p w:rsidR="00CB367D" w:rsidP="00CB367D" w:rsidRDefault="00CB367D" w14:paraId="570CB621" w14:textId="77777777">
      <w:pPr>
        <w:pStyle w:val="BodyText"/>
        <w:numPr>
          <w:ilvl w:val="0"/>
          <w:numId w:val="30"/>
        </w:numPr>
        <w:spacing w:before="0"/>
      </w:pPr>
      <w:r>
        <w:t>What proportion turn off app notifications, and does that impact response rate?​</w:t>
      </w:r>
    </w:p>
    <w:p w:rsidR="004A4FD5" w:rsidP="00CB367D" w:rsidRDefault="00CB367D" w14:paraId="46B69C4F" w14:textId="77777777">
      <w:pPr>
        <w:pStyle w:val="BodyText"/>
        <w:numPr>
          <w:ilvl w:val="0"/>
          <w:numId w:val="30"/>
        </w:numPr>
        <w:spacing w:before="0"/>
      </w:pPr>
      <w:r>
        <w:t>How many respondents work outside of the target area?</w:t>
      </w:r>
    </w:p>
    <w:p w:rsidR="00CB367D" w:rsidP="004A4FD5" w:rsidRDefault="004A4FD5" w14:paraId="1DB3E290" w14:textId="258F5D59">
      <w:pPr>
        <w:pStyle w:val="BodyText"/>
        <w:numPr>
          <w:ilvl w:val="0"/>
          <w:numId w:val="30"/>
        </w:numPr>
        <w:spacing w:before="0"/>
      </w:pPr>
      <w:r w:rsidRPr="008F362E">
        <w:t xml:space="preserve">How are categorical attributes such as vibration, rattle and startle related to the annoyance response? </w:t>
      </w:r>
      <w:r w:rsidR="00CB367D">
        <w:t>​</w:t>
      </w:r>
    </w:p>
    <w:p w:rsidRPr="0055277D" w:rsidR="00C70F4E" w:rsidP="00CB367D" w:rsidRDefault="00C70F4E" w14:paraId="5E4AEF94" w14:textId="12BA8EAD">
      <w:pPr>
        <w:pStyle w:val="BodyText"/>
        <w:numPr>
          <w:ilvl w:val="0"/>
          <w:numId w:val="30"/>
        </w:numPr>
        <w:spacing w:before="0"/>
        <w:rPr>
          <w:i/>
        </w:rPr>
      </w:pPr>
      <w:r w:rsidRPr="0055277D">
        <w:rPr>
          <w:i/>
        </w:rPr>
        <w:t>Respondent Understanding</w:t>
      </w:r>
    </w:p>
    <w:p w:rsidR="00CB367D" w:rsidP="00CB367D" w:rsidRDefault="00CB367D" w14:paraId="1907683C" w14:textId="15905CF5">
      <w:pPr>
        <w:pStyle w:val="BodyText"/>
        <w:numPr>
          <w:ilvl w:val="0"/>
          <w:numId w:val="30"/>
        </w:numPr>
        <w:spacing w:before="0"/>
      </w:pPr>
      <w:r>
        <w:t>Are respondents able to clearly distinguish between the single event and daily surveys?​</w:t>
      </w:r>
    </w:p>
    <w:p w:rsidR="00CB367D" w:rsidP="00CB367D" w:rsidRDefault="00CB367D" w14:paraId="4C3688EF" w14:textId="77777777">
      <w:pPr>
        <w:pStyle w:val="BodyText"/>
        <w:numPr>
          <w:ilvl w:val="0"/>
          <w:numId w:val="30"/>
        </w:numPr>
        <w:spacing w:before="0"/>
      </w:pPr>
      <w:r>
        <w:t>Do methods for locating respondents when not at home or work provide the needed data?​</w:t>
      </w:r>
    </w:p>
    <w:p w:rsidR="00CB367D" w:rsidP="00CB367D" w:rsidRDefault="00CB5589" w14:paraId="63300912" w14:textId="05BCBD89">
      <w:pPr>
        <w:pStyle w:val="BodyText"/>
        <w:numPr>
          <w:ilvl w:val="0"/>
          <w:numId w:val="30"/>
        </w:numPr>
        <w:spacing w:before="0"/>
      </w:pPr>
      <w:r>
        <w:t>How useful are questions on building construction</w:t>
      </w:r>
      <w:r w:rsidR="00CB367D">
        <w:t>? Do respondents have the knowledge to answer these questions?​</w:t>
      </w:r>
    </w:p>
    <w:p w:rsidRPr="0055277D" w:rsidR="00C70F4E" w:rsidP="00C70F4E" w:rsidRDefault="00C70F4E" w14:paraId="1211A2D3" w14:textId="4DD32D02">
      <w:pPr>
        <w:pStyle w:val="BodyText"/>
        <w:numPr>
          <w:ilvl w:val="0"/>
          <w:numId w:val="30"/>
        </w:numPr>
        <w:spacing w:before="0"/>
        <w:rPr>
          <w:i/>
        </w:rPr>
      </w:pPr>
      <w:r w:rsidRPr="0055277D">
        <w:rPr>
          <w:i/>
        </w:rPr>
        <w:t>Survey Operations</w:t>
      </w:r>
    </w:p>
    <w:p w:rsidR="00CB367D" w:rsidP="00CB367D" w:rsidRDefault="00CB367D" w14:paraId="44D8E5FC" w14:textId="3FF7F888">
      <w:pPr>
        <w:pStyle w:val="BodyText"/>
        <w:numPr>
          <w:ilvl w:val="0"/>
          <w:numId w:val="30"/>
        </w:numPr>
        <w:spacing w:before="0"/>
      </w:pPr>
      <w:r>
        <w:t xml:space="preserve">How well do operations and </w:t>
      </w:r>
      <w:r w:rsidR="00CB5589">
        <w:t xml:space="preserve">the </w:t>
      </w:r>
      <w:r>
        <w:t>instrument work?​</w:t>
      </w:r>
    </w:p>
    <w:p w:rsidRPr="008F362E" w:rsidR="00CB367D" w:rsidP="00CB367D" w:rsidRDefault="00CB367D" w14:paraId="4FFBC458" w14:textId="70179C9D">
      <w:pPr>
        <w:pStyle w:val="BodyText"/>
        <w:numPr>
          <w:ilvl w:val="0"/>
          <w:numId w:val="30"/>
        </w:numPr>
        <w:spacing w:before="0"/>
      </w:pPr>
      <w:r w:rsidRPr="008F362E">
        <w:t>How well</w:t>
      </w:r>
      <w:r w:rsidR="000D7D16">
        <w:t xml:space="preserve"> do</w:t>
      </w:r>
      <w:r w:rsidRPr="008F362E">
        <w:t xml:space="preserve"> the automated survey data processing methods work?</w:t>
      </w:r>
    </w:p>
    <w:p w:rsidR="00CB367D" w:rsidP="00CB367D" w:rsidRDefault="00CB367D" w14:paraId="145D948E" w14:textId="77777777">
      <w:pPr>
        <w:pStyle w:val="BodyText"/>
        <w:spacing w:before="0"/>
      </w:pPr>
    </w:p>
    <w:p w:rsidR="008F3B62" w:rsidP="00B92F00" w:rsidRDefault="00CB367D" w14:paraId="0639FE3F" w14:textId="6E73CD8C">
      <w:pPr>
        <w:pStyle w:val="BodyText"/>
        <w:spacing w:before="0"/>
      </w:pPr>
      <w:r>
        <w:t xml:space="preserve">A larger sample size will likely be necessary for the actual X-59 Community Response </w:t>
      </w:r>
      <w:r w:rsidR="00431226">
        <w:t xml:space="preserve">Surveys </w:t>
      </w:r>
      <w:r w:rsidR="000E783B">
        <w:t>to</w:t>
      </w:r>
      <w:r>
        <w:t xml:space="preserve"> yield sufficiently precise modeling of dose-response.  Current plans are for these sample sizes to be 1,000 adults from each of 5 selected communities. </w:t>
      </w:r>
    </w:p>
    <w:p w:rsidR="00CB367D" w:rsidP="008F3B62" w:rsidRDefault="00CB367D" w14:paraId="40812512" w14:textId="77777777">
      <w:pPr>
        <w:pStyle w:val="PlainText"/>
      </w:pPr>
    </w:p>
    <w:p w:rsidRPr="00CB367D" w:rsidR="009D0AA1" w:rsidP="00CB367D" w:rsidRDefault="004E5227" w14:paraId="307E8A1B" w14:textId="09EB2B6D">
      <w:pPr>
        <w:pStyle w:val="ListParagraph"/>
        <w:numPr>
          <w:ilvl w:val="0"/>
          <w:numId w:val="29"/>
        </w:numPr>
        <w:tabs>
          <w:tab w:val="left" w:pos="1100"/>
        </w:tabs>
        <w:spacing w:before="120"/>
        <w:rPr>
          <w:rFonts w:ascii="Times New Roman" w:hAnsi="Times New Roman"/>
          <w:sz w:val="24"/>
          <w:szCs w:val="22"/>
        </w:rPr>
      </w:pPr>
      <w:r w:rsidRPr="00921C8A">
        <w:rPr>
          <w:rFonts w:ascii="Times New Roman" w:hAnsi="Times New Roman"/>
          <w:sz w:val="24"/>
          <w:szCs w:val="22"/>
        </w:rPr>
        <w:t>Estimation Procedures</w:t>
      </w:r>
      <w:r w:rsidRPr="00921C8A" w:rsidR="008B7A67">
        <w:rPr>
          <w:rFonts w:ascii="Times New Roman" w:hAnsi="Times New Roman"/>
          <w:sz w:val="24"/>
          <w:szCs w:val="22"/>
        </w:rPr>
        <w:t xml:space="preserve"> and Analysis Model</w:t>
      </w:r>
    </w:p>
    <w:p w:rsidR="00107041" w:rsidP="009D0AA1" w:rsidRDefault="004A4FD5" w14:paraId="128FC432" w14:textId="77777777">
      <w:pPr>
        <w:kinsoku w:val="0"/>
        <w:overflowPunct w:val="0"/>
        <w:spacing w:before="200"/>
        <w:jc w:val="both"/>
        <w:textAlignment w:val="baseline"/>
        <w:rPr>
          <w:rFonts w:ascii="Times New Roman" w:hAnsi="Times New Roman" w:eastAsia="MS PGothic"/>
          <w:color w:val="000000"/>
          <w:sz w:val="24"/>
          <w:szCs w:val="24"/>
        </w:rPr>
      </w:pPr>
      <w:r>
        <w:rPr>
          <w:rFonts w:ascii="Times New Roman" w:hAnsi="Times New Roman" w:eastAsia="MS PGothic"/>
          <w:color w:val="000000"/>
          <w:sz w:val="24"/>
          <w:szCs w:val="24"/>
        </w:rPr>
        <w:t xml:space="preserve">For the research questions about response rates and respondent behavior, estimates will come from weighted frequencies and associated confidence intervals.  The research team will analyze these frequencies and adjust the sampling plan for the Community Response Surveys as warranted.  </w:t>
      </w:r>
    </w:p>
    <w:p w:rsidR="00107041" w:rsidP="009D0AA1" w:rsidRDefault="004A4FD5" w14:paraId="048F4C2C" w14:textId="07FA4AFE">
      <w:pPr>
        <w:kinsoku w:val="0"/>
        <w:overflowPunct w:val="0"/>
        <w:spacing w:before="200"/>
        <w:jc w:val="both"/>
        <w:textAlignment w:val="baseline"/>
        <w:rPr>
          <w:rFonts w:ascii="Times New Roman" w:hAnsi="Times New Roman" w:eastAsia="MS PGothic"/>
          <w:color w:val="000000"/>
          <w:sz w:val="24"/>
          <w:szCs w:val="24"/>
        </w:rPr>
      </w:pPr>
      <w:r>
        <w:rPr>
          <w:rFonts w:ascii="Times New Roman" w:hAnsi="Times New Roman" w:eastAsia="MS PGothic"/>
          <w:color w:val="000000"/>
          <w:sz w:val="24"/>
          <w:szCs w:val="24"/>
        </w:rPr>
        <w:t xml:space="preserve">For questions related to respondent understanding of the instruments and process, the research team will analyze survey responses to look for missing data and for questions with a disproportionate number of </w:t>
      </w:r>
      <w:r w:rsidR="00CD493F">
        <w:rPr>
          <w:rFonts w:ascii="Times New Roman" w:hAnsi="Times New Roman" w:eastAsia="MS PGothic"/>
          <w:color w:val="000000"/>
          <w:sz w:val="24"/>
          <w:szCs w:val="24"/>
        </w:rPr>
        <w:t>“</w:t>
      </w:r>
      <w:r>
        <w:rPr>
          <w:rFonts w:ascii="Times New Roman" w:hAnsi="Times New Roman" w:eastAsia="MS PGothic"/>
          <w:color w:val="000000"/>
          <w:sz w:val="24"/>
          <w:szCs w:val="24"/>
        </w:rPr>
        <w:t>don’t know responses</w:t>
      </w:r>
      <w:r w:rsidR="00CD493F">
        <w:rPr>
          <w:rFonts w:ascii="Times New Roman" w:hAnsi="Times New Roman" w:eastAsia="MS PGothic"/>
          <w:color w:val="000000"/>
          <w:sz w:val="24"/>
          <w:szCs w:val="24"/>
        </w:rPr>
        <w:t>”</w:t>
      </w:r>
      <w:r>
        <w:rPr>
          <w:rFonts w:ascii="Times New Roman" w:hAnsi="Times New Roman" w:eastAsia="MS PGothic"/>
          <w:color w:val="000000"/>
          <w:sz w:val="24"/>
          <w:szCs w:val="24"/>
        </w:rPr>
        <w:t xml:space="preserve">.  Also, Westat will keep a log of respondents who contact the </w:t>
      </w:r>
      <w:r w:rsidR="00107041">
        <w:rPr>
          <w:rFonts w:ascii="Times New Roman" w:hAnsi="Times New Roman" w:eastAsia="MS PGothic"/>
          <w:color w:val="000000"/>
          <w:sz w:val="24"/>
          <w:szCs w:val="24"/>
        </w:rPr>
        <w:t>Help Desk by either phone or email that documents the contact reason.  Westat will review these logs for any mention of respondents having trouble answering questions or reported confusion about the survey process.</w:t>
      </w:r>
    </w:p>
    <w:p w:rsidR="00107041" w:rsidP="009D0AA1" w:rsidRDefault="00107041" w14:paraId="33098946" w14:textId="22468C71">
      <w:pPr>
        <w:kinsoku w:val="0"/>
        <w:overflowPunct w:val="0"/>
        <w:spacing w:before="200"/>
        <w:jc w:val="both"/>
        <w:textAlignment w:val="baseline"/>
        <w:rPr>
          <w:rFonts w:ascii="Times New Roman" w:hAnsi="Times New Roman" w:eastAsia="MS PGothic"/>
          <w:color w:val="000000"/>
          <w:sz w:val="24"/>
          <w:szCs w:val="24"/>
        </w:rPr>
      </w:pPr>
      <w:r>
        <w:rPr>
          <w:rFonts w:ascii="Times New Roman" w:hAnsi="Times New Roman" w:eastAsia="MS PGothic"/>
          <w:color w:val="000000"/>
          <w:sz w:val="24"/>
          <w:szCs w:val="24"/>
        </w:rPr>
        <w:t xml:space="preserve">For questions related to survey operations, </w:t>
      </w:r>
      <w:r w:rsidR="003E1D13">
        <w:rPr>
          <w:rFonts w:ascii="Times New Roman" w:hAnsi="Times New Roman" w:eastAsia="MS PGothic"/>
          <w:color w:val="000000"/>
          <w:sz w:val="24"/>
          <w:szCs w:val="24"/>
        </w:rPr>
        <w:t xml:space="preserve">the research team will debrief programmers, operations managers, and data managers to identify problems, risks, and areas for improvement.  The team will also analyze Help Desk logs for any technical issues reported by respondents. </w:t>
      </w:r>
    </w:p>
    <w:p w:rsidRPr="00D079E7" w:rsidR="00D079E7" w:rsidP="0023103E" w:rsidRDefault="00D079E7" w14:paraId="33395AC7" w14:textId="77777777">
      <w:pPr>
        <w:tabs>
          <w:tab w:val="left" w:pos="1100"/>
        </w:tabs>
        <w:spacing w:before="120"/>
        <w:rPr>
          <w:rFonts w:ascii="Times New Roman" w:hAnsi="Times New Roman"/>
          <w:sz w:val="24"/>
          <w:szCs w:val="22"/>
        </w:rPr>
      </w:pPr>
    </w:p>
    <w:p w:rsidR="00404EAF" w:rsidP="00580EDC" w:rsidRDefault="008F170B" w14:paraId="0BBD5BD0" w14:textId="77777777">
      <w:pPr>
        <w:pStyle w:val="ListParagraph"/>
        <w:numPr>
          <w:ilvl w:val="0"/>
          <w:numId w:val="29"/>
        </w:numPr>
        <w:tabs>
          <w:tab w:val="left" w:pos="1100"/>
        </w:tabs>
        <w:spacing w:before="120"/>
        <w:rPr>
          <w:rFonts w:ascii="Times New Roman" w:hAnsi="Times New Roman"/>
          <w:sz w:val="24"/>
          <w:szCs w:val="24"/>
        </w:rPr>
      </w:pPr>
      <w:r w:rsidRPr="0F1A82B9">
        <w:rPr>
          <w:rFonts w:ascii="Times New Roman" w:hAnsi="Times New Roman"/>
          <w:sz w:val="24"/>
          <w:szCs w:val="24"/>
        </w:rPr>
        <w:t>Degree of accuracy needed for the purpose described in the justification</w:t>
      </w:r>
    </w:p>
    <w:p w:rsidR="008F170B" w:rsidP="00D079E7" w:rsidRDefault="009C3111" w14:paraId="271B28D0" w14:textId="25F51EE4">
      <w:pPr>
        <w:pStyle w:val="ListParagraph"/>
        <w:tabs>
          <w:tab w:val="left" w:pos="1100"/>
        </w:tabs>
        <w:spacing w:before="120"/>
        <w:ind w:left="0"/>
        <w:rPr>
          <w:rFonts w:ascii="Times New Roman" w:hAnsi="Times New Roman"/>
          <w:sz w:val="24"/>
          <w:szCs w:val="24"/>
        </w:rPr>
      </w:pPr>
      <w:r w:rsidRPr="370B1743">
        <w:rPr>
          <w:rFonts w:ascii="Times New Roman" w:hAnsi="Times New Roman"/>
          <w:sz w:val="24"/>
          <w:szCs w:val="24"/>
        </w:rPr>
        <w:lastRenderedPageBreak/>
        <w:t xml:space="preserve">As shown above, the proposed sample sizes will yield statistical estimates with 95% confidence intervals of </w:t>
      </w:r>
      <w:r w:rsidRPr="370B1743" w:rsidR="00E06436">
        <w:rPr>
          <w:rFonts w:ascii="Times New Roman" w:hAnsi="Times New Roman"/>
          <w:sz w:val="24"/>
          <w:szCs w:val="24"/>
        </w:rPr>
        <w:t>±</w:t>
      </w:r>
      <w:r w:rsidRPr="370B1743">
        <w:rPr>
          <w:rFonts w:ascii="Times New Roman" w:hAnsi="Times New Roman"/>
          <w:sz w:val="24"/>
          <w:szCs w:val="24"/>
        </w:rPr>
        <w:t xml:space="preserve">5 percentage points, depending on the size of the estimate.  This should be adequate for evaluating the Community Response Survey Preparation and making decisions for the larger Community Response Surveys.  </w:t>
      </w:r>
    </w:p>
    <w:p w:rsidRPr="005D6205" w:rsidR="00D079E7" w:rsidP="00D079E7" w:rsidRDefault="00D079E7" w14:paraId="533F5008" w14:textId="77777777">
      <w:pPr>
        <w:pStyle w:val="ListParagraph"/>
        <w:tabs>
          <w:tab w:val="left" w:pos="1100"/>
        </w:tabs>
        <w:spacing w:before="120"/>
        <w:ind w:left="0"/>
        <w:rPr>
          <w:rFonts w:ascii="Times New Roman" w:hAnsi="Times New Roman"/>
          <w:sz w:val="24"/>
          <w:szCs w:val="22"/>
        </w:rPr>
      </w:pPr>
    </w:p>
    <w:p w:rsidRPr="00C8225D" w:rsidR="008F170B" w:rsidP="00580EDC" w:rsidRDefault="008F170B" w14:paraId="57F981DD" w14:textId="5EF256A6">
      <w:pPr>
        <w:pStyle w:val="ListParagraph"/>
        <w:numPr>
          <w:ilvl w:val="0"/>
          <w:numId w:val="29"/>
        </w:numPr>
        <w:tabs>
          <w:tab w:val="left" w:pos="1100"/>
        </w:tabs>
        <w:spacing w:before="120"/>
        <w:rPr>
          <w:rFonts w:ascii="Times New Roman" w:hAnsi="Times New Roman"/>
          <w:sz w:val="24"/>
          <w:szCs w:val="22"/>
        </w:rPr>
      </w:pPr>
      <w:r w:rsidRPr="00C8225D">
        <w:rPr>
          <w:rFonts w:ascii="Times New Roman" w:hAnsi="Times New Roman"/>
          <w:sz w:val="24"/>
          <w:szCs w:val="22"/>
        </w:rPr>
        <w:t>Unusual problems requiring spec</w:t>
      </w:r>
      <w:r w:rsidR="00AD4BF8">
        <w:rPr>
          <w:rFonts w:ascii="Times New Roman" w:hAnsi="Times New Roman"/>
          <w:sz w:val="24"/>
          <w:szCs w:val="22"/>
        </w:rPr>
        <w:t>ialized sampling procedures</w:t>
      </w:r>
    </w:p>
    <w:p w:rsidR="00080745" w:rsidP="00080745" w:rsidRDefault="005D6205" w14:paraId="2575AAE2" w14:textId="73AC8AEA">
      <w:pPr>
        <w:pStyle w:val="ListParagraph"/>
        <w:ind w:left="0"/>
        <w:rPr>
          <w:rFonts w:ascii="Times New Roman" w:hAnsi="Times New Roman"/>
          <w:sz w:val="24"/>
          <w:szCs w:val="24"/>
        </w:rPr>
      </w:pPr>
      <w:r w:rsidRPr="370B1743">
        <w:rPr>
          <w:rFonts w:ascii="Times New Roman" w:hAnsi="Times New Roman"/>
          <w:sz w:val="24"/>
          <w:szCs w:val="24"/>
        </w:rPr>
        <w:t>We are conducting</w:t>
      </w:r>
      <w:r w:rsidRPr="370B1743" w:rsidR="003E1D13">
        <w:rPr>
          <w:rFonts w:ascii="Times New Roman" w:hAnsi="Times New Roman"/>
          <w:sz w:val="24"/>
          <w:szCs w:val="24"/>
        </w:rPr>
        <w:t xml:space="preserve"> this Community Response Survey Preparation for later surveys that will use</w:t>
      </w:r>
      <w:r w:rsidRPr="370B1743">
        <w:rPr>
          <w:rFonts w:ascii="Times New Roman" w:hAnsi="Times New Roman"/>
          <w:sz w:val="24"/>
          <w:szCs w:val="24"/>
        </w:rPr>
        <w:t xml:space="preserve"> a noise dose</w:t>
      </w:r>
      <w:r w:rsidRPr="370B1743" w:rsidR="003E1D13">
        <w:rPr>
          <w:rFonts w:ascii="Times New Roman" w:hAnsi="Times New Roman"/>
          <w:sz w:val="24"/>
          <w:szCs w:val="24"/>
        </w:rPr>
        <w:t>-</w:t>
      </w:r>
      <w:r w:rsidRPr="370B1743">
        <w:rPr>
          <w:rFonts w:ascii="Times New Roman" w:hAnsi="Times New Roman"/>
          <w:sz w:val="24"/>
          <w:szCs w:val="24"/>
        </w:rPr>
        <w:t xml:space="preserve">response test. </w:t>
      </w:r>
      <w:r w:rsidRPr="370B1743" w:rsidR="003E1D13">
        <w:rPr>
          <w:rFonts w:ascii="Times New Roman" w:hAnsi="Times New Roman"/>
          <w:sz w:val="24"/>
          <w:szCs w:val="24"/>
        </w:rPr>
        <w:t>To simulate th</w:t>
      </w:r>
      <w:r w:rsidRPr="370B1743" w:rsidR="005C411C">
        <w:rPr>
          <w:rFonts w:ascii="Times New Roman" w:hAnsi="Times New Roman"/>
          <w:sz w:val="24"/>
          <w:szCs w:val="24"/>
        </w:rPr>
        <w:t>e later Community Response Surveys, t</w:t>
      </w:r>
      <w:r w:rsidRPr="370B1743">
        <w:rPr>
          <w:rFonts w:ascii="Times New Roman" w:hAnsi="Times New Roman"/>
          <w:sz w:val="24"/>
          <w:szCs w:val="24"/>
        </w:rPr>
        <w:t xml:space="preserve">he households included for sampling will be within the </w:t>
      </w:r>
      <w:r w:rsidRPr="370B1743" w:rsidR="00D707C8">
        <w:rPr>
          <w:rFonts w:ascii="Times New Roman" w:hAnsi="Times New Roman"/>
          <w:sz w:val="24"/>
          <w:szCs w:val="24"/>
        </w:rPr>
        <w:t xml:space="preserve">estimated </w:t>
      </w:r>
      <w:r w:rsidRPr="370B1743">
        <w:rPr>
          <w:rFonts w:ascii="Times New Roman" w:hAnsi="Times New Roman"/>
          <w:sz w:val="24"/>
          <w:szCs w:val="24"/>
        </w:rPr>
        <w:t xml:space="preserve">boom footprint area across the community, rather than from the community at large. </w:t>
      </w:r>
    </w:p>
    <w:p w:rsidRPr="00EE58A0" w:rsidR="00B05ACD" w:rsidP="00080745" w:rsidRDefault="00B05ACD" w14:paraId="366A3F6A" w14:textId="77777777">
      <w:pPr>
        <w:pStyle w:val="ListParagraph"/>
        <w:ind w:left="0"/>
        <w:rPr>
          <w:rFonts w:ascii="Times New Roman" w:hAnsi="Times New Roman"/>
          <w:sz w:val="24"/>
          <w:szCs w:val="22"/>
        </w:rPr>
      </w:pPr>
    </w:p>
    <w:p w:rsidRPr="00EE58A0" w:rsidR="00A42AB5" w:rsidP="00580EDC" w:rsidRDefault="008F170B" w14:paraId="5E274604" w14:textId="0EE297F3">
      <w:pPr>
        <w:pStyle w:val="ListParagraph"/>
        <w:numPr>
          <w:ilvl w:val="0"/>
          <w:numId w:val="29"/>
        </w:numPr>
        <w:tabs>
          <w:tab w:val="left" w:pos="1100"/>
        </w:tabs>
        <w:spacing w:before="120"/>
        <w:rPr>
          <w:rFonts w:ascii="Times New Roman" w:hAnsi="Times New Roman"/>
          <w:sz w:val="24"/>
          <w:szCs w:val="22"/>
        </w:rPr>
      </w:pPr>
      <w:r w:rsidRPr="00EE58A0">
        <w:rPr>
          <w:rFonts w:ascii="Times New Roman" w:hAnsi="Times New Roman"/>
          <w:sz w:val="24"/>
          <w:szCs w:val="22"/>
        </w:rPr>
        <w:t>Any use of periodic (less frequent than annual) data collection cycles to reduce burden.</w:t>
      </w:r>
    </w:p>
    <w:p w:rsidR="0023103E" w:rsidP="0023103E" w:rsidRDefault="00AD4BF8" w14:paraId="207B0153" w14:textId="053C22B4">
      <w:pPr>
        <w:tabs>
          <w:tab w:val="left" w:pos="1100"/>
        </w:tabs>
        <w:spacing w:before="120"/>
        <w:rPr>
          <w:rFonts w:ascii="Times New Roman" w:hAnsi="Times New Roman"/>
          <w:sz w:val="24"/>
          <w:szCs w:val="24"/>
        </w:rPr>
      </w:pPr>
      <w:r w:rsidRPr="370B1743">
        <w:rPr>
          <w:rFonts w:ascii="Times New Roman" w:hAnsi="Times New Roman"/>
          <w:sz w:val="24"/>
          <w:szCs w:val="24"/>
        </w:rPr>
        <w:t>Due to the need to eventually understand community annoyance levels over a protracted period, the X-59 Community Response Surveys</w:t>
      </w:r>
      <w:r w:rsidR="00072965">
        <w:rPr>
          <w:rFonts w:ascii="Times New Roman" w:hAnsi="Times New Roman"/>
          <w:sz w:val="24"/>
          <w:szCs w:val="24"/>
        </w:rPr>
        <w:t xml:space="preserve"> </w:t>
      </w:r>
      <w:r w:rsidRPr="370B1743">
        <w:rPr>
          <w:rFonts w:ascii="Times New Roman" w:hAnsi="Times New Roman"/>
          <w:sz w:val="24"/>
          <w:szCs w:val="24"/>
        </w:rPr>
        <w:t>are planned with many flights occurring over a 3</w:t>
      </w:r>
      <w:r w:rsidRPr="370B1743" w:rsidR="005C411C">
        <w:rPr>
          <w:rFonts w:ascii="Times New Roman" w:hAnsi="Times New Roman"/>
          <w:sz w:val="24"/>
          <w:szCs w:val="24"/>
        </w:rPr>
        <w:t>0</w:t>
      </w:r>
      <w:r w:rsidRPr="370B1743">
        <w:rPr>
          <w:rFonts w:ascii="Times New Roman" w:hAnsi="Times New Roman"/>
          <w:sz w:val="24"/>
          <w:szCs w:val="24"/>
        </w:rPr>
        <w:t xml:space="preserve">-day period.  Because survey attrition is an important factor to estimate, the </w:t>
      </w:r>
      <w:r w:rsidRPr="370B1743" w:rsidR="00D11A64">
        <w:rPr>
          <w:rFonts w:ascii="Times New Roman" w:hAnsi="Times New Roman"/>
          <w:sz w:val="24"/>
          <w:szCs w:val="24"/>
        </w:rPr>
        <w:t>Community Response Survey Preparation</w:t>
      </w:r>
      <w:r w:rsidRPr="370B1743">
        <w:rPr>
          <w:rFonts w:ascii="Times New Roman" w:hAnsi="Times New Roman"/>
          <w:sz w:val="24"/>
          <w:szCs w:val="24"/>
        </w:rPr>
        <w:t xml:space="preserve"> will also use this 30-day period.  The surveys that occur multiple times per day are as short and simple as possible (see Appendix C) to minimize burden.</w:t>
      </w:r>
    </w:p>
    <w:p w:rsidR="0091716C" w:rsidP="00E27AC4" w:rsidRDefault="0091716C" w14:paraId="716C101E" w14:textId="77777777">
      <w:pPr>
        <w:tabs>
          <w:tab w:val="left" w:pos="540"/>
        </w:tabs>
        <w:spacing w:before="0"/>
        <w:rPr>
          <w:rFonts w:ascii="Times New Roman" w:hAnsi="Times New Roman"/>
          <w:sz w:val="24"/>
          <w:szCs w:val="22"/>
        </w:rPr>
      </w:pPr>
    </w:p>
    <w:p w:rsidR="004E5227" w:rsidP="00E27AC4" w:rsidRDefault="004E5227" w14:paraId="5A2D4B6D" w14:textId="1B280420">
      <w:pPr>
        <w:tabs>
          <w:tab w:val="left" w:pos="540"/>
        </w:tabs>
        <w:spacing w:before="0"/>
        <w:rPr>
          <w:rFonts w:ascii="Times New Roman" w:hAnsi="Times New Roman"/>
          <w:sz w:val="24"/>
          <w:szCs w:val="22"/>
          <w:u w:val="single"/>
        </w:rPr>
      </w:pPr>
      <w:r>
        <w:rPr>
          <w:rFonts w:ascii="Times New Roman" w:hAnsi="Times New Roman"/>
          <w:sz w:val="24"/>
          <w:szCs w:val="22"/>
        </w:rPr>
        <w:t xml:space="preserve">3.  </w:t>
      </w:r>
      <w:r>
        <w:rPr>
          <w:rFonts w:ascii="Times New Roman" w:hAnsi="Times New Roman"/>
          <w:sz w:val="24"/>
          <w:szCs w:val="22"/>
          <w:u w:val="single"/>
        </w:rPr>
        <w:t>Maximization of Response Rates, Non-response, and Reliability</w:t>
      </w:r>
    </w:p>
    <w:p w:rsidR="00E27AC4" w:rsidP="00E27AC4" w:rsidRDefault="00E27AC4" w14:paraId="53FD37EB" w14:textId="0EB2D3A6">
      <w:pPr>
        <w:tabs>
          <w:tab w:val="left" w:pos="440"/>
        </w:tabs>
        <w:rPr>
          <w:rFonts w:ascii="Times New Roman" w:hAnsi="Times New Roman"/>
          <w:sz w:val="24"/>
          <w:szCs w:val="22"/>
        </w:rPr>
      </w:pPr>
      <w:r>
        <w:rPr>
          <w:rFonts w:ascii="Times New Roman" w:hAnsi="Times New Roman"/>
          <w:sz w:val="24"/>
          <w:szCs w:val="22"/>
        </w:rPr>
        <w:t>To maximize response rate</w:t>
      </w:r>
      <w:r w:rsidR="000511C1">
        <w:rPr>
          <w:rFonts w:ascii="Times New Roman" w:hAnsi="Times New Roman"/>
          <w:sz w:val="24"/>
          <w:szCs w:val="22"/>
        </w:rPr>
        <w:t>,</w:t>
      </w:r>
      <w:r>
        <w:rPr>
          <w:rFonts w:ascii="Times New Roman" w:hAnsi="Times New Roman"/>
          <w:sz w:val="24"/>
          <w:szCs w:val="22"/>
        </w:rPr>
        <w:t xml:space="preserve"> the survey instruments are accessible by web or smart phone to </w:t>
      </w:r>
      <w:r w:rsidR="00D72D0C">
        <w:rPr>
          <w:rFonts w:ascii="Times New Roman" w:hAnsi="Times New Roman"/>
          <w:sz w:val="24"/>
          <w:szCs w:val="22"/>
        </w:rPr>
        <w:t xml:space="preserve">facilitate ease of access and to be more </w:t>
      </w:r>
      <w:r w:rsidRPr="00D874BC" w:rsidR="007B0E84">
        <w:rPr>
          <w:rFonts w:ascii="Times New Roman" w:hAnsi="Times New Roman"/>
          <w:sz w:val="24"/>
          <w:szCs w:val="22"/>
        </w:rPr>
        <w:t>resp</w:t>
      </w:r>
      <w:r w:rsidR="007B0E84">
        <w:rPr>
          <w:rFonts w:ascii="Times New Roman" w:hAnsi="Times New Roman"/>
          <w:sz w:val="24"/>
          <w:szCs w:val="22"/>
        </w:rPr>
        <w:t>ondent friendly</w:t>
      </w:r>
      <w:r>
        <w:rPr>
          <w:rFonts w:ascii="Times New Roman" w:hAnsi="Times New Roman"/>
          <w:sz w:val="24"/>
          <w:szCs w:val="22"/>
        </w:rPr>
        <w:t xml:space="preserve">. </w:t>
      </w:r>
    </w:p>
    <w:p w:rsidR="000D1930" w:rsidP="00E27AC4" w:rsidRDefault="00E27AC4" w14:paraId="732285D8" w14:textId="0AE91C5B">
      <w:pPr>
        <w:tabs>
          <w:tab w:val="left" w:pos="440"/>
        </w:tabs>
        <w:rPr>
          <w:rFonts w:ascii="Times New Roman" w:hAnsi="Times New Roman"/>
          <w:sz w:val="24"/>
          <w:szCs w:val="24"/>
        </w:rPr>
      </w:pPr>
      <w:r w:rsidRPr="006352CB">
        <w:rPr>
          <w:rFonts w:ascii="Times New Roman" w:hAnsi="Times New Roman"/>
          <w:sz w:val="24"/>
          <w:szCs w:val="24"/>
        </w:rPr>
        <w:t xml:space="preserve">The initial </w:t>
      </w:r>
      <w:r w:rsidR="00764338">
        <w:rPr>
          <w:rFonts w:ascii="Times New Roman" w:hAnsi="Times New Roman"/>
          <w:sz w:val="24"/>
          <w:szCs w:val="24"/>
        </w:rPr>
        <w:t>Background</w:t>
      </w:r>
      <w:r w:rsidRPr="006352CB">
        <w:rPr>
          <w:rFonts w:ascii="Times New Roman" w:hAnsi="Times New Roman"/>
          <w:sz w:val="24"/>
          <w:szCs w:val="24"/>
        </w:rPr>
        <w:t xml:space="preserve"> survey mailing include</w:t>
      </w:r>
      <w:r w:rsidR="00B03098">
        <w:rPr>
          <w:rFonts w:ascii="Times New Roman" w:hAnsi="Times New Roman"/>
          <w:sz w:val="24"/>
          <w:szCs w:val="24"/>
        </w:rPr>
        <w:t>s</w:t>
      </w:r>
      <w:r w:rsidRPr="006352CB">
        <w:rPr>
          <w:rFonts w:ascii="Times New Roman" w:hAnsi="Times New Roman"/>
          <w:sz w:val="24"/>
          <w:szCs w:val="24"/>
        </w:rPr>
        <w:t xml:space="preserve"> an introductory letter that includes information on how to complete the survey on-line</w:t>
      </w:r>
      <w:r w:rsidR="00AD4BF8">
        <w:rPr>
          <w:rFonts w:ascii="Times New Roman" w:hAnsi="Times New Roman"/>
          <w:sz w:val="24"/>
          <w:szCs w:val="24"/>
        </w:rPr>
        <w:t xml:space="preserve"> and a prepaid</w:t>
      </w:r>
      <w:r w:rsidRPr="006352CB">
        <w:rPr>
          <w:rFonts w:ascii="Times New Roman" w:hAnsi="Times New Roman"/>
          <w:sz w:val="24"/>
          <w:szCs w:val="24"/>
        </w:rPr>
        <w:t xml:space="preserve"> $</w:t>
      </w:r>
      <w:r w:rsidR="00B70B75">
        <w:rPr>
          <w:rFonts w:ascii="Times New Roman" w:hAnsi="Times New Roman"/>
          <w:sz w:val="24"/>
          <w:szCs w:val="24"/>
        </w:rPr>
        <w:t>2</w:t>
      </w:r>
      <w:r w:rsidR="00AD4BF8">
        <w:rPr>
          <w:rFonts w:ascii="Times New Roman" w:hAnsi="Times New Roman"/>
          <w:sz w:val="24"/>
          <w:szCs w:val="24"/>
        </w:rPr>
        <w:t xml:space="preserve"> incentive.  Additionally, the full survey protocol uses an incentive structure that increases the incentive amount that respondents receive when they complete a higher proportion of requested surveys.  Incentives for all levels of participation also increase each week to encourage respondent engagement throughout the study.</w:t>
      </w:r>
      <w:r w:rsidR="00177E79">
        <w:rPr>
          <w:rFonts w:ascii="Times New Roman" w:hAnsi="Times New Roman"/>
          <w:sz w:val="24"/>
          <w:szCs w:val="24"/>
        </w:rPr>
        <w:t xml:space="preserve">  The incentive structure is shown </w:t>
      </w:r>
      <w:r w:rsidR="000D1930">
        <w:rPr>
          <w:rFonts w:ascii="Times New Roman" w:hAnsi="Times New Roman"/>
          <w:sz w:val="24"/>
          <w:szCs w:val="24"/>
        </w:rPr>
        <w:t xml:space="preserve">in the table </w:t>
      </w:r>
      <w:r w:rsidR="00177E79">
        <w:rPr>
          <w:rFonts w:ascii="Times New Roman" w:hAnsi="Times New Roman"/>
          <w:sz w:val="24"/>
          <w:szCs w:val="24"/>
        </w:rPr>
        <w:t>below</w:t>
      </w:r>
      <w:r w:rsidR="000D1930">
        <w:rPr>
          <w:rFonts w:ascii="Times New Roman" w:hAnsi="Times New Roman"/>
          <w:sz w:val="24"/>
          <w:szCs w:val="24"/>
        </w:rPr>
        <w:t>.</w:t>
      </w:r>
    </w:p>
    <w:p w:rsidR="00B92F00" w:rsidP="00E27AC4" w:rsidRDefault="00B92F00" w14:paraId="2BF1987D" w14:textId="77777777">
      <w:pPr>
        <w:tabs>
          <w:tab w:val="left" w:pos="440"/>
        </w:tabs>
        <w:rPr>
          <w:rFonts w:ascii="Times New Roman" w:hAnsi="Times New Roman"/>
          <w:sz w:val="24"/>
          <w:szCs w:val="24"/>
        </w:rPr>
      </w:pPr>
    </w:p>
    <w:tbl>
      <w:tblPr>
        <w:tblW w:w="8092" w:type="dxa"/>
        <w:tblCellMar>
          <w:left w:w="0" w:type="dxa"/>
          <w:right w:w="0" w:type="dxa"/>
        </w:tblCellMar>
        <w:tblLook w:val="04A0" w:firstRow="1" w:lastRow="0" w:firstColumn="1" w:lastColumn="0" w:noHBand="0" w:noVBand="1"/>
        <w:tblCaption w:val="Incentive structure"/>
      </w:tblPr>
      <w:tblGrid>
        <w:gridCol w:w="2332"/>
        <w:gridCol w:w="1890"/>
        <w:gridCol w:w="1980"/>
        <w:gridCol w:w="1890"/>
      </w:tblGrid>
      <w:tr w:rsidRPr="00F739A8" w:rsidR="00177E79" w:rsidTr="003B2321" w14:paraId="5CB39B58" w14:textId="77777777">
        <w:tc>
          <w:tcPr>
            <w:tcW w:w="2332" w:type="dxa"/>
            <w:tcBorders>
              <w:bottom w:val="single" w:color="auto" w:sz="4" w:space="0"/>
            </w:tcBorders>
            <w:shd w:val="clear" w:color="auto" w:fill="auto"/>
            <w:vAlign w:val="bottom"/>
            <w:hideMark/>
          </w:tcPr>
          <w:p w:rsidRPr="00F739A8" w:rsidR="00177E79" w:rsidP="000D1930" w:rsidRDefault="00177E79" w14:paraId="7C05039C" w14:textId="0E75A4F6">
            <w:pPr>
              <w:spacing w:before="0"/>
              <w:jc w:val="center"/>
              <w:textAlignment w:val="baseline"/>
              <w:rPr>
                <w:rFonts w:ascii="Times New Roman" w:hAnsi="Times New Roman"/>
                <w:sz w:val="24"/>
                <w:szCs w:val="24"/>
              </w:rPr>
            </w:pPr>
            <w:r w:rsidRPr="00F739A8">
              <w:rPr>
                <w:rFonts w:ascii="Times New Roman" w:hAnsi="Times New Roman"/>
                <w:sz w:val="24"/>
                <w:szCs w:val="24"/>
              </w:rPr>
              <w:t>Week or Item</w:t>
            </w:r>
          </w:p>
        </w:tc>
        <w:tc>
          <w:tcPr>
            <w:tcW w:w="1890" w:type="dxa"/>
            <w:tcBorders>
              <w:bottom w:val="single" w:color="auto" w:sz="4" w:space="0"/>
            </w:tcBorders>
            <w:shd w:val="clear" w:color="auto" w:fill="auto"/>
            <w:vAlign w:val="bottom"/>
            <w:hideMark/>
          </w:tcPr>
          <w:p w:rsidRPr="00F739A8" w:rsidR="00177E79" w:rsidP="000D1930" w:rsidRDefault="00177E79" w14:paraId="676861EB" w14:textId="52461DA6">
            <w:pPr>
              <w:spacing w:before="0"/>
              <w:jc w:val="center"/>
              <w:textAlignment w:val="baseline"/>
              <w:rPr>
                <w:rFonts w:ascii="Times New Roman" w:hAnsi="Times New Roman"/>
                <w:sz w:val="24"/>
                <w:szCs w:val="24"/>
              </w:rPr>
            </w:pPr>
            <w:r w:rsidRPr="00F739A8">
              <w:rPr>
                <w:rFonts w:ascii="Times New Roman" w:hAnsi="Times New Roman"/>
                <w:sz w:val="24"/>
                <w:szCs w:val="24"/>
              </w:rPr>
              <w:t>50% Completion</w:t>
            </w:r>
          </w:p>
        </w:tc>
        <w:tc>
          <w:tcPr>
            <w:tcW w:w="1980" w:type="dxa"/>
            <w:tcBorders>
              <w:bottom w:val="single" w:color="auto" w:sz="4" w:space="0"/>
            </w:tcBorders>
            <w:shd w:val="clear" w:color="auto" w:fill="auto"/>
            <w:vAlign w:val="bottom"/>
            <w:hideMark/>
          </w:tcPr>
          <w:p w:rsidRPr="00F739A8" w:rsidR="00177E79" w:rsidP="000D1930" w:rsidRDefault="00177E79" w14:paraId="2A816417" w14:textId="66EC508E">
            <w:pPr>
              <w:spacing w:before="0"/>
              <w:jc w:val="center"/>
              <w:textAlignment w:val="baseline"/>
              <w:rPr>
                <w:rFonts w:ascii="Times New Roman" w:hAnsi="Times New Roman"/>
                <w:sz w:val="24"/>
                <w:szCs w:val="24"/>
              </w:rPr>
            </w:pPr>
            <w:r w:rsidRPr="00F739A8">
              <w:rPr>
                <w:rFonts w:ascii="Times New Roman" w:hAnsi="Times New Roman"/>
                <w:sz w:val="24"/>
                <w:szCs w:val="24"/>
              </w:rPr>
              <w:t>75% Completion</w:t>
            </w:r>
          </w:p>
        </w:tc>
        <w:tc>
          <w:tcPr>
            <w:tcW w:w="1890" w:type="dxa"/>
            <w:tcBorders>
              <w:bottom w:val="single" w:color="auto" w:sz="4" w:space="0"/>
            </w:tcBorders>
            <w:shd w:val="clear" w:color="auto" w:fill="auto"/>
            <w:vAlign w:val="bottom"/>
            <w:hideMark/>
          </w:tcPr>
          <w:p w:rsidRPr="00F739A8" w:rsidR="00177E79" w:rsidP="000D1930" w:rsidRDefault="00177E79" w14:paraId="40E99987" w14:textId="12DB3CF8">
            <w:pPr>
              <w:spacing w:before="0"/>
              <w:jc w:val="center"/>
              <w:textAlignment w:val="baseline"/>
              <w:rPr>
                <w:rFonts w:ascii="Times New Roman" w:hAnsi="Times New Roman"/>
                <w:sz w:val="24"/>
                <w:szCs w:val="24"/>
              </w:rPr>
            </w:pPr>
            <w:r w:rsidRPr="00F739A8">
              <w:rPr>
                <w:rFonts w:ascii="Times New Roman" w:hAnsi="Times New Roman"/>
                <w:sz w:val="24"/>
                <w:szCs w:val="24"/>
              </w:rPr>
              <w:t>100% Completion</w:t>
            </w:r>
          </w:p>
        </w:tc>
      </w:tr>
      <w:tr w:rsidRPr="00D81063" w:rsidR="00177E79" w:rsidTr="00AE2673" w14:paraId="0AD5E947" w14:textId="77777777">
        <w:tc>
          <w:tcPr>
            <w:tcW w:w="2332" w:type="dxa"/>
            <w:tcBorders>
              <w:top w:val="single" w:color="auto" w:sz="4" w:space="0"/>
            </w:tcBorders>
            <w:shd w:val="clear" w:color="auto" w:fill="auto"/>
            <w:hideMark/>
          </w:tcPr>
          <w:p w:rsidRPr="00B63998" w:rsidR="00177E79" w:rsidP="003148FC" w:rsidRDefault="00177E79" w14:paraId="715B6DDC" w14:textId="77777777">
            <w:pPr>
              <w:spacing w:before="0"/>
              <w:textAlignment w:val="baseline"/>
              <w:rPr>
                <w:rFonts w:ascii="Times New Roman" w:hAnsi="Times New Roman"/>
                <w:sz w:val="24"/>
                <w:szCs w:val="24"/>
              </w:rPr>
            </w:pPr>
            <w:r w:rsidRPr="00B63998">
              <w:rPr>
                <w:rFonts w:ascii="Times New Roman" w:hAnsi="Times New Roman"/>
                <w:sz w:val="24"/>
                <w:szCs w:val="24"/>
              </w:rPr>
              <w:t>Week 1 </w:t>
            </w:r>
          </w:p>
        </w:tc>
        <w:tc>
          <w:tcPr>
            <w:tcW w:w="1890" w:type="dxa"/>
            <w:tcBorders>
              <w:top w:val="single" w:color="auto" w:sz="4" w:space="0"/>
            </w:tcBorders>
            <w:shd w:val="clear" w:color="auto" w:fill="auto"/>
            <w:vAlign w:val="center"/>
            <w:hideMark/>
          </w:tcPr>
          <w:p w:rsidRPr="00B63998" w:rsidR="00177E79" w:rsidP="00AE2673" w:rsidRDefault="00177E79" w14:paraId="5B928A87" w14:textId="5581B4C9">
            <w:pPr>
              <w:spacing w:before="0"/>
              <w:jc w:val="right"/>
              <w:textAlignment w:val="baseline"/>
              <w:rPr>
                <w:rFonts w:ascii="Times New Roman" w:hAnsi="Times New Roman"/>
                <w:sz w:val="24"/>
                <w:szCs w:val="24"/>
              </w:rPr>
            </w:pPr>
            <w:r w:rsidRPr="00B63998">
              <w:rPr>
                <w:rFonts w:ascii="Times New Roman" w:hAnsi="Times New Roman"/>
                <w:sz w:val="24"/>
                <w:szCs w:val="24"/>
              </w:rPr>
              <w:t>$25</w:t>
            </w:r>
          </w:p>
        </w:tc>
        <w:tc>
          <w:tcPr>
            <w:tcW w:w="1980" w:type="dxa"/>
            <w:tcBorders>
              <w:top w:val="single" w:color="auto" w:sz="4" w:space="0"/>
            </w:tcBorders>
            <w:shd w:val="clear" w:color="auto" w:fill="auto"/>
            <w:vAlign w:val="center"/>
            <w:hideMark/>
          </w:tcPr>
          <w:p w:rsidRPr="00B63998" w:rsidR="00177E79" w:rsidP="00AE2673" w:rsidRDefault="00177E79" w14:paraId="1FD955C1" w14:textId="6C016433">
            <w:pPr>
              <w:spacing w:before="0"/>
              <w:jc w:val="right"/>
              <w:textAlignment w:val="baseline"/>
              <w:rPr>
                <w:rFonts w:ascii="Times New Roman" w:hAnsi="Times New Roman"/>
                <w:sz w:val="24"/>
                <w:szCs w:val="24"/>
              </w:rPr>
            </w:pPr>
            <w:r w:rsidRPr="00B63998">
              <w:rPr>
                <w:rFonts w:ascii="Times New Roman" w:hAnsi="Times New Roman"/>
                <w:sz w:val="24"/>
                <w:szCs w:val="24"/>
              </w:rPr>
              <w:t>$35</w:t>
            </w:r>
          </w:p>
        </w:tc>
        <w:tc>
          <w:tcPr>
            <w:tcW w:w="1890" w:type="dxa"/>
            <w:tcBorders>
              <w:top w:val="single" w:color="auto" w:sz="4" w:space="0"/>
            </w:tcBorders>
            <w:shd w:val="clear" w:color="auto" w:fill="auto"/>
            <w:vAlign w:val="center"/>
            <w:hideMark/>
          </w:tcPr>
          <w:p w:rsidRPr="00B63998" w:rsidR="00177E79" w:rsidP="00AE2673" w:rsidRDefault="00177E79" w14:paraId="6FBB987D" w14:textId="0C6DE8EC">
            <w:pPr>
              <w:spacing w:before="0"/>
              <w:jc w:val="right"/>
              <w:textAlignment w:val="baseline"/>
              <w:rPr>
                <w:rFonts w:ascii="Times New Roman" w:hAnsi="Times New Roman"/>
                <w:sz w:val="24"/>
                <w:szCs w:val="24"/>
              </w:rPr>
            </w:pPr>
            <w:r w:rsidRPr="00B63998">
              <w:rPr>
                <w:rFonts w:ascii="Times New Roman" w:hAnsi="Times New Roman"/>
                <w:sz w:val="24"/>
                <w:szCs w:val="24"/>
              </w:rPr>
              <w:t>$45</w:t>
            </w:r>
          </w:p>
        </w:tc>
      </w:tr>
      <w:tr w:rsidRPr="00D81063" w:rsidR="00177E79" w:rsidTr="00AE2673" w14:paraId="758C8FA2" w14:textId="77777777">
        <w:tc>
          <w:tcPr>
            <w:tcW w:w="2332" w:type="dxa"/>
            <w:shd w:val="clear" w:color="auto" w:fill="auto"/>
            <w:hideMark/>
          </w:tcPr>
          <w:p w:rsidRPr="00B63998" w:rsidR="00177E79" w:rsidP="003148FC" w:rsidRDefault="00177E79" w14:paraId="4B62F1A1" w14:textId="77777777">
            <w:pPr>
              <w:spacing w:before="0"/>
              <w:textAlignment w:val="baseline"/>
              <w:rPr>
                <w:rFonts w:ascii="Times New Roman" w:hAnsi="Times New Roman"/>
                <w:sz w:val="24"/>
                <w:szCs w:val="24"/>
              </w:rPr>
            </w:pPr>
            <w:r w:rsidRPr="00B63998">
              <w:rPr>
                <w:rFonts w:ascii="Times New Roman" w:hAnsi="Times New Roman"/>
                <w:sz w:val="24"/>
                <w:szCs w:val="24"/>
              </w:rPr>
              <w:t>Week 2 </w:t>
            </w:r>
          </w:p>
        </w:tc>
        <w:tc>
          <w:tcPr>
            <w:tcW w:w="1890" w:type="dxa"/>
            <w:shd w:val="clear" w:color="auto" w:fill="auto"/>
            <w:vAlign w:val="center"/>
            <w:hideMark/>
          </w:tcPr>
          <w:p w:rsidRPr="00B63998" w:rsidR="00177E79" w:rsidP="00AE2673" w:rsidRDefault="00177E79" w14:paraId="2DDC871B" w14:textId="6F8D6AE4">
            <w:pPr>
              <w:spacing w:before="0"/>
              <w:jc w:val="right"/>
              <w:textAlignment w:val="baseline"/>
              <w:rPr>
                <w:rFonts w:ascii="Times New Roman" w:hAnsi="Times New Roman"/>
                <w:sz w:val="24"/>
                <w:szCs w:val="24"/>
              </w:rPr>
            </w:pPr>
            <w:r w:rsidRPr="00B63998">
              <w:rPr>
                <w:rFonts w:ascii="Times New Roman" w:hAnsi="Times New Roman"/>
                <w:sz w:val="24"/>
                <w:szCs w:val="24"/>
              </w:rPr>
              <w:t>$30</w:t>
            </w:r>
          </w:p>
        </w:tc>
        <w:tc>
          <w:tcPr>
            <w:tcW w:w="1980" w:type="dxa"/>
            <w:shd w:val="clear" w:color="auto" w:fill="auto"/>
            <w:vAlign w:val="center"/>
            <w:hideMark/>
          </w:tcPr>
          <w:p w:rsidRPr="00B63998" w:rsidR="00177E79" w:rsidP="00AE2673" w:rsidRDefault="00177E79" w14:paraId="0037D394" w14:textId="1F4A9FC5">
            <w:pPr>
              <w:spacing w:before="0"/>
              <w:jc w:val="right"/>
              <w:textAlignment w:val="baseline"/>
              <w:rPr>
                <w:rFonts w:ascii="Times New Roman" w:hAnsi="Times New Roman"/>
                <w:sz w:val="24"/>
                <w:szCs w:val="24"/>
              </w:rPr>
            </w:pPr>
            <w:r w:rsidRPr="00B63998">
              <w:rPr>
                <w:rFonts w:ascii="Times New Roman" w:hAnsi="Times New Roman"/>
                <w:sz w:val="24"/>
                <w:szCs w:val="24"/>
              </w:rPr>
              <w:t>$40</w:t>
            </w:r>
          </w:p>
        </w:tc>
        <w:tc>
          <w:tcPr>
            <w:tcW w:w="1890" w:type="dxa"/>
            <w:shd w:val="clear" w:color="auto" w:fill="auto"/>
            <w:vAlign w:val="center"/>
            <w:hideMark/>
          </w:tcPr>
          <w:p w:rsidRPr="00B63998" w:rsidR="00177E79" w:rsidP="00AE2673" w:rsidRDefault="00177E79" w14:paraId="78BC9427" w14:textId="0CE0149F">
            <w:pPr>
              <w:spacing w:before="0"/>
              <w:jc w:val="right"/>
              <w:textAlignment w:val="baseline"/>
              <w:rPr>
                <w:rFonts w:ascii="Times New Roman" w:hAnsi="Times New Roman"/>
                <w:sz w:val="24"/>
                <w:szCs w:val="24"/>
              </w:rPr>
            </w:pPr>
            <w:r w:rsidRPr="00B63998">
              <w:rPr>
                <w:rFonts w:ascii="Times New Roman" w:hAnsi="Times New Roman"/>
                <w:sz w:val="24"/>
                <w:szCs w:val="24"/>
              </w:rPr>
              <w:t>$50</w:t>
            </w:r>
          </w:p>
        </w:tc>
      </w:tr>
      <w:tr w:rsidRPr="00D81063" w:rsidR="00177E79" w:rsidTr="00910834" w14:paraId="4996BD47" w14:textId="77777777">
        <w:tc>
          <w:tcPr>
            <w:tcW w:w="2332" w:type="dxa"/>
            <w:shd w:val="clear" w:color="auto" w:fill="auto"/>
            <w:hideMark/>
          </w:tcPr>
          <w:p w:rsidRPr="00B63998" w:rsidR="00177E79" w:rsidP="003148FC" w:rsidRDefault="00177E79" w14:paraId="2C6F1EA2" w14:textId="77777777">
            <w:pPr>
              <w:spacing w:before="0"/>
              <w:textAlignment w:val="baseline"/>
              <w:rPr>
                <w:rFonts w:ascii="Times New Roman" w:hAnsi="Times New Roman"/>
                <w:sz w:val="24"/>
                <w:szCs w:val="24"/>
              </w:rPr>
            </w:pPr>
            <w:r w:rsidRPr="00B63998">
              <w:rPr>
                <w:rFonts w:ascii="Times New Roman" w:hAnsi="Times New Roman"/>
                <w:sz w:val="24"/>
                <w:szCs w:val="24"/>
              </w:rPr>
              <w:t>Week 3 </w:t>
            </w:r>
          </w:p>
        </w:tc>
        <w:tc>
          <w:tcPr>
            <w:tcW w:w="1890" w:type="dxa"/>
            <w:shd w:val="clear" w:color="auto" w:fill="auto"/>
            <w:vAlign w:val="center"/>
            <w:hideMark/>
          </w:tcPr>
          <w:p w:rsidRPr="00B63998" w:rsidR="00177E79" w:rsidP="00AE2673" w:rsidRDefault="00177E79" w14:paraId="3DF6EC2B" w14:textId="0B83D941">
            <w:pPr>
              <w:spacing w:before="0"/>
              <w:jc w:val="right"/>
              <w:textAlignment w:val="baseline"/>
              <w:rPr>
                <w:rFonts w:ascii="Times New Roman" w:hAnsi="Times New Roman"/>
                <w:sz w:val="24"/>
                <w:szCs w:val="24"/>
              </w:rPr>
            </w:pPr>
            <w:r w:rsidRPr="00B63998">
              <w:rPr>
                <w:rFonts w:ascii="Times New Roman" w:hAnsi="Times New Roman"/>
                <w:sz w:val="24"/>
                <w:szCs w:val="24"/>
              </w:rPr>
              <w:t>$35</w:t>
            </w:r>
          </w:p>
        </w:tc>
        <w:tc>
          <w:tcPr>
            <w:tcW w:w="1980" w:type="dxa"/>
            <w:shd w:val="clear" w:color="auto" w:fill="auto"/>
            <w:vAlign w:val="center"/>
            <w:hideMark/>
          </w:tcPr>
          <w:p w:rsidRPr="00B63998" w:rsidR="00177E79" w:rsidP="00AE2673" w:rsidRDefault="00177E79" w14:paraId="44CEF3C1" w14:textId="5C323CA6">
            <w:pPr>
              <w:spacing w:before="0"/>
              <w:jc w:val="right"/>
              <w:textAlignment w:val="baseline"/>
              <w:rPr>
                <w:rFonts w:ascii="Times New Roman" w:hAnsi="Times New Roman"/>
                <w:sz w:val="24"/>
                <w:szCs w:val="24"/>
              </w:rPr>
            </w:pPr>
            <w:r w:rsidRPr="00B63998">
              <w:rPr>
                <w:rFonts w:ascii="Times New Roman" w:hAnsi="Times New Roman"/>
                <w:sz w:val="24"/>
                <w:szCs w:val="24"/>
              </w:rPr>
              <w:t>$45</w:t>
            </w:r>
          </w:p>
        </w:tc>
        <w:tc>
          <w:tcPr>
            <w:tcW w:w="1890" w:type="dxa"/>
            <w:shd w:val="clear" w:color="auto" w:fill="auto"/>
            <w:vAlign w:val="center"/>
            <w:hideMark/>
          </w:tcPr>
          <w:p w:rsidRPr="00B63998" w:rsidR="00177E79" w:rsidP="00AE2673" w:rsidRDefault="00177E79" w14:paraId="526A0D8D" w14:textId="0E4D8253">
            <w:pPr>
              <w:spacing w:before="0"/>
              <w:jc w:val="right"/>
              <w:textAlignment w:val="baseline"/>
              <w:rPr>
                <w:rFonts w:ascii="Times New Roman" w:hAnsi="Times New Roman"/>
                <w:sz w:val="24"/>
                <w:szCs w:val="24"/>
              </w:rPr>
            </w:pPr>
            <w:r w:rsidRPr="00B63998">
              <w:rPr>
                <w:rFonts w:ascii="Times New Roman" w:hAnsi="Times New Roman"/>
                <w:sz w:val="24"/>
                <w:szCs w:val="24"/>
              </w:rPr>
              <w:t>$55</w:t>
            </w:r>
          </w:p>
        </w:tc>
      </w:tr>
      <w:tr w:rsidRPr="00D81063" w:rsidR="00177E79" w:rsidTr="00910834" w14:paraId="661E8D4F" w14:textId="77777777">
        <w:tc>
          <w:tcPr>
            <w:tcW w:w="2332" w:type="dxa"/>
            <w:tcBorders>
              <w:bottom w:val="single" w:color="auto" w:sz="4" w:space="0"/>
            </w:tcBorders>
            <w:shd w:val="clear" w:color="auto" w:fill="auto"/>
            <w:hideMark/>
          </w:tcPr>
          <w:p w:rsidRPr="00B63998" w:rsidR="00177E79" w:rsidP="003148FC" w:rsidRDefault="00177E79" w14:paraId="36E82B94" w14:textId="77777777">
            <w:pPr>
              <w:spacing w:before="0"/>
              <w:textAlignment w:val="baseline"/>
              <w:rPr>
                <w:rFonts w:ascii="Times New Roman" w:hAnsi="Times New Roman"/>
                <w:sz w:val="24"/>
                <w:szCs w:val="24"/>
              </w:rPr>
            </w:pPr>
            <w:r w:rsidRPr="00B63998">
              <w:rPr>
                <w:rFonts w:ascii="Times New Roman" w:hAnsi="Times New Roman"/>
                <w:sz w:val="24"/>
                <w:szCs w:val="24"/>
              </w:rPr>
              <w:t>Week 4 </w:t>
            </w:r>
          </w:p>
        </w:tc>
        <w:tc>
          <w:tcPr>
            <w:tcW w:w="1890" w:type="dxa"/>
            <w:tcBorders>
              <w:bottom w:val="single" w:color="auto" w:sz="4" w:space="0"/>
            </w:tcBorders>
            <w:shd w:val="clear" w:color="auto" w:fill="auto"/>
            <w:vAlign w:val="center"/>
            <w:hideMark/>
          </w:tcPr>
          <w:p w:rsidRPr="00B63998" w:rsidR="00177E79" w:rsidP="00AE2673" w:rsidRDefault="00177E79" w14:paraId="03DC9DFE" w14:textId="4E8D71B5">
            <w:pPr>
              <w:spacing w:before="0"/>
              <w:jc w:val="right"/>
              <w:textAlignment w:val="baseline"/>
              <w:rPr>
                <w:rFonts w:ascii="Times New Roman" w:hAnsi="Times New Roman"/>
                <w:sz w:val="24"/>
                <w:szCs w:val="24"/>
              </w:rPr>
            </w:pPr>
            <w:r w:rsidRPr="00B63998">
              <w:rPr>
                <w:rFonts w:ascii="Times New Roman" w:hAnsi="Times New Roman"/>
                <w:sz w:val="24"/>
                <w:szCs w:val="24"/>
              </w:rPr>
              <w:t>$40</w:t>
            </w:r>
          </w:p>
        </w:tc>
        <w:tc>
          <w:tcPr>
            <w:tcW w:w="1980" w:type="dxa"/>
            <w:tcBorders>
              <w:bottom w:val="single" w:color="auto" w:sz="4" w:space="0"/>
            </w:tcBorders>
            <w:shd w:val="clear" w:color="auto" w:fill="auto"/>
            <w:vAlign w:val="center"/>
            <w:hideMark/>
          </w:tcPr>
          <w:p w:rsidRPr="00B63998" w:rsidR="00177E79" w:rsidP="00AE2673" w:rsidRDefault="00177E79" w14:paraId="41A5C8DA" w14:textId="23501881">
            <w:pPr>
              <w:spacing w:before="0"/>
              <w:jc w:val="right"/>
              <w:textAlignment w:val="baseline"/>
              <w:rPr>
                <w:rFonts w:ascii="Times New Roman" w:hAnsi="Times New Roman"/>
                <w:sz w:val="24"/>
                <w:szCs w:val="24"/>
              </w:rPr>
            </w:pPr>
            <w:r w:rsidRPr="00B63998">
              <w:rPr>
                <w:rFonts w:ascii="Times New Roman" w:hAnsi="Times New Roman"/>
                <w:sz w:val="24"/>
                <w:szCs w:val="24"/>
              </w:rPr>
              <w:t>$50</w:t>
            </w:r>
          </w:p>
        </w:tc>
        <w:tc>
          <w:tcPr>
            <w:tcW w:w="1890" w:type="dxa"/>
            <w:tcBorders>
              <w:bottom w:val="single" w:color="auto" w:sz="4" w:space="0"/>
            </w:tcBorders>
            <w:shd w:val="clear" w:color="auto" w:fill="auto"/>
            <w:vAlign w:val="center"/>
            <w:hideMark/>
          </w:tcPr>
          <w:p w:rsidRPr="00B63998" w:rsidR="00177E79" w:rsidP="00AE2673" w:rsidRDefault="00177E79" w14:paraId="10173A26" w14:textId="52C8C7FB">
            <w:pPr>
              <w:spacing w:before="0"/>
              <w:jc w:val="right"/>
              <w:textAlignment w:val="baseline"/>
              <w:rPr>
                <w:rFonts w:ascii="Times New Roman" w:hAnsi="Times New Roman"/>
                <w:sz w:val="24"/>
                <w:szCs w:val="24"/>
              </w:rPr>
            </w:pPr>
            <w:r w:rsidRPr="00B63998">
              <w:rPr>
                <w:rFonts w:ascii="Times New Roman" w:hAnsi="Times New Roman"/>
                <w:sz w:val="24"/>
                <w:szCs w:val="24"/>
              </w:rPr>
              <w:t>$60</w:t>
            </w:r>
          </w:p>
        </w:tc>
      </w:tr>
      <w:tr w:rsidRPr="00E46E7F" w:rsidR="00177E79" w:rsidTr="00910834" w14:paraId="478A1928" w14:textId="77777777">
        <w:tc>
          <w:tcPr>
            <w:tcW w:w="2332" w:type="dxa"/>
            <w:tcBorders>
              <w:top w:val="single" w:color="auto" w:sz="4" w:space="0"/>
            </w:tcBorders>
            <w:shd w:val="clear" w:color="auto" w:fill="auto"/>
            <w:hideMark/>
          </w:tcPr>
          <w:p w:rsidRPr="00910834" w:rsidR="00177E79" w:rsidP="003148FC" w:rsidRDefault="00177E79" w14:paraId="3D1FF0CF" w14:textId="77777777">
            <w:pPr>
              <w:spacing w:before="0"/>
              <w:textAlignment w:val="baseline"/>
              <w:rPr>
                <w:rFonts w:ascii="Times New Roman" w:hAnsi="Times New Roman"/>
                <w:i/>
                <w:iCs/>
                <w:sz w:val="24"/>
                <w:szCs w:val="24"/>
              </w:rPr>
            </w:pPr>
            <w:r w:rsidRPr="00910834">
              <w:rPr>
                <w:rFonts w:ascii="Times New Roman" w:hAnsi="Times New Roman"/>
                <w:i/>
                <w:iCs/>
                <w:sz w:val="24"/>
                <w:szCs w:val="24"/>
              </w:rPr>
              <w:t>Subtotal </w:t>
            </w:r>
          </w:p>
        </w:tc>
        <w:tc>
          <w:tcPr>
            <w:tcW w:w="1890" w:type="dxa"/>
            <w:tcBorders>
              <w:top w:val="single" w:color="auto" w:sz="4" w:space="0"/>
            </w:tcBorders>
            <w:shd w:val="clear" w:color="auto" w:fill="auto"/>
            <w:vAlign w:val="center"/>
            <w:hideMark/>
          </w:tcPr>
          <w:p w:rsidRPr="00910834" w:rsidR="00177E79" w:rsidP="00AE2673" w:rsidRDefault="00177E79" w14:paraId="0D65F843" w14:textId="7BACCE15">
            <w:pPr>
              <w:spacing w:before="0"/>
              <w:jc w:val="right"/>
              <w:textAlignment w:val="baseline"/>
              <w:rPr>
                <w:rFonts w:ascii="Times New Roman" w:hAnsi="Times New Roman"/>
                <w:i/>
                <w:iCs/>
                <w:sz w:val="24"/>
                <w:szCs w:val="24"/>
              </w:rPr>
            </w:pPr>
            <w:r w:rsidRPr="00910834">
              <w:rPr>
                <w:rFonts w:ascii="Times New Roman" w:hAnsi="Times New Roman"/>
                <w:i/>
                <w:iCs/>
                <w:sz w:val="24"/>
                <w:szCs w:val="24"/>
              </w:rPr>
              <w:t>$130</w:t>
            </w:r>
          </w:p>
        </w:tc>
        <w:tc>
          <w:tcPr>
            <w:tcW w:w="1980" w:type="dxa"/>
            <w:tcBorders>
              <w:top w:val="single" w:color="auto" w:sz="4" w:space="0"/>
            </w:tcBorders>
            <w:shd w:val="clear" w:color="auto" w:fill="auto"/>
            <w:vAlign w:val="center"/>
            <w:hideMark/>
          </w:tcPr>
          <w:p w:rsidRPr="00910834" w:rsidR="00177E79" w:rsidP="00AE2673" w:rsidRDefault="00177E79" w14:paraId="1BF1EB9F" w14:textId="2F6AFD08">
            <w:pPr>
              <w:spacing w:before="0"/>
              <w:jc w:val="right"/>
              <w:textAlignment w:val="baseline"/>
              <w:rPr>
                <w:rFonts w:ascii="Times New Roman" w:hAnsi="Times New Roman"/>
                <w:i/>
                <w:iCs/>
                <w:sz w:val="24"/>
                <w:szCs w:val="24"/>
              </w:rPr>
            </w:pPr>
            <w:r w:rsidRPr="00910834">
              <w:rPr>
                <w:rFonts w:ascii="Times New Roman" w:hAnsi="Times New Roman"/>
                <w:i/>
                <w:iCs/>
                <w:sz w:val="24"/>
                <w:szCs w:val="24"/>
              </w:rPr>
              <w:t>$170</w:t>
            </w:r>
          </w:p>
        </w:tc>
        <w:tc>
          <w:tcPr>
            <w:tcW w:w="1890" w:type="dxa"/>
            <w:tcBorders>
              <w:top w:val="single" w:color="auto" w:sz="4" w:space="0"/>
            </w:tcBorders>
            <w:shd w:val="clear" w:color="auto" w:fill="auto"/>
            <w:vAlign w:val="center"/>
            <w:hideMark/>
          </w:tcPr>
          <w:p w:rsidRPr="00910834" w:rsidR="00177E79" w:rsidP="00AE2673" w:rsidRDefault="00177E79" w14:paraId="2AE8FEF7" w14:textId="3679EA0F">
            <w:pPr>
              <w:spacing w:before="0"/>
              <w:jc w:val="right"/>
              <w:textAlignment w:val="baseline"/>
              <w:rPr>
                <w:rFonts w:ascii="Times New Roman" w:hAnsi="Times New Roman"/>
                <w:i/>
                <w:iCs/>
                <w:sz w:val="24"/>
                <w:szCs w:val="24"/>
              </w:rPr>
            </w:pPr>
            <w:r w:rsidRPr="00910834">
              <w:rPr>
                <w:rFonts w:ascii="Times New Roman" w:hAnsi="Times New Roman"/>
                <w:i/>
                <w:iCs/>
                <w:sz w:val="24"/>
                <w:szCs w:val="24"/>
              </w:rPr>
              <w:t>$210</w:t>
            </w:r>
          </w:p>
        </w:tc>
      </w:tr>
      <w:tr w:rsidRPr="00D81063" w:rsidR="00177E79" w:rsidTr="00AE2673" w14:paraId="7A13D2AB" w14:textId="77777777">
        <w:tc>
          <w:tcPr>
            <w:tcW w:w="2332" w:type="dxa"/>
            <w:shd w:val="clear" w:color="auto" w:fill="auto"/>
            <w:hideMark/>
          </w:tcPr>
          <w:p w:rsidRPr="00B63998" w:rsidR="00177E79" w:rsidP="003148FC" w:rsidRDefault="00177E79" w14:paraId="17F3DBB1" w14:textId="77777777">
            <w:pPr>
              <w:spacing w:before="0"/>
              <w:textAlignment w:val="baseline"/>
              <w:rPr>
                <w:rFonts w:ascii="Times New Roman" w:hAnsi="Times New Roman"/>
                <w:sz w:val="24"/>
                <w:szCs w:val="24"/>
              </w:rPr>
            </w:pPr>
            <w:r w:rsidRPr="00B63998">
              <w:rPr>
                <w:rFonts w:ascii="Times New Roman" w:hAnsi="Times New Roman"/>
                <w:sz w:val="24"/>
                <w:szCs w:val="24"/>
              </w:rPr>
              <w:t>Prepaid invitation </w:t>
            </w:r>
          </w:p>
        </w:tc>
        <w:tc>
          <w:tcPr>
            <w:tcW w:w="1890" w:type="dxa"/>
            <w:shd w:val="clear" w:color="auto" w:fill="auto"/>
            <w:vAlign w:val="center"/>
            <w:hideMark/>
          </w:tcPr>
          <w:p w:rsidRPr="00B63998" w:rsidR="00177E79" w:rsidP="00AE2673" w:rsidRDefault="00177E79" w14:paraId="013FC5B5" w14:textId="7E15063B">
            <w:pPr>
              <w:spacing w:before="0"/>
              <w:jc w:val="right"/>
              <w:textAlignment w:val="baseline"/>
              <w:rPr>
                <w:rFonts w:ascii="Times New Roman" w:hAnsi="Times New Roman"/>
                <w:sz w:val="24"/>
                <w:szCs w:val="24"/>
              </w:rPr>
            </w:pPr>
            <w:r w:rsidRPr="00B63998">
              <w:rPr>
                <w:rFonts w:ascii="Times New Roman" w:hAnsi="Times New Roman"/>
                <w:sz w:val="24"/>
                <w:szCs w:val="24"/>
              </w:rPr>
              <w:t>$2</w:t>
            </w:r>
          </w:p>
        </w:tc>
        <w:tc>
          <w:tcPr>
            <w:tcW w:w="1980" w:type="dxa"/>
            <w:shd w:val="clear" w:color="auto" w:fill="auto"/>
            <w:vAlign w:val="center"/>
            <w:hideMark/>
          </w:tcPr>
          <w:p w:rsidRPr="00B63998" w:rsidR="00177E79" w:rsidP="00AE2673" w:rsidRDefault="00177E79" w14:paraId="06907145" w14:textId="079CFBE6">
            <w:pPr>
              <w:spacing w:before="0"/>
              <w:jc w:val="right"/>
              <w:textAlignment w:val="baseline"/>
              <w:rPr>
                <w:rFonts w:ascii="Times New Roman" w:hAnsi="Times New Roman"/>
                <w:sz w:val="24"/>
                <w:szCs w:val="24"/>
              </w:rPr>
            </w:pPr>
            <w:r w:rsidRPr="00B63998">
              <w:rPr>
                <w:rFonts w:ascii="Times New Roman" w:hAnsi="Times New Roman"/>
                <w:sz w:val="24"/>
                <w:szCs w:val="24"/>
              </w:rPr>
              <w:t>$2</w:t>
            </w:r>
          </w:p>
        </w:tc>
        <w:tc>
          <w:tcPr>
            <w:tcW w:w="1890" w:type="dxa"/>
            <w:shd w:val="clear" w:color="auto" w:fill="auto"/>
            <w:vAlign w:val="center"/>
            <w:hideMark/>
          </w:tcPr>
          <w:p w:rsidRPr="00B63998" w:rsidR="00177E79" w:rsidP="00AE2673" w:rsidRDefault="00177E79" w14:paraId="6E56269A" w14:textId="2C7860C7">
            <w:pPr>
              <w:spacing w:before="0"/>
              <w:jc w:val="right"/>
              <w:textAlignment w:val="baseline"/>
              <w:rPr>
                <w:rFonts w:ascii="Times New Roman" w:hAnsi="Times New Roman"/>
                <w:sz w:val="24"/>
                <w:szCs w:val="24"/>
              </w:rPr>
            </w:pPr>
            <w:r w:rsidRPr="00B63998">
              <w:rPr>
                <w:rFonts w:ascii="Times New Roman" w:hAnsi="Times New Roman"/>
                <w:sz w:val="24"/>
                <w:szCs w:val="24"/>
              </w:rPr>
              <w:t>$2</w:t>
            </w:r>
          </w:p>
        </w:tc>
      </w:tr>
      <w:tr w:rsidRPr="00D81063" w:rsidR="00177E79" w:rsidTr="00F739A8" w14:paraId="18A848B3" w14:textId="77777777">
        <w:tc>
          <w:tcPr>
            <w:tcW w:w="2332" w:type="dxa"/>
            <w:shd w:val="clear" w:color="auto" w:fill="auto"/>
            <w:hideMark/>
          </w:tcPr>
          <w:p w:rsidRPr="00B63998" w:rsidR="00177E79" w:rsidP="003148FC" w:rsidRDefault="00177E79" w14:paraId="6585DA49" w14:textId="77777777">
            <w:pPr>
              <w:spacing w:before="0"/>
              <w:textAlignment w:val="baseline"/>
              <w:rPr>
                <w:rFonts w:ascii="Times New Roman" w:hAnsi="Times New Roman"/>
                <w:sz w:val="24"/>
                <w:szCs w:val="24"/>
              </w:rPr>
            </w:pPr>
            <w:r w:rsidRPr="00B63998">
              <w:rPr>
                <w:rFonts w:ascii="Times New Roman" w:hAnsi="Times New Roman"/>
                <w:sz w:val="24"/>
                <w:szCs w:val="24"/>
              </w:rPr>
              <w:t>Background Survey </w:t>
            </w:r>
          </w:p>
        </w:tc>
        <w:tc>
          <w:tcPr>
            <w:tcW w:w="1890" w:type="dxa"/>
            <w:shd w:val="clear" w:color="auto" w:fill="auto"/>
            <w:vAlign w:val="center"/>
            <w:hideMark/>
          </w:tcPr>
          <w:p w:rsidRPr="00B63998" w:rsidR="00177E79" w:rsidP="00AE2673" w:rsidRDefault="00177E79" w14:paraId="5B141F93" w14:textId="21256AF1">
            <w:pPr>
              <w:spacing w:before="0"/>
              <w:jc w:val="right"/>
              <w:textAlignment w:val="baseline"/>
              <w:rPr>
                <w:rFonts w:ascii="Times New Roman" w:hAnsi="Times New Roman"/>
                <w:sz w:val="24"/>
                <w:szCs w:val="24"/>
              </w:rPr>
            </w:pPr>
            <w:r w:rsidRPr="00B63998">
              <w:rPr>
                <w:rFonts w:ascii="Times New Roman" w:hAnsi="Times New Roman"/>
                <w:sz w:val="24"/>
                <w:szCs w:val="24"/>
              </w:rPr>
              <w:t>$10</w:t>
            </w:r>
          </w:p>
        </w:tc>
        <w:tc>
          <w:tcPr>
            <w:tcW w:w="1980" w:type="dxa"/>
            <w:shd w:val="clear" w:color="auto" w:fill="auto"/>
            <w:vAlign w:val="center"/>
            <w:hideMark/>
          </w:tcPr>
          <w:p w:rsidRPr="00B63998" w:rsidR="00177E79" w:rsidP="00AE2673" w:rsidRDefault="00177E79" w14:paraId="2E0C2A50" w14:textId="33845F51">
            <w:pPr>
              <w:spacing w:before="0"/>
              <w:jc w:val="right"/>
              <w:textAlignment w:val="baseline"/>
              <w:rPr>
                <w:rFonts w:ascii="Times New Roman" w:hAnsi="Times New Roman"/>
                <w:sz w:val="24"/>
                <w:szCs w:val="24"/>
              </w:rPr>
            </w:pPr>
            <w:r w:rsidRPr="00B63998">
              <w:rPr>
                <w:rFonts w:ascii="Times New Roman" w:hAnsi="Times New Roman"/>
                <w:sz w:val="24"/>
                <w:szCs w:val="24"/>
              </w:rPr>
              <w:t>$10</w:t>
            </w:r>
          </w:p>
        </w:tc>
        <w:tc>
          <w:tcPr>
            <w:tcW w:w="1890" w:type="dxa"/>
            <w:shd w:val="clear" w:color="auto" w:fill="auto"/>
            <w:vAlign w:val="center"/>
            <w:hideMark/>
          </w:tcPr>
          <w:p w:rsidRPr="00B63998" w:rsidR="00177E79" w:rsidP="00AE2673" w:rsidRDefault="00177E79" w14:paraId="23C005B9" w14:textId="78497001">
            <w:pPr>
              <w:spacing w:before="0"/>
              <w:jc w:val="right"/>
              <w:textAlignment w:val="baseline"/>
              <w:rPr>
                <w:rFonts w:ascii="Times New Roman" w:hAnsi="Times New Roman"/>
                <w:sz w:val="24"/>
                <w:szCs w:val="24"/>
              </w:rPr>
            </w:pPr>
            <w:r w:rsidRPr="00B63998">
              <w:rPr>
                <w:rFonts w:ascii="Times New Roman" w:hAnsi="Times New Roman"/>
                <w:sz w:val="24"/>
                <w:szCs w:val="24"/>
              </w:rPr>
              <w:t>$10</w:t>
            </w:r>
          </w:p>
        </w:tc>
      </w:tr>
      <w:tr w:rsidRPr="00D81063" w:rsidR="00177E79" w:rsidTr="00F739A8" w14:paraId="7A7750F6" w14:textId="77777777">
        <w:tc>
          <w:tcPr>
            <w:tcW w:w="2332" w:type="dxa"/>
            <w:tcBorders>
              <w:bottom w:val="single" w:color="auto" w:sz="4" w:space="0"/>
            </w:tcBorders>
            <w:shd w:val="clear" w:color="auto" w:fill="auto"/>
          </w:tcPr>
          <w:p w:rsidRPr="00B63998" w:rsidR="00177E79" w:rsidP="003148FC" w:rsidRDefault="00177E79" w14:paraId="57B08112" w14:textId="37BFFBCD">
            <w:pPr>
              <w:spacing w:before="0"/>
              <w:textAlignment w:val="baseline"/>
              <w:rPr>
                <w:rFonts w:ascii="Times New Roman" w:hAnsi="Times New Roman"/>
                <w:sz w:val="24"/>
                <w:szCs w:val="24"/>
              </w:rPr>
            </w:pPr>
            <w:r w:rsidRPr="00B63998">
              <w:rPr>
                <w:rFonts w:ascii="Times New Roman" w:hAnsi="Times New Roman"/>
                <w:sz w:val="24"/>
                <w:szCs w:val="24"/>
              </w:rPr>
              <w:t>End of Study Survey</w:t>
            </w:r>
          </w:p>
        </w:tc>
        <w:tc>
          <w:tcPr>
            <w:tcW w:w="1890" w:type="dxa"/>
            <w:tcBorders>
              <w:bottom w:val="single" w:color="auto" w:sz="4" w:space="0"/>
            </w:tcBorders>
            <w:shd w:val="clear" w:color="auto" w:fill="auto"/>
            <w:vAlign w:val="center"/>
          </w:tcPr>
          <w:p w:rsidRPr="00B63998" w:rsidR="00177E79" w:rsidP="00AE2673" w:rsidRDefault="00177E79" w14:paraId="29548661" w14:textId="106D3B6D">
            <w:pPr>
              <w:spacing w:before="0"/>
              <w:jc w:val="right"/>
              <w:textAlignment w:val="baseline"/>
              <w:rPr>
                <w:rFonts w:ascii="Times New Roman" w:hAnsi="Times New Roman"/>
                <w:sz w:val="24"/>
                <w:szCs w:val="24"/>
              </w:rPr>
            </w:pPr>
            <w:r w:rsidRPr="00B63998">
              <w:rPr>
                <w:rFonts w:ascii="Times New Roman" w:hAnsi="Times New Roman"/>
                <w:sz w:val="24"/>
                <w:szCs w:val="24"/>
              </w:rPr>
              <w:t>$20</w:t>
            </w:r>
          </w:p>
        </w:tc>
        <w:tc>
          <w:tcPr>
            <w:tcW w:w="1980" w:type="dxa"/>
            <w:tcBorders>
              <w:bottom w:val="single" w:color="auto" w:sz="4" w:space="0"/>
            </w:tcBorders>
            <w:shd w:val="clear" w:color="auto" w:fill="auto"/>
            <w:vAlign w:val="center"/>
          </w:tcPr>
          <w:p w:rsidRPr="00B63998" w:rsidR="00177E79" w:rsidP="00AE2673" w:rsidRDefault="00177E79" w14:paraId="2AB3EDDD" w14:textId="34F24FBA">
            <w:pPr>
              <w:spacing w:before="0"/>
              <w:jc w:val="right"/>
              <w:textAlignment w:val="baseline"/>
              <w:rPr>
                <w:rFonts w:ascii="Times New Roman" w:hAnsi="Times New Roman"/>
                <w:sz w:val="24"/>
                <w:szCs w:val="24"/>
              </w:rPr>
            </w:pPr>
            <w:r w:rsidRPr="00B63998">
              <w:rPr>
                <w:rFonts w:ascii="Times New Roman" w:hAnsi="Times New Roman"/>
                <w:sz w:val="24"/>
                <w:szCs w:val="24"/>
              </w:rPr>
              <w:t>$20</w:t>
            </w:r>
          </w:p>
        </w:tc>
        <w:tc>
          <w:tcPr>
            <w:tcW w:w="1890" w:type="dxa"/>
            <w:tcBorders>
              <w:bottom w:val="single" w:color="auto" w:sz="4" w:space="0"/>
            </w:tcBorders>
            <w:shd w:val="clear" w:color="auto" w:fill="auto"/>
            <w:vAlign w:val="center"/>
          </w:tcPr>
          <w:p w:rsidRPr="00B63998" w:rsidR="00177E79" w:rsidP="00AE2673" w:rsidRDefault="00177E79" w14:paraId="53B8FAB8" w14:textId="16D3C243">
            <w:pPr>
              <w:spacing w:before="0"/>
              <w:jc w:val="right"/>
              <w:textAlignment w:val="baseline"/>
              <w:rPr>
                <w:rFonts w:ascii="Times New Roman" w:hAnsi="Times New Roman"/>
                <w:sz w:val="24"/>
                <w:szCs w:val="24"/>
              </w:rPr>
            </w:pPr>
            <w:r w:rsidRPr="00B63998">
              <w:rPr>
                <w:rFonts w:ascii="Times New Roman" w:hAnsi="Times New Roman"/>
                <w:sz w:val="24"/>
                <w:szCs w:val="24"/>
              </w:rPr>
              <w:t>$20</w:t>
            </w:r>
          </w:p>
        </w:tc>
      </w:tr>
      <w:tr w:rsidRPr="00D81063" w:rsidR="00177E79" w:rsidTr="00F739A8" w14:paraId="2D13FF44" w14:textId="77777777">
        <w:tc>
          <w:tcPr>
            <w:tcW w:w="2332" w:type="dxa"/>
            <w:tcBorders>
              <w:top w:val="single" w:color="auto" w:sz="4" w:space="0"/>
            </w:tcBorders>
            <w:shd w:val="clear" w:color="auto" w:fill="auto"/>
            <w:hideMark/>
          </w:tcPr>
          <w:p w:rsidRPr="00B63998" w:rsidR="00177E79" w:rsidP="003148FC" w:rsidRDefault="00177E79" w14:paraId="0AF9C13D" w14:textId="77777777">
            <w:pPr>
              <w:spacing w:before="0"/>
              <w:textAlignment w:val="baseline"/>
              <w:rPr>
                <w:rFonts w:ascii="Times New Roman" w:hAnsi="Times New Roman"/>
                <w:sz w:val="24"/>
                <w:szCs w:val="24"/>
              </w:rPr>
            </w:pPr>
            <w:r w:rsidRPr="00B63998">
              <w:rPr>
                <w:rFonts w:ascii="Times New Roman" w:hAnsi="Times New Roman"/>
                <w:sz w:val="24"/>
                <w:szCs w:val="24"/>
              </w:rPr>
              <w:t>Grand Total </w:t>
            </w:r>
          </w:p>
        </w:tc>
        <w:tc>
          <w:tcPr>
            <w:tcW w:w="1890" w:type="dxa"/>
            <w:tcBorders>
              <w:top w:val="single" w:color="auto" w:sz="4" w:space="0"/>
            </w:tcBorders>
            <w:shd w:val="clear" w:color="auto" w:fill="auto"/>
            <w:vAlign w:val="center"/>
            <w:hideMark/>
          </w:tcPr>
          <w:p w:rsidRPr="00B63998" w:rsidR="00177E79" w:rsidP="00AE2673" w:rsidRDefault="00177E79" w14:paraId="2A76FC35" w14:textId="345ABE71">
            <w:pPr>
              <w:spacing w:before="0"/>
              <w:jc w:val="right"/>
              <w:textAlignment w:val="baseline"/>
              <w:rPr>
                <w:rFonts w:ascii="Times New Roman" w:hAnsi="Times New Roman"/>
                <w:sz w:val="24"/>
                <w:szCs w:val="24"/>
              </w:rPr>
            </w:pPr>
            <w:r w:rsidRPr="00B63998">
              <w:rPr>
                <w:rFonts w:ascii="Times New Roman" w:hAnsi="Times New Roman"/>
                <w:sz w:val="24"/>
                <w:szCs w:val="24"/>
              </w:rPr>
              <w:t>$162</w:t>
            </w:r>
          </w:p>
        </w:tc>
        <w:tc>
          <w:tcPr>
            <w:tcW w:w="1980" w:type="dxa"/>
            <w:tcBorders>
              <w:top w:val="single" w:color="auto" w:sz="4" w:space="0"/>
            </w:tcBorders>
            <w:shd w:val="clear" w:color="auto" w:fill="auto"/>
            <w:vAlign w:val="center"/>
            <w:hideMark/>
          </w:tcPr>
          <w:p w:rsidRPr="00B63998" w:rsidR="00177E79" w:rsidP="00AE2673" w:rsidRDefault="00177E79" w14:paraId="31B635D3" w14:textId="1848B411">
            <w:pPr>
              <w:spacing w:before="0"/>
              <w:jc w:val="right"/>
              <w:textAlignment w:val="baseline"/>
              <w:rPr>
                <w:rFonts w:ascii="Times New Roman" w:hAnsi="Times New Roman"/>
                <w:sz w:val="24"/>
                <w:szCs w:val="24"/>
              </w:rPr>
            </w:pPr>
            <w:r w:rsidRPr="00B63998">
              <w:rPr>
                <w:rFonts w:ascii="Times New Roman" w:hAnsi="Times New Roman"/>
                <w:sz w:val="24"/>
                <w:szCs w:val="24"/>
              </w:rPr>
              <w:t>$202</w:t>
            </w:r>
          </w:p>
        </w:tc>
        <w:tc>
          <w:tcPr>
            <w:tcW w:w="1890" w:type="dxa"/>
            <w:tcBorders>
              <w:top w:val="single" w:color="auto" w:sz="4" w:space="0"/>
            </w:tcBorders>
            <w:shd w:val="clear" w:color="auto" w:fill="auto"/>
            <w:vAlign w:val="center"/>
            <w:hideMark/>
          </w:tcPr>
          <w:p w:rsidRPr="00B63998" w:rsidR="00177E79" w:rsidP="00AE2673" w:rsidRDefault="00177E79" w14:paraId="363BBED0" w14:textId="3830C0CD">
            <w:pPr>
              <w:spacing w:before="0"/>
              <w:jc w:val="right"/>
              <w:textAlignment w:val="baseline"/>
              <w:rPr>
                <w:rFonts w:ascii="Times New Roman" w:hAnsi="Times New Roman"/>
                <w:sz w:val="24"/>
                <w:szCs w:val="24"/>
              </w:rPr>
            </w:pPr>
            <w:r w:rsidRPr="00B63998">
              <w:rPr>
                <w:rFonts w:ascii="Times New Roman" w:hAnsi="Times New Roman"/>
                <w:sz w:val="24"/>
                <w:szCs w:val="24"/>
              </w:rPr>
              <w:t>$242</w:t>
            </w:r>
          </w:p>
        </w:tc>
      </w:tr>
    </w:tbl>
    <w:p w:rsidR="00AD4BF8" w:rsidP="00E27AC4" w:rsidRDefault="00AD4BF8" w14:paraId="119DD12C" w14:textId="097282D9">
      <w:pPr>
        <w:tabs>
          <w:tab w:val="left" w:pos="440"/>
        </w:tabs>
        <w:rPr>
          <w:rFonts w:ascii="Times New Roman" w:hAnsi="Times New Roman"/>
          <w:sz w:val="24"/>
          <w:szCs w:val="24"/>
        </w:rPr>
      </w:pPr>
      <w:r>
        <w:rPr>
          <w:rFonts w:ascii="Times New Roman" w:hAnsi="Times New Roman"/>
          <w:sz w:val="24"/>
          <w:szCs w:val="24"/>
        </w:rPr>
        <w:lastRenderedPageBreak/>
        <w:t>In addition to initial invitations sent by text, email, and/or app notification, non-responders will receive reminders.  For the initial Background survey, an intensive mailing protocol will maximize the response rate for survey recruitment.  This protocol is as follows:</w:t>
      </w:r>
    </w:p>
    <w:p w:rsidRPr="0035406F" w:rsidR="0035406F" w:rsidP="0035406F" w:rsidRDefault="0035406F" w14:paraId="4ED4AC42" w14:textId="0E752A15">
      <w:pPr>
        <w:pStyle w:val="ListParagraph"/>
        <w:numPr>
          <w:ilvl w:val="0"/>
          <w:numId w:val="37"/>
        </w:numPr>
        <w:tabs>
          <w:tab w:val="left" w:pos="440"/>
        </w:tabs>
        <w:rPr>
          <w:rFonts w:ascii="Times New Roman" w:hAnsi="Times New Roman"/>
          <w:sz w:val="24"/>
          <w:szCs w:val="24"/>
        </w:rPr>
      </w:pPr>
      <w:r w:rsidRPr="055B9745">
        <w:rPr>
          <w:rFonts w:ascii="Times New Roman" w:hAnsi="Times New Roman"/>
          <w:sz w:val="24"/>
          <w:szCs w:val="24"/>
        </w:rPr>
        <w:t>Week 1 – Mail initial invitation letters (see Appendix F)</w:t>
      </w:r>
    </w:p>
    <w:p w:rsidRPr="0035406F" w:rsidR="0035406F" w:rsidP="0035406F" w:rsidRDefault="0035406F" w14:paraId="0FD84891" w14:textId="3DC6CB0B">
      <w:pPr>
        <w:pStyle w:val="ListParagraph"/>
        <w:numPr>
          <w:ilvl w:val="0"/>
          <w:numId w:val="37"/>
        </w:numPr>
        <w:tabs>
          <w:tab w:val="left" w:pos="440"/>
        </w:tabs>
        <w:rPr>
          <w:rFonts w:ascii="Times New Roman" w:hAnsi="Times New Roman"/>
          <w:sz w:val="24"/>
          <w:szCs w:val="24"/>
        </w:rPr>
      </w:pPr>
      <w:r w:rsidRPr="055B9745">
        <w:rPr>
          <w:rFonts w:ascii="Times New Roman" w:hAnsi="Times New Roman"/>
          <w:sz w:val="24"/>
          <w:szCs w:val="24"/>
        </w:rPr>
        <w:t xml:space="preserve">Week 2 – Mail reminder postcards to sampled addresses (see Appendix G) </w:t>
      </w:r>
    </w:p>
    <w:p w:rsidRPr="0035406F" w:rsidR="0035406F" w:rsidP="0035406F" w:rsidRDefault="0035406F" w14:paraId="66F87DD3" w14:textId="021A0EA6">
      <w:pPr>
        <w:pStyle w:val="ListParagraph"/>
        <w:numPr>
          <w:ilvl w:val="0"/>
          <w:numId w:val="37"/>
        </w:numPr>
        <w:tabs>
          <w:tab w:val="left" w:pos="440"/>
        </w:tabs>
        <w:rPr>
          <w:rFonts w:ascii="Times New Roman" w:hAnsi="Times New Roman"/>
          <w:sz w:val="24"/>
          <w:szCs w:val="24"/>
        </w:rPr>
      </w:pPr>
      <w:r w:rsidRPr="055B9745">
        <w:rPr>
          <w:rFonts w:ascii="Times New Roman" w:hAnsi="Times New Roman"/>
          <w:sz w:val="24"/>
          <w:szCs w:val="24"/>
        </w:rPr>
        <w:t>Week 3 – Mail express invitation letters (see Appendix H), mail initial invitation letters to alternate selected adults (see Appendix I)</w:t>
      </w:r>
    </w:p>
    <w:p w:rsidRPr="0035406F" w:rsidR="0035406F" w:rsidP="0035406F" w:rsidRDefault="0035406F" w14:paraId="25EA5FE5" w14:textId="7B688EFE">
      <w:pPr>
        <w:pStyle w:val="ListParagraph"/>
        <w:numPr>
          <w:ilvl w:val="0"/>
          <w:numId w:val="37"/>
        </w:numPr>
        <w:tabs>
          <w:tab w:val="left" w:pos="440"/>
        </w:tabs>
        <w:rPr>
          <w:rFonts w:ascii="Times New Roman" w:hAnsi="Times New Roman"/>
          <w:sz w:val="24"/>
          <w:szCs w:val="24"/>
        </w:rPr>
      </w:pPr>
      <w:r w:rsidRPr="055B9745">
        <w:rPr>
          <w:rFonts w:ascii="Times New Roman" w:hAnsi="Times New Roman"/>
          <w:sz w:val="24"/>
          <w:szCs w:val="24"/>
        </w:rPr>
        <w:t>Week 4 – Mail final invitation letters (see Appendix H), mail postcards to alternate selected adults (see Appendix J)</w:t>
      </w:r>
    </w:p>
    <w:p w:rsidRPr="0035406F" w:rsidR="0035406F" w:rsidP="0035406F" w:rsidRDefault="0035406F" w14:paraId="25592D04" w14:textId="3F8B376C">
      <w:pPr>
        <w:pStyle w:val="ListParagraph"/>
        <w:numPr>
          <w:ilvl w:val="0"/>
          <w:numId w:val="37"/>
        </w:numPr>
        <w:tabs>
          <w:tab w:val="left" w:pos="440"/>
        </w:tabs>
        <w:rPr>
          <w:rFonts w:ascii="Times New Roman" w:hAnsi="Times New Roman"/>
          <w:sz w:val="24"/>
          <w:szCs w:val="24"/>
        </w:rPr>
      </w:pPr>
      <w:r w:rsidRPr="055B9745">
        <w:rPr>
          <w:rFonts w:ascii="Times New Roman" w:hAnsi="Times New Roman"/>
          <w:sz w:val="24"/>
          <w:szCs w:val="24"/>
        </w:rPr>
        <w:t>Week 5 – Mail express letters to alternate selected adults (see Appendix K)</w:t>
      </w:r>
    </w:p>
    <w:p w:rsidR="00AD4BF8" w:rsidP="0035406F" w:rsidRDefault="0035406F" w14:paraId="50F2570E" w14:textId="69980E48">
      <w:pPr>
        <w:pStyle w:val="ListParagraph"/>
        <w:numPr>
          <w:ilvl w:val="0"/>
          <w:numId w:val="37"/>
        </w:numPr>
        <w:tabs>
          <w:tab w:val="left" w:pos="440"/>
        </w:tabs>
        <w:rPr>
          <w:rFonts w:ascii="Times New Roman" w:hAnsi="Times New Roman"/>
          <w:sz w:val="24"/>
          <w:szCs w:val="24"/>
        </w:rPr>
      </w:pPr>
      <w:r w:rsidRPr="055B9745">
        <w:rPr>
          <w:rFonts w:ascii="Times New Roman" w:hAnsi="Times New Roman"/>
          <w:sz w:val="24"/>
          <w:szCs w:val="24"/>
        </w:rPr>
        <w:t>Week 6 – Mail final invitation letters to alternate selected adult</w:t>
      </w:r>
      <w:r w:rsidRPr="055B9745" w:rsidR="00A3500F">
        <w:rPr>
          <w:rFonts w:ascii="Times New Roman" w:hAnsi="Times New Roman"/>
          <w:sz w:val="24"/>
          <w:szCs w:val="24"/>
        </w:rPr>
        <w:t>s (see Appendix K)</w:t>
      </w:r>
    </w:p>
    <w:p w:rsidRPr="00B92F00" w:rsidR="006602F0" w:rsidP="00B92F00" w:rsidRDefault="0035406F" w14:paraId="487E6364" w14:textId="7E6DE6A4">
      <w:pPr>
        <w:tabs>
          <w:tab w:val="left" w:pos="440"/>
        </w:tabs>
        <w:rPr>
          <w:rFonts w:ascii="Times New Roman" w:hAnsi="Times New Roman"/>
          <w:sz w:val="24"/>
          <w:szCs w:val="24"/>
        </w:rPr>
      </w:pPr>
      <w:r>
        <w:rPr>
          <w:rFonts w:ascii="Times New Roman" w:hAnsi="Times New Roman"/>
          <w:sz w:val="24"/>
          <w:szCs w:val="24"/>
        </w:rPr>
        <w:t>The alternate selected adult applies when someone other than the adult who initially starts the Background survey is selected as the respondent.  If this person does not complete the survey soon after they are selected, they will receive additional mailings specifically targeted at them.</w:t>
      </w:r>
    </w:p>
    <w:p w:rsidR="004E5227" w:rsidP="00580EDC" w:rsidRDefault="004E5227" w14:paraId="1AD839BE" w14:textId="6AFB5F28">
      <w:pPr>
        <w:tabs>
          <w:tab w:val="left" w:pos="440"/>
        </w:tabs>
        <w:rPr>
          <w:rFonts w:ascii="Times New Roman" w:hAnsi="Times New Roman"/>
          <w:sz w:val="24"/>
          <w:szCs w:val="22"/>
          <w:u w:val="single"/>
        </w:rPr>
      </w:pPr>
      <w:r>
        <w:rPr>
          <w:rFonts w:ascii="Times New Roman" w:hAnsi="Times New Roman"/>
          <w:sz w:val="24"/>
          <w:szCs w:val="22"/>
        </w:rPr>
        <w:t xml:space="preserve">4.  </w:t>
      </w:r>
      <w:r>
        <w:rPr>
          <w:rFonts w:ascii="Times New Roman" w:hAnsi="Times New Roman"/>
          <w:sz w:val="24"/>
          <w:szCs w:val="22"/>
          <w:u w:val="single"/>
        </w:rPr>
        <w:t>Tests of Procedures or Methods</w:t>
      </w:r>
    </w:p>
    <w:p w:rsidR="004A638A" w:rsidP="00CE0A77" w:rsidRDefault="0035406F" w14:paraId="66ED09AF" w14:textId="7BC41A42">
      <w:pPr>
        <w:tabs>
          <w:tab w:val="left" w:pos="440"/>
          <w:tab w:val="left" w:pos="1530"/>
        </w:tabs>
        <w:rPr>
          <w:rFonts w:ascii="Times New Roman" w:hAnsi="Times New Roman"/>
          <w:sz w:val="24"/>
          <w:szCs w:val="24"/>
        </w:rPr>
      </w:pPr>
      <w:r w:rsidRPr="1D0A5B7D">
        <w:rPr>
          <w:rFonts w:ascii="Times New Roman" w:hAnsi="Times New Roman"/>
          <w:sz w:val="24"/>
          <w:szCs w:val="24"/>
        </w:rPr>
        <w:t xml:space="preserve">Almost all aspects of the </w:t>
      </w:r>
      <w:r w:rsidRPr="1D0A5B7D" w:rsidR="00D11A64">
        <w:rPr>
          <w:rFonts w:ascii="Times New Roman" w:hAnsi="Times New Roman"/>
          <w:sz w:val="24"/>
          <w:szCs w:val="24"/>
        </w:rPr>
        <w:t>Community Response Survey Preparation</w:t>
      </w:r>
      <w:r w:rsidRPr="1D0A5B7D">
        <w:rPr>
          <w:rFonts w:ascii="Times New Roman" w:hAnsi="Times New Roman"/>
          <w:sz w:val="24"/>
          <w:szCs w:val="24"/>
        </w:rPr>
        <w:t xml:space="preserve"> are designed to test procedures and methods.  The general model of conducting </w:t>
      </w:r>
      <w:r w:rsidRPr="1D0A5B7D" w:rsidR="00B8487D">
        <w:rPr>
          <w:rFonts w:ascii="Times New Roman" w:hAnsi="Times New Roman"/>
          <w:sz w:val="24"/>
          <w:szCs w:val="24"/>
        </w:rPr>
        <w:t xml:space="preserve">Single Event </w:t>
      </w:r>
      <w:r w:rsidRPr="1D0A5B7D">
        <w:rPr>
          <w:rFonts w:ascii="Times New Roman" w:hAnsi="Times New Roman"/>
          <w:sz w:val="24"/>
          <w:szCs w:val="24"/>
        </w:rPr>
        <w:t>surveys for each sonic boom</w:t>
      </w:r>
      <w:r w:rsidRPr="1D0A5B7D" w:rsidR="00B8487D">
        <w:rPr>
          <w:rFonts w:ascii="Times New Roman" w:hAnsi="Times New Roman"/>
          <w:sz w:val="24"/>
          <w:szCs w:val="24"/>
        </w:rPr>
        <w:t>,</w:t>
      </w:r>
      <w:r w:rsidRPr="1D0A5B7D">
        <w:rPr>
          <w:rFonts w:ascii="Times New Roman" w:hAnsi="Times New Roman"/>
          <w:sz w:val="24"/>
          <w:szCs w:val="24"/>
        </w:rPr>
        <w:t xml:space="preserve"> </w:t>
      </w:r>
      <w:r w:rsidRPr="1D0A5B7D" w:rsidR="00ED3627">
        <w:rPr>
          <w:rFonts w:ascii="Times New Roman" w:hAnsi="Times New Roman"/>
          <w:sz w:val="24"/>
          <w:szCs w:val="24"/>
        </w:rPr>
        <w:t xml:space="preserve">Daily Summary </w:t>
      </w:r>
      <w:r w:rsidRPr="1D0A5B7D" w:rsidR="00B8487D">
        <w:rPr>
          <w:rFonts w:ascii="Times New Roman" w:hAnsi="Times New Roman"/>
          <w:sz w:val="24"/>
          <w:szCs w:val="24"/>
        </w:rPr>
        <w:t>survey</w:t>
      </w:r>
      <w:r w:rsidRPr="1D0A5B7D" w:rsidR="00ED3627">
        <w:rPr>
          <w:rFonts w:ascii="Times New Roman" w:hAnsi="Times New Roman"/>
          <w:sz w:val="24"/>
          <w:szCs w:val="24"/>
        </w:rPr>
        <w:t>s</w:t>
      </w:r>
      <w:r w:rsidRPr="1D0A5B7D" w:rsidR="00B8487D">
        <w:rPr>
          <w:rFonts w:ascii="Times New Roman" w:hAnsi="Times New Roman"/>
          <w:sz w:val="24"/>
          <w:szCs w:val="24"/>
        </w:rPr>
        <w:t xml:space="preserve"> </w:t>
      </w:r>
      <w:r w:rsidRPr="1D0A5B7D">
        <w:rPr>
          <w:rFonts w:ascii="Times New Roman" w:hAnsi="Times New Roman"/>
          <w:sz w:val="24"/>
          <w:szCs w:val="24"/>
        </w:rPr>
        <w:t xml:space="preserve">and </w:t>
      </w:r>
      <w:r w:rsidRPr="1D0A5B7D" w:rsidR="00ED3627">
        <w:rPr>
          <w:rFonts w:ascii="Times New Roman" w:hAnsi="Times New Roman"/>
          <w:sz w:val="24"/>
          <w:szCs w:val="24"/>
        </w:rPr>
        <w:t xml:space="preserve">End </w:t>
      </w:r>
      <w:r w:rsidRPr="1D0A5B7D">
        <w:rPr>
          <w:rFonts w:ascii="Times New Roman" w:hAnsi="Times New Roman"/>
          <w:sz w:val="24"/>
          <w:szCs w:val="24"/>
        </w:rPr>
        <w:t xml:space="preserve">of </w:t>
      </w:r>
      <w:r w:rsidRPr="1D0A5B7D" w:rsidR="00ED3627">
        <w:rPr>
          <w:rFonts w:ascii="Times New Roman" w:hAnsi="Times New Roman"/>
          <w:sz w:val="24"/>
          <w:szCs w:val="24"/>
        </w:rPr>
        <w:t xml:space="preserve">Study </w:t>
      </w:r>
      <w:r w:rsidRPr="1D0A5B7D">
        <w:rPr>
          <w:rFonts w:ascii="Times New Roman" w:hAnsi="Times New Roman"/>
          <w:sz w:val="24"/>
          <w:szCs w:val="24"/>
        </w:rPr>
        <w:t xml:space="preserve">surveys to measure aggregate annoyance come from previous </w:t>
      </w:r>
      <w:r w:rsidRPr="1D0A5B7D" w:rsidR="000759E3">
        <w:rPr>
          <w:rFonts w:ascii="Times New Roman" w:hAnsi="Times New Roman"/>
          <w:sz w:val="24"/>
          <w:szCs w:val="24"/>
        </w:rPr>
        <w:t>NASA tests</w:t>
      </w:r>
      <w:r w:rsidRPr="1D0A5B7D">
        <w:rPr>
          <w:rFonts w:ascii="Times New Roman" w:hAnsi="Times New Roman"/>
          <w:sz w:val="24"/>
          <w:szCs w:val="24"/>
        </w:rPr>
        <w:t xml:space="preserve">.  However, the </w:t>
      </w:r>
      <w:r w:rsidRPr="1D0A5B7D" w:rsidR="00D11A64">
        <w:rPr>
          <w:rFonts w:ascii="Times New Roman" w:hAnsi="Times New Roman"/>
          <w:sz w:val="24"/>
          <w:szCs w:val="24"/>
        </w:rPr>
        <w:t>Community Response Survey Preparation</w:t>
      </w:r>
      <w:r w:rsidRPr="1D0A5B7D">
        <w:rPr>
          <w:rFonts w:ascii="Times New Roman" w:hAnsi="Times New Roman"/>
          <w:sz w:val="24"/>
          <w:szCs w:val="24"/>
        </w:rPr>
        <w:t xml:space="preserve"> will be using a longer field period and some additional questions </w:t>
      </w:r>
      <w:r w:rsidRPr="1D0A5B7D" w:rsidR="00435362">
        <w:rPr>
          <w:rFonts w:ascii="Times New Roman" w:hAnsi="Times New Roman"/>
          <w:sz w:val="24"/>
          <w:szCs w:val="24"/>
        </w:rPr>
        <w:t xml:space="preserve">such as those </w:t>
      </w:r>
      <w:r w:rsidRPr="1D0A5B7D">
        <w:rPr>
          <w:rFonts w:ascii="Times New Roman" w:hAnsi="Times New Roman"/>
          <w:sz w:val="24"/>
          <w:szCs w:val="24"/>
        </w:rPr>
        <w:t>about housing construction</w:t>
      </w:r>
      <w:r w:rsidRPr="1D0A5B7D" w:rsidR="007F38A5">
        <w:rPr>
          <w:rFonts w:ascii="Times New Roman" w:hAnsi="Times New Roman"/>
          <w:sz w:val="24"/>
          <w:szCs w:val="24"/>
        </w:rPr>
        <w:t xml:space="preserve"> and</w:t>
      </w:r>
      <w:r w:rsidRPr="1D0A5B7D">
        <w:rPr>
          <w:rFonts w:ascii="Times New Roman" w:hAnsi="Times New Roman"/>
          <w:sz w:val="24"/>
          <w:szCs w:val="24"/>
        </w:rPr>
        <w:t xml:space="preserve"> </w:t>
      </w:r>
      <w:r w:rsidRPr="1D0A5B7D" w:rsidR="00435362">
        <w:rPr>
          <w:rFonts w:ascii="Times New Roman" w:hAnsi="Times New Roman"/>
          <w:sz w:val="24"/>
          <w:szCs w:val="24"/>
        </w:rPr>
        <w:t xml:space="preserve">being </w:t>
      </w:r>
      <w:r w:rsidRPr="1D0A5B7D">
        <w:rPr>
          <w:rFonts w:ascii="Times New Roman" w:hAnsi="Times New Roman"/>
          <w:sz w:val="24"/>
          <w:szCs w:val="24"/>
        </w:rPr>
        <w:t>startle</w:t>
      </w:r>
      <w:r w:rsidRPr="1D0A5B7D" w:rsidR="00435362">
        <w:rPr>
          <w:rFonts w:ascii="Times New Roman" w:hAnsi="Times New Roman"/>
          <w:sz w:val="24"/>
          <w:szCs w:val="24"/>
        </w:rPr>
        <w:t>d by the noise.</w:t>
      </w:r>
    </w:p>
    <w:p w:rsidR="0035406F" w:rsidP="004A638A" w:rsidRDefault="0035406F" w14:paraId="4C54BD96" w14:textId="5C1AB0CF">
      <w:pPr>
        <w:tabs>
          <w:tab w:val="left" w:pos="440"/>
        </w:tabs>
        <w:rPr>
          <w:rFonts w:ascii="Times New Roman" w:hAnsi="Times New Roman"/>
          <w:sz w:val="24"/>
          <w:szCs w:val="24"/>
        </w:rPr>
      </w:pPr>
      <w:r w:rsidRPr="1D0A5B7D">
        <w:rPr>
          <w:rFonts w:ascii="Times New Roman" w:hAnsi="Times New Roman"/>
          <w:sz w:val="24"/>
          <w:szCs w:val="24"/>
        </w:rPr>
        <w:t xml:space="preserve">The general approach of using ABS with mail invitations to complete a web survey is a standard industry practice.  However, the plan to engage respondents for a 30-day period and push real-time survey invitations in response to noise stimulus will require careful testing of communication and incentive strategies.  The </w:t>
      </w:r>
      <w:r w:rsidRPr="1D0A5B7D" w:rsidR="00D11A64">
        <w:rPr>
          <w:rFonts w:ascii="Times New Roman" w:hAnsi="Times New Roman"/>
          <w:sz w:val="24"/>
          <w:szCs w:val="24"/>
        </w:rPr>
        <w:t>Community Response Survey Preparation</w:t>
      </w:r>
      <w:r w:rsidRPr="1D0A5B7D">
        <w:rPr>
          <w:rFonts w:ascii="Times New Roman" w:hAnsi="Times New Roman"/>
          <w:sz w:val="24"/>
          <w:szCs w:val="24"/>
        </w:rPr>
        <w:t xml:space="preserve"> will test </w:t>
      </w:r>
      <w:r w:rsidRPr="1D0A5B7D" w:rsidR="002F7807">
        <w:rPr>
          <w:rFonts w:ascii="Times New Roman" w:hAnsi="Times New Roman"/>
          <w:sz w:val="24"/>
          <w:szCs w:val="24"/>
        </w:rPr>
        <w:t>all</w:t>
      </w:r>
      <w:r w:rsidRPr="1D0A5B7D">
        <w:rPr>
          <w:rFonts w:ascii="Times New Roman" w:hAnsi="Times New Roman"/>
          <w:sz w:val="24"/>
          <w:szCs w:val="24"/>
        </w:rPr>
        <w:t xml:space="preserve"> these components </w:t>
      </w:r>
      <w:r w:rsidRPr="1D0A5B7D" w:rsidR="002F7807">
        <w:rPr>
          <w:rFonts w:ascii="Times New Roman" w:hAnsi="Times New Roman"/>
          <w:sz w:val="24"/>
          <w:szCs w:val="24"/>
        </w:rPr>
        <w:t xml:space="preserve">and </w:t>
      </w:r>
      <w:r w:rsidRPr="1D0A5B7D">
        <w:rPr>
          <w:rFonts w:ascii="Times New Roman" w:hAnsi="Times New Roman"/>
          <w:sz w:val="24"/>
          <w:szCs w:val="24"/>
        </w:rPr>
        <w:t>the elements of the technical infrastructure such as web survey programming, secure data transfer, server capacity and reliability, immediate electronic notifications to respondents, and displaying survey data in real time through a User Interface.</w:t>
      </w:r>
    </w:p>
    <w:p w:rsidR="004E5227" w:rsidRDefault="004E5227" w14:paraId="56D20AFE" w14:textId="4BC50757">
      <w:pPr>
        <w:tabs>
          <w:tab w:val="left" w:pos="540"/>
        </w:tabs>
        <w:rPr>
          <w:rFonts w:ascii="Times New Roman" w:hAnsi="Times New Roman"/>
          <w:sz w:val="24"/>
          <w:szCs w:val="22"/>
          <w:u w:val="single"/>
        </w:rPr>
      </w:pPr>
      <w:r>
        <w:rPr>
          <w:rFonts w:ascii="Times New Roman" w:hAnsi="Times New Roman"/>
          <w:sz w:val="24"/>
          <w:szCs w:val="22"/>
        </w:rPr>
        <w:t xml:space="preserve">5.  </w:t>
      </w:r>
      <w:r>
        <w:rPr>
          <w:rFonts w:ascii="Times New Roman" w:hAnsi="Times New Roman"/>
          <w:sz w:val="24"/>
          <w:szCs w:val="22"/>
          <w:u w:val="single"/>
        </w:rPr>
        <w:t>Statistical Consultation and Information Analysis</w:t>
      </w:r>
    </w:p>
    <w:p w:rsidR="00580EDC" w:rsidP="00580EDC" w:rsidRDefault="00580EDC" w14:paraId="3D3BEEE5" w14:textId="77777777">
      <w:pPr>
        <w:tabs>
          <w:tab w:val="left" w:pos="440"/>
        </w:tabs>
        <w:spacing w:before="0"/>
        <w:rPr>
          <w:rFonts w:ascii="Times New Roman" w:hAnsi="Times New Roman"/>
          <w:sz w:val="24"/>
          <w:szCs w:val="22"/>
        </w:rPr>
      </w:pPr>
    </w:p>
    <w:p w:rsidR="00B2295D" w:rsidP="00580EDC" w:rsidRDefault="00177E79" w14:paraId="29726E09" w14:textId="43320FCF">
      <w:pPr>
        <w:tabs>
          <w:tab w:val="left" w:pos="440"/>
        </w:tabs>
        <w:spacing w:before="0"/>
        <w:rPr>
          <w:rFonts w:ascii="Times New Roman" w:hAnsi="Times New Roman"/>
          <w:sz w:val="24"/>
          <w:szCs w:val="22"/>
        </w:rPr>
      </w:pPr>
      <w:r>
        <w:rPr>
          <w:rFonts w:ascii="Times New Roman" w:hAnsi="Times New Roman"/>
          <w:sz w:val="24"/>
          <w:szCs w:val="22"/>
        </w:rPr>
        <w:t xml:space="preserve">The analysis of statistical data and the results of methodological and protocol testing will be conducted by experts at Westat (one of NASA’s subcontractors for the </w:t>
      </w:r>
      <w:r w:rsidR="00D11A64">
        <w:rPr>
          <w:rFonts w:ascii="Times New Roman" w:hAnsi="Times New Roman"/>
          <w:sz w:val="24"/>
          <w:szCs w:val="22"/>
        </w:rPr>
        <w:t>Community Response Survey Preparation</w:t>
      </w:r>
      <w:r>
        <w:rPr>
          <w:rFonts w:ascii="Times New Roman" w:hAnsi="Times New Roman"/>
          <w:sz w:val="24"/>
          <w:szCs w:val="22"/>
        </w:rPr>
        <w:t xml:space="preserve">).  </w:t>
      </w:r>
    </w:p>
    <w:p w:rsidR="005D3FBD" w:rsidP="00580EDC" w:rsidRDefault="005D3FBD" w14:paraId="6A03811E" w14:textId="77777777">
      <w:pPr>
        <w:tabs>
          <w:tab w:val="left" w:pos="440"/>
        </w:tabs>
        <w:spacing w:before="0"/>
        <w:rPr>
          <w:rFonts w:ascii="Times New Roman" w:hAnsi="Times New Roman"/>
          <w:sz w:val="24"/>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15"/>
        <w:gridCol w:w="4315"/>
      </w:tblGrid>
      <w:tr w:rsidR="005D3FBD" w:rsidTr="00D079E7" w14:paraId="2CD4E9C4" w14:textId="77777777">
        <w:tc>
          <w:tcPr>
            <w:tcW w:w="4315" w:type="dxa"/>
          </w:tcPr>
          <w:p w:rsidR="005D3FBD" w:rsidP="005D3FBD" w:rsidRDefault="00177E79" w14:paraId="0B111F60" w14:textId="074C9633">
            <w:pPr>
              <w:tabs>
                <w:tab w:val="left" w:pos="440"/>
              </w:tabs>
              <w:spacing w:before="0"/>
              <w:rPr>
                <w:rFonts w:ascii="Times New Roman" w:hAnsi="Times New Roman"/>
                <w:sz w:val="24"/>
              </w:rPr>
            </w:pPr>
            <w:r>
              <w:rPr>
                <w:rFonts w:ascii="Times New Roman" w:hAnsi="Times New Roman"/>
                <w:sz w:val="24"/>
              </w:rPr>
              <w:t>Methodology</w:t>
            </w:r>
            <w:r w:rsidR="005D3FBD">
              <w:rPr>
                <w:rFonts w:ascii="Times New Roman" w:hAnsi="Times New Roman"/>
                <w:sz w:val="24"/>
              </w:rPr>
              <w:t xml:space="preserve">: </w:t>
            </w:r>
          </w:p>
          <w:p w:rsidR="005D3FBD" w:rsidP="005D3FBD" w:rsidRDefault="00177E79" w14:paraId="2AED6651" w14:textId="3E82D1FB">
            <w:pPr>
              <w:tabs>
                <w:tab w:val="left" w:pos="440"/>
              </w:tabs>
              <w:spacing w:before="0"/>
              <w:rPr>
                <w:rFonts w:ascii="Times New Roman" w:hAnsi="Times New Roman"/>
                <w:sz w:val="24"/>
              </w:rPr>
            </w:pPr>
            <w:r>
              <w:rPr>
                <w:rFonts w:ascii="Times New Roman" w:hAnsi="Times New Roman"/>
                <w:sz w:val="24"/>
              </w:rPr>
              <w:t>David Cantor, Ph.D.</w:t>
            </w:r>
          </w:p>
          <w:p w:rsidR="005D3FBD" w:rsidP="005D3FBD" w:rsidRDefault="00177E79" w14:paraId="707AECFE" w14:textId="4C2FFC4E">
            <w:pPr>
              <w:tabs>
                <w:tab w:val="left" w:pos="440"/>
              </w:tabs>
              <w:spacing w:before="0"/>
              <w:rPr>
                <w:rFonts w:ascii="Times New Roman" w:hAnsi="Times New Roman"/>
                <w:sz w:val="24"/>
              </w:rPr>
            </w:pPr>
            <w:r>
              <w:rPr>
                <w:rFonts w:ascii="Times New Roman" w:hAnsi="Times New Roman"/>
                <w:sz w:val="24"/>
              </w:rPr>
              <w:lastRenderedPageBreak/>
              <w:t>Vice President, Associate Director</w:t>
            </w:r>
          </w:p>
          <w:p w:rsidR="005D3FBD" w:rsidP="005D3FBD" w:rsidRDefault="00177E79" w14:paraId="36E2B5A0" w14:textId="29D4C334">
            <w:pPr>
              <w:tabs>
                <w:tab w:val="left" w:pos="440"/>
              </w:tabs>
              <w:spacing w:before="0"/>
              <w:rPr>
                <w:rFonts w:ascii="Times New Roman" w:hAnsi="Times New Roman"/>
                <w:sz w:val="24"/>
              </w:rPr>
            </w:pPr>
            <w:r>
              <w:rPr>
                <w:rFonts w:ascii="Times New Roman" w:hAnsi="Times New Roman"/>
                <w:sz w:val="24"/>
              </w:rPr>
              <w:t>Westat</w:t>
            </w:r>
          </w:p>
          <w:p w:rsidR="00177E79" w:rsidP="005D3FBD" w:rsidRDefault="00177E79" w14:paraId="62517476" w14:textId="03C60C61">
            <w:pPr>
              <w:tabs>
                <w:tab w:val="left" w:pos="440"/>
              </w:tabs>
              <w:spacing w:before="0"/>
              <w:rPr>
                <w:rFonts w:ascii="Times New Roman" w:hAnsi="Times New Roman"/>
                <w:sz w:val="24"/>
              </w:rPr>
            </w:pPr>
            <w:r>
              <w:rPr>
                <w:rFonts w:ascii="Times New Roman" w:hAnsi="Times New Roman"/>
                <w:sz w:val="24"/>
              </w:rPr>
              <w:t>301-294-2080</w:t>
            </w:r>
          </w:p>
          <w:p w:rsidR="00177E79" w:rsidP="005D3FBD" w:rsidRDefault="00177E79" w14:paraId="5FD58EF9" w14:textId="224542F8">
            <w:pPr>
              <w:tabs>
                <w:tab w:val="left" w:pos="440"/>
              </w:tabs>
              <w:spacing w:before="0"/>
              <w:rPr>
                <w:rFonts w:ascii="Times New Roman" w:hAnsi="Times New Roman"/>
                <w:sz w:val="24"/>
              </w:rPr>
            </w:pPr>
            <w:r>
              <w:rPr>
                <w:rFonts w:ascii="Times New Roman" w:hAnsi="Times New Roman"/>
                <w:sz w:val="24"/>
              </w:rPr>
              <w:t>DavidCantor@westat.com</w:t>
            </w:r>
          </w:p>
          <w:p w:rsidR="005D3FBD" w:rsidP="00580EDC" w:rsidRDefault="005D3FBD" w14:paraId="0BF6BC02" w14:textId="77777777">
            <w:pPr>
              <w:tabs>
                <w:tab w:val="left" w:pos="440"/>
              </w:tabs>
              <w:spacing w:before="0"/>
              <w:rPr>
                <w:rFonts w:ascii="Times New Roman" w:hAnsi="Times New Roman"/>
                <w:sz w:val="24"/>
              </w:rPr>
            </w:pPr>
          </w:p>
        </w:tc>
        <w:tc>
          <w:tcPr>
            <w:tcW w:w="4315" w:type="dxa"/>
          </w:tcPr>
          <w:p w:rsidR="005D3FBD" w:rsidP="005D3FBD" w:rsidRDefault="005D3FBD" w14:paraId="016FCEED" w14:textId="77777777">
            <w:pPr>
              <w:tabs>
                <w:tab w:val="left" w:pos="440"/>
              </w:tabs>
              <w:spacing w:before="0"/>
              <w:rPr>
                <w:rFonts w:ascii="Times New Roman" w:hAnsi="Times New Roman"/>
                <w:sz w:val="24"/>
              </w:rPr>
            </w:pPr>
            <w:r>
              <w:rPr>
                <w:rFonts w:ascii="Times New Roman" w:hAnsi="Times New Roman"/>
                <w:sz w:val="24"/>
              </w:rPr>
              <w:lastRenderedPageBreak/>
              <w:t xml:space="preserve">Statistical Analysis: </w:t>
            </w:r>
          </w:p>
          <w:p w:rsidR="005D3FBD" w:rsidP="005D3FBD" w:rsidRDefault="00177E79" w14:paraId="3962034F" w14:textId="39631180">
            <w:pPr>
              <w:tabs>
                <w:tab w:val="left" w:pos="440"/>
              </w:tabs>
              <w:spacing w:before="0"/>
              <w:rPr>
                <w:rFonts w:ascii="Times New Roman" w:hAnsi="Times New Roman"/>
                <w:sz w:val="24"/>
              </w:rPr>
            </w:pPr>
            <w:r>
              <w:rPr>
                <w:rFonts w:ascii="Times New Roman" w:hAnsi="Times New Roman"/>
                <w:sz w:val="24"/>
              </w:rPr>
              <w:t>Jean Opsomer, Ph.D.</w:t>
            </w:r>
          </w:p>
          <w:p w:rsidR="00177E79" w:rsidP="00177E79" w:rsidRDefault="00177E79" w14:paraId="4CAB1BA0" w14:textId="77777777">
            <w:pPr>
              <w:tabs>
                <w:tab w:val="left" w:pos="440"/>
              </w:tabs>
              <w:spacing w:before="0"/>
              <w:rPr>
                <w:rFonts w:ascii="Times New Roman" w:hAnsi="Times New Roman"/>
                <w:sz w:val="24"/>
              </w:rPr>
            </w:pPr>
            <w:r>
              <w:rPr>
                <w:rFonts w:ascii="Times New Roman" w:hAnsi="Times New Roman"/>
                <w:sz w:val="24"/>
              </w:rPr>
              <w:lastRenderedPageBreak/>
              <w:t>Vice President, Associate Director</w:t>
            </w:r>
          </w:p>
          <w:p w:rsidR="005D3FBD" w:rsidP="005D3FBD" w:rsidRDefault="00177E79" w14:paraId="43D51CBC" w14:textId="1D1A598C">
            <w:pPr>
              <w:tabs>
                <w:tab w:val="left" w:pos="440"/>
              </w:tabs>
              <w:spacing w:before="0"/>
              <w:rPr>
                <w:rFonts w:ascii="Times New Roman" w:hAnsi="Times New Roman"/>
                <w:sz w:val="24"/>
              </w:rPr>
            </w:pPr>
            <w:r>
              <w:rPr>
                <w:rFonts w:ascii="Times New Roman" w:hAnsi="Times New Roman"/>
                <w:sz w:val="24"/>
              </w:rPr>
              <w:t>Westat</w:t>
            </w:r>
          </w:p>
          <w:p w:rsidR="005D3FBD" w:rsidP="00580EDC" w:rsidRDefault="00177E79" w14:paraId="10DAA2BA" w14:textId="77777777">
            <w:pPr>
              <w:tabs>
                <w:tab w:val="left" w:pos="440"/>
              </w:tabs>
              <w:spacing w:before="0"/>
              <w:rPr>
                <w:rFonts w:ascii="Times New Roman" w:hAnsi="Times New Roman"/>
                <w:sz w:val="24"/>
              </w:rPr>
            </w:pPr>
            <w:r>
              <w:rPr>
                <w:rFonts w:ascii="Times New Roman" w:hAnsi="Times New Roman"/>
                <w:sz w:val="24"/>
              </w:rPr>
              <w:t>301-738-3577</w:t>
            </w:r>
          </w:p>
          <w:p w:rsidR="00177E79" w:rsidP="00580EDC" w:rsidRDefault="00177E79" w14:paraId="1397423D" w14:textId="272783F5">
            <w:pPr>
              <w:tabs>
                <w:tab w:val="left" w:pos="440"/>
              </w:tabs>
              <w:spacing w:before="0"/>
              <w:rPr>
                <w:rFonts w:ascii="Times New Roman" w:hAnsi="Times New Roman"/>
                <w:sz w:val="24"/>
              </w:rPr>
            </w:pPr>
            <w:r>
              <w:rPr>
                <w:rFonts w:ascii="Times New Roman" w:hAnsi="Times New Roman"/>
                <w:sz w:val="24"/>
              </w:rPr>
              <w:t>JeanOpsomer@westat.com</w:t>
            </w:r>
          </w:p>
        </w:tc>
      </w:tr>
    </w:tbl>
    <w:p w:rsidR="006602F0" w:rsidP="00B05ACD" w:rsidRDefault="006602F0" w14:paraId="2C4407EF" w14:textId="77777777">
      <w:pPr>
        <w:spacing w:before="0"/>
        <w:rPr>
          <w:rFonts w:ascii="Times New Roman" w:hAnsi="Times New Roman"/>
          <w:b/>
          <w:sz w:val="24"/>
          <w:szCs w:val="22"/>
        </w:rPr>
      </w:pPr>
    </w:p>
    <w:p w:rsidR="006602F0" w:rsidRDefault="006602F0" w14:paraId="66AAA330" w14:textId="77777777">
      <w:pPr>
        <w:spacing w:before="0"/>
        <w:rPr>
          <w:rFonts w:ascii="Times New Roman" w:hAnsi="Times New Roman"/>
          <w:b/>
          <w:sz w:val="24"/>
          <w:szCs w:val="22"/>
        </w:rPr>
      </w:pPr>
      <w:r>
        <w:rPr>
          <w:rFonts w:ascii="Times New Roman" w:hAnsi="Times New Roman"/>
          <w:b/>
          <w:sz w:val="24"/>
          <w:szCs w:val="22"/>
        </w:rPr>
        <w:br w:type="page"/>
      </w:r>
    </w:p>
    <w:p w:rsidRPr="001B41D0" w:rsidR="001B41D0" w:rsidP="00B05ACD" w:rsidRDefault="001B41D0" w14:paraId="64B796D2" w14:textId="48F1287A">
      <w:pPr>
        <w:spacing w:before="0"/>
        <w:rPr>
          <w:rFonts w:ascii="Times New Roman" w:hAnsi="Times New Roman"/>
          <w:sz w:val="24"/>
          <w:szCs w:val="22"/>
        </w:rPr>
      </w:pPr>
      <w:r w:rsidRPr="001B41D0">
        <w:rPr>
          <w:rFonts w:ascii="Times New Roman" w:hAnsi="Times New Roman"/>
          <w:b/>
          <w:sz w:val="24"/>
          <w:szCs w:val="22"/>
        </w:rPr>
        <w:lastRenderedPageBreak/>
        <w:t xml:space="preserve">References </w:t>
      </w:r>
    </w:p>
    <w:p w:rsidRPr="001B41D0" w:rsidR="001B41D0" w:rsidP="007732DE" w:rsidRDefault="001B41D0" w14:paraId="440831AC" w14:textId="77777777">
      <w:pPr>
        <w:tabs>
          <w:tab w:val="left" w:pos="440"/>
        </w:tabs>
        <w:rPr>
          <w:rFonts w:ascii="Times New Roman" w:hAnsi="Times New Roman"/>
          <w:sz w:val="24"/>
          <w:szCs w:val="22"/>
        </w:rPr>
      </w:pPr>
      <w:proofErr w:type="spellStart"/>
      <w:r w:rsidRPr="001B41D0">
        <w:rPr>
          <w:rFonts w:ascii="Times New Roman" w:hAnsi="Times New Roman"/>
          <w:sz w:val="24"/>
          <w:szCs w:val="22"/>
        </w:rPr>
        <w:t>Dillman</w:t>
      </w:r>
      <w:proofErr w:type="spellEnd"/>
      <w:r w:rsidRPr="001B41D0">
        <w:rPr>
          <w:rFonts w:ascii="Times New Roman" w:hAnsi="Times New Roman"/>
          <w:sz w:val="24"/>
          <w:szCs w:val="22"/>
        </w:rPr>
        <w:t>, Don A., Smyth, Jolene D., Christian, Leah Melani. 2009. Internet, Mail and Mixed-Mode Surveys: The Tailored Design Method, 3rd edition. John Wiley: Hoboken, NJ.</w:t>
      </w:r>
    </w:p>
    <w:p w:rsidR="001B41D0" w:rsidP="007732DE" w:rsidRDefault="001B41D0" w14:paraId="3167BFFE" w14:textId="383AAC90">
      <w:pPr>
        <w:tabs>
          <w:tab w:val="left" w:pos="440"/>
        </w:tabs>
        <w:rPr>
          <w:rFonts w:ascii="Times New Roman" w:hAnsi="Times New Roman"/>
          <w:sz w:val="24"/>
          <w:szCs w:val="22"/>
        </w:rPr>
      </w:pPr>
      <w:r w:rsidRPr="001B41D0">
        <w:rPr>
          <w:rFonts w:ascii="Times New Roman" w:hAnsi="Times New Roman"/>
          <w:sz w:val="24"/>
          <w:szCs w:val="22"/>
        </w:rPr>
        <w:t>Fidell, S. et.al, The “Pilot Test of a Novel Method for Assessing Community Response to Low-Amplitude Sonic Booms” NASA/CR-2012-217767</w:t>
      </w:r>
    </w:p>
    <w:p w:rsidRPr="00163433" w:rsidR="00163433" w:rsidP="007732DE" w:rsidRDefault="00163433" w14:paraId="3DFAE282" w14:textId="0EF019F4">
      <w:pPr>
        <w:tabs>
          <w:tab w:val="left" w:pos="440"/>
        </w:tabs>
        <w:rPr>
          <w:rFonts w:ascii="Times New Roman" w:hAnsi="Times New Roman"/>
          <w:sz w:val="24"/>
          <w:szCs w:val="24"/>
        </w:rPr>
      </w:pPr>
      <w:proofErr w:type="spellStart"/>
      <w:r w:rsidRPr="00163433">
        <w:rPr>
          <w:rStyle w:val="normaltextrun"/>
          <w:rFonts w:ascii="Times New Roman" w:hAnsi="Times New Roman"/>
          <w:color w:val="000000"/>
          <w:sz w:val="24"/>
          <w:szCs w:val="24"/>
          <w:shd w:val="clear" w:color="auto" w:fill="FFFFFF"/>
        </w:rPr>
        <w:t>Fidell</w:t>
      </w:r>
      <w:proofErr w:type="spellEnd"/>
      <w:r w:rsidRPr="00163433">
        <w:rPr>
          <w:rStyle w:val="normaltextrun"/>
          <w:rFonts w:ascii="Times New Roman" w:hAnsi="Times New Roman"/>
          <w:color w:val="000000"/>
          <w:sz w:val="24"/>
          <w:szCs w:val="24"/>
          <w:shd w:val="clear" w:color="auto" w:fill="FFFFFF"/>
        </w:rPr>
        <w:t xml:space="preserve">, </w:t>
      </w:r>
      <w:proofErr w:type="spellStart"/>
      <w:r w:rsidRPr="00163433">
        <w:rPr>
          <w:rStyle w:val="normaltextrun"/>
          <w:rFonts w:ascii="Times New Roman" w:hAnsi="Times New Roman"/>
          <w:color w:val="000000"/>
          <w:sz w:val="24"/>
          <w:szCs w:val="24"/>
          <w:shd w:val="clear" w:color="auto" w:fill="FFFFFF"/>
        </w:rPr>
        <w:t>Horonjeff</w:t>
      </w:r>
      <w:proofErr w:type="spellEnd"/>
      <w:r w:rsidRPr="00163433">
        <w:rPr>
          <w:rStyle w:val="normaltextrun"/>
          <w:rFonts w:ascii="Times New Roman" w:hAnsi="Times New Roman"/>
          <w:color w:val="000000"/>
          <w:sz w:val="24"/>
          <w:szCs w:val="24"/>
          <w:shd w:val="clear" w:color="auto" w:fill="FFFFFF"/>
        </w:rPr>
        <w:t xml:space="preserve">, </w:t>
      </w:r>
      <w:proofErr w:type="spellStart"/>
      <w:r w:rsidRPr="00163433">
        <w:rPr>
          <w:rStyle w:val="normaltextrun"/>
          <w:rFonts w:ascii="Times New Roman" w:hAnsi="Times New Roman"/>
          <w:color w:val="000000"/>
          <w:sz w:val="24"/>
          <w:szCs w:val="24"/>
          <w:shd w:val="clear" w:color="auto" w:fill="FFFFFF"/>
        </w:rPr>
        <w:t>Tabachnick</w:t>
      </w:r>
      <w:proofErr w:type="spellEnd"/>
      <w:r w:rsidRPr="00163433">
        <w:rPr>
          <w:rStyle w:val="normaltextrun"/>
          <w:rFonts w:ascii="Times New Roman" w:hAnsi="Times New Roman"/>
          <w:color w:val="000000"/>
          <w:sz w:val="24"/>
          <w:szCs w:val="24"/>
          <w:shd w:val="clear" w:color="auto" w:fill="FFFFFF"/>
        </w:rPr>
        <w:t xml:space="preserve">, Clark 2020 “Independent Analyses of Galveston QSF18 Social Survey” NASA/CR–2020-500547 </w:t>
      </w:r>
      <w:hyperlink w:tgtFrame="_blank" w:history="1" r:id="rId11">
        <w:r w:rsidRPr="00163433">
          <w:rPr>
            <w:rStyle w:val="normaltextrun"/>
            <w:rFonts w:ascii="Times New Roman" w:hAnsi="Times New Roman"/>
            <w:color w:val="0070C0"/>
            <w:sz w:val="24"/>
            <w:szCs w:val="24"/>
            <w:u w:val="single"/>
            <w:shd w:val="clear" w:color="auto" w:fill="FFFFFF"/>
          </w:rPr>
          <w:t>https://ntrs.nasa.gov/citations/20205005471</w:t>
        </w:r>
      </w:hyperlink>
      <w:r w:rsidRPr="00163433">
        <w:rPr>
          <w:rStyle w:val="normaltextrun"/>
          <w:rFonts w:ascii="Times New Roman" w:hAnsi="Times New Roman"/>
          <w:color w:val="000000"/>
          <w:sz w:val="24"/>
          <w:szCs w:val="24"/>
          <w:shd w:val="clear" w:color="auto" w:fill="FFFFFF"/>
        </w:rPr>
        <w:t> </w:t>
      </w:r>
      <w:r w:rsidRPr="00163433">
        <w:rPr>
          <w:rStyle w:val="eop"/>
          <w:rFonts w:ascii="Times New Roman" w:hAnsi="Times New Roman"/>
          <w:color w:val="000000"/>
          <w:sz w:val="24"/>
          <w:szCs w:val="24"/>
          <w:shd w:val="clear" w:color="auto" w:fill="FFFFFF"/>
        </w:rPr>
        <w:t> </w:t>
      </w:r>
    </w:p>
    <w:p w:rsidRPr="001B41D0" w:rsidR="001B41D0" w:rsidP="007732DE" w:rsidRDefault="001B41D0" w14:paraId="0B4AD8B0" w14:textId="46AB05F9">
      <w:pPr>
        <w:tabs>
          <w:tab w:val="left" w:pos="440"/>
        </w:tabs>
        <w:rPr>
          <w:rFonts w:ascii="Times New Roman" w:hAnsi="Times New Roman"/>
          <w:sz w:val="24"/>
          <w:szCs w:val="22"/>
        </w:rPr>
      </w:pPr>
      <w:proofErr w:type="spellStart"/>
      <w:r w:rsidRPr="00B1796F">
        <w:rPr>
          <w:rFonts w:ascii="Times New Roman" w:hAnsi="Times New Roman"/>
          <w:sz w:val="24"/>
          <w:szCs w:val="22"/>
        </w:rPr>
        <w:t>Hodgdon</w:t>
      </w:r>
      <w:proofErr w:type="spellEnd"/>
      <w:r w:rsidRPr="00B1796F">
        <w:rPr>
          <w:rFonts w:ascii="Times New Roman" w:hAnsi="Times New Roman"/>
          <w:sz w:val="24"/>
          <w:szCs w:val="22"/>
        </w:rPr>
        <w:t xml:space="preserve">, Kathleen K.; Page, Juliet. </w:t>
      </w:r>
      <w:r w:rsidRPr="001B41D0">
        <w:rPr>
          <w:rFonts w:ascii="Times New Roman" w:hAnsi="Times New Roman"/>
          <w:sz w:val="24"/>
          <w:szCs w:val="22"/>
        </w:rPr>
        <w:t>“Low amplitude sonic boom noise exposure and social survey design.” The Journal of the Acoustical Society of America vol. 133 issue 5 May 2013. p. 3368-3368.  DOI: 10.1121/1.4805768. ISSN: 0001-4966.</w:t>
      </w:r>
    </w:p>
    <w:p w:rsidR="055B9745" w:rsidP="055B9745" w:rsidRDefault="055B9745" w14:paraId="2D2AB4EB" w14:textId="36799838">
      <w:pPr>
        <w:tabs>
          <w:tab w:val="left" w:pos="440"/>
        </w:tabs>
        <w:rPr>
          <w:rFonts w:ascii="Times New Roman" w:hAnsi="Times New Roman"/>
          <w:color w:val="252423"/>
          <w:sz w:val="24"/>
          <w:szCs w:val="24"/>
        </w:rPr>
      </w:pPr>
      <w:r w:rsidRPr="055B9745">
        <w:rPr>
          <w:rFonts w:ascii="Times New Roman" w:hAnsi="Times New Roman"/>
          <w:color w:val="252423"/>
          <w:sz w:val="24"/>
          <w:szCs w:val="24"/>
        </w:rPr>
        <w:t xml:space="preserve">Miller, N., Czech, J., Hellauer, K., Nicholas, B., </w:t>
      </w:r>
      <w:proofErr w:type="spellStart"/>
      <w:r w:rsidRPr="055B9745">
        <w:rPr>
          <w:rFonts w:ascii="Times New Roman" w:hAnsi="Times New Roman"/>
          <w:color w:val="252423"/>
          <w:sz w:val="24"/>
          <w:szCs w:val="24"/>
        </w:rPr>
        <w:t>Lohr</w:t>
      </w:r>
      <w:proofErr w:type="spellEnd"/>
      <w:r w:rsidRPr="055B9745">
        <w:rPr>
          <w:rFonts w:ascii="Times New Roman" w:hAnsi="Times New Roman"/>
          <w:color w:val="252423"/>
          <w:sz w:val="24"/>
          <w:szCs w:val="24"/>
        </w:rPr>
        <w:t xml:space="preserve">, S., Jodts, E., </w:t>
      </w:r>
      <w:proofErr w:type="spellStart"/>
      <w:r w:rsidRPr="055B9745">
        <w:rPr>
          <w:rFonts w:ascii="Times New Roman" w:hAnsi="Times New Roman"/>
          <w:color w:val="252423"/>
          <w:sz w:val="24"/>
          <w:szCs w:val="24"/>
        </w:rPr>
        <w:t>Broene</w:t>
      </w:r>
      <w:proofErr w:type="spellEnd"/>
      <w:r w:rsidRPr="055B9745">
        <w:rPr>
          <w:rFonts w:ascii="Times New Roman" w:hAnsi="Times New Roman"/>
          <w:color w:val="252423"/>
          <w:sz w:val="24"/>
          <w:szCs w:val="24"/>
        </w:rPr>
        <w:t xml:space="preserve">, P., Morganstein, D., Kali, J., Zhu, X., Cantor, D., Hudnall, J., &amp; Melia, K. (2021). </w:t>
      </w:r>
      <w:r w:rsidRPr="055B9745">
        <w:rPr>
          <w:rFonts w:ascii="Times New Roman" w:hAnsi="Times New Roman"/>
          <w:i/>
          <w:iCs/>
          <w:color w:val="252423"/>
          <w:sz w:val="24"/>
          <w:szCs w:val="24"/>
        </w:rPr>
        <w:t>Analysis of the Neighborhood Environmental Survey.</w:t>
      </w:r>
      <w:r w:rsidRPr="055B9745">
        <w:rPr>
          <w:rFonts w:ascii="Times New Roman" w:hAnsi="Times New Roman"/>
          <w:color w:val="252423"/>
          <w:sz w:val="24"/>
          <w:szCs w:val="24"/>
        </w:rPr>
        <w:t xml:space="preserve"> For Federal Aviation Administration.  </w:t>
      </w:r>
      <w:hyperlink r:id="rId12">
        <w:r w:rsidRPr="055B9745">
          <w:rPr>
            <w:rStyle w:val="Hyperlink"/>
            <w:rFonts w:ascii="Times New Roman" w:hAnsi="Times New Roman"/>
            <w:sz w:val="24"/>
            <w:szCs w:val="24"/>
          </w:rPr>
          <w:t>https://www.airporttech.tc.faa.gov/Products/Airport-Safety-Papers-Publications/Airport-Safety-Detail/ArtMID/3682/ArticleID/2845/Analysis-of-NES</w:t>
        </w:r>
      </w:hyperlink>
      <w:r w:rsidRPr="055B9745">
        <w:rPr>
          <w:rFonts w:ascii="Times New Roman" w:hAnsi="Times New Roman"/>
          <w:color w:val="252423"/>
          <w:sz w:val="24"/>
          <w:szCs w:val="24"/>
        </w:rPr>
        <w:t>.</w:t>
      </w:r>
    </w:p>
    <w:p w:rsidR="005F7F1C" w:rsidP="007732DE" w:rsidRDefault="005F7F1C" w14:paraId="1F254463" w14:textId="3C729684">
      <w:pPr>
        <w:tabs>
          <w:tab w:val="left" w:pos="440"/>
        </w:tabs>
        <w:rPr>
          <w:rFonts w:ascii="Times New Roman" w:hAnsi="Times New Roman"/>
          <w:sz w:val="24"/>
          <w:szCs w:val="22"/>
        </w:rPr>
      </w:pPr>
      <w:r w:rsidRPr="005F7F1C">
        <w:rPr>
          <w:rFonts w:ascii="Times New Roman" w:hAnsi="Times New Roman"/>
          <w:sz w:val="24"/>
          <w:szCs w:val="22"/>
        </w:rPr>
        <w:t xml:space="preserve">Page, J.A, Downs, R. 2017.  “Sonic boom weather analysis of the F-18 low boom dive maneuver”, J. </w:t>
      </w:r>
      <w:proofErr w:type="spellStart"/>
      <w:r w:rsidRPr="005F7F1C">
        <w:rPr>
          <w:rFonts w:ascii="Times New Roman" w:hAnsi="Times New Roman"/>
          <w:sz w:val="24"/>
          <w:szCs w:val="22"/>
        </w:rPr>
        <w:t>Acoust</w:t>
      </w:r>
      <w:proofErr w:type="spellEnd"/>
      <w:r w:rsidRPr="005F7F1C">
        <w:rPr>
          <w:rFonts w:ascii="Times New Roman" w:hAnsi="Times New Roman"/>
          <w:sz w:val="24"/>
          <w:szCs w:val="22"/>
        </w:rPr>
        <w:t xml:space="preserve"> Soc. Am, Paper 2pNSb8, 173rd Meeting of the Acoustic Society of America, June.</w:t>
      </w:r>
    </w:p>
    <w:p w:rsidRPr="00163433" w:rsidR="00163433" w:rsidP="007732DE" w:rsidRDefault="00163433" w14:paraId="672E0DB6" w14:textId="3492C27D">
      <w:pPr>
        <w:tabs>
          <w:tab w:val="left" w:pos="440"/>
        </w:tabs>
        <w:rPr>
          <w:rFonts w:ascii="Times New Roman" w:hAnsi="Times New Roman"/>
          <w:sz w:val="24"/>
          <w:szCs w:val="24"/>
        </w:rPr>
      </w:pPr>
      <w:r w:rsidRPr="00163433">
        <w:rPr>
          <w:rStyle w:val="normaltextrun"/>
          <w:rFonts w:ascii="Times New Roman" w:hAnsi="Times New Roman"/>
          <w:color w:val="000000"/>
          <w:sz w:val="24"/>
          <w:szCs w:val="24"/>
          <w:shd w:val="clear" w:color="auto" w:fill="FFFFFF"/>
        </w:rPr>
        <w:t xml:space="preserve">Page, J., </w:t>
      </w:r>
      <w:proofErr w:type="spellStart"/>
      <w:r w:rsidRPr="00163433">
        <w:rPr>
          <w:rStyle w:val="normaltextrun"/>
          <w:rFonts w:ascii="Times New Roman" w:hAnsi="Times New Roman"/>
          <w:color w:val="000000"/>
          <w:sz w:val="24"/>
          <w:szCs w:val="24"/>
          <w:shd w:val="clear" w:color="auto" w:fill="FFFFFF"/>
        </w:rPr>
        <w:t>Hodgdon</w:t>
      </w:r>
      <w:proofErr w:type="spellEnd"/>
      <w:r w:rsidRPr="00163433">
        <w:rPr>
          <w:rStyle w:val="normaltextrun"/>
          <w:rFonts w:ascii="Times New Roman" w:hAnsi="Times New Roman"/>
          <w:color w:val="000000"/>
          <w:sz w:val="24"/>
          <w:szCs w:val="24"/>
          <w:shd w:val="clear" w:color="auto" w:fill="FFFFFF"/>
        </w:rPr>
        <w:t xml:space="preserve">, K., </w:t>
      </w:r>
      <w:proofErr w:type="spellStart"/>
      <w:r w:rsidRPr="00163433">
        <w:rPr>
          <w:rStyle w:val="normaltextrun"/>
          <w:rFonts w:ascii="Times New Roman" w:hAnsi="Times New Roman"/>
          <w:color w:val="000000"/>
          <w:sz w:val="24"/>
          <w:szCs w:val="24"/>
          <w:shd w:val="clear" w:color="auto" w:fill="FFFFFF"/>
        </w:rPr>
        <w:t>Hunte</w:t>
      </w:r>
      <w:proofErr w:type="spellEnd"/>
      <w:r w:rsidRPr="00163433">
        <w:rPr>
          <w:rStyle w:val="normaltextrun"/>
          <w:rFonts w:ascii="Times New Roman" w:hAnsi="Times New Roman"/>
          <w:color w:val="000000"/>
          <w:sz w:val="24"/>
          <w:szCs w:val="24"/>
          <w:shd w:val="clear" w:color="auto" w:fill="FFFFFF"/>
        </w:rPr>
        <w:t xml:space="preserve">, R., Davis, D., </w:t>
      </w:r>
      <w:proofErr w:type="spellStart"/>
      <w:r w:rsidRPr="00163433">
        <w:rPr>
          <w:rStyle w:val="normaltextrun"/>
          <w:rFonts w:ascii="Times New Roman" w:hAnsi="Times New Roman"/>
          <w:color w:val="000000"/>
          <w:sz w:val="24"/>
          <w:szCs w:val="24"/>
          <w:shd w:val="clear" w:color="auto" w:fill="FFFFFF"/>
        </w:rPr>
        <w:t>Gaugler</w:t>
      </w:r>
      <w:proofErr w:type="spellEnd"/>
      <w:r w:rsidRPr="00163433">
        <w:rPr>
          <w:rStyle w:val="normaltextrun"/>
          <w:rFonts w:ascii="Times New Roman" w:hAnsi="Times New Roman"/>
          <w:color w:val="000000"/>
          <w:sz w:val="24"/>
          <w:szCs w:val="24"/>
          <w:shd w:val="clear" w:color="auto" w:fill="FFFFFF"/>
        </w:rPr>
        <w:t xml:space="preserve">, T., Downs, R., Cowart, R., </w:t>
      </w:r>
      <w:proofErr w:type="spellStart"/>
      <w:r w:rsidRPr="00163433">
        <w:rPr>
          <w:rStyle w:val="normaltextrun"/>
          <w:rFonts w:ascii="Times New Roman" w:hAnsi="Times New Roman"/>
          <w:color w:val="000000"/>
          <w:sz w:val="24"/>
          <w:szCs w:val="24"/>
          <w:shd w:val="clear" w:color="auto" w:fill="FFFFFF"/>
        </w:rPr>
        <w:t>Maglieri</w:t>
      </w:r>
      <w:proofErr w:type="spellEnd"/>
      <w:r w:rsidRPr="00163433">
        <w:rPr>
          <w:rStyle w:val="normaltextrun"/>
          <w:rFonts w:ascii="Times New Roman" w:hAnsi="Times New Roman"/>
          <w:color w:val="000000"/>
          <w:sz w:val="24"/>
          <w:szCs w:val="24"/>
          <w:shd w:val="clear" w:color="auto" w:fill="FFFFFF"/>
        </w:rPr>
        <w:t xml:space="preserve">, D., Hobbs, C., Baker, G., </w:t>
      </w:r>
      <w:proofErr w:type="spellStart"/>
      <w:r w:rsidRPr="00163433">
        <w:rPr>
          <w:rStyle w:val="normaltextrun"/>
          <w:rFonts w:ascii="Times New Roman" w:hAnsi="Times New Roman"/>
          <w:color w:val="000000"/>
          <w:sz w:val="24"/>
          <w:szCs w:val="24"/>
          <w:shd w:val="clear" w:color="auto" w:fill="FFFFFF"/>
        </w:rPr>
        <w:t>Collmar</w:t>
      </w:r>
      <w:proofErr w:type="spellEnd"/>
      <w:r w:rsidRPr="00163433">
        <w:rPr>
          <w:rStyle w:val="normaltextrun"/>
          <w:rFonts w:ascii="Times New Roman" w:hAnsi="Times New Roman"/>
          <w:color w:val="000000"/>
          <w:sz w:val="24"/>
          <w:szCs w:val="24"/>
          <w:shd w:val="clear" w:color="auto" w:fill="FFFFFF"/>
        </w:rPr>
        <w:t xml:space="preserve">, M., Bradley, K., </w:t>
      </w:r>
      <w:proofErr w:type="spellStart"/>
      <w:r w:rsidRPr="00163433">
        <w:rPr>
          <w:rStyle w:val="normaltextrun"/>
          <w:rFonts w:ascii="Times New Roman" w:hAnsi="Times New Roman"/>
          <w:color w:val="000000"/>
          <w:sz w:val="24"/>
          <w:szCs w:val="24"/>
          <w:shd w:val="clear" w:color="auto" w:fill="FFFFFF"/>
        </w:rPr>
        <w:t>Sonak</w:t>
      </w:r>
      <w:proofErr w:type="spellEnd"/>
      <w:r w:rsidRPr="00163433">
        <w:rPr>
          <w:rStyle w:val="normaltextrun"/>
          <w:rFonts w:ascii="Times New Roman" w:hAnsi="Times New Roman"/>
          <w:color w:val="000000"/>
          <w:sz w:val="24"/>
          <w:szCs w:val="24"/>
          <w:shd w:val="clear" w:color="auto" w:fill="FFFFFF"/>
        </w:rPr>
        <w:t xml:space="preserve">, B., </w:t>
      </w:r>
      <w:proofErr w:type="spellStart"/>
      <w:r w:rsidRPr="00163433">
        <w:rPr>
          <w:rStyle w:val="normaltextrun"/>
          <w:rFonts w:ascii="Times New Roman" w:hAnsi="Times New Roman"/>
          <w:color w:val="000000"/>
          <w:sz w:val="24"/>
          <w:szCs w:val="24"/>
          <w:shd w:val="clear" w:color="auto" w:fill="FFFFFF"/>
        </w:rPr>
        <w:t>Crom</w:t>
      </w:r>
      <w:proofErr w:type="spellEnd"/>
      <w:r w:rsidRPr="00163433">
        <w:rPr>
          <w:rStyle w:val="normaltextrun"/>
          <w:rFonts w:ascii="Times New Roman" w:hAnsi="Times New Roman"/>
          <w:color w:val="000000"/>
          <w:sz w:val="24"/>
          <w:szCs w:val="24"/>
          <w:shd w:val="clear" w:color="auto" w:fill="FFFFFF"/>
        </w:rPr>
        <w:t xml:space="preserve">, D. &amp; Cutler, C. (2020). </w:t>
      </w:r>
      <w:r w:rsidRPr="00163433">
        <w:rPr>
          <w:rStyle w:val="normaltextrun"/>
          <w:rFonts w:ascii="Times New Roman" w:hAnsi="Times New Roman"/>
          <w:i/>
          <w:iCs/>
          <w:color w:val="000000"/>
          <w:sz w:val="24"/>
          <w:szCs w:val="24"/>
          <w:shd w:val="clear" w:color="auto" w:fill="FFFFFF"/>
        </w:rPr>
        <w:t>Quiet Supersonic Flights 2018 (QSF18) Test: Galveston, Texas Risk Reduction for Future Community Testing with a Low-Boom Flight Demonstration Vehicle</w:t>
      </w:r>
      <w:r w:rsidRPr="00163433">
        <w:rPr>
          <w:rStyle w:val="normaltextrun"/>
          <w:rFonts w:ascii="Times New Roman" w:hAnsi="Times New Roman"/>
          <w:color w:val="000000"/>
          <w:sz w:val="24"/>
          <w:szCs w:val="24"/>
          <w:shd w:val="clear" w:color="auto" w:fill="FFFFFF"/>
        </w:rPr>
        <w:t xml:space="preserve">. (Contractor Report No. CR–2020-220589). National Aeronautics and Space Administration </w:t>
      </w:r>
      <w:hyperlink w:tgtFrame="_blank" w:history="1" r:id="rId13">
        <w:r w:rsidRPr="00163433">
          <w:rPr>
            <w:rStyle w:val="normaltextrun"/>
            <w:rFonts w:ascii="Times New Roman" w:hAnsi="Times New Roman"/>
            <w:color w:val="0070C0"/>
            <w:sz w:val="24"/>
            <w:szCs w:val="24"/>
            <w:u w:val="single"/>
            <w:shd w:val="clear" w:color="auto" w:fill="FFFFFF"/>
          </w:rPr>
          <w:t>https://ntrs.nasa.gov/citations/20200003223</w:t>
        </w:r>
      </w:hyperlink>
      <w:r w:rsidRPr="00163433">
        <w:rPr>
          <w:rStyle w:val="normaltextrun"/>
          <w:rFonts w:ascii="Times New Roman" w:hAnsi="Times New Roman"/>
          <w:color w:val="000000"/>
          <w:sz w:val="24"/>
          <w:szCs w:val="24"/>
          <w:shd w:val="clear" w:color="auto" w:fill="FFFFFF"/>
        </w:rPr>
        <w:t xml:space="preserve">. Appendices/Volume 2 available at </w:t>
      </w:r>
      <w:hyperlink w:tgtFrame="_blank" w:history="1" r:id="rId14">
        <w:r w:rsidRPr="00163433">
          <w:rPr>
            <w:rStyle w:val="normaltextrun"/>
            <w:rFonts w:ascii="Times New Roman" w:hAnsi="Times New Roman"/>
            <w:color w:val="0070C0"/>
            <w:sz w:val="24"/>
            <w:szCs w:val="24"/>
            <w:u w:val="single"/>
            <w:shd w:val="clear" w:color="auto" w:fill="FFFFFF"/>
          </w:rPr>
          <w:t>https://ntrs.nasa.gov/citations/20200003224</w:t>
        </w:r>
      </w:hyperlink>
      <w:r w:rsidRPr="00163433">
        <w:rPr>
          <w:rStyle w:val="normaltextrun"/>
          <w:rFonts w:ascii="Times New Roman" w:hAnsi="Times New Roman"/>
          <w:color w:val="000000"/>
          <w:sz w:val="24"/>
          <w:szCs w:val="24"/>
          <w:shd w:val="clear" w:color="auto" w:fill="FFFFFF"/>
        </w:rPr>
        <w:t> </w:t>
      </w:r>
      <w:r w:rsidRPr="00163433">
        <w:rPr>
          <w:rStyle w:val="eop"/>
          <w:rFonts w:ascii="Times New Roman" w:hAnsi="Times New Roman"/>
          <w:color w:val="000000"/>
          <w:sz w:val="24"/>
          <w:szCs w:val="24"/>
          <w:shd w:val="clear" w:color="auto" w:fill="FFFFFF"/>
        </w:rPr>
        <w:t> </w:t>
      </w:r>
    </w:p>
    <w:p w:rsidRPr="001B41D0" w:rsidR="001B41D0" w:rsidP="007732DE" w:rsidRDefault="001B41D0" w14:paraId="49A563D2" w14:textId="2591D892">
      <w:pPr>
        <w:tabs>
          <w:tab w:val="left" w:pos="440"/>
        </w:tabs>
        <w:rPr>
          <w:rFonts w:ascii="Times New Roman" w:hAnsi="Times New Roman"/>
          <w:sz w:val="24"/>
          <w:szCs w:val="22"/>
        </w:rPr>
      </w:pPr>
      <w:r w:rsidRPr="001B41D0">
        <w:rPr>
          <w:rFonts w:ascii="Times New Roman" w:hAnsi="Times New Roman"/>
          <w:sz w:val="24"/>
          <w:szCs w:val="22"/>
        </w:rPr>
        <w:t xml:space="preserve">Page, J.A., Hobbs, C.M., Plotkin, K.J., 2013.  “Waveform and </w:t>
      </w:r>
      <w:proofErr w:type="spellStart"/>
      <w:r w:rsidRPr="001B41D0">
        <w:rPr>
          <w:rFonts w:ascii="Times New Roman" w:hAnsi="Times New Roman"/>
          <w:sz w:val="24"/>
          <w:szCs w:val="22"/>
        </w:rPr>
        <w:t>Sonicboom</w:t>
      </w:r>
      <w:proofErr w:type="spellEnd"/>
      <w:r w:rsidRPr="001B41D0">
        <w:rPr>
          <w:rFonts w:ascii="Times New Roman" w:hAnsi="Times New Roman"/>
          <w:sz w:val="24"/>
          <w:szCs w:val="22"/>
        </w:rPr>
        <w:t xml:space="preserve"> Perception and Response (WSPR) Program:  Low Amplitude Sonic Booms over Small and Large Communities”, Proceedings of Meetings on Acoustics, Vol. 19, 040042.</w:t>
      </w:r>
    </w:p>
    <w:p w:rsidR="001B41D0" w:rsidP="007732DE" w:rsidRDefault="001B41D0" w14:paraId="68F34707" w14:textId="648B8736">
      <w:pPr>
        <w:tabs>
          <w:tab w:val="left" w:pos="440"/>
        </w:tabs>
        <w:rPr>
          <w:rFonts w:ascii="Times New Roman" w:hAnsi="Times New Roman"/>
          <w:sz w:val="24"/>
          <w:szCs w:val="22"/>
        </w:rPr>
      </w:pPr>
      <w:r w:rsidRPr="001B41D0">
        <w:rPr>
          <w:rFonts w:ascii="Times New Roman" w:hAnsi="Times New Roman"/>
          <w:sz w:val="24"/>
          <w:szCs w:val="22"/>
        </w:rPr>
        <w:t xml:space="preserve">Page, J.A., </w:t>
      </w:r>
      <w:proofErr w:type="spellStart"/>
      <w:r w:rsidRPr="001B41D0">
        <w:rPr>
          <w:rFonts w:ascii="Times New Roman" w:hAnsi="Times New Roman"/>
          <w:sz w:val="24"/>
          <w:szCs w:val="22"/>
        </w:rPr>
        <w:t>Hodgdon</w:t>
      </w:r>
      <w:proofErr w:type="spellEnd"/>
      <w:r w:rsidRPr="001B41D0">
        <w:rPr>
          <w:rFonts w:ascii="Times New Roman" w:hAnsi="Times New Roman"/>
          <w:sz w:val="24"/>
          <w:szCs w:val="22"/>
        </w:rPr>
        <w:t xml:space="preserve">, K.K., Hobbs, C., Wilmer, C., </w:t>
      </w:r>
      <w:proofErr w:type="spellStart"/>
      <w:r w:rsidRPr="001B41D0">
        <w:rPr>
          <w:rFonts w:ascii="Times New Roman" w:hAnsi="Times New Roman"/>
          <w:sz w:val="24"/>
          <w:szCs w:val="22"/>
        </w:rPr>
        <w:t>Krecker</w:t>
      </w:r>
      <w:proofErr w:type="spellEnd"/>
      <w:r w:rsidRPr="001B41D0">
        <w:rPr>
          <w:rFonts w:ascii="Times New Roman" w:hAnsi="Times New Roman"/>
          <w:sz w:val="24"/>
          <w:szCs w:val="22"/>
        </w:rPr>
        <w:t xml:space="preserve">, P., Cowart, R., </w:t>
      </w:r>
      <w:proofErr w:type="spellStart"/>
      <w:r w:rsidRPr="001B41D0">
        <w:rPr>
          <w:rFonts w:ascii="Times New Roman" w:hAnsi="Times New Roman"/>
          <w:sz w:val="24"/>
          <w:szCs w:val="22"/>
        </w:rPr>
        <w:t>Gaugler</w:t>
      </w:r>
      <w:proofErr w:type="spellEnd"/>
      <w:r w:rsidRPr="001B41D0">
        <w:rPr>
          <w:rFonts w:ascii="Times New Roman" w:hAnsi="Times New Roman"/>
          <w:sz w:val="24"/>
          <w:szCs w:val="22"/>
        </w:rPr>
        <w:t>, T., Shumway, D., Rosenberger, J., Phillips, D. (2012). “Waveforms and Sonic Boom Perception and Response (WSPR) Program Final Report, Low-Boom Community Response Program Pilot Test Design, Execution and Analysis,” Wyle Research Report WR 12-15, NASA Contractor Report-2014-218180, March 2014.</w:t>
      </w:r>
    </w:p>
    <w:p w:rsidR="004E5227" w:rsidP="005B4F07" w:rsidRDefault="00163433" w14:paraId="4C5D5FF1" w14:textId="3322A180">
      <w:pPr>
        <w:tabs>
          <w:tab w:val="left" w:pos="440"/>
        </w:tabs>
        <w:rPr>
          <w:rFonts w:ascii="Times New Roman" w:hAnsi="Times New Roman"/>
          <w:sz w:val="24"/>
        </w:rPr>
      </w:pPr>
      <w:r w:rsidRPr="00163433">
        <w:rPr>
          <w:rStyle w:val="normaltextrun"/>
          <w:rFonts w:ascii="Times New Roman" w:hAnsi="Times New Roman"/>
          <w:color w:val="000000"/>
          <w:sz w:val="24"/>
          <w:szCs w:val="24"/>
          <w:shd w:val="clear" w:color="auto" w:fill="FFFFFF"/>
        </w:rPr>
        <w:t xml:space="preserve">Rizzo, L., Brick, J., &amp; Park, I. (2004). A Minimally Intrusive Method for Sampling Persons in Random Digit Dial Surveys. </w:t>
      </w:r>
      <w:r w:rsidRPr="00163433">
        <w:rPr>
          <w:rStyle w:val="normaltextrun"/>
          <w:rFonts w:ascii="Times New Roman" w:hAnsi="Times New Roman"/>
          <w:i/>
          <w:iCs/>
          <w:color w:val="000000"/>
          <w:sz w:val="24"/>
          <w:szCs w:val="24"/>
          <w:shd w:val="clear" w:color="auto" w:fill="FFFFFF"/>
        </w:rPr>
        <w:t>Public Opinion Quarterly</w:t>
      </w:r>
      <w:r w:rsidRPr="00163433">
        <w:rPr>
          <w:rStyle w:val="normaltextrun"/>
          <w:rFonts w:ascii="Times New Roman" w:hAnsi="Times New Roman"/>
          <w:color w:val="000000"/>
          <w:sz w:val="24"/>
          <w:szCs w:val="24"/>
          <w:shd w:val="clear" w:color="auto" w:fill="FFFFFF"/>
        </w:rPr>
        <w:t xml:space="preserve">, </w:t>
      </w:r>
      <w:r w:rsidRPr="00163433">
        <w:rPr>
          <w:rStyle w:val="normaltextrun"/>
          <w:rFonts w:ascii="Times New Roman" w:hAnsi="Times New Roman"/>
          <w:i/>
          <w:iCs/>
          <w:color w:val="000000"/>
          <w:sz w:val="24"/>
          <w:szCs w:val="24"/>
          <w:shd w:val="clear" w:color="auto" w:fill="FFFFFF"/>
        </w:rPr>
        <w:t>68</w:t>
      </w:r>
      <w:r w:rsidRPr="00163433">
        <w:rPr>
          <w:rStyle w:val="normaltextrun"/>
          <w:rFonts w:ascii="Times New Roman" w:hAnsi="Times New Roman"/>
          <w:color w:val="000000"/>
          <w:sz w:val="24"/>
          <w:szCs w:val="24"/>
          <w:shd w:val="clear" w:color="auto" w:fill="FFFFFF"/>
        </w:rPr>
        <w:t>(2), 267–274.</w:t>
      </w:r>
      <w:r w:rsidRPr="00163433">
        <w:rPr>
          <w:rStyle w:val="eop"/>
          <w:rFonts w:ascii="Times New Roman" w:hAnsi="Times New Roman"/>
          <w:color w:val="000000"/>
          <w:sz w:val="24"/>
          <w:szCs w:val="24"/>
          <w:shd w:val="clear" w:color="auto" w:fill="FFFFFF"/>
        </w:rPr>
        <w:t> </w:t>
      </w:r>
    </w:p>
    <w:sectPr w:rsidR="004E5227" w:rsidSect="00625E10">
      <w:headerReference w:type="default" r:id="rId15"/>
      <w:footerReference w:type="even" r:id="rId16"/>
      <w:footerReference w:type="default" r:id="rId17"/>
      <w:pgSz w:w="12240" w:h="15840" w:code="1"/>
      <w:pgMar w:top="1440" w:right="1800" w:bottom="1440" w:left="180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BDFE5" w14:textId="77777777" w:rsidR="00442B06" w:rsidRDefault="00442B06">
      <w:r>
        <w:separator/>
      </w:r>
    </w:p>
  </w:endnote>
  <w:endnote w:type="continuationSeparator" w:id="0">
    <w:p w14:paraId="1F96771B" w14:textId="77777777" w:rsidR="00442B06" w:rsidRDefault="00442B06">
      <w:r>
        <w:continuationSeparator/>
      </w:r>
    </w:p>
  </w:endnote>
  <w:endnote w:type="continuationNotice" w:id="1">
    <w:p w14:paraId="1A0C829B" w14:textId="77777777" w:rsidR="00442B06" w:rsidRDefault="00442B0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oppl-Laudatio Regular">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B8E37" w14:textId="77777777" w:rsidR="003148FC" w:rsidRDefault="003148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BB8D9A" w14:textId="77777777" w:rsidR="003148FC" w:rsidRDefault="00314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734057"/>
      <w:docPartObj>
        <w:docPartGallery w:val="Page Numbers (Bottom of Page)"/>
        <w:docPartUnique/>
      </w:docPartObj>
    </w:sdtPr>
    <w:sdtEndPr>
      <w:rPr>
        <w:noProof/>
      </w:rPr>
    </w:sdtEndPr>
    <w:sdtContent>
      <w:p w14:paraId="5B3D4CE1" w14:textId="3D0979DE" w:rsidR="003148FC" w:rsidRDefault="003148FC">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D7D16">
          <w:rPr>
            <w:noProof/>
          </w:rPr>
          <w:t>7</w:t>
        </w:r>
        <w:r>
          <w:rPr>
            <w:noProof/>
            <w:color w:val="2B579A"/>
            <w:shd w:val="clear" w:color="auto" w:fill="E6E6E6"/>
          </w:rPr>
          <w:fldChar w:fldCharType="end"/>
        </w:r>
      </w:p>
    </w:sdtContent>
  </w:sdt>
  <w:p w14:paraId="1C8AF984" w14:textId="77777777" w:rsidR="003148FC" w:rsidRDefault="00314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2D488" w14:textId="77777777" w:rsidR="00442B06" w:rsidRDefault="00442B06">
      <w:r>
        <w:separator/>
      </w:r>
    </w:p>
  </w:footnote>
  <w:footnote w:type="continuationSeparator" w:id="0">
    <w:p w14:paraId="02A414F1" w14:textId="77777777" w:rsidR="00442B06" w:rsidRDefault="00442B06">
      <w:r>
        <w:continuationSeparator/>
      </w:r>
    </w:p>
  </w:footnote>
  <w:footnote w:type="continuationNotice" w:id="1">
    <w:p w14:paraId="5EC8E3CC" w14:textId="77777777" w:rsidR="00442B06" w:rsidRDefault="00442B0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0E01B" w14:textId="5EBA1A79" w:rsidR="003148FC" w:rsidRDefault="00314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A40"/>
    <w:multiLevelType w:val="hybridMultilevel"/>
    <w:tmpl w:val="00948C82"/>
    <w:lvl w:ilvl="0" w:tplc="0409000F">
      <w:start w:val="7"/>
      <w:numFmt w:val="decimal"/>
      <w:lvlText w:val="%1."/>
      <w:lvlJc w:val="left"/>
      <w:pPr>
        <w:tabs>
          <w:tab w:val="num" w:pos="280"/>
        </w:tabs>
        <w:ind w:left="280" w:hanging="360"/>
      </w:pPr>
      <w:rPr>
        <w:rFonts w:hint="default"/>
      </w:rPr>
    </w:lvl>
    <w:lvl w:ilvl="1" w:tplc="04090019" w:tentative="1">
      <w:start w:val="1"/>
      <w:numFmt w:val="lowerLetter"/>
      <w:lvlText w:val="%2."/>
      <w:lvlJc w:val="left"/>
      <w:pPr>
        <w:tabs>
          <w:tab w:val="num" w:pos="1000"/>
        </w:tabs>
        <w:ind w:left="1000" w:hanging="360"/>
      </w:pPr>
    </w:lvl>
    <w:lvl w:ilvl="2" w:tplc="0409001B" w:tentative="1">
      <w:start w:val="1"/>
      <w:numFmt w:val="lowerRoman"/>
      <w:lvlText w:val="%3."/>
      <w:lvlJc w:val="right"/>
      <w:pPr>
        <w:tabs>
          <w:tab w:val="num" w:pos="1720"/>
        </w:tabs>
        <w:ind w:left="1720" w:hanging="180"/>
      </w:pPr>
    </w:lvl>
    <w:lvl w:ilvl="3" w:tplc="0409000F" w:tentative="1">
      <w:start w:val="1"/>
      <w:numFmt w:val="decimal"/>
      <w:lvlText w:val="%4."/>
      <w:lvlJc w:val="left"/>
      <w:pPr>
        <w:tabs>
          <w:tab w:val="num" w:pos="2440"/>
        </w:tabs>
        <w:ind w:left="2440" w:hanging="360"/>
      </w:pPr>
    </w:lvl>
    <w:lvl w:ilvl="4" w:tplc="04090019" w:tentative="1">
      <w:start w:val="1"/>
      <w:numFmt w:val="lowerLetter"/>
      <w:lvlText w:val="%5."/>
      <w:lvlJc w:val="left"/>
      <w:pPr>
        <w:tabs>
          <w:tab w:val="num" w:pos="3160"/>
        </w:tabs>
        <w:ind w:left="3160" w:hanging="360"/>
      </w:pPr>
    </w:lvl>
    <w:lvl w:ilvl="5" w:tplc="0409001B" w:tentative="1">
      <w:start w:val="1"/>
      <w:numFmt w:val="lowerRoman"/>
      <w:lvlText w:val="%6."/>
      <w:lvlJc w:val="right"/>
      <w:pPr>
        <w:tabs>
          <w:tab w:val="num" w:pos="3880"/>
        </w:tabs>
        <w:ind w:left="3880" w:hanging="180"/>
      </w:pPr>
    </w:lvl>
    <w:lvl w:ilvl="6" w:tplc="0409000F" w:tentative="1">
      <w:start w:val="1"/>
      <w:numFmt w:val="decimal"/>
      <w:lvlText w:val="%7."/>
      <w:lvlJc w:val="left"/>
      <w:pPr>
        <w:tabs>
          <w:tab w:val="num" w:pos="4600"/>
        </w:tabs>
        <w:ind w:left="4600" w:hanging="360"/>
      </w:pPr>
    </w:lvl>
    <w:lvl w:ilvl="7" w:tplc="04090019" w:tentative="1">
      <w:start w:val="1"/>
      <w:numFmt w:val="lowerLetter"/>
      <w:lvlText w:val="%8."/>
      <w:lvlJc w:val="left"/>
      <w:pPr>
        <w:tabs>
          <w:tab w:val="num" w:pos="5320"/>
        </w:tabs>
        <w:ind w:left="5320" w:hanging="360"/>
      </w:pPr>
    </w:lvl>
    <w:lvl w:ilvl="8" w:tplc="0409001B" w:tentative="1">
      <w:start w:val="1"/>
      <w:numFmt w:val="lowerRoman"/>
      <w:lvlText w:val="%9."/>
      <w:lvlJc w:val="right"/>
      <w:pPr>
        <w:tabs>
          <w:tab w:val="num" w:pos="6040"/>
        </w:tabs>
        <w:ind w:left="6040" w:hanging="180"/>
      </w:pPr>
    </w:lvl>
  </w:abstractNum>
  <w:abstractNum w:abstractNumId="1" w15:restartNumberingAfterBreak="0">
    <w:nsid w:val="02327750"/>
    <w:multiLevelType w:val="hybridMultilevel"/>
    <w:tmpl w:val="FDB4930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5A257E8"/>
    <w:multiLevelType w:val="hybridMultilevel"/>
    <w:tmpl w:val="7478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A5695"/>
    <w:multiLevelType w:val="hybridMultilevel"/>
    <w:tmpl w:val="D018D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803619"/>
    <w:multiLevelType w:val="hybridMultilevel"/>
    <w:tmpl w:val="4BA08A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9504181"/>
    <w:multiLevelType w:val="hybridMultilevel"/>
    <w:tmpl w:val="21A4F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402310"/>
    <w:multiLevelType w:val="hybridMultilevel"/>
    <w:tmpl w:val="71983C5C"/>
    <w:lvl w:ilvl="0" w:tplc="04090001">
      <w:start w:val="1"/>
      <w:numFmt w:val="bullet"/>
      <w:lvlText w:val=""/>
      <w:lvlJc w:val="left"/>
      <w:pPr>
        <w:ind w:left="720" w:hanging="360"/>
      </w:pPr>
      <w:rPr>
        <w:rFonts w:ascii="Symbol" w:hAnsi="Symbol" w:hint="default"/>
      </w:rPr>
    </w:lvl>
    <w:lvl w:ilvl="1" w:tplc="F5E61ACA">
      <w:numFmt w:val="bullet"/>
      <w:lvlText w:val="·"/>
      <w:lvlJc w:val="left"/>
      <w:pPr>
        <w:ind w:left="1515" w:hanging="43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90CC9"/>
    <w:multiLevelType w:val="hybridMultilevel"/>
    <w:tmpl w:val="6354ED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275E0F"/>
    <w:multiLevelType w:val="hybridMultilevel"/>
    <w:tmpl w:val="7B701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526C02"/>
    <w:multiLevelType w:val="hybridMultilevel"/>
    <w:tmpl w:val="B18A6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4C66BA"/>
    <w:multiLevelType w:val="hybridMultilevel"/>
    <w:tmpl w:val="6400DB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9997D35"/>
    <w:multiLevelType w:val="hybridMultilevel"/>
    <w:tmpl w:val="3F1C91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5146F8"/>
    <w:multiLevelType w:val="hybridMultilevel"/>
    <w:tmpl w:val="A634CD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373DD9"/>
    <w:multiLevelType w:val="hybridMultilevel"/>
    <w:tmpl w:val="8CB0D8F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95741BF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AB01EC"/>
    <w:multiLevelType w:val="hybridMultilevel"/>
    <w:tmpl w:val="BD641ED8"/>
    <w:lvl w:ilvl="0" w:tplc="0409000B">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6D6726F"/>
    <w:multiLevelType w:val="hybridMultilevel"/>
    <w:tmpl w:val="DD1E413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EC05AB"/>
    <w:multiLevelType w:val="hybridMultilevel"/>
    <w:tmpl w:val="5AF49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183273"/>
    <w:multiLevelType w:val="hybridMultilevel"/>
    <w:tmpl w:val="2436A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501B0A"/>
    <w:multiLevelType w:val="hybridMultilevel"/>
    <w:tmpl w:val="F2DC9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717B5A"/>
    <w:multiLevelType w:val="hybridMultilevel"/>
    <w:tmpl w:val="09266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AA1EAF"/>
    <w:multiLevelType w:val="hybridMultilevel"/>
    <w:tmpl w:val="D5CC7EBA"/>
    <w:lvl w:ilvl="0" w:tplc="0409000F">
      <w:start w:val="1"/>
      <w:numFmt w:val="decimal"/>
      <w:lvlText w:val="%1."/>
      <w:lvlJc w:val="left"/>
      <w:pPr>
        <w:tabs>
          <w:tab w:val="num" w:pos="720"/>
        </w:tabs>
        <w:ind w:left="720" w:hanging="360"/>
      </w:pPr>
      <w:rPr>
        <w:rFonts w:hint="default"/>
      </w:rPr>
    </w:lvl>
    <w:lvl w:ilvl="1" w:tplc="BB34596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29B6903C">
      <w:start w:val="1"/>
      <w:numFmt w:val="lowerLetter"/>
      <w:lvlText w:val="%4."/>
      <w:lvlJc w:val="left"/>
      <w:pPr>
        <w:tabs>
          <w:tab w:val="num" w:pos="2895"/>
        </w:tabs>
        <w:ind w:left="2895" w:hanging="37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395B50"/>
    <w:multiLevelType w:val="hybridMultilevel"/>
    <w:tmpl w:val="96E43BAA"/>
    <w:lvl w:ilvl="0" w:tplc="04090001">
      <w:start w:val="1"/>
      <w:numFmt w:val="bullet"/>
      <w:lvlText w:val=""/>
      <w:lvlJc w:val="left"/>
      <w:pPr>
        <w:tabs>
          <w:tab w:val="num" w:pos="720"/>
        </w:tabs>
        <w:ind w:left="720" w:hanging="360"/>
      </w:pPr>
      <w:rPr>
        <w:rFonts w:ascii="Symbol" w:hAnsi="Symbol" w:hint="default"/>
      </w:rPr>
    </w:lvl>
    <w:lvl w:ilvl="1" w:tplc="BB34596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F66B9C"/>
    <w:multiLevelType w:val="hybridMultilevel"/>
    <w:tmpl w:val="0372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190C7E"/>
    <w:multiLevelType w:val="hybridMultilevel"/>
    <w:tmpl w:val="E6443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501409"/>
    <w:multiLevelType w:val="hybridMultilevel"/>
    <w:tmpl w:val="8D346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7E046D0"/>
    <w:multiLevelType w:val="hybridMultilevel"/>
    <w:tmpl w:val="CC9C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166656"/>
    <w:multiLevelType w:val="hybridMultilevel"/>
    <w:tmpl w:val="7D28F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2D4349"/>
    <w:multiLevelType w:val="hybridMultilevel"/>
    <w:tmpl w:val="B71405F0"/>
    <w:lvl w:ilvl="0" w:tplc="8A8CBF76">
      <w:start w:val="1"/>
      <w:numFmt w:val="upperLetter"/>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9F10B7D"/>
    <w:multiLevelType w:val="hybridMultilevel"/>
    <w:tmpl w:val="D9C4CD6C"/>
    <w:lvl w:ilvl="0" w:tplc="CA942C5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6C7334"/>
    <w:multiLevelType w:val="hybridMultilevel"/>
    <w:tmpl w:val="A96C45A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5C61ED"/>
    <w:multiLevelType w:val="hybridMultilevel"/>
    <w:tmpl w:val="32B0F652"/>
    <w:lvl w:ilvl="0" w:tplc="CA942C54">
      <w:start w:val="1"/>
      <w:numFmt w:val="bullet"/>
      <w:lvlText w:val="−"/>
      <w:lvlJc w:val="left"/>
      <w:pPr>
        <w:tabs>
          <w:tab w:val="num" w:pos="1050"/>
        </w:tabs>
        <w:ind w:left="1050" w:hanging="360"/>
      </w:pPr>
      <w:rPr>
        <w:rFonts w:ascii="Calibri" w:hAnsi="Calibri"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31" w15:restartNumberingAfterBreak="0">
    <w:nsid w:val="6CA3048B"/>
    <w:multiLevelType w:val="hybridMultilevel"/>
    <w:tmpl w:val="F9A2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130C8F"/>
    <w:multiLevelType w:val="hybridMultilevel"/>
    <w:tmpl w:val="0F7671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15:restartNumberingAfterBreak="0">
    <w:nsid w:val="73013497"/>
    <w:multiLevelType w:val="hybridMultilevel"/>
    <w:tmpl w:val="AB78B344"/>
    <w:lvl w:ilvl="0" w:tplc="04090001">
      <w:start w:val="1"/>
      <w:numFmt w:val="bullet"/>
      <w:lvlText w:val=""/>
      <w:lvlJc w:val="left"/>
      <w:pPr>
        <w:tabs>
          <w:tab w:val="num" w:pos="1050"/>
        </w:tabs>
        <w:ind w:left="1050" w:hanging="360"/>
      </w:pPr>
      <w:rPr>
        <w:rFonts w:ascii="Symbol" w:hAnsi="Symbol"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34" w15:restartNumberingAfterBreak="0">
    <w:nsid w:val="779A1C27"/>
    <w:multiLevelType w:val="hybridMultilevel"/>
    <w:tmpl w:val="72385E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A2D5567"/>
    <w:multiLevelType w:val="hybridMultilevel"/>
    <w:tmpl w:val="540E36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9D4157E">
      <w:start w:val="2"/>
      <w:numFmt w:val="decimal"/>
      <w:lvlText w:val="(%3)"/>
      <w:lvlJc w:val="left"/>
      <w:pPr>
        <w:tabs>
          <w:tab w:val="num" w:pos="2340"/>
        </w:tabs>
        <w:ind w:left="2340" w:hanging="360"/>
      </w:pPr>
      <w:rPr>
        <w:rFonts w:hint="default"/>
        <w:b/>
        <w:i/>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E731B5"/>
    <w:multiLevelType w:val="hybridMultilevel"/>
    <w:tmpl w:val="449A3F5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CE5C8B"/>
    <w:multiLevelType w:val="hybridMultilevel"/>
    <w:tmpl w:val="33CEA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5"/>
  </w:num>
  <w:num w:numId="2">
    <w:abstractNumId w:val="13"/>
  </w:num>
  <w:num w:numId="3">
    <w:abstractNumId w:val="29"/>
  </w:num>
  <w:num w:numId="4">
    <w:abstractNumId w:val="0"/>
  </w:num>
  <w:num w:numId="5">
    <w:abstractNumId w:val="36"/>
  </w:num>
  <w:num w:numId="6">
    <w:abstractNumId w:val="20"/>
  </w:num>
  <w:num w:numId="7">
    <w:abstractNumId w:val="21"/>
  </w:num>
  <w:num w:numId="8">
    <w:abstractNumId w:val="8"/>
  </w:num>
  <w:num w:numId="9">
    <w:abstractNumId w:val="1"/>
  </w:num>
  <w:num w:numId="10">
    <w:abstractNumId w:val="34"/>
  </w:num>
  <w:num w:numId="11">
    <w:abstractNumId w:val="12"/>
  </w:num>
  <w:num w:numId="12">
    <w:abstractNumId w:val="17"/>
  </w:num>
  <w:num w:numId="13">
    <w:abstractNumId w:val="9"/>
  </w:num>
  <w:num w:numId="14">
    <w:abstractNumId w:val="16"/>
  </w:num>
  <w:num w:numId="15">
    <w:abstractNumId w:val="33"/>
  </w:num>
  <w:num w:numId="16">
    <w:abstractNumId w:val="11"/>
  </w:num>
  <w:num w:numId="17">
    <w:abstractNumId w:val="18"/>
  </w:num>
  <w:num w:numId="18">
    <w:abstractNumId w:val="5"/>
  </w:num>
  <w:num w:numId="19">
    <w:abstractNumId w:val="23"/>
  </w:num>
  <w:num w:numId="20">
    <w:abstractNumId w:val="7"/>
  </w:num>
  <w:num w:numId="21">
    <w:abstractNumId w:val="4"/>
  </w:num>
  <w:num w:numId="22">
    <w:abstractNumId w:val="24"/>
  </w:num>
  <w:num w:numId="23">
    <w:abstractNumId w:val="10"/>
  </w:num>
  <w:num w:numId="24">
    <w:abstractNumId w:val="14"/>
  </w:num>
  <w:num w:numId="25">
    <w:abstractNumId w:val="3"/>
  </w:num>
  <w:num w:numId="26">
    <w:abstractNumId w:val="2"/>
  </w:num>
  <w:num w:numId="27">
    <w:abstractNumId w:val="28"/>
  </w:num>
  <w:num w:numId="28">
    <w:abstractNumId w:val="30"/>
  </w:num>
  <w:num w:numId="29">
    <w:abstractNumId w:val="15"/>
  </w:num>
  <w:num w:numId="30">
    <w:abstractNumId w:val="25"/>
  </w:num>
  <w:num w:numId="31">
    <w:abstractNumId w:val="6"/>
  </w:num>
  <w:num w:numId="32">
    <w:abstractNumId w:val="19"/>
  </w:num>
  <w:num w:numId="33">
    <w:abstractNumId w:val="27"/>
  </w:num>
  <w:num w:numId="34">
    <w:abstractNumId w:val="32"/>
  </w:num>
  <w:num w:numId="35">
    <w:abstractNumId w:val="26"/>
  </w:num>
  <w:num w:numId="36">
    <w:abstractNumId w:val="31"/>
  </w:num>
  <w:num w:numId="37">
    <w:abstractNumId w:val="2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81"/>
    <w:rsid w:val="00004E1A"/>
    <w:rsid w:val="00010120"/>
    <w:rsid w:val="000118C2"/>
    <w:rsid w:val="000120F7"/>
    <w:rsid w:val="000133FB"/>
    <w:rsid w:val="000162D1"/>
    <w:rsid w:val="000218D6"/>
    <w:rsid w:val="000249B0"/>
    <w:rsid w:val="00030740"/>
    <w:rsid w:val="0003113B"/>
    <w:rsid w:val="00031935"/>
    <w:rsid w:val="00032F7C"/>
    <w:rsid w:val="00033215"/>
    <w:rsid w:val="00035084"/>
    <w:rsid w:val="00037DAA"/>
    <w:rsid w:val="00040242"/>
    <w:rsid w:val="00042DE1"/>
    <w:rsid w:val="000451D0"/>
    <w:rsid w:val="000463E2"/>
    <w:rsid w:val="0005108A"/>
    <w:rsid w:val="000511C1"/>
    <w:rsid w:val="00052A30"/>
    <w:rsid w:val="00054929"/>
    <w:rsid w:val="00062C66"/>
    <w:rsid w:val="000639F4"/>
    <w:rsid w:val="00063C5F"/>
    <w:rsid w:val="00072965"/>
    <w:rsid w:val="000750BC"/>
    <w:rsid w:val="000759E3"/>
    <w:rsid w:val="00080547"/>
    <w:rsid w:val="00080745"/>
    <w:rsid w:val="000818F5"/>
    <w:rsid w:val="00095536"/>
    <w:rsid w:val="00097255"/>
    <w:rsid w:val="000A56A9"/>
    <w:rsid w:val="000B106C"/>
    <w:rsid w:val="000B2DB4"/>
    <w:rsid w:val="000B4FDB"/>
    <w:rsid w:val="000B5D64"/>
    <w:rsid w:val="000B7357"/>
    <w:rsid w:val="000C114A"/>
    <w:rsid w:val="000C12C6"/>
    <w:rsid w:val="000C19A1"/>
    <w:rsid w:val="000C33D2"/>
    <w:rsid w:val="000C3760"/>
    <w:rsid w:val="000C6557"/>
    <w:rsid w:val="000D0273"/>
    <w:rsid w:val="000D1930"/>
    <w:rsid w:val="000D3089"/>
    <w:rsid w:val="000D4BDA"/>
    <w:rsid w:val="000D7D16"/>
    <w:rsid w:val="000D7EA0"/>
    <w:rsid w:val="000E037F"/>
    <w:rsid w:val="000E197B"/>
    <w:rsid w:val="000E7445"/>
    <w:rsid w:val="000E783B"/>
    <w:rsid w:val="000F31C6"/>
    <w:rsid w:val="000F7328"/>
    <w:rsid w:val="00101D13"/>
    <w:rsid w:val="001036CB"/>
    <w:rsid w:val="00107041"/>
    <w:rsid w:val="00107681"/>
    <w:rsid w:val="00110C63"/>
    <w:rsid w:val="00111224"/>
    <w:rsid w:val="00111444"/>
    <w:rsid w:val="0011366D"/>
    <w:rsid w:val="001144E1"/>
    <w:rsid w:val="00116EAB"/>
    <w:rsid w:val="001175C6"/>
    <w:rsid w:val="001237D4"/>
    <w:rsid w:val="00126670"/>
    <w:rsid w:val="0012754A"/>
    <w:rsid w:val="00133072"/>
    <w:rsid w:val="001337A6"/>
    <w:rsid w:val="00137B12"/>
    <w:rsid w:val="00143110"/>
    <w:rsid w:val="00144CFA"/>
    <w:rsid w:val="001457EA"/>
    <w:rsid w:val="0014752D"/>
    <w:rsid w:val="0015182D"/>
    <w:rsid w:val="001518B1"/>
    <w:rsid w:val="00160BD7"/>
    <w:rsid w:val="00163433"/>
    <w:rsid w:val="001670CA"/>
    <w:rsid w:val="00176B28"/>
    <w:rsid w:val="001773C0"/>
    <w:rsid w:val="00177E79"/>
    <w:rsid w:val="00177E85"/>
    <w:rsid w:val="001824A5"/>
    <w:rsid w:val="00182E2C"/>
    <w:rsid w:val="00182E75"/>
    <w:rsid w:val="00196A84"/>
    <w:rsid w:val="00196EA2"/>
    <w:rsid w:val="001979E8"/>
    <w:rsid w:val="001A46BD"/>
    <w:rsid w:val="001B027E"/>
    <w:rsid w:val="001B06D5"/>
    <w:rsid w:val="001B2CDC"/>
    <w:rsid w:val="001B41D0"/>
    <w:rsid w:val="001B7254"/>
    <w:rsid w:val="001C18DD"/>
    <w:rsid w:val="001C3EB3"/>
    <w:rsid w:val="001C4B12"/>
    <w:rsid w:val="001C6404"/>
    <w:rsid w:val="001C6FEB"/>
    <w:rsid w:val="001C76F7"/>
    <w:rsid w:val="001D0705"/>
    <w:rsid w:val="001D207C"/>
    <w:rsid w:val="001D6334"/>
    <w:rsid w:val="001D68DF"/>
    <w:rsid w:val="001E06D1"/>
    <w:rsid w:val="001E09FF"/>
    <w:rsid w:val="001E10E3"/>
    <w:rsid w:val="001E3BD1"/>
    <w:rsid w:val="001F2D04"/>
    <w:rsid w:val="001F31DA"/>
    <w:rsid w:val="001F44E9"/>
    <w:rsid w:val="0020383A"/>
    <w:rsid w:val="0020605C"/>
    <w:rsid w:val="00207B24"/>
    <w:rsid w:val="00210A9C"/>
    <w:rsid w:val="002117FB"/>
    <w:rsid w:val="002173EA"/>
    <w:rsid w:val="0021792C"/>
    <w:rsid w:val="00221D44"/>
    <w:rsid w:val="00221E98"/>
    <w:rsid w:val="00226221"/>
    <w:rsid w:val="00230509"/>
    <w:rsid w:val="0023103E"/>
    <w:rsid w:val="0023279B"/>
    <w:rsid w:val="0023386E"/>
    <w:rsid w:val="0023398D"/>
    <w:rsid w:val="002342EF"/>
    <w:rsid w:val="00235A91"/>
    <w:rsid w:val="00237482"/>
    <w:rsid w:val="002427A3"/>
    <w:rsid w:val="00244ABF"/>
    <w:rsid w:val="00253138"/>
    <w:rsid w:val="002572EB"/>
    <w:rsid w:val="00260347"/>
    <w:rsid w:val="002607F0"/>
    <w:rsid w:val="0026264E"/>
    <w:rsid w:val="00266750"/>
    <w:rsid w:val="00273382"/>
    <w:rsid w:val="002736B3"/>
    <w:rsid w:val="002855A0"/>
    <w:rsid w:val="00287596"/>
    <w:rsid w:val="002876A0"/>
    <w:rsid w:val="002908DE"/>
    <w:rsid w:val="002959C4"/>
    <w:rsid w:val="002A6783"/>
    <w:rsid w:val="002B7736"/>
    <w:rsid w:val="002B7C6C"/>
    <w:rsid w:val="002C02A3"/>
    <w:rsid w:val="002C19C3"/>
    <w:rsid w:val="002C4AD9"/>
    <w:rsid w:val="002D1771"/>
    <w:rsid w:val="002D4C7F"/>
    <w:rsid w:val="002E27C6"/>
    <w:rsid w:val="002E3C50"/>
    <w:rsid w:val="002E4F30"/>
    <w:rsid w:val="002E5FC0"/>
    <w:rsid w:val="002E7660"/>
    <w:rsid w:val="002E7ADD"/>
    <w:rsid w:val="002F2798"/>
    <w:rsid w:val="002F336A"/>
    <w:rsid w:val="002F38FA"/>
    <w:rsid w:val="002F7807"/>
    <w:rsid w:val="00301418"/>
    <w:rsid w:val="00304CE8"/>
    <w:rsid w:val="00305AEB"/>
    <w:rsid w:val="0030726F"/>
    <w:rsid w:val="00313589"/>
    <w:rsid w:val="00313DEB"/>
    <w:rsid w:val="003148FC"/>
    <w:rsid w:val="00315DB8"/>
    <w:rsid w:val="003170F1"/>
    <w:rsid w:val="003224BB"/>
    <w:rsid w:val="00324335"/>
    <w:rsid w:val="0033152D"/>
    <w:rsid w:val="003343DA"/>
    <w:rsid w:val="00336380"/>
    <w:rsid w:val="00337B85"/>
    <w:rsid w:val="00343284"/>
    <w:rsid w:val="00343485"/>
    <w:rsid w:val="00344CAD"/>
    <w:rsid w:val="003453FF"/>
    <w:rsid w:val="00345B4A"/>
    <w:rsid w:val="0034717C"/>
    <w:rsid w:val="003513E9"/>
    <w:rsid w:val="00352875"/>
    <w:rsid w:val="0035406F"/>
    <w:rsid w:val="00356424"/>
    <w:rsid w:val="0036297E"/>
    <w:rsid w:val="0036683B"/>
    <w:rsid w:val="00367CB4"/>
    <w:rsid w:val="003715EE"/>
    <w:rsid w:val="003731C7"/>
    <w:rsid w:val="00374C99"/>
    <w:rsid w:val="00375D2D"/>
    <w:rsid w:val="00376143"/>
    <w:rsid w:val="0037786B"/>
    <w:rsid w:val="003819CA"/>
    <w:rsid w:val="00382538"/>
    <w:rsid w:val="00383113"/>
    <w:rsid w:val="0038347E"/>
    <w:rsid w:val="0038457C"/>
    <w:rsid w:val="003916F9"/>
    <w:rsid w:val="00391E37"/>
    <w:rsid w:val="00395258"/>
    <w:rsid w:val="00396BDB"/>
    <w:rsid w:val="00397B09"/>
    <w:rsid w:val="003A0B6E"/>
    <w:rsid w:val="003A3D5C"/>
    <w:rsid w:val="003A4FCE"/>
    <w:rsid w:val="003A5B33"/>
    <w:rsid w:val="003A5D1B"/>
    <w:rsid w:val="003A6B7A"/>
    <w:rsid w:val="003A6BE1"/>
    <w:rsid w:val="003B21FD"/>
    <w:rsid w:val="003B2321"/>
    <w:rsid w:val="003B66AE"/>
    <w:rsid w:val="003B6749"/>
    <w:rsid w:val="003C07A6"/>
    <w:rsid w:val="003C2735"/>
    <w:rsid w:val="003C29D8"/>
    <w:rsid w:val="003C2AE9"/>
    <w:rsid w:val="003C4FA3"/>
    <w:rsid w:val="003C6313"/>
    <w:rsid w:val="003C7DDD"/>
    <w:rsid w:val="003D1E34"/>
    <w:rsid w:val="003D50CC"/>
    <w:rsid w:val="003D56DC"/>
    <w:rsid w:val="003E14FC"/>
    <w:rsid w:val="003E1D13"/>
    <w:rsid w:val="003E38A5"/>
    <w:rsid w:val="003F06C4"/>
    <w:rsid w:val="003F07EC"/>
    <w:rsid w:val="003F1132"/>
    <w:rsid w:val="003F126B"/>
    <w:rsid w:val="003F24B3"/>
    <w:rsid w:val="003F4C68"/>
    <w:rsid w:val="00404B1C"/>
    <w:rsid w:val="00404EAF"/>
    <w:rsid w:val="00410F84"/>
    <w:rsid w:val="004120F9"/>
    <w:rsid w:val="004131A9"/>
    <w:rsid w:val="00413C60"/>
    <w:rsid w:val="00413D3F"/>
    <w:rsid w:val="00416A6A"/>
    <w:rsid w:val="00420A3D"/>
    <w:rsid w:val="00421208"/>
    <w:rsid w:val="00422BE6"/>
    <w:rsid w:val="00426912"/>
    <w:rsid w:val="00431226"/>
    <w:rsid w:val="0043398B"/>
    <w:rsid w:val="0043412D"/>
    <w:rsid w:val="00434D9F"/>
    <w:rsid w:val="00435362"/>
    <w:rsid w:val="00437D2F"/>
    <w:rsid w:val="0044084D"/>
    <w:rsid w:val="00440E6B"/>
    <w:rsid w:val="00442B06"/>
    <w:rsid w:val="004431B3"/>
    <w:rsid w:val="00445C17"/>
    <w:rsid w:val="004532DD"/>
    <w:rsid w:val="0045355B"/>
    <w:rsid w:val="00454641"/>
    <w:rsid w:val="004572BB"/>
    <w:rsid w:val="00457AEB"/>
    <w:rsid w:val="00460767"/>
    <w:rsid w:val="00467C2D"/>
    <w:rsid w:val="00467FFD"/>
    <w:rsid w:val="00470461"/>
    <w:rsid w:val="00470915"/>
    <w:rsid w:val="00471EFB"/>
    <w:rsid w:val="004748AC"/>
    <w:rsid w:val="004801B3"/>
    <w:rsid w:val="00485C46"/>
    <w:rsid w:val="00486FB8"/>
    <w:rsid w:val="00487720"/>
    <w:rsid w:val="00487AC8"/>
    <w:rsid w:val="00487B68"/>
    <w:rsid w:val="004915BC"/>
    <w:rsid w:val="00491FDC"/>
    <w:rsid w:val="0049352F"/>
    <w:rsid w:val="00493A9E"/>
    <w:rsid w:val="0049544F"/>
    <w:rsid w:val="004A00F2"/>
    <w:rsid w:val="004A38CF"/>
    <w:rsid w:val="004A39F8"/>
    <w:rsid w:val="004A4FD5"/>
    <w:rsid w:val="004A5A3E"/>
    <w:rsid w:val="004A5D67"/>
    <w:rsid w:val="004A638A"/>
    <w:rsid w:val="004B1EA1"/>
    <w:rsid w:val="004B4E36"/>
    <w:rsid w:val="004B55C1"/>
    <w:rsid w:val="004B5B8A"/>
    <w:rsid w:val="004C2966"/>
    <w:rsid w:val="004C7FED"/>
    <w:rsid w:val="004D060D"/>
    <w:rsid w:val="004D0EF3"/>
    <w:rsid w:val="004D615F"/>
    <w:rsid w:val="004E12E1"/>
    <w:rsid w:val="004E14A8"/>
    <w:rsid w:val="004E1F63"/>
    <w:rsid w:val="004E27D7"/>
    <w:rsid w:val="004E5227"/>
    <w:rsid w:val="004E5EC3"/>
    <w:rsid w:val="004F2444"/>
    <w:rsid w:val="004F24CE"/>
    <w:rsid w:val="004F4A50"/>
    <w:rsid w:val="004F632B"/>
    <w:rsid w:val="005008D3"/>
    <w:rsid w:val="00501FD6"/>
    <w:rsid w:val="00506DB0"/>
    <w:rsid w:val="005103FD"/>
    <w:rsid w:val="00520905"/>
    <w:rsid w:val="00521C9E"/>
    <w:rsid w:val="005222BA"/>
    <w:rsid w:val="005228ED"/>
    <w:rsid w:val="0052306A"/>
    <w:rsid w:val="005236A7"/>
    <w:rsid w:val="00523AC0"/>
    <w:rsid w:val="00527EB7"/>
    <w:rsid w:val="0053155E"/>
    <w:rsid w:val="00531A8B"/>
    <w:rsid w:val="00534758"/>
    <w:rsid w:val="00535A7F"/>
    <w:rsid w:val="00537471"/>
    <w:rsid w:val="00541C32"/>
    <w:rsid w:val="0054221F"/>
    <w:rsid w:val="00550B7A"/>
    <w:rsid w:val="005512D1"/>
    <w:rsid w:val="0055277D"/>
    <w:rsid w:val="00554306"/>
    <w:rsid w:val="0055461E"/>
    <w:rsid w:val="00554C52"/>
    <w:rsid w:val="0055698D"/>
    <w:rsid w:val="00563148"/>
    <w:rsid w:val="00563D5C"/>
    <w:rsid w:val="00572D42"/>
    <w:rsid w:val="0057364D"/>
    <w:rsid w:val="00575163"/>
    <w:rsid w:val="0057796D"/>
    <w:rsid w:val="00580EDC"/>
    <w:rsid w:val="005813BC"/>
    <w:rsid w:val="00581E9F"/>
    <w:rsid w:val="005828F2"/>
    <w:rsid w:val="00582D17"/>
    <w:rsid w:val="00582D26"/>
    <w:rsid w:val="005866D6"/>
    <w:rsid w:val="00587F3D"/>
    <w:rsid w:val="0059370B"/>
    <w:rsid w:val="00594872"/>
    <w:rsid w:val="00596843"/>
    <w:rsid w:val="005A4FD1"/>
    <w:rsid w:val="005A69E0"/>
    <w:rsid w:val="005B0BA7"/>
    <w:rsid w:val="005B0C4C"/>
    <w:rsid w:val="005B2B59"/>
    <w:rsid w:val="005B389A"/>
    <w:rsid w:val="005B4F07"/>
    <w:rsid w:val="005B601B"/>
    <w:rsid w:val="005C0440"/>
    <w:rsid w:val="005C0877"/>
    <w:rsid w:val="005C411C"/>
    <w:rsid w:val="005C4C9B"/>
    <w:rsid w:val="005C5CA7"/>
    <w:rsid w:val="005D147F"/>
    <w:rsid w:val="005D20F0"/>
    <w:rsid w:val="005D2391"/>
    <w:rsid w:val="005D3FBD"/>
    <w:rsid w:val="005D6205"/>
    <w:rsid w:val="005E010C"/>
    <w:rsid w:val="005E1D3D"/>
    <w:rsid w:val="005F16A7"/>
    <w:rsid w:val="005F240B"/>
    <w:rsid w:val="005F7F1C"/>
    <w:rsid w:val="00601D35"/>
    <w:rsid w:val="00603A35"/>
    <w:rsid w:val="00605F01"/>
    <w:rsid w:val="0060763E"/>
    <w:rsid w:val="006121F3"/>
    <w:rsid w:val="006133EE"/>
    <w:rsid w:val="00615A08"/>
    <w:rsid w:val="00621401"/>
    <w:rsid w:val="0062158D"/>
    <w:rsid w:val="00621AA3"/>
    <w:rsid w:val="00621D8D"/>
    <w:rsid w:val="00622B79"/>
    <w:rsid w:val="00623CC9"/>
    <w:rsid w:val="00624050"/>
    <w:rsid w:val="006253C1"/>
    <w:rsid w:val="00625E10"/>
    <w:rsid w:val="00626B1D"/>
    <w:rsid w:val="0063024E"/>
    <w:rsid w:val="006346CA"/>
    <w:rsid w:val="006352CB"/>
    <w:rsid w:val="006377AC"/>
    <w:rsid w:val="00637ED9"/>
    <w:rsid w:val="00640224"/>
    <w:rsid w:val="00644B2D"/>
    <w:rsid w:val="00645192"/>
    <w:rsid w:val="006525B9"/>
    <w:rsid w:val="00656ACA"/>
    <w:rsid w:val="006602F0"/>
    <w:rsid w:val="00663FF2"/>
    <w:rsid w:val="0066425B"/>
    <w:rsid w:val="006663C0"/>
    <w:rsid w:val="00670186"/>
    <w:rsid w:val="0067145B"/>
    <w:rsid w:val="0068047A"/>
    <w:rsid w:val="00682281"/>
    <w:rsid w:val="00684676"/>
    <w:rsid w:val="006875AE"/>
    <w:rsid w:val="0069102F"/>
    <w:rsid w:val="0069155A"/>
    <w:rsid w:val="00692A6C"/>
    <w:rsid w:val="0069304D"/>
    <w:rsid w:val="006A05D9"/>
    <w:rsid w:val="006B0AA2"/>
    <w:rsid w:val="006B2729"/>
    <w:rsid w:val="006B3908"/>
    <w:rsid w:val="006B42F6"/>
    <w:rsid w:val="006B6BC1"/>
    <w:rsid w:val="006B7FCA"/>
    <w:rsid w:val="006C3A9D"/>
    <w:rsid w:val="006C6C9E"/>
    <w:rsid w:val="006C7737"/>
    <w:rsid w:val="006D6929"/>
    <w:rsid w:val="006E4630"/>
    <w:rsid w:val="006E4961"/>
    <w:rsid w:val="006E7085"/>
    <w:rsid w:val="006F0CC2"/>
    <w:rsid w:val="006F39FD"/>
    <w:rsid w:val="006F4F92"/>
    <w:rsid w:val="006F5C97"/>
    <w:rsid w:val="006F6BC7"/>
    <w:rsid w:val="00700BC9"/>
    <w:rsid w:val="0070158A"/>
    <w:rsid w:val="00714CCD"/>
    <w:rsid w:val="00721103"/>
    <w:rsid w:val="0072495D"/>
    <w:rsid w:val="00730AF2"/>
    <w:rsid w:val="00731036"/>
    <w:rsid w:val="00734452"/>
    <w:rsid w:val="00735574"/>
    <w:rsid w:val="00735FB5"/>
    <w:rsid w:val="00737C46"/>
    <w:rsid w:val="007436DF"/>
    <w:rsid w:val="0075032E"/>
    <w:rsid w:val="00751C59"/>
    <w:rsid w:val="007530C1"/>
    <w:rsid w:val="00754EC3"/>
    <w:rsid w:val="0075676E"/>
    <w:rsid w:val="00756982"/>
    <w:rsid w:val="007605A4"/>
    <w:rsid w:val="00760ED8"/>
    <w:rsid w:val="00764338"/>
    <w:rsid w:val="007678A4"/>
    <w:rsid w:val="00767AF6"/>
    <w:rsid w:val="00767F96"/>
    <w:rsid w:val="007732DE"/>
    <w:rsid w:val="0077430C"/>
    <w:rsid w:val="00775CC5"/>
    <w:rsid w:val="007848C7"/>
    <w:rsid w:val="00784C71"/>
    <w:rsid w:val="00784E20"/>
    <w:rsid w:val="007854A0"/>
    <w:rsid w:val="00787994"/>
    <w:rsid w:val="00791B48"/>
    <w:rsid w:val="007920AA"/>
    <w:rsid w:val="0079347F"/>
    <w:rsid w:val="0079355B"/>
    <w:rsid w:val="007A1657"/>
    <w:rsid w:val="007A18A3"/>
    <w:rsid w:val="007A360A"/>
    <w:rsid w:val="007B0E84"/>
    <w:rsid w:val="007B1187"/>
    <w:rsid w:val="007B2613"/>
    <w:rsid w:val="007B2708"/>
    <w:rsid w:val="007B48B4"/>
    <w:rsid w:val="007B5A4F"/>
    <w:rsid w:val="007B7889"/>
    <w:rsid w:val="007C22A7"/>
    <w:rsid w:val="007D4E86"/>
    <w:rsid w:val="007D7A53"/>
    <w:rsid w:val="007E2D7D"/>
    <w:rsid w:val="007E7688"/>
    <w:rsid w:val="007F000A"/>
    <w:rsid w:val="007F1449"/>
    <w:rsid w:val="007F1851"/>
    <w:rsid w:val="007F2ADD"/>
    <w:rsid w:val="007F31CF"/>
    <w:rsid w:val="007F38A5"/>
    <w:rsid w:val="007F6118"/>
    <w:rsid w:val="007F620B"/>
    <w:rsid w:val="007F69B9"/>
    <w:rsid w:val="00800E0D"/>
    <w:rsid w:val="0080260F"/>
    <w:rsid w:val="0080550D"/>
    <w:rsid w:val="0080709D"/>
    <w:rsid w:val="008175BE"/>
    <w:rsid w:val="00817C95"/>
    <w:rsid w:val="00823058"/>
    <w:rsid w:val="00827142"/>
    <w:rsid w:val="008315C2"/>
    <w:rsid w:val="00831746"/>
    <w:rsid w:val="008328CE"/>
    <w:rsid w:val="008345AF"/>
    <w:rsid w:val="0083742C"/>
    <w:rsid w:val="00845C67"/>
    <w:rsid w:val="00846F67"/>
    <w:rsid w:val="008475B5"/>
    <w:rsid w:val="008506D4"/>
    <w:rsid w:val="00850C2E"/>
    <w:rsid w:val="008568E1"/>
    <w:rsid w:val="00857AE8"/>
    <w:rsid w:val="00857C21"/>
    <w:rsid w:val="00863090"/>
    <w:rsid w:val="00873E6E"/>
    <w:rsid w:val="008802B9"/>
    <w:rsid w:val="008817C2"/>
    <w:rsid w:val="00887143"/>
    <w:rsid w:val="008927C1"/>
    <w:rsid w:val="008965B6"/>
    <w:rsid w:val="00896DC7"/>
    <w:rsid w:val="008A010D"/>
    <w:rsid w:val="008A133C"/>
    <w:rsid w:val="008B3018"/>
    <w:rsid w:val="008B5039"/>
    <w:rsid w:val="008B77A3"/>
    <w:rsid w:val="008B7A67"/>
    <w:rsid w:val="008C0AAB"/>
    <w:rsid w:val="008C1665"/>
    <w:rsid w:val="008C1771"/>
    <w:rsid w:val="008C25F3"/>
    <w:rsid w:val="008C31F6"/>
    <w:rsid w:val="008C501C"/>
    <w:rsid w:val="008C5B10"/>
    <w:rsid w:val="008D04BF"/>
    <w:rsid w:val="008D0AC2"/>
    <w:rsid w:val="008D1660"/>
    <w:rsid w:val="008D26BB"/>
    <w:rsid w:val="008D32CA"/>
    <w:rsid w:val="008D3ECC"/>
    <w:rsid w:val="008D5502"/>
    <w:rsid w:val="008D659C"/>
    <w:rsid w:val="008D7A7D"/>
    <w:rsid w:val="008D7D73"/>
    <w:rsid w:val="008E1E94"/>
    <w:rsid w:val="008F05C9"/>
    <w:rsid w:val="008F170B"/>
    <w:rsid w:val="008F362E"/>
    <w:rsid w:val="008F38ED"/>
    <w:rsid w:val="008F3B62"/>
    <w:rsid w:val="008F7DEE"/>
    <w:rsid w:val="00900353"/>
    <w:rsid w:val="00900ADB"/>
    <w:rsid w:val="00901006"/>
    <w:rsid w:val="00901094"/>
    <w:rsid w:val="009010BC"/>
    <w:rsid w:val="00901C8A"/>
    <w:rsid w:val="0090633A"/>
    <w:rsid w:val="00910834"/>
    <w:rsid w:val="00910BF5"/>
    <w:rsid w:val="00911160"/>
    <w:rsid w:val="00913275"/>
    <w:rsid w:val="0091360C"/>
    <w:rsid w:val="00913D8A"/>
    <w:rsid w:val="0091716C"/>
    <w:rsid w:val="00921C8A"/>
    <w:rsid w:val="00922E19"/>
    <w:rsid w:val="0092343B"/>
    <w:rsid w:val="009267CB"/>
    <w:rsid w:val="00926D62"/>
    <w:rsid w:val="00930764"/>
    <w:rsid w:val="00931B72"/>
    <w:rsid w:val="00932474"/>
    <w:rsid w:val="009401AC"/>
    <w:rsid w:val="00941599"/>
    <w:rsid w:val="009517D6"/>
    <w:rsid w:val="00956633"/>
    <w:rsid w:val="00961047"/>
    <w:rsid w:val="009631D9"/>
    <w:rsid w:val="00966A49"/>
    <w:rsid w:val="009678D2"/>
    <w:rsid w:val="00974332"/>
    <w:rsid w:val="00980631"/>
    <w:rsid w:val="009810E7"/>
    <w:rsid w:val="0098550F"/>
    <w:rsid w:val="00986788"/>
    <w:rsid w:val="009878EF"/>
    <w:rsid w:val="00990AD5"/>
    <w:rsid w:val="0099106E"/>
    <w:rsid w:val="00991B4C"/>
    <w:rsid w:val="00992587"/>
    <w:rsid w:val="009A1412"/>
    <w:rsid w:val="009A1F75"/>
    <w:rsid w:val="009A54C5"/>
    <w:rsid w:val="009A6B38"/>
    <w:rsid w:val="009B214C"/>
    <w:rsid w:val="009B7D7E"/>
    <w:rsid w:val="009C1409"/>
    <w:rsid w:val="009C3111"/>
    <w:rsid w:val="009C3F74"/>
    <w:rsid w:val="009C4D7E"/>
    <w:rsid w:val="009C6B3E"/>
    <w:rsid w:val="009D045A"/>
    <w:rsid w:val="009D0AA1"/>
    <w:rsid w:val="009D13A7"/>
    <w:rsid w:val="009D361E"/>
    <w:rsid w:val="009D3726"/>
    <w:rsid w:val="009D60E7"/>
    <w:rsid w:val="009D630A"/>
    <w:rsid w:val="009D7BE6"/>
    <w:rsid w:val="009E4755"/>
    <w:rsid w:val="009E575E"/>
    <w:rsid w:val="009F0BA4"/>
    <w:rsid w:val="009F24AC"/>
    <w:rsid w:val="009F36F4"/>
    <w:rsid w:val="009F454B"/>
    <w:rsid w:val="00A01FEE"/>
    <w:rsid w:val="00A05BF2"/>
    <w:rsid w:val="00A13455"/>
    <w:rsid w:val="00A13598"/>
    <w:rsid w:val="00A152A0"/>
    <w:rsid w:val="00A15913"/>
    <w:rsid w:val="00A20790"/>
    <w:rsid w:val="00A2098B"/>
    <w:rsid w:val="00A22A8F"/>
    <w:rsid w:val="00A2320E"/>
    <w:rsid w:val="00A25BF0"/>
    <w:rsid w:val="00A30117"/>
    <w:rsid w:val="00A308BA"/>
    <w:rsid w:val="00A30DC8"/>
    <w:rsid w:val="00A31773"/>
    <w:rsid w:val="00A34A68"/>
    <w:rsid w:val="00A3500F"/>
    <w:rsid w:val="00A40606"/>
    <w:rsid w:val="00A40E59"/>
    <w:rsid w:val="00A40FF8"/>
    <w:rsid w:val="00A423F0"/>
    <w:rsid w:val="00A42AB5"/>
    <w:rsid w:val="00A603E0"/>
    <w:rsid w:val="00A615CB"/>
    <w:rsid w:val="00A6176A"/>
    <w:rsid w:val="00A67048"/>
    <w:rsid w:val="00A70648"/>
    <w:rsid w:val="00A727B3"/>
    <w:rsid w:val="00A74654"/>
    <w:rsid w:val="00A77A59"/>
    <w:rsid w:val="00A77C3C"/>
    <w:rsid w:val="00A80E99"/>
    <w:rsid w:val="00A81633"/>
    <w:rsid w:val="00A920D7"/>
    <w:rsid w:val="00A925D3"/>
    <w:rsid w:val="00A93807"/>
    <w:rsid w:val="00A9389A"/>
    <w:rsid w:val="00A93A77"/>
    <w:rsid w:val="00AA061D"/>
    <w:rsid w:val="00AA47B6"/>
    <w:rsid w:val="00AA6F53"/>
    <w:rsid w:val="00AA7C0E"/>
    <w:rsid w:val="00AA7F2F"/>
    <w:rsid w:val="00AB348F"/>
    <w:rsid w:val="00AB4F36"/>
    <w:rsid w:val="00AB651F"/>
    <w:rsid w:val="00AB7518"/>
    <w:rsid w:val="00AC3A31"/>
    <w:rsid w:val="00AC5A09"/>
    <w:rsid w:val="00AC5B2F"/>
    <w:rsid w:val="00AD4BF8"/>
    <w:rsid w:val="00AE2673"/>
    <w:rsid w:val="00AF0A6B"/>
    <w:rsid w:val="00AF13AA"/>
    <w:rsid w:val="00AF2584"/>
    <w:rsid w:val="00AF2BCA"/>
    <w:rsid w:val="00AF4981"/>
    <w:rsid w:val="00AF56B6"/>
    <w:rsid w:val="00AF6996"/>
    <w:rsid w:val="00AF7467"/>
    <w:rsid w:val="00AF7B1E"/>
    <w:rsid w:val="00B0220D"/>
    <w:rsid w:val="00B02304"/>
    <w:rsid w:val="00B02EB9"/>
    <w:rsid w:val="00B03098"/>
    <w:rsid w:val="00B0362C"/>
    <w:rsid w:val="00B04AF6"/>
    <w:rsid w:val="00B05ACD"/>
    <w:rsid w:val="00B07563"/>
    <w:rsid w:val="00B10F82"/>
    <w:rsid w:val="00B168BC"/>
    <w:rsid w:val="00B16E12"/>
    <w:rsid w:val="00B1701A"/>
    <w:rsid w:val="00B1796F"/>
    <w:rsid w:val="00B22640"/>
    <w:rsid w:val="00B2295D"/>
    <w:rsid w:val="00B24737"/>
    <w:rsid w:val="00B249D1"/>
    <w:rsid w:val="00B31135"/>
    <w:rsid w:val="00B323DC"/>
    <w:rsid w:val="00B3646A"/>
    <w:rsid w:val="00B401C3"/>
    <w:rsid w:val="00B40D0B"/>
    <w:rsid w:val="00B5243A"/>
    <w:rsid w:val="00B5331F"/>
    <w:rsid w:val="00B57C2F"/>
    <w:rsid w:val="00B6080B"/>
    <w:rsid w:val="00B620D7"/>
    <w:rsid w:val="00B63998"/>
    <w:rsid w:val="00B64739"/>
    <w:rsid w:val="00B668F3"/>
    <w:rsid w:val="00B700C0"/>
    <w:rsid w:val="00B70B75"/>
    <w:rsid w:val="00B73A5A"/>
    <w:rsid w:val="00B73E83"/>
    <w:rsid w:val="00B7719D"/>
    <w:rsid w:val="00B77799"/>
    <w:rsid w:val="00B82803"/>
    <w:rsid w:val="00B844C5"/>
    <w:rsid w:val="00B8487D"/>
    <w:rsid w:val="00B8542A"/>
    <w:rsid w:val="00B856B0"/>
    <w:rsid w:val="00B86C64"/>
    <w:rsid w:val="00B87404"/>
    <w:rsid w:val="00B87F62"/>
    <w:rsid w:val="00B92F00"/>
    <w:rsid w:val="00B94D11"/>
    <w:rsid w:val="00B97CDA"/>
    <w:rsid w:val="00BA0E20"/>
    <w:rsid w:val="00BA1145"/>
    <w:rsid w:val="00BA384A"/>
    <w:rsid w:val="00BA7FF3"/>
    <w:rsid w:val="00BB14A1"/>
    <w:rsid w:val="00BB46B0"/>
    <w:rsid w:val="00BB6CD8"/>
    <w:rsid w:val="00BC1B54"/>
    <w:rsid w:val="00BD49E8"/>
    <w:rsid w:val="00BD6AE3"/>
    <w:rsid w:val="00BD7335"/>
    <w:rsid w:val="00BE1D95"/>
    <w:rsid w:val="00BE2BF5"/>
    <w:rsid w:val="00BE61A4"/>
    <w:rsid w:val="00BE641C"/>
    <w:rsid w:val="00BE7026"/>
    <w:rsid w:val="00BF0581"/>
    <w:rsid w:val="00BF5B73"/>
    <w:rsid w:val="00BF6B79"/>
    <w:rsid w:val="00BF6F9F"/>
    <w:rsid w:val="00C006C7"/>
    <w:rsid w:val="00C01C9C"/>
    <w:rsid w:val="00C01CAC"/>
    <w:rsid w:val="00C10DDC"/>
    <w:rsid w:val="00C11208"/>
    <w:rsid w:val="00C12CDD"/>
    <w:rsid w:val="00C138B8"/>
    <w:rsid w:val="00C17068"/>
    <w:rsid w:val="00C1797C"/>
    <w:rsid w:val="00C17AE8"/>
    <w:rsid w:val="00C3227E"/>
    <w:rsid w:val="00C33CC3"/>
    <w:rsid w:val="00C375FF"/>
    <w:rsid w:val="00C415BD"/>
    <w:rsid w:val="00C457BA"/>
    <w:rsid w:val="00C50807"/>
    <w:rsid w:val="00C52C31"/>
    <w:rsid w:val="00C537A0"/>
    <w:rsid w:val="00C53C11"/>
    <w:rsid w:val="00C64DC7"/>
    <w:rsid w:val="00C65C39"/>
    <w:rsid w:val="00C65FFF"/>
    <w:rsid w:val="00C66C55"/>
    <w:rsid w:val="00C70E72"/>
    <w:rsid w:val="00C70F4E"/>
    <w:rsid w:val="00C70F89"/>
    <w:rsid w:val="00C71328"/>
    <w:rsid w:val="00C72232"/>
    <w:rsid w:val="00C741E1"/>
    <w:rsid w:val="00C749C1"/>
    <w:rsid w:val="00C75F6C"/>
    <w:rsid w:val="00C77542"/>
    <w:rsid w:val="00C80630"/>
    <w:rsid w:val="00C8225D"/>
    <w:rsid w:val="00C8254F"/>
    <w:rsid w:val="00C84B89"/>
    <w:rsid w:val="00C9362F"/>
    <w:rsid w:val="00C974EF"/>
    <w:rsid w:val="00CA0671"/>
    <w:rsid w:val="00CA320E"/>
    <w:rsid w:val="00CA50F7"/>
    <w:rsid w:val="00CA5DAD"/>
    <w:rsid w:val="00CB0D73"/>
    <w:rsid w:val="00CB367D"/>
    <w:rsid w:val="00CB3DCE"/>
    <w:rsid w:val="00CB5589"/>
    <w:rsid w:val="00CB6FEB"/>
    <w:rsid w:val="00CC019D"/>
    <w:rsid w:val="00CC106A"/>
    <w:rsid w:val="00CC1099"/>
    <w:rsid w:val="00CC18B6"/>
    <w:rsid w:val="00CC4E1A"/>
    <w:rsid w:val="00CC78AF"/>
    <w:rsid w:val="00CD0E42"/>
    <w:rsid w:val="00CD1817"/>
    <w:rsid w:val="00CD1AA8"/>
    <w:rsid w:val="00CD1E97"/>
    <w:rsid w:val="00CD271A"/>
    <w:rsid w:val="00CD36C9"/>
    <w:rsid w:val="00CD493F"/>
    <w:rsid w:val="00CD6B3D"/>
    <w:rsid w:val="00CE0A77"/>
    <w:rsid w:val="00CE4538"/>
    <w:rsid w:val="00CE5D0B"/>
    <w:rsid w:val="00CF0305"/>
    <w:rsid w:val="00CF26C8"/>
    <w:rsid w:val="00CF4751"/>
    <w:rsid w:val="00D041D3"/>
    <w:rsid w:val="00D04889"/>
    <w:rsid w:val="00D05056"/>
    <w:rsid w:val="00D06B7B"/>
    <w:rsid w:val="00D079E7"/>
    <w:rsid w:val="00D11557"/>
    <w:rsid w:val="00D11591"/>
    <w:rsid w:val="00D11A64"/>
    <w:rsid w:val="00D12020"/>
    <w:rsid w:val="00D14DFB"/>
    <w:rsid w:val="00D15257"/>
    <w:rsid w:val="00D15D49"/>
    <w:rsid w:val="00D17512"/>
    <w:rsid w:val="00D17530"/>
    <w:rsid w:val="00D200C0"/>
    <w:rsid w:val="00D225EA"/>
    <w:rsid w:val="00D261EB"/>
    <w:rsid w:val="00D26842"/>
    <w:rsid w:val="00D27699"/>
    <w:rsid w:val="00D3173A"/>
    <w:rsid w:val="00D31B77"/>
    <w:rsid w:val="00D31F42"/>
    <w:rsid w:val="00D32A22"/>
    <w:rsid w:val="00D3374B"/>
    <w:rsid w:val="00D350A1"/>
    <w:rsid w:val="00D3531A"/>
    <w:rsid w:val="00D439A3"/>
    <w:rsid w:val="00D47589"/>
    <w:rsid w:val="00D52658"/>
    <w:rsid w:val="00D546D0"/>
    <w:rsid w:val="00D54819"/>
    <w:rsid w:val="00D55672"/>
    <w:rsid w:val="00D571FC"/>
    <w:rsid w:val="00D62666"/>
    <w:rsid w:val="00D660AE"/>
    <w:rsid w:val="00D707C8"/>
    <w:rsid w:val="00D70CBD"/>
    <w:rsid w:val="00D72016"/>
    <w:rsid w:val="00D72D0C"/>
    <w:rsid w:val="00D7369A"/>
    <w:rsid w:val="00D76D95"/>
    <w:rsid w:val="00D77532"/>
    <w:rsid w:val="00D77AF3"/>
    <w:rsid w:val="00D81063"/>
    <w:rsid w:val="00D82472"/>
    <w:rsid w:val="00D824D7"/>
    <w:rsid w:val="00D8715E"/>
    <w:rsid w:val="00D8719D"/>
    <w:rsid w:val="00D874BC"/>
    <w:rsid w:val="00D87803"/>
    <w:rsid w:val="00D906CC"/>
    <w:rsid w:val="00D95956"/>
    <w:rsid w:val="00D96130"/>
    <w:rsid w:val="00D97E8F"/>
    <w:rsid w:val="00DA243F"/>
    <w:rsid w:val="00DA3CF7"/>
    <w:rsid w:val="00DA5B12"/>
    <w:rsid w:val="00DB0601"/>
    <w:rsid w:val="00DB4CD7"/>
    <w:rsid w:val="00DB63F1"/>
    <w:rsid w:val="00DB691E"/>
    <w:rsid w:val="00DC23DC"/>
    <w:rsid w:val="00DC5731"/>
    <w:rsid w:val="00DC68AE"/>
    <w:rsid w:val="00DC7368"/>
    <w:rsid w:val="00DD5F36"/>
    <w:rsid w:val="00DD7228"/>
    <w:rsid w:val="00DE32F5"/>
    <w:rsid w:val="00DE48AC"/>
    <w:rsid w:val="00DE55DB"/>
    <w:rsid w:val="00DE6053"/>
    <w:rsid w:val="00DE64FA"/>
    <w:rsid w:val="00DF067D"/>
    <w:rsid w:val="00DF2D1B"/>
    <w:rsid w:val="00DF3D80"/>
    <w:rsid w:val="00DF44DD"/>
    <w:rsid w:val="00DF4A2A"/>
    <w:rsid w:val="00DF5D13"/>
    <w:rsid w:val="00DF6E85"/>
    <w:rsid w:val="00DF72A1"/>
    <w:rsid w:val="00DF7C3D"/>
    <w:rsid w:val="00E01E2A"/>
    <w:rsid w:val="00E03BB0"/>
    <w:rsid w:val="00E05760"/>
    <w:rsid w:val="00E06436"/>
    <w:rsid w:val="00E064F7"/>
    <w:rsid w:val="00E12A6D"/>
    <w:rsid w:val="00E21C7A"/>
    <w:rsid w:val="00E241B6"/>
    <w:rsid w:val="00E27AC4"/>
    <w:rsid w:val="00E27EFD"/>
    <w:rsid w:val="00E309ED"/>
    <w:rsid w:val="00E3173B"/>
    <w:rsid w:val="00E31C5F"/>
    <w:rsid w:val="00E31E3D"/>
    <w:rsid w:val="00E32FA1"/>
    <w:rsid w:val="00E33015"/>
    <w:rsid w:val="00E4169C"/>
    <w:rsid w:val="00E42901"/>
    <w:rsid w:val="00E42DD7"/>
    <w:rsid w:val="00E46E7F"/>
    <w:rsid w:val="00E472F2"/>
    <w:rsid w:val="00E474BA"/>
    <w:rsid w:val="00E47A21"/>
    <w:rsid w:val="00E502B9"/>
    <w:rsid w:val="00E50F6A"/>
    <w:rsid w:val="00E51F24"/>
    <w:rsid w:val="00E52409"/>
    <w:rsid w:val="00E5265E"/>
    <w:rsid w:val="00E560D1"/>
    <w:rsid w:val="00E5626E"/>
    <w:rsid w:val="00E57402"/>
    <w:rsid w:val="00E57BA8"/>
    <w:rsid w:val="00E608CE"/>
    <w:rsid w:val="00E6238F"/>
    <w:rsid w:val="00E63BB6"/>
    <w:rsid w:val="00E651AE"/>
    <w:rsid w:val="00E66BA7"/>
    <w:rsid w:val="00E736DD"/>
    <w:rsid w:val="00E773E5"/>
    <w:rsid w:val="00E77E2D"/>
    <w:rsid w:val="00E838D5"/>
    <w:rsid w:val="00E84425"/>
    <w:rsid w:val="00E91F45"/>
    <w:rsid w:val="00E9246C"/>
    <w:rsid w:val="00E9317C"/>
    <w:rsid w:val="00E93757"/>
    <w:rsid w:val="00E93A84"/>
    <w:rsid w:val="00E95AC7"/>
    <w:rsid w:val="00E95C8F"/>
    <w:rsid w:val="00E977F0"/>
    <w:rsid w:val="00EA3D4E"/>
    <w:rsid w:val="00EB1F5C"/>
    <w:rsid w:val="00EB3357"/>
    <w:rsid w:val="00EB4A77"/>
    <w:rsid w:val="00EC0479"/>
    <w:rsid w:val="00EC2B07"/>
    <w:rsid w:val="00EC772B"/>
    <w:rsid w:val="00ED181E"/>
    <w:rsid w:val="00ED19F2"/>
    <w:rsid w:val="00ED3627"/>
    <w:rsid w:val="00ED6553"/>
    <w:rsid w:val="00ED74B5"/>
    <w:rsid w:val="00EE3FF3"/>
    <w:rsid w:val="00EE4B94"/>
    <w:rsid w:val="00EE58A0"/>
    <w:rsid w:val="00EE64B6"/>
    <w:rsid w:val="00EF19FE"/>
    <w:rsid w:val="00EF3917"/>
    <w:rsid w:val="00EF4258"/>
    <w:rsid w:val="00F0315D"/>
    <w:rsid w:val="00F04419"/>
    <w:rsid w:val="00F06685"/>
    <w:rsid w:val="00F12C92"/>
    <w:rsid w:val="00F138AC"/>
    <w:rsid w:val="00F14C54"/>
    <w:rsid w:val="00F1701E"/>
    <w:rsid w:val="00F21632"/>
    <w:rsid w:val="00F22BF1"/>
    <w:rsid w:val="00F24106"/>
    <w:rsid w:val="00F2632D"/>
    <w:rsid w:val="00F31842"/>
    <w:rsid w:val="00F32C6B"/>
    <w:rsid w:val="00F37BD3"/>
    <w:rsid w:val="00F4112F"/>
    <w:rsid w:val="00F41CFA"/>
    <w:rsid w:val="00F420BD"/>
    <w:rsid w:val="00F433E6"/>
    <w:rsid w:val="00F45271"/>
    <w:rsid w:val="00F51D7F"/>
    <w:rsid w:val="00F52B1D"/>
    <w:rsid w:val="00F54978"/>
    <w:rsid w:val="00F54993"/>
    <w:rsid w:val="00F54FB8"/>
    <w:rsid w:val="00F55962"/>
    <w:rsid w:val="00F63CE7"/>
    <w:rsid w:val="00F6674B"/>
    <w:rsid w:val="00F7067E"/>
    <w:rsid w:val="00F727DA"/>
    <w:rsid w:val="00F739A8"/>
    <w:rsid w:val="00F73AE3"/>
    <w:rsid w:val="00F75E70"/>
    <w:rsid w:val="00F77576"/>
    <w:rsid w:val="00F83A82"/>
    <w:rsid w:val="00F862B3"/>
    <w:rsid w:val="00F91519"/>
    <w:rsid w:val="00F923B9"/>
    <w:rsid w:val="00F93965"/>
    <w:rsid w:val="00F93A55"/>
    <w:rsid w:val="00F93F77"/>
    <w:rsid w:val="00F94A74"/>
    <w:rsid w:val="00F965A0"/>
    <w:rsid w:val="00F971E0"/>
    <w:rsid w:val="00FA21B9"/>
    <w:rsid w:val="00FA3CB8"/>
    <w:rsid w:val="00FA4107"/>
    <w:rsid w:val="00FA5C69"/>
    <w:rsid w:val="00FA6133"/>
    <w:rsid w:val="00FB2A63"/>
    <w:rsid w:val="00FB5599"/>
    <w:rsid w:val="00FB7C41"/>
    <w:rsid w:val="00FC3CB2"/>
    <w:rsid w:val="00FC5AA4"/>
    <w:rsid w:val="00FC713A"/>
    <w:rsid w:val="00FD182C"/>
    <w:rsid w:val="00FD2A96"/>
    <w:rsid w:val="00FD2B20"/>
    <w:rsid w:val="00FD3E1E"/>
    <w:rsid w:val="00FD58B9"/>
    <w:rsid w:val="00FE073D"/>
    <w:rsid w:val="00FE2A93"/>
    <w:rsid w:val="00FE5D62"/>
    <w:rsid w:val="00FF4D81"/>
    <w:rsid w:val="00FF52D3"/>
    <w:rsid w:val="00FF652E"/>
    <w:rsid w:val="00FF6C03"/>
    <w:rsid w:val="055B9745"/>
    <w:rsid w:val="05E2DDF0"/>
    <w:rsid w:val="0F1A82B9"/>
    <w:rsid w:val="16853BC1"/>
    <w:rsid w:val="1983F667"/>
    <w:rsid w:val="1D0A5B7D"/>
    <w:rsid w:val="1D57A499"/>
    <w:rsid w:val="1F0F8908"/>
    <w:rsid w:val="2E7D9F64"/>
    <w:rsid w:val="370B1743"/>
    <w:rsid w:val="3B6AAE00"/>
    <w:rsid w:val="485928B5"/>
    <w:rsid w:val="490D1980"/>
    <w:rsid w:val="4AA8E9E1"/>
    <w:rsid w:val="4F972190"/>
    <w:rsid w:val="5333DB93"/>
    <w:rsid w:val="5B10E51D"/>
    <w:rsid w:val="5CC1957C"/>
    <w:rsid w:val="5DE24D9E"/>
    <w:rsid w:val="6CA38EFE"/>
    <w:rsid w:val="71062241"/>
    <w:rsid w:val="72A1F2A2"/>
    <w:rsid w:val="7351ED96"/>
    <w:rsid w:val="7B46F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B44893"/>
  <w15:docId w15:val="{5638C4D0-ECCA-41AF-899C-069628C07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40"/>
    </w:pPr>
    <w:rPr>
      <w:rFonts w:ascii="Arial" w:hAnsi="Arial"/>
      <w:sz w:val="22"/>
    </w:rPr>
  </w:style>
  <w:style w:type="paragraph" w:styleId="Heading1">
    <w:name w:val="heading 1"/>
    <w:basedOn w:val="Normal"/>
    <w:next w:val="Normal"/>
    <w:qFormat/>
    <w:pPr>
      <w:keepNext/>
      <w:outlineLvl w:val="0"/>
    </w:pPr>
    <w:rPr>
      <w:rFonts w:ascii="Times New Roman" w:hAnsi="Times New Roman"/>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sz w:val="16"/>
    </w:rPr>
  </w:style>
  <w:style w:type="character" w:styleId="PageNumber">
    <w:name w:val="page number"/>
    <w:basedOn w:val="DefaultParagraphFont"/>
    <w:semiHidden/>
  </w:style>
  <w:style w:type="character" w:customStyle="1" w:styleId="eudoraheader">
    <w:name w:val="eudorahead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autoSpaceDE w:val="0"/>
      <w:autoSpaceDN w:val="0"/>
      <w:adjustRightInd w:val="0"/>
      <w:spacing w:before="0" w:line="480" w:lineRule="atLeast"/>
      <w:jc w:val="right"/>
    </w:pPr>
    <w:rPr>
      <w:rFonts w:ascii="Poppl-Laudatio Regular" w:hAnsi="Poppl-Laudatio Regular"/>
      <w:b/>
      <w:bCs/>
      <w:i/>
      <w:iCs/>
      <w:color w:val="000000"/>
      <w:sz w:val="36"/>
      <w:szCs w:val="36"/>
    </w:rPr>
  </w:style>
  <w:style w:type="paragraph" w:styleId="Subtitle">
    <w:name w:val="Subtitle"/>
    <w:basedOn w:val="Normal"/>
    <w:qFormat/>
    <w:pPr>
      <w:spacing w:before="0"/>
    </w:pPr>
    <w:rPr>
      <w:rFonts w:ascii="Times New Roman" w:hAnsi="Times New Roman"/>
      <w:b/>
      <w:sz w:val="24"/>
    </w:rPr>
  </w:style>
  <w:style w:type="paragraph" w:styleId="BodyText">
    <w:name w:val="Body Text"/>
    <w:basedOn w:val="Normal"/>
    <w:semiHidden/>
    <w:rPr>
      <w:rFonts w:ascii="Times New Roman" w:hAnsi="Times New Roman"/>
      <w:sz w:val="24"/>
      <w:szCs w:val="22"/>
    </w:rPr>
  </w:style>
  <w:style w:type="paragraph" w:styleId="BodyTextIndent">
    <w:name w:val="Body Text Indent"/>
    <w:basedOn w:val="Normal"/>
    <w:semiHidden/>
    <w:pPr>
      <w:tabs>
        <w:tab w:val="left" w:pos="1100"/>
      </w:tabs>
      <w:ind w:left="770"/>
    </w:pPr>
    <w:rPr>
      <w:rFonts w:ascii="Times New Roman" w:hAnsi="Times New Roman"/>
      <w:sz w:val="24"/>
    </w:rPr>
  </w:style>
  <w:style w:type="paragraph" w:styleId="Header">
    <w:name w:val="header"/>
    <w:basedOn w:val="Normal"/>
    <w:semiHidden/>
    <w:pPr>
      <w:tabs>
        <w:tab w:val="center" w:pos="4320"/>
        <w:tab w:val="right" w:pos="8640"/>
      </w:tabs>
    </w:pPr>
  </w:style>
  <w:style w:type="character" w:customStyle="1" w:styleId="FooterChar">
    <w:name w:val="Footer Char"/>
    <w:link w:val="Footer"/>
    <w:uiPriority w:val="99"/>
    <w:rsid w:val="00922E19"/>
    <w:rPr>
      <w:rFonts w:ascii="Arial" w:hAnsi="Arial"/>
      <w:sz w:val="16"/>
    </w:rPr>
  </w:style>
  <w:style w:type="character" w:styleId="Hyperlink">
    <w:name w:val="Hyperlink"/>
    <w:uiPriority w:val="99"/>
    <w:unhideWhenUsed/>
    <w:rsid w:val="003343DA"/>
    <w:rPr>
      <w:color w:val="0000FF"/>
      <w:u w:val="single"/>
    </w:rPr>
  </w:style>
  <w:style w:type="paragraph" w:styleId="CommentSubject">
    <w:name w:val="annotation subject"/>
    <w:basedOn w:val="CommentText"/>
    <w:next w:val="CommentText"/>
    <w:link w:val="CommentSubjectChar"/>
    <w:uiPriority w:val="99"/>
    <w:semiHidden/>
    <w:unhideWhenUsed/>
    <w:rsid w:val="00F1701E"/>
    <w:rPr>
      <w:b/>
      <w:bCs/>
    </w:rPr>
  </w:style>
  <w:style w:type="character" w:customStyle="1" w:styleId="CommentTextChar">
    <w:name w:val="Comment Text Char"/>
    <w:basedOn w:val="DefaultParagraphFont"/>
    <w:link w:val="CommentText"/>
    <w:semiHidden/>
    <w:rsid w:val="00F1701E"/>
    <w:rPr>
      <w:rFonts w:ascii="Arial" w:hAnsi="Arial"/>
    </w:rPr>
  </w:style>
  <w:style w:type="character" w:customStyle="1" w:styleId="CommentSubjectChar">
    <w:name w:val="Comment Subject Char"/>
    <w:basedOn w:val="CommentTextChar"/>
    <w:link w:val="CommentSubject"/>
    <w:uiPriority w:val="99"/>
    <w:semiHidden/>
    <w:rsid w:val="00F1701E"/>
    <w:rPr>
      <w:rFonts w:ascii="Arial" w:hAnsi="Arial"/>
      <w:b/>
      <w:bCs/>
    </w:rPr>
  </w:style>
  <w:style w:type="paragraph" w:styleId="Revision">
    <w:name w:val="Revision"/>
    <w:hidden/>
    <w:uiPriority w:val="99"/>
    <w:semiHidden/>
    <w:rsid w:val="00F6674B"/>
    <w:rPr>
      <w:rFonts w:ascii="Arial" w:hAnsi="Arial"/>
      <w:sz w:val="22"/>
    </w:rPr>
  </w:style>
  <w:style w:type="paragraph" w:styleId="ListParagraph">
    <w:name w:val="List Paragraph"/>
    <w:basedOn w:val="Normal"/>
    <w:uiPriority w:val="34"/>
    <w:qFormat/>
    <w:rsid w:val="003A5B33"/>
    <w:pPr>
      <w:ind w:left="720"/>
      <w:contextualSpacing/>
    </w:pPr>
  </w:style>
  <w:style w:type="table" w:styleId="TableGrid">
    <w:name w:val="Table Grid"/>
    <w:basedOn w:val="TableNormal"/>
    <w:uiPriority w:val="59"/>
    <w:rsid w:val="002B7C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F3B62"/>
    <w:pPr>
      <w:spacing w:before="0"/>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8F3B62"/>
    <w:rPr>
      <w:rFonts w:ascii="Calibri" w:eastAsiaTheme="minorHAnsi" w:hAnsi="Calibri" w:cstheme="minorBidi"/>
      <w:sz w:val="22"/>
      <w:szCs w:val="21"/>
    </w:rPr>
  </w:style>
  <w:style w:type="paragraph" w:styleId="Caption">
    <w:name w:val="caption"/>
    <w:basedOn w:val="Normal"/>
    <w:next w:val="Normal"/>
    <w:uiPriority w:val="35"/>
    <w:unhideWhenUsed/>
    <w:qFormat/>
    <w:rsid w:val="008F3B62"/>
    <w:pPr>
      <w:spacing w:before="0" w:after="200"/>
    </w:pPr>
    <w:rPr>
      <w:rFonts w:asciiTheme="minorHAnsi" w:eastAsiaTheme="minorHAnsi" w:hAnsiTheme="minorHAnsi" w:cstheme="minorBidi"/>
      <w:i/>
      <w:iCs/>
      <w:color w:val="1F497D" w:themeColor="text2"/>
      <w:sz w:val="18"/>
      <w:szCs w:val="18"/>
    </w:rPr>
  </w:style>
  <w:style w:type="paragraph" w:customStyle="1" w:styleId="paragraph">
    <w:name w:val="paragraph"/>
    <w:basedOn w:val="Normal"/>
    <w:rsid w:val="00D8106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D81063"/>
  </w:style>
  <w:style w:type="character" w:customStyle="1" w:styleId="eop">
    <w:name w:val="eop"/>
    <w:basedOn w:val="DefaultParagraphFont"/>
    <w:rsid w:val="00D81063"/>
  </w:style>
  <w:style w:type="character" w:styleId="Emphasis">
    <w:name w:val="Emphasis"/>
    <w:basedOn w:val="DefaultParagraphFont"/>
    <w:uiPriority w:val="20"/>
    <w:qFormat/>
    <w:rsid w:val="00D81063"/>
    <w:rPr>
      <w:i/>
      <w:iCs/>
    </w:rPr>
  </w:style>
  <w:style w:type="paragraph" w:styleId="BodyText3">
    <w:name w:val="Body Text 3"/>
    <w:basedOn w:val="Normal"/>
    <w:link w:val="BodyText3Char"/>
    <w:uiPriority w:val="99"/>
    <w:semiHidden/>
    <w:unhideWhenUsed/>
    <w:rsid w:val="00470461"/>
    <w:pPr>
      <w:spacing w:after="120"/>
    </w:pPr>
    <w:rPr>
      <w:sz w:val="16"/>
      <w:szCs w:val="16"/>
    </w:rPr>
  </w:style>
  <w:style w:type="character" w:customStyle="1" w:styleId="BodyText3Char">
    <w:name w:val="Body Text 3 Char"/>
    <w:basedOn w:val="DefaultParagraphFont"/>
    <w:link w:val="BodyText3"/>
    <w:uiPriority w:val="99"/>
    <w:semiHidden/>
    <w:rsid w:val="00470461"/>
    <w:rPr>
      <w:rFonts w:ascii="Arial" w:hAnsi="Arial"/>
      <w:sz w:val="16"/>
      <w:szCs w:val="16"/>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747847">
      <w:bodyDiv w:val="1"/>
      <w:marLeft w:val="0"/>
      <w:marRight w:val="0"/>
      <w:marTop w:val="0"/>
      <w:marBottom w:val="0"/>
      <w:divBdr>
        <w:top w:val="none" w:sz="0" w:space="0" w:color="auto"/>
        <w:left w:val="none" w:sz="0" w:space="0" w:color="auto"/>
        <w:bottom w:val="none" w:sz="0" w:space="0" w:color="auto"/>
        <w:right w:val="none" w:sz="0" w:space="0" w:color="auto"/>
      </w:divBdr>
      <w:divsChild>
        <w:div w:id="2434842">
          <w:marLeft w:val="0"/>
          <w:marRight w:val="0"/>
          <w:marTop w:val="0"/>
          <w:marBottom w:val="0"/>
          <w:divBdr>
            <w:top w:val="none" w:sz="0" w:space="0" w:color="auto"/>
            <w:left w:val="none" w:sz="0" w:space="0" w:color="auto"/>
            <w:bottom w:val="none" w:sz="0" w:space="0" w:color="auto"/>
            <w:right w:val="none" w:sz="0" w:space="0" w:color="auto"/>
          </w:divBdr>
          <w:divsChild>
            <w:div w:id="1468626295">
              <w:marLeft w:val="0"/>
              <w:marRight w:val="0"/>
              <w:marTop w:val="0"/>
              <w:marBottom w:val="0"/>
              <w:divBdr>
                <w:top w:val="none" w:sz="0" w:space="0" w:color="auto"/>
                <w:left w:val="none" w:sz="0" w:space="0" w:color="auto"/>
                <w:bottom w:val="none" w:sz="0" w:space="0" w:color="auto"/>
                <w:right w:val="none" w:sz="0" w:space="0" w:color="auto"/>
              </w:divBdr>
            </w:div>
          </w:divsChild>
        </w:div>
        <w:div w:id="41558869">
          <w:marLeft w:val="0"/>
          <w:marRight w:val="0"/>
          <w:marTop w:val="0"/>
          <w:marBottom w:val="0"/>
          <w:divBdr>
            <w:top w:val="none" w:sz="0" w:space="0" w:color="auto"/>
            <w:left w:val="none" w:sz="0" w:space="0" w:color="auto"/>
            <w:bottom w:val="none" w:sz="0" w:space="0" w:color="auto"/>
            <w:right w:val="none" w:sz="0" w:space="0" w:color="auto"/>
          </w:divBdr>
          <w:divsChild>
            <w:div w:id="1454638390">
              <w:marLeft w:val="0"/>
              <w:marRight w:val="0"/>
              <w:marTop w:val="0"/>
              <w:marBottom w:val="0"/>
              <w:divBdr>
                <w:top w:val="none" w:sz="0" w:space="0" w:color="auto"/>
                <w:left w:val="none" w:sz="0" w:space="0" w:color="auto"/>
                <w:bottom w:val="none" w:sz="0" w:space="0" w:color="auto"/>
                <w:right w:val="none" w:sz="0" w:space="0" w:color="auto"/>
              </w:divBdr>
            </w:div>
          </w:divsChild>
        </w:div>
        <w:div w:id="87697700">
          <w:marLeft w:val="0"/>
          <w:marRight w:val="0"/>
          <w:marTop w:val="0"/>
          <w:marBottom w:val="0"/>
          <w:divBdr>
            <w:top w:val="none" w:sz="0" w:space="0" w:color="auto"/>
            <w:left w:val="none" w:sz="0" w:space="0" w:color="auto"/>
            <w:bottom w:val="none" w:sz="0" w:space="0" w:color="auto"/>
            <w:right w:val="none" w:sz="0" w:space="0" w:color="auto"/>
          </w:divBdr>
          <w:divsChild>
            <w:div w:id="692074610">
              <w:marLeft w:val="0"/>
              <w:marRight w:val="0"/>
              <w:marTop w:val="0"/>
              <w:marBottom w:val="0"/>
              <w:divBdr>
                <w:top w:val="none" w:sz="0" w:space="0" w:color="auto"/>
                <w:left w:val="none" w:sz="0" w:space="0" w:color="auto"/>
                <w:bottom w:val="none" w:sz="0" w:space="0" w:color="auto"/>
                <w:right w:val="none" w:sz="0" w:space="0" w:color="auto"/>
              </w:divBdr>
            </w:div>
          </w:divsChild>
        </w:div>
        <w:div w:id="148057541">
          <w:marLeft w:val="0"/>
          <w:marRight w:val="0"/>
          <w:marTop w:val="0"/>
          <w:marBottom w:val="0"/>
          <w:divBdr>
            <w:top w:val="none" w:sz="0" w:space="0" w:color="auto"/>
            <w:left w:val="none" w:sz="0" w:space="0" w:color="auto"/>
            <w:bottom w:val="none" w:sz="0" w:space="0" w:color="auto"/>
            <w:right w:val="none" w:sz="0" w:space="0" w:color="auto"/>
          </w:divBdr>
          <w:divsChild>
            <w:div w:id="521552457">
              <w:marLeft w:val="0"/>
              <w:marRight w:val="0"/>
              <w:marTop w:val="0"/>
              <w:marBottom w:val="0"/>
              <w:divBdr>
                <w:top w:val="none" w:sz="0" w:space="0" w:color="auto"/>
                <w:left w:val="none" w:sz="0" w:space="0" w:color="auto"/>
                <w:bottom w:val="none" w:sz="0" w:space="0" w:color="auto"/>
                <w:right w:val="none" w:sz="0" w:space="0" w:color="auto"/>
              </w:divBdr>
            </w:div>
          </w:divsChild>
        </w:div>
        <w:div w:id="244265568">
          <w:marLeft w:val="0"/>
          <w:marRight w:val="0"/>
          <w:marTop w:val="0"/>
          <w:marBottom w:val="0"/>
          <w:divBdr>
            <w:top w:val="none" w:sz="0" w:space="0" w:color="auto"/>
            <w:left w:val="none" w:sz="0" w:space="0" w:color="auto"/>
            <w:bottom w:val="none" w:sz="0" w:space="0" w:color="auto"/>
            <w:right w:val="none" w:sz="0" w:space="0" w:color="auto"/>
          </w:divBdr>
          <w:divsChild>
            <w:div w:id="1149902824">
              <w:marLeft w:val="0"/>
              <w:marRight w:val="0"/>
              <w:marTop w:val="0"/>
              <w:marBottom w:val="0"/>
              <w:divBdr>
                <w:top w:val="none" w:sz="0" w:space="0" w:color="auto"/>
                <w:left w:val="none" w:sz="0" w:space="0" w:color="auto"/>
                <w:bottom w:val="none" w:sz="0" w:space="0" w:color="auto"/>
                <w:right w:val="none" w:sz="0" w:space="0" w:color="auto"/>
              </w:divBdr>
            </w:div>
          </w:divsChild>
        </w:div>
        <w:div w:id="247737465">
          <w:marLeft w:val="0"/>
          <w:marRight w:val="0"/>
          <w:marTop w:val="0"/>
          <w:marBottom w:val="0"/>
          <w:divBdr>
            <w:top w:val="none" w:sz="0" w:space="0" w:color="auto"/>
            <w:left w:val="none" w:sz="0" w:space="0" w:color="auto"/>
            <w:bottom w:val="none" w:sz="0" w:space="0" w:color="auto"/>
            <w:right w:val="none" w:sz="0" w:space="0" w:color="auto"/>
          </w:divBdr>
          <w:divsChild>
            <w:div w:id="512955654">
              <w:marLeft w:val="0"/>
              <w:marRight w:val="0"/>
              <w:marTop w:val="0"/>
              <w:marBottom w:val="0"/>
              <w:divBdr>
                <w:top w:val="none" w:sz="0" w:space="0" w:color="auto"/>
                <w:left w:val="none" w:sz="0" w:space="0" w:color="auto"/>
                <w:bottom w:val="none" w:sz="0" w:space="0" w:color="auto"/>
                <w:right w:val="none" w:sz="0" w:space="0" w:color="auto"/>
              </w:divBdr>
            </w:div>
          </w:divsChild>
        </w:div>
        <w:div w:id="318313285">
          <w:marLeft w:val="0"/>
          <w:marRight w:val="0"/>
          <w:marTop w:val="0"/>
          <w:marBottom w:val="0"/>
          <w:divBdr>
            <w:top w:val="none" w:sz="0" w:space="0" w:color="auto"/>
            <w:left w:val="none" w:sz="0" w:space="0" w:color="auto"/>
            <w:bottom w:val="none" w:sz="0" w:space="0" w:color="auto"/>
            <w:right w:val="none" w:sz="0" w:space="0" w:color="auto"/>
          </w:divBdr>
          <w:divsChild>
            <w:div w:id="475804819">
              <w:marLeft w:val="0"/>
              <w:marRight w:val="0"/>
              <w:marTop w:val="0"/>
              <w:marBottom w:val="0"/>
              <w:divBdr>
                <w:top w:val="none" w:sz="0" w:space="0" w:color="auto"/>
                <w:left w:val="none" w:sz="0" w:space="0" w:color="auto"/>
                <w:bottom w:val="none" w:sz="0" w:space="0" w:color="auto"/>
                <w:right w:val="none" w:sz="0" w:space="0" w:color="auto"/>
              </w:divBdr>
            </w:div>
          </w:divsChild>
        </w:div>
        <w:div w:id="442043658">
          <w:marLeft w:val="0"/>
          <w:marRight w:val="0"/>
          <w:marTop w:val="0"/>
          <w:marBottom w:val="0"/>
          <w:divBdr>
            <w:top w:val="none" w:sz="0" w:space="0" w:color="auto"/>
            <w:left w:val="none" w:sz="0" w:space="0" w:color="auto"/>
            <w:bottom w:val="none" w:sz="0" w:space="0" w:color="auto"/>
            <w:right w:val="none" w:sz="0" w:space="0" w:color="auto"/>
          </w:divBdr>
          <w:divsChild>
            <w:div w:id="712851941">
              <w:marLeft w:val="0"/>
              <w:marRight w:val="0"/>
              <w:marTop w:val="0"/>
              <w:marBottom w:val="0"/>
              <w:divBdr>
                <w:top w:val="none" w:sz="0" w:space="0" w:color="auto"/>
                <w:left w:val="none" w:sz="0" w:space="0" w:color="auto"/>
                <w:bottom w:val="none" w:sz="0" w:space="0" w:color="auto"/>
                <w:right w:val="none" w:sz="0" w:space="0" w:color="auto"/>
              </w:divBdr>
            </w:div>
          </w:divsChild>
        </w:div>
        <w:div w:id="497501745">
          <w:marLeft w:val="0"/>
          <w:marRight w:val="0"/>
          <w:marTop w:val="0"/>
          <w:marBottom w:val="0"/>
          <w:divBdr>
            <w:top w:val="none" w:sz="0" w:space="0" w:color="auto"/>
            <w:left w:val="none" w:sz="0" w:space="0" w:color="auto"/>
            <w:bottom w:val="none" w:sz="0" w:space="0" w:color="auto"/>
            <w:right w:val="none" w:sz="0" w:space="0" w:color="auto"/>
          </w:divBdr>
          <w:divsChild>
            <w:div w:id="630285196">
              <w:marLeft w:val="0"/>
              <w:marRight w:val="0"/>
              <w:marTop w:val="0"/>
              <w:marBottom w:val="0"/>
              <w:divBdr>
                <w:top w:val="none" w:sz="0" w:space="0" w:color="auto"/>
                <w:left w:val="none" w:sz="0" w:space="0" w:color="auto"/>
                <w:bottom w:val="none" w:sz="0" w:space="0" w:color="auto"/>
                <w:right w:val="none" w:sz="0" w:space="0" w:color="auto"/>
              </w:divBdr>
            </w:div>
          </w:divsChild>
        </w:div>
        <w:div w:id="567153090">
          <w:marLeft w:val="0"/>
          <w:marRight w:val="0"/>
          <w:marTop w:val="0"/>
          <w:marBottom w:val="0"/>
          <w:divBdr>
            <w:top w:val="none" w:sz="0" w:space="0" w:color="auto"/>
            <w:left w:val="none" w:sz="0" w:space="0" w:color="auto"/>
            <w:bottom w:val="none" w:sz="0" w:space="0" w:color="auto"/>
            <w:right w:val="none" w:sz="0" w:space="0" w:color="auto"/>
          </w:divBdr>
          <w:divsChild>
            <w:div w:id="363407781">
              <w:marLeft w:val="0"/>
              <w:marRight w:val="0"/>
              <w:marTop w:val="0"/>
              <w:marBottom w:val="0"/>
              <w:divBdr>
                <w:top w:val="none" w:sz="0" w:space="0" w:color="auto"/>
                <w:left w:val="none" w:sz="0" w:space="0" w:color="auto"/>
                <w:bottom w:val="none" w:sz="0" w:space="0" w:color="auto"/>
                <w:right w:val="none" w:sz="0" w:space="0" w:color="auto"/>
              </w:divBdr>
            </w:div>
          </w:divsChild>
        </w:div>
        <w:div w:id="586311917">
          <w:marLeft w:val="0"/>
          <w:marRight w:val="0"/>
          <w:marTop w:val="0"/>
          <w:marBottom w:val="0"/>
          <w:divBdr>
            <w:top w:val="none" w:sz="0" w:space="0" w:color="auto"/>
            <w:left w:val="none" w:sz="0" w:space="0" w:color="auto"/>
            <w:bottom w:val="none" w:sz="0" w:space="0" w:color="auto"/>
            <w:right w:val="none" w:sz="0" w:space="0" w:color="auto"/>
          </w:divBdr>
          <w:divsChild>
            <w:div w:id="102072110">
              <w:marLeft w:val="0"/>
              <w:marRight w:val="0"/>
              <w:marTop w:val="0"/>
              <w:marBottom w:val="0"/>
              <w:divBdr>
                <w:top w:val="none" w:sz="0" w:space="0" w:color="auto"/>
                <w:left w:val="none" w:sz="0" w:space="0" w:color="auto"/>
                <w:bottom w:val="none" w:sz="0" w:space="0" w:color="auto"/>
                <w:right w:val="none" w:sz="0" w:space="0" w:color="auto"/>
              </w:divBdr>
            </w:div>
          </w:divsChild>
        </w:div>
        <w:div w:id="620454936">
          <w:marLeft w:val="0"/>
          <w:marRight w:val="0"/>
          <w:marTop w:val="0"/>
          <w:marBottom w:val="0"/>
          <w:divBdr>
            <w:top w:val="none" w:sz="0" w:space="0" w:color="auto"/>
            <w:left w:val="none" w:sz="0" w:space="0" w:color="auto"/>
            <w:bottom w:val="none" w:sz="0" w:space="0" w:color="auto"/>
            <w:right w:val="none" w:sz="0" w:space="0" w:color="auto"/>
          </w:divBdr>
          <w:divsChild>
            <w:div w:id="817527337">
              <w:marLeft w:val="0"/>
              <w:marRight w:val="0"/>
              <w:marTop w:val="0"/>
              <w:marBottom w:val="0"/>
              <w:divBdr>
                <w:top w:val="none" w:sz="0" w:space="0" w:color="auto"/>
                <w:left w:val="none" w:sz="0" w:space="0" w:color="auto"/>
                <w:bottom w:val="none" w:sz="0" w:space="0" w:color="auto"/>
                <w:right w:val="none" w:sz="0" w:space="0" w:color="auto"/>
              </w:divBdr>
            </w:div>
          </w:divsChild>
        </w:div>
        <w:div w:id="724262095">
          <w:marLeft w:val="0"/>
          <w:marRight w:val="0"/>
          <w:marTop w:val="0"/>
          <w:marBottom w:val="0"/>
          <w:divBdr>
            <w:top w:val="none" w:sz="0" w:space="0" w:color="auto"/>
            <w:left w:val="none" w:sz="0" w:space="0" w:color="auto"/>
            <w:bottom w:val="none" w:sz="0" w:space="0" w:color="auto"/>
            <w:right w:val="none" w:sz="0" w:space="0" w:color="auto"/>
          </w:divBdr>
          <w:divsChild>
            <w:div w:id="622343336">
              <w:marLeft w:val="0"/>
              <w:marRight w:val="0"/>
              <w:marTop w:val="0"/>
              <w:marBottom w:val="0"/>
              <w:divBdr>
                <w:top w:val="none" w:sz="0" w:space="0" w:color="auto"/>
                <w:left w:val="none" w:sz="0" w:space="0" w:color="auto"/>
                <w:bottom w:val="none" w:sz="0" w:space="0" w:color="auto"/>
                <w:right w:val="none" w:sz="0" w:space="0" w:color="auto"/>
              </w:divBdr>
            </w:div>
          </w:divsChild>
        </w:div>
        <w:div w:id="830020022">
          <w:marLeft w:val="0"/>
          <w:marRight w:val="0"/>
          <w:marTop w:val="0"/>
          <w:marBottom w:val="0"/>
          <w:divBdr>
            <w:top w:val="none" w:sz="0" w:space="0" w:color="auto"/>
            <w:left w:val="none" w:sz="0" w:space="0" w:color="auto"/>
            <w:bottom w:val="none" w:sz="0" w:space="0" w:color="auto"/>
            <w:right w:val="none" w:sz="0" w:space="0" w:color="auto"/>
          </w:divBdr>
          <w:divsChild>
            <w:div w:id="1864515403">
              <w:marLeft w:val="0"/>
              <w:marRight w:val="0"/>
              <w:marTop w:val="0"/>
              <w:marBottom w:val="0"/>
              <w:divBdr>
                <w:top w:val="none" w:sz="0" w:space="0" w:color="auto"/>
                <w:left w:val="none" w:sz="0" w:space="0" w:color="auto"/>
                <w:bottom w:val="none" w:sz="0" w:space="0" w:color="auto"/>
                <w:right w:val="none" w:sz="0" w:space="0" w:color="auto"/>
              </w:divBdr>
            </w:div>
          </w:divsChild>
        </w:div>
        <w:div w:id="853691190">
          <w:marLeft w:val="0"/>
          <w:marRight w:val="0"/>
          <w:marTop w:val="0"/>
          <w:marBottom w:val="0"/>
          <w:divBdr>
            <w:top w:val="none" w:sz="0" w:space="0" w:color="auto"/>
            <w:left w:val="none" w:sz="0" w:space="0" w:color="auto"/>
            <w:bottom w:val="none" w:sz="0" w:space="0" w:color="auto"/>
            <w:right w:val="none" w:sz="0" w:space="0" w:color="auto"/>
          </w:divBdr>
          <w:divsChild>
            <w:div w:id="1038314071">
              <w:marLeft w:val="0"/>
              <w:marRight w:val="0"/>
              <w:marTop w:val="0"/>
              <w:marBottom w:val="0"/>
              <w:divBdr>
                <w:top w:val="none" w:sz="0" w:space="0" w:color="auto"/>
                <w:left w:val="none" w:sz="0" w:space="0" w:color="auto"/>
                <w:bottom w:val="none" w:sz="0" w:space="0" w:color="auto"/>
                <w:right w:val="none" w:sz="0" w:space="0" w:color="auto"/>
              </w:divBdr>
            </w:div>
          </w:divsChild>
        </w:div>
        <w:div w:id="879898024">
          <w:marLeft w:val="0"/>
          <w:marRight w:val="0"/>
          <w:marTop w:val="0"/>
          <w:marBottom w:val="0"/>
          <w:divBdr>
            <w:top w:val="none" w:sz="0" w:space="0" w:color="auto"/>
            <w:left w:val="none" w:sz="0" w:space="0" w:color="auto"/>
            <w:bottom w:val="none" w:sz="0" w:space="0" w:color="auto"/>
            <w:right w:val="none" w:sz="0" w:space="0" w:color="auto"/>
          </w:divBdr>
          <w:divsChild>
            <w:div w:id="1390572964">
              <w:marLeft w:val="0"/>
              <w:marRight w:val="0"/>
              <w:marTop w:val="0"/>
              <w:marBottom w:val="0"/>
              <w:divBdr>
                <w:top w:val="none" w:sz="0" w:space="0" w:color="auto"/>
                <w:left w:val="none" w:sz="0" w:space="0" w:color="auto"/>
                <w:bottom w:val="none" w:sz="0" w:space="0" w:color="auto"/>
                <w:right w:val="none" w:sz="0" w:space="0" w:color="auto"/>
              </w:divBdr>
            </w:div>
          </w:divsChild>
        </w:div>
        <w:div w:id="1102727812">
          <w:marLeft w:val="0"/>
          <w:marRight w:val="0"/>
          <w:marTop w:val="0"/>
          <w:marBottom w:val="0"/>
          <w:divBdr>
            <w:top w:val="none" w:sz="0" w:space="0" w:color="auto"/>
            <w:left w:val="none" w:sz="0" w:space="0" w:color="auto"/>
            <w:bottom w:val="none" w:sz="0" w:space="0" w:color="auto"/>
            <w:right w:val="none" w:sz="0" w:space="0" w:color="auto"/>
          </w:divBdr>
          <w:divsChild>
            <w:div w:id="308486905">
              <w:marLeft w:val="0"/>
              <w:marRight w:val="0"/>
              <w:marTop w:val="0"/>
              <w:marBottom w:val="0"/>
              <w:divBdr>
                <w:top w:val="none" w:sz="0" w:space="0" w:color="auto"/>
                <w:left w:val="none" w:sz="0" w:space="0" w:color="auto"/>
                <w:bottom w:val="none" w:sz="0" w:space="0" w:color="auto"/>
                <w:right w:val="none" w:sz="0" w:space="0" w:color="auto"/>
              </w:divBdr>
            </w:div>
          </w:divsChild>
        </w:div>
        <w:div w:id="1193684289">
          <w:marLeft w:val="0"/>
          <w:marRight w:val="0"/>
          <w:marTop w:val="0"/>
          <w:marBottom w:val="0"/>
          <w:divBdr>
            <w:top w:val="none" w:sz="0" w:space="0" w:color="auto"/>
            <w:left w:val="none" w:sz="0" w:space="0" w:color="auto"/>
            <w:bottom w:val="none" w:sz="0" w:space="0" w:color="auto"/>
            <w:right w:val="none" w:sz="0" w:space="0" w:color="auto"/>
          </w:divBdr>
          <w:divsChild>
            <w:div w:id="1046832394">
              <w:marLeft w:val="0"/>
              <w:marRight w:val="0"/>
              <w:marTop w:val="0"/>
              <w:marBottom w:val="0"/>
              <w:divBdr>
                <w:top w:val="none" w:sz="0" w:space="0" w:color="auto"/>
                <w:left w:val="none" w:sz="0" w:space="0" w:color="auto"/>
                <w:bottom w:val="none" w:sz="0" w:space="0" w:color="auto"/>
                <w:right w:val="none" w:sz="0" w:space="0" w:color="auto"/>
              </w:divBdr>
            </w:div>
          </w:divsChild>
        </w:div>
        <w:div w:id="1198347080">
          <w:marLeft w:val="0"/>
          <w:marRight w:val="0"/>
          <w:marTop w:val="0"/>
          <w:marBottom w:val="0"/>
          <w:divBdr>
            <w:top w:val="none" w:sz="0" w:space="0" w:color="auto"/>
            <w:left w:val="none" w:sz="0" w:space="0" w:color="auto"/>
            <w:bottom w:val="none" w:sz="0" w:space="0" w:color="auto"/>
            <w:right w:val="none" w:sz="0" w:space="0" w:color="auto"/>
          </w:divBdr>
          <w:divsChild>
            <w:div w:id="2095662116">
              <w:marLeft w:val="0"/>
              <w:marRight w:val="0"/>
              <w:marTop w:val="0"/>
              <w:marBottom w:val="0"/>
              <w:divBdr>
                <w:top w:val="none" w:sz="0" w:space="0" w:color="auto"/>
                <w:left w:val="none" w:sz="0" w:space="0" w:color="auto"/>
                <w:bottom w:val="none" w:sz="0" w:space="0" w:color="auto"/>
                <w:right w:val="none" w:sz="0" w:space="0" w:color="auto"/>
              </w:divBdr>
            </w:div>
          </w:divsChild>
        </w:div>
        <w:div w:id="1204945584">
          <w:marLeft w:val="0"/>
          <w:marRight w:val="0"/>
          <w:marTop w:val="0"/>
          <w:marBottom w:val="0"/>
          <w:divBdr>
            <w:top w:val="none" w:sz="0" w:space="0" w:color="auto"/>
            <w:left w:val="none" w:sz="0" w:space="0" w:color="auto"/>
            <w:bottom w:val="none" w:sz="0" w:space="0" w:color="auto"/>
            <w:right w:val="none" w:sz="0" w:space="0" w:color="auto"/>
          </w:divBdr>
          <w:divsChild>
            <w:div w:id="24137268">
              <w:marLeft w:val="0"/>
              <w:marRight w:val="0"/>
              <w:marTop w:val="0"/>
              <w:marBottom w:val="0"/>
              <w:divBdr>
                <w:top w:val="none" w:sz="0" w:space="0" w:color="auto"/>
                <w:left w:val="none" w:sz="0" w:space="0" w:color="auto"/>
                <w:bottom w:val="none" w:sz="0" w:space="0" w:color="auto"/>
                <w:right w:val="none" w:sz="0" w:space="0" w:color="auto"/>
              </w:divBdr>
            </w:div>
          </w:divsChild>
        </w:div>
        <w:div w:id="1206523602">
          <w:marLeft w:val="0"/>
          <w:marRight w:val="0"/>
          <w:marTop w:val="0"/>
          <w:marBottom w:val="0"/>
          <w:divBdr>
            <w:top w:val="none" w:sz="0" w:space="0" w:color="auto"/>
            <w:left w:val="none" w:sz="0" w:space="0" w:color="auto"/>
            <w:bottom w:val="none" w:sz="0" w:space="0" w:color="auto"/>
            <w:right w:val="none" w:sz="0" w:space="0" w:color="auto"/>
          </w:divBdr>
          <w:divsChild>
            <w:div w:id="1485665327">
              <w:marLeft w:val="0"/>
              <w:marRight w:val="0"/>
              <w:marTop w:val="0"/>
              <w:marBottom w:val="0"/>
              <w:divBdr>
                <w:top w:val="none" w:sz="0" w:space="0" w:color="auto"/>
                <w:left w:val="none" w:sz="0" w:space="0" w:color="auto"/>
                <w:bottom w:val="none" w:sz="0" w:space="0" w:color="auto"/>
                <w:right w:val="none" w:sz="0" w:space="0" w:color="auto"/>
              </w:divBdr>
            </w:div>
          </w:divsChild>
        </w:div>
        <w:div w:id="1290864400">
          <w:marLeft w:val="0"/>
          <w:marRight w:val="0"/>
          <w:marTop w:val="0"/>
          <w:marBottom w:val="0"/>
          <w:divBdr>
            <w:top w:val="none" w:sz="0" w:space="0" w:color="auto"/>
            <w:left w:val="none" w:sz="0" w:space="0" w:color="auto"/>
            <w:bottom w:val="none" w:sz="0" w:space="0" w:color="auto"/>
            <w:right w:val="none" w:sz="0" w:space="0" w:color="auto"/>
          </w:divBdr>
          <w:divsChild>
            <w:div w:id="1921867297">
              <w:marLeft w:val="0"/>
              <w:marRight w:val="0"/>
              <w:marTop w:val="0"/>
              <w:marBottom w:val="0"/>
              <w:divBdr>
                <w:top w:val="none" w:sz="0" w:space="0" w:color="auto"/>
                <w:left w:val="none" w:sz="0" w:space="0" w:color="auto"/>
                <w:bottom w:val="none" w:sz="0" w:space="0" w:color="auto"/>
                <w:right w:val="none" w:sz="0" w:space="0" w:color="auto"/>
              </w:divBdr>
            </w:div>
          </w:divsChild>
        </w:div>
        <w:div w:id="1401175635">
          <w:marLeft w:val="0"/>
          <w:marRight w:val="0"/>
          <w:marTop w:val="0"/>
          <w:marBottom w:val="0"/>
          <w:divBdr>
            <w:top w:val="none" w:sz="0" w:space="0" w:color="auto"/>
            <w:left w:val="none" w:sz="0" w:space="0" w:color="auto"/>
            <w:bottom w:val="none" w:sz="0" w:space="0" w:color="auto"/>
            <w:right w:val="none" w:sz="0" w:space="0" w:color="auto"/>
          </w:divBdr>
          <w:divsChild>
            <w:div w:id="1871725955">
              <w:marLeft w:val="0"/>
              <w:marRight w:val="0"/>
              <w:marTop w:val="0"/>
              <w:marBottom w:val="0"/>
              <w:divBdr>
                <w:top w:val="none" w:sz="0" w:space="0" w:color="auto"/>
                <w:left w:val="none" w:sz="0" w:space="0" w:color="auto"/>
                <w:bottom w:val="none" w:sz="0" w:space="0" w:color="auto"/>
                <w:right w:val="none" w:sz="0" w:space="0" w:color="auto"/>
              </w:divBdr>
            </w:div>
          </w:divsChild>
        </w:div>
        <w:div w:id="1410348834">
          <w:marLeft w:val="0"/>
          <w:marRight w:val="0"/>
          <w:marTop w:val="0"/>
          <w:marBottom w:val="0"/>
          <w:divBdr>
            <w:top w:val="none" w:sz="0" w:space="0" w:color="auto"/>
            <w:left w:val="none" w:sz="0" w:space="0" w:color="auto"/>
            <w:bottom w:val="none" w:sz="0" w:space="0" w:color="auto"/>
            <w:right w:val="none" w:sz="0" w:space="0" w:color="auto"/>
          </w:divBdr>
          <w:divsChild>
            <w:div w:id="1946421971">
              <w:marLeft w:val="0"/>
              <w:marRight w:val="0"/>
              <w:marTop w:val="0"/>
              <w:marBottom w:val="0"/>
              <w:divBdr>
                <w:top w:val="none" w:sz="0" w:space="0" w:color="auto"/>
                <w:left w:val="none" w:sz="0" w:space="0" w:color="auto"/>
                <w:bottom w:val="none" w:sz="0" w:space="0" w:color="auto"/>
                <w:right w:val="none" w:sz="0" w:space="0" w:color="auto"/>
              </w:divBdr>
            </w:div>
          </w:divsChild>
        </w:div>
        <w:div w:id="1433428201">
          <w:marLeft w:val="0"/>
          <w:marRight w:val="0"/>
          <w:marTop w:val="0"/>
          <w:marBottom w:val="0"/>
          <w:divBdr>
            <w:top w:val="none" w:sz="0" w:space="0" w:color="auto"/>
            <w:left w:val="none" w:sz="0" w:space="0" w:color="auto"/>
            <w:bottom w:val="none" w:sz="0" w:space="0" w:color="auto"/>
            <w:right w:val="none" w:sz="0" w:space="0" w:color="auto"/>
          </w:divBdr>
          <w:divsChild>
            <w:div w:id="563762891">
              <w:marLeft w:val="0"/>
              <w:marRight w:val="0"/>
              <w:marTop w:val="0"/>
              <w:marBottom w:val="0"/>
              <w:divBdr>
                <w:top w:val="none" w:sz="0" w:space="0" w:color="auto"/>
                <w:left w:val="none" w:sz="0" w:space="0" w:color="auto"/>
                <w:bottom w:val="none" w:sz="0" w:space="0" w:color="auto"/>
                <w:right w:val="none" w:sz="0" w:space="0" w:color="auto"/>
              </w:divBdr>
            </w:div>
          </w:divsChild>
        </w:div>
        <w:div w:id="1516535016">
          <w:marLeft w:val="0"/>
          <w:marRight w:val="0"/>
          <w:marTop w:val="0"/>
          <w:marBottom w:val="0"/>
          <w:divBdr>
            <w:top w:val="none" w:sz="0" w:space="0" w:color="auto"/>
            <w:left w:val="none" w:sz="0" w:space="0" w:color="auto"/>
            <w:bottom w:val="none" w:sz="0" w:space="0" w:color="auto"/>
            <w:right w:val="none" w:sz="0" w:space="0" w:color="auto"/>
          </w:divBdr>
          <w:divsChild>
            <w:div w:id="2018459715">
              <w:marLeft w:val="0"/>
              <w:marRight w:val="0"/>
              <w:marTop w:val="0"/>
              <w:marBottom w:val="0"/>
              <w:divBdr>
                <w:top w:val="none" w:sz="0" w:space="0" w:color="auto"/>
                <w:left w:val="none" w:sz="0" w:space="0" w:color="auto"/>
                <w:bottom w:val="none" w:sz="0" w:space="0" w:color="auto"/>
                <w:right w:val="none" w:sz="0" w:space="0" w:color="auto"/>
              </w:divBdr>
            </w:div>
          </w:divsChild>
        </w:div>
        <w:div w:id="1532839316">
          <w:marLeft w:val="0"/>
          <w:marRight w:val="0"/>
          <w:marTop w:val="0"/>
          <w:marBottom w:val="0"/>
          <w:divBdr>
            <w:top w:val="none" w:sz="0" w:space="0" w:color="auto"/>
            <w:left w:val="none" w:sz="0" w:space="0" w:color="auto"/>
            <w:bottom w:val="none" w:sz="0" w:space="0" w:color="auto"/>
            <w:right w:val="none" w:sz="0" w:space="0" w:color="auto"/>
          </w:divBdr>
          <w:divsChild>
            <w:div w:id="841429665">
              <w:marLeft w:val="0"/>
              <w:marRight w:val="0"/>
              <w:marTop w:val="0"/>
              <w:marBottom w:val="0"/>
              <w:divBdr>
                <w:top w:val="none" w:sz="0" w:space="0" w:color="auto"/>
                <w:left w:val="none" w:sz="0" w:space="0" w:color="auto"/>
                <w:bottom w:val="none" w:sz="0" w:space="0" w:color="auto"/>
                <w:right w:val="none" w:sz="0" w:space="0" w:color="auto"/>
              </w:divBdr>
            </w:div>
          </w:divsChild>
        </w:div>
        <w:div w:id="1592202366">
          <w:marLeft w:val="0"/>
          <w:marRight w:val="0"/>
          <w:marTop w:val="0"/>
          <w:marBottom w:val="0"/>
          <w:divBdr>
            <w:top w:val="none" w:sz="0" w:space="0" w:color="auto"/>
            <w:left w:val="none" w:sz="0" w:space="0" w:color="auto"/>
            <w:bottom w:val="none" w:sz="0" w:space="0" w:color="auto"/>
            <w:right w:val="none" w:sz="0" w:space="0" w:color="auto"/>
          </w:divBdr>
          <w:divsChild>
            <w:div w:id="811364819">
              <w:marLeft w:val="0"/>
              <w:marRight w:val="0"/>
              <w:marTop w:val="0"/>
              <w:marBottom w:val="0"/>
              <w:divBdr>
                <w:top w:val="none" w:sz="0" w:space="0" w:color="auto"/>
                <w:left w:val="none" w:sz="0" w:space="0" w:color="auto"/>
                <w:bottom w:val="none" w:sz="0" w:space="0" w:color="auto"/>
                <w:right w:val="none" w:sz="0" w:space="0" w:color="auto"/>
              </w:divBdr>
            </w:div>
          </w:divsChild>
        </w:div>
        <w:div w:id="1659963527">
          <w:marLeft w:val="0"/>
          <w:marRight w:val="0"/>
          <w:marTop w:val="0"/>
          <w:marBottom w:val="0"/>
          <w:divBdr>
            <w:top w:val="none" w:sz="0" w:space="0" w:color="auto"/>
            <w:left w:val="none" w:sz="0" w:space="0" w:color="auto"/>
            <w:bottom w:val="none" w:sz="0" w:space="0" w:color="auto"/>
            <w:right w:val="none" w:sz="0" w:space="0" w:color="auto"/>
          </w:divBdr>
          <w:divsChild>
            <w:div w:id="611976635">
              <w:marLeft w:val="0"/>
              <w:marRight w:val="0"/>
              <w:marTop w:val="0"/>
              <w:marBottom w:val="0"/>
              <w:divBdr>
                <w:top w:val="none" w:sz="0" w:space="0" w:color="auto"/>
                <w:left w:val="none" w:sz="0" w:space="0" w:color="auto"/>
                <w:bottom w:val="none" w:sz="0" w:space="0" w:color="auto"/>
                <w:right w:val="none" w:sz="0" w:space="0" w:color="auto"/>
              </w:divBdr>
            </w:div>
          </w:divsChild>
        </w:div>
        <w:div w:id="1683704357">
          <w:marLeft w:val="0"/>
          <w:marRight w:val="0"/>
          <w:marTop w:val="0"/>
          <w:marBottom w:val="0"/>
          <w:divBdr>
            <w:top w:val="none" w:sz="0" w:space="0" w:color="auto"/>
            <w:left w:val="none" w:sz="0" w:space="0" w:color="auto"/>
            <w:bottom w:val="none" w:sz="0" w:space="0" w:color="auto"/>
            <w:right w:val="none" w:sz="0" w:space="0" w:color="auto"/>
          </w:divBdr>
          <w:divsChild>
            <w:div w:id="741367901">
              <w:marLeft w:val="0"/>
              <w:marRight w:val="0"/>
              <w:marTop w:val="0"/>
              <w:marBottom w:val="0"/>
              <w:divBdr>
                <w:top w:val="none" w:sz="0" w:space="0" w:color="auto"/>
                <w:left w:val="none" w:sz="0" w:space="0" w:color="auto"/>
                <w:bottom w:val="none" w:sz="0" w:space="0" w:color="auto"/>
                <w:right w:val="none" w:sz="0" w:space="0" w:color="auto"/>
              </w:divBdr>
            </w:div>
          </w:divsChild>
        </w:div>
        <w:div w:id="1691881454">
          <w:marLeft w:val="0"/>
          <w:marRight w:val="0"/>
          <w:marTop w:val="0"/>
          <w:marBottom w:val="0"/>
          <w:divBdr>
            <w:top w:val="none" w:sz="0" w:space="0" w:color="auto"/>
            <w:left w:val="none" w:sz="0" w:space="0" w:color="auto"/>
            <w:bottom w:val="none" w:sz="0" w:space="0" w:color="auto"/>
            <w:right w:val="none" w:sz="0" w:space="0" w:color="auto"/>
          </w:divBdr>
          <w:divsChild>
            <w:div w:id="1875189144">
              <w:marLeft w:val="0"/>
              <w:marRight w:val="0"/>
              <w:marTop w:val="0"/>
              <w:marBottom w:val="0"/>
              <w:divBdr>
                <w:top w:val="none" w:sz="0" w:space="0" w:color="auto"/>
                <w:left w:val="none" w:sz="0" w:space="0" w:color="auto"/>
                <w:bottom w:val="none" w:sz="0" w:space="0" w:color="auto"/>
                <w:right w:val="none" w:sz="0" w:space="0" w:color="auto"/>
              </w:divBdr>
            </w:div>
          </w:divsChild>
        </w:div>
        <w:div w:id="1711419567">
          <w:marLeft w:val="0"/>
          <w:marRight w:val="0"/>
          <w:marTop w:val="0"/>
          <w:marBottom w:val="0"/>
          <w:divBdr>
            <w:top w:val="none" w:sz="0" w:space="0" w:color="auto"/>
            <w:left w:val="none" w:sz="0" w:space="0" w:color="auto"/>
            <w:bottom w:val="none" w:sz="0" w:space="0" w:color="auto"/>
            <w:right w:val="none" w:sz="0" w:space="0" w:color="auto"/>
          </w:divBdr>
          <w:divsChild>
            <w:div w:id="976645397">
              <w:marLeft w:val="0"/>
              <w:marRight w:val="0"/>
              <w:marTop w:val="0"/>
              <w:marBottom w:val="0"/>
              <w:divBdr>
                <w:top w:val="none" w:sz="0" w:space="0" w:color="auto"/>
                <w:left w:val="none" w:sz="0" w:space="0" w:color="auto"/>
                <w:bottom w:val="none" w:sz="0" w:space="0" w:color="auto"/>
                <w:right w:val="none" w:sz="0" w:space="0" w:color="auto"/>
              </w:divBdr>
            </w:div>
          </w:divsChild>
        </w:div>
        <w:div w:id="2001809927">
          <w:marLeft w:val="0"/>
          <w:marRight w:val="0"/>
          <w:marTop w:val="0"/>
          <w:marBottom w:val="0"/>
          <w:divBdr>
            <w:top w:val="none" w:sz="0" w:space="0" w:color="auto"/>
            <w:left w:val="none" w:sz="0" w:space="0" w:color="auto"/>
            <w:bottom w:val="none" w:sz="0" w:space="0" w:color="auto"/>
            <w:right w:val="none" w:sz="0" w:space="0" w:color="auto"/>
          </w:divBdr>
          <w:divsChild>
            <w:div w:id="553783514">
              <w:marLeft w:val="0"/>
              <w:marRight w:val="0"/>
              <w:marTop w:val="0"/>
              <w:marBottom w:val="0"/>
              <w:divBdr>
                <w:top w:val="none" w:sz="0" w:space="0" w:color="auto"/>
                <w:left w:val="none" w:sz="0" w:space="0" w:color="auto"/>
                <w:bottom w:val="none" w:sz="0" w:space="0" w:color="auto"/>
                <w:right w:val="none" w:sz="0" w:space="0" w:color="auto"/>
              </w:divBdr>
            </w:div>
          </w:divsChild>
        </w:div>
        <w:div w:id="2016882949">
          <w:marLeft w:val="0"/>
          <w:marRight w:val="0"/>
          <w:marTop w:val="0"/>
          <w:marBottom w:val="0"/>
          <w:divBdr>
            <w:top w:val="none" w:sz="0" w:space="0" w:color="auto"/>
            <w:left w:val="none" w:sz="0" w:space="0" w:color="auto"/>
            <w:bottom w:val="none" w:sz="0" w:space="0" w:color="auto"/>
            <w:right w:val="none" w:sz="0" w:space="0" w:color="auto"/>
          </w:divBdr>
          <w:divsChild>
            <w:div w:id="1022632372">
              <w:marLeft w:val="0"/>
              <w:marRight w:val="0"/>
              <w:marTop w:val="0"/>
              <w:marBottom w:val="0"/>
              <w:divBdr>
                <w:top w:val="none" w:sz="0" w:space="0" w:color="auto"/>
                <w:left w:val="none" w:sz="0" w:space="0" w:color="auto"/>
                <w:bottom w:val="none" w:sz="0" w:space="0" w:color="auto"/>
                <w:right w:val="none" w:sz="0" w:space="0" w:color="auto"/>
              </w:divBdr>
            </w:div>
          </w:divsChild>
        </w:div>
        <w:div w:id="2026247613">
          <w:marLeft w:val="0"/>
          <w:marRight w:val="0"/>
          <w:marTop w:val="0"/>
          <w:marBottom w:val="0"/>
          <w:divBdr>
            <w:top w:val="none" w:sz="0" w:space="0" w:color="auto"/>
            <w:left w:val="none" w:sz="0" w:space="0" w:color="auto"/>
            <w:bottom w:val="none" w:sz="0" w:space="0" w:color="auto"/>
            <w:right w:val="none" w:sz="0" w:space="0" w:color="auto"/>
          </w:divBdr>
          <w:divsChild>
            <w:div w:id="1288316667">
              <w:marLeft w:val="0"/>
              <w:marRight w:val="0"/>
              <w:marTop w:val="0"/>
              <w:marBottom w:val="0"/>
              <w:divBdr>
                <w:top w:val="none" w:sz="0" w:space="0" w:color="auto"/>
                <w:left w:val="none" w:sz="0" w:space="0" w:color="auto"/>
                <w:bottom w:val="none" w:sz="0" w:space="0" w:color="auto"/>
                <w:right w:val="none" w:sz="0" w:space="0" w:color="auto"/>
              </w:divBdr>
            </w:div>
          </w:divsChild>
        </w:div>
        <w:div w:id="2083604893">
          <w:marLeft w:val="0"/>
          <w:marRight w:val="0"/>
          <w:marTop w:val="0"/>
          <w:marBottom w:val="0"/>
          <w:divBdr>
            <w:top w:val="none" w:sz="0" w:space="0" w:color="auto"/>
            <w:left w:val="none" w:sz="0" w:space="0" w:color="auto"/>
            <w:bottom w:val="none" w:sz="0" w:space="0" w:color="auto"/>
            <w:right w:val="none" w:sz="0" w:space="0" w:color="auto"/>
          </w:divBdr>
          <w:divsChild>
            <w:div w:id="200470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trs.nasa.gov/citations/2020000322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irporttech.tc.faa.gov/Products/Airport-Safety-Papers-Publications/Airport-Safety-Detail/ArtMID/3682/ArticleID/2845/Analysis-of-N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trs.nasa.gov/citations/2020500547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trs.nasa.gov/citations/20200003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9713E79AB2E8489C16C70088927379" ma:contentTypeVersion="15" ma:contentTypeDescription="Create a new document." ma:contentTypeScope="" ma:versionID="8f7167149aaef21a875af028e80afecc">
  <xsd:schema xmlns:xsd="http://www.w3.org/2001/XMLSchema" xmlns:xs="http://www.w3.org/2001/XMLSchema" xmlns:p="http://schemas.microsoft.com/office/2006/metadata/properties" xmlns:ns2="cbe7e1b5-2b31-47ec-a333-bd393aa4d287" xmlns:ns3="09300115-f526-4d93-ab1d-0f4c04452af4" targetNamespace="http://schemas.microsoft.com/office/2006/metadata/properties" ma:root="true" ma:fieldsID="a502ee6660be102c437a9a4e2913f7ee" ns2:_="" ns3:_="">
    <xsd:import namespace="cbe7e1b5-2b31-47ec-a333-bd393aa4d287"/>
    <xsd:import namespace="09300115-f526-4d93-ab1d-0f4c04452a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7e1b5-2b31-47ec-a333-bd393aa4d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abba2c-d276-498e-9c1d-96b255082f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9300115-f526-4d93-ab1d-0f4c04452a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5ffde9-5300-4d6c-a0b5-ea33afc1818a}" ma:internalName="TaxCatchAll" ma:showField="CatchAllData" ma:web="09300115-f526-4d93-ab1d-0f4c04452a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e7e1b5-2b31-47ec-a333-bd393aa4d287">
      <Terms xmlns="http://schemas.microsoft.com/office/infopath/2007/PartnerControls"/>
    </lcf76f155ced4ddcb4097134ff3c332f>
    <TaxCatchAll xmlns="09300115-f526-4d93-ab1d-0f4c04452af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C52D9F-2C28-437F-BE27-030B73A55D63}">
  <ds:schemaRefs>
    <ds:schemaRef ds:uri="http://schemas.openxmlformats.org/officeDocument/2006/bibliography"/>
  </ds:schemaRefs>
</ds:datastoreItem>
</file>

<file path=customXml/itemProps2.xml><?xml version="1.0" encoding="utf-8"?>
<ds:datastoreItem xmlns:ds="http://schemas.openxmlformats.org/officeDocument/2006/customXml" ds:itemID="{778C6CF4-7386-4009-8E5D-1AA1DF385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7e1b5-2b31-47ec-a333-bd393aa4d287"/>
    <ds:schemaRef ds:uri="09300115-f526-4d93-ab1d-0f4c04452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E7A898-ADE0-426E-9ABA-47D96AC5ECBC}">
  <ds:schemaRefs>
    <ds:schemaRef ds:uri="http://schemas.microsoft.com/office/2006/metadata/properties"/>
    <ds:schemaRef ds:uri="http://schemas.microsoft.com/office/infopath/2007/PartnerControls"/>
    <ds:schemaRef ds:uri="cbe7e1b5-2b31-47ec-a333-bd393aa4d287"/>
    <ds:schemaRef ds:uri="09300115-f526-4d93-ab1d-0f4c04452af4"/>
  </ds:schemaRefs>
</ds:datastoreItem>
</file>

<file path=customXml/itemProps4.xml><?xml version="1.0" encoding="utf-8"?>
<ds:datastoreItem xmlns:ds="http://schemas.openxmlformats.org/officeDocument/2006/customXml" ds:itemID="{A8539541-3C8E-451A-9AF7-3A7DF1B227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2194</Words>
  <Characters>12509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 Statement for Information Collection Requirements</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Statement for Information Collection Requirements</dc:title>
  <dc:subject/>
  <dc:creator>Hodgdon</dc:creator>
  <cp:keywords/>
  <cp:lastModifiedBy>Little, Claire A. (HQ-JD000)[Consolidated Program Support Services (CPSS PP&amp;C)]</cp:lastModifiedBy>
  <cp:revision>5</cp:revision>
  <cp:lastPrinted>2018-01-16T20:24:00Z</cp:lastPrinted>
  <dcterms:created xsi:type="dcterms:W3CDTF">2022-06-27T16:49:00Z</dcterms:created>
  <dcterms:modified xsi:type="dcterms:W3CDTF">2022-07-11T20:40:00Z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0x010100EA9713E79AB2E8489C16C70088927379</vt:lpwstr>
  </property>
</Properties>
</file>