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9F3" w:rsidRDefault="00D44103" w14:paraId="6E2AE1CF" w14:textId="77777777">
      <w:pPr>
        <w:jc w:val="right"/>
        <w:rPr>
          <w:sz w:val="24"/>
        </w:rPr>
      </w:pPr>
      <w:r>
        <w:rPr>
          <w:sz w:val="24"/>
        </w:rPr>
        <w:t>DFC-005</w:t>
      </w:r>
    </w:p>
    <w:p w:rsidR="00415CB2" w:rsidRDefault="00D44103" w14:paraId="0A5427A0" w14:textId="77777777">
      <w:pPr>
        <w:jc w:val="right"/>
        <w:rPr>
          <w:sz w:val="24"/>
          <w:szCs w:val="24"/>
        </w:rPr>
      </w:pPr>
      <w:r>
        <w:rPr>
          <w:sz w:val="24"/>
          <w:szCs w:val="24"/>
        </w:rPr>
        <w:t>OMB-</w:t>
      </w:r>
      <w:r w:rsidR="00415CB2">
        <w:rPr>
          <w:sz w:val="24"/>
          <w:szCs w:val="24"/>
        </w:rPr>
        <w:t>3015-0007</w:t>
      </w:r>
    </w:p>
    <w:p w:rsidR="00A209F3" w:rsidRDefault="009C5E5F" w14:paraId="0A211546" w14:textId="3C32F7AB">
      <w:pPr>
        <w:jc w:val="right"/>
        <w:rPr>
          <w:sz w:val="24"/>
        </w:rPr>
      </w:pPr>
      <w:r>
        <w:rPr>
          <w:sz w:val="24"/>
        </w:rPr>
        <w:t>Personal Financial Statement</w:t>
      </w:r>
    </w:p>
    <w:p w:rsidR="00A209F3" w:rsidRDefault="00A209F3" w14:paraId="3239D7E7" w14:textId="77777777">
      <w:pPr>
        <w:rPr>
          <w:sz w:val="24"/>
        </w:rPr>
      </w:pPr>
    </w:p>
    <w:p w:rsidR="00A209F3" w:rsidP="003C0EE0" w:rsidRDefault="00A209F3" w14:paraId="701C789B" w14:textId="77777777">
      <w:pPr>
        <w:jc w:val="center"/>
        <w:rPr>
          <w:sz w:val="24"/>
        </w:rPr>
      </w:pPr>
      <w:r>
        <w:rPr>
          <w:sz w:val="24"/>
        </w:rPr>
        <w:t>SUPPORTING STATEMENT FOR APPROVAL</w:t>
      </w:r>
    </w:p>
    <w:p w:rsidR="00A209F3" w:rsidRDefault="00A209F3" w14:paraId="0F4BBB49" w14:textId="77777777">
      <w:pPr>
        <w:rPr>
          <w:sz w:val="24"/>
        </w:rPr>
      </w:pPr>
    </w:p>
    <w:p w:rsidR="00A209F3" w:rsidRDefault="00A209F3" w14:paraId="675CA56D" w14:textId="77777777">
      <w:pPr>
        <w:ind w:left="540" w:hanging="540"/>
        <w:rPr>
          <w:sz w:val="24"/>
        </w:rPr>
      </w:pPr>
      <w:r>
        <w:rPr>
          <w:sz w:val="24"/>
        </w:rPr>
        <w:t>A.</w:t>
      </w:r>
      <w:r>
        <w:rPr>
          <w:sz w:val="24"/>
        </w:rPr>
        <w:tab/>
        <w:t>Justification</w:t>
      </w:r>
    </w:p>
    <w:p w:rsidR="00A209F3" w:rsidRDefault="00A209F3" w14:paraId="6843327E" w14:textId="77777777">
      <w:pPr>
        <w:ind w:left="540" w:hanging="540"/>
        <w:rPr>
          <w:sz w:val="24"/>
        </w:rPr>
      </w:pPr>
    </w:p>
    <w:p w:rsidR="00A209F3" w:rsidP="004B624E" w:rsidRDefault="00D44103" w14:paraId="67FBDECD" w14:textId="7B208591">
      <w:pPr>
        <w:pStyle w:val="ListParagraph"/>
        <w:numPr>
          <w:ilvl w:val="0"/>
          <w:numId w:val="5"/>
        </w:numPr>
        <w:ind w:left="540"/>
        <w:rPr>
          <w:sz w:val="24"/>
        </w:rPr>
      </w:pPr>
      <w:r w:rsidRPr="004B624E">
        <w:rPr>
          <w:sz w:val="24"/>
        </w:rPr>
        <w:t>Legal authority for this information collection is found in the Better Utilization of Investments Leading to Development Act of 2018 (the “BUILD Act”), Public Law 115-254.</w:t>
      </w:r>
      <w:r w:rsidRPr="004B624E" w:rsidR="00A209F3">
        <w:rPr>
          <w:sz w:val="24"/>
        </w:rPr>
        <w:t xml:space="preserve">  </w:t>
      </w:r>
      <w:r w:rsidRPr="004B624E" w:rsidR="004B624E">
        <w:rPr>
          <w:sz w:val="24"/>
        </w:rPr>
        <w:t>The DFC-005 (P</w:t>
      </w:r>
      <w:r w:rsidRPr="004B624E" w:rsidR="004B2F53">
        <w:rPr>
          <w:sz w:val="24"/>
          <w:szCs w:val="24"/>
        </w:rPr>
        <w:t xml:space="preserve">ersonal </w:t>
      </w:r>
      <w:r w:rsidRPr="004B624E" w:rsidR="004B624E">
        <w:rPr>
          <w:sz w:val="24"/>
          <w:szCs w:val="24"/>
        </w:rPr>
        <w:t>F</w:t>
      </w:r>
      <w:r w:rsidRPr="004B624E" w:rsidR="004B2F53">
        <w:rPr>
          <w:sz w:val="24"/>
          <w:szCs w:val="24"/>
        </w:rPr>
        <w:t xml:space="preserve">inancial </w:t>
      </w:r>
      <w:r w:rsidRPr="004B624E" w:rsidR="004B624E">
        <w:rPr>
          <w:sz w:val="24"/>
          <w:szCs w:val="24"/>
        </w:rPr>
        <w:t>S</w:t>
      </w:r>
      <w:r w:rsidRPr="004B624E" w:rsidR="004B2F53">
        <w:rPr>
          <w:sz w:val="24"/>
          <w:szCs w:val="24"/>
        </w:rPr>
        <w:t>tatement</w:t>
      </w:r>
      <w:r w:rsidRPr="004B624E" w:rsidR="004B624E">
        <w:rPr>
          <w:sz w:val="24"/>
          <w:szCs w:val="24"/>
        </w:rPr>
        <w:t>)</w:t>
      </w:r>
      <w:r w:rsidRPr="004B624E" w:rsidR="004B2F53">
        <w:rPr>
          <w:sz w:val="24"/>
          <w:szCs w:val="24"/>
        </w:rPr>
        <w:t xml:space="preserve"> is considered supporting documentation to the </w:t>
      </w:r>
      <w:r w:rsidRPr="004B624E">
        <w:rPr>
          <w:sz w:val="24"/>
          <w:szCs w:val="24"/>
        </w:rPr>
        <w:t xml:space="preserve">DFC </w:t>
      </w:r>
      <w:r w:rsidRPr="004B624E" w:rsidR="00B40EDA">
        <w:rPr>
          <w:sz w:val="24"/>
          <w:szCs w:val="24"/>
        </w:rPr>
        <w:t>Application fo</w:t>
      </w:r>
      <w:r w:rsidRPr="004B624E" w:rsidR="004B624E">
        <w:rPr>
          <w:sz w:val="24"/>
          <w:szCs w:val="24"/>
        </w:rPr>
        <w:t>r</w:t>
      </w:r>
      <w:r w:rsidRPr="004B624E" w:rsidR="00B40EDA">
        <w:rPr>
          <w:sz w:val="24"/>
          <w:szCs w:val="24"/>
        </w:rPr>
        <w:t xml:space="preserve"> Finance (</w:t>
      </w:r>
      <w:r w:rsidRPr="004B624E">
        <w:rPr>
          <w:sz w:val="24"/>
          <w:szCs w:val="24"/>
        </w:rPr>
        <w:t>DFC-001</w:t>
      </w:r>
      <w:r w:rsidRPr="004B624E" w:rsidR="004B624E">
        <w:rPr>
          <w:sz w:val="24"/>
          <w:szCs w:val="24"/>
        </w:rPr>
        <w:t>A</w:t>
      </w:r>
      <w:r w:rsidRPr="004B624E" w:rsidR="00B40EDA">
        <w:rPr>
          <w:sz w:val="24"/>
          <w:szCs w:val="24"/>
        </w:rPr>
        <w:t>)</w:t>
      </w:r>
      <w:r w:rsidRPr="004B624E" w:rsidR="00385F07">
        <w:rPr>
          <w:sz w:val="24"/>
          <w:szCs w:val="24"/>
        </w:rPr>
        <w:t>, but</w:t>
      </w:r>
      <w:r w:rsidRPr="004B624E" w:rsidR="00E86989">
        <w:rPr>
          <w:sz w:val="24"/>
          <w:szCs w:val="24"/>
        </w:rPr>
        <w:t xml:space="preserve"> it is only requested</w:t>
      </w:r>
      <w:r w:rsidRPr="004B624E" w:rsidR="004B2F53">
        <w:rPr>
          <w:sz w:val="24"/>
          <w:szCs w:val="24"/>
        </w:rPr>
        <w:t xml:space="preserve"> if a sponsor of the project being financed is an individual (</w:t>
      </w:r>
      <w:r w:rsidRPr="004B624E" w:rsidR="00A912AF">
        <w:rPr>
          <w:sz w:val="24"/>
          <w:szCs w:val="24"/>
        </w:rPr>
        <w:t>rather than a corporate entity)</w:t>
      </w:r>
      <w:r w:rsidRPr="004B624E" w:rsidR="00C54878">
        <w:rPr>
          <w:sz w:val="24"/>
          <w:szCs w:val="24"/>
        </w:rPr>
        <w:t xml:space="preserve"> and that individual is providing equity investment in or other credit support to the project</w:t>
      </w:r>
      <w:r w:rsidRPr="004B624E" w:rsidR="00A912AF">
        <w:rPr>
          <w:sz w:val="24"/>
          <w:szCs w:val="24"/>
        </w:rPr>
        <w:t xml:space="preserve">.  </w:t>
      </w:r>
      <w:r w:rsidRPr="004B624E">
        <w:rPr>
          <w:sz w:val="24"/>
          <w:szCs w:val="24"/>
        </w:rPr>
        <w:t>Agency offic</w:t>
      </w:r>
      <w:r w:rsidRPr="004B624E" w:rsidR="00385F07">
        <w:rPr>
          <w:sz w:val="24"/>
        </w:rPr>
        <w:t xml:space="preserve">ers generally do not request that individual </w:t>
      </w:r>
      <w:r w:rsidRPr="004B624E" w:rsidR="004236C7">
        <w:rPr>
          <w:sz w:val="24"/>
        </w:rPr>
        <w:t>project sponsors provide</w:t>
      </w:r>
      <w:r w:rsidRPr="004B624E" w:rsidR="00385F07">
        <w:rPr>
          <w:sz w:val="24"/>
        </w:rPr>
        <w:t xml:space="preserve"> personal financial statement</w:t>
      </w:r>
      <w:r w:rsidRPr="004B624E" w:rsidR="004236C7">
        <w:rPr>
          <w:sz w:val="24"/>
        </w:rPr>
        <w:t xml:space="preserve"> information</w:t>
      </w:r>
      <w:r w:rsidRPr="004B624E" w:rsidR="00385F07">
        <w:rPr>
          <w:sz w:val="24"/>
        </w:rPr>
        <w:t xml:space="preserve"> until the officers have already reviewed the </w:t>
      </w:r>
      <w:r w:rsidR="004B624E">
        <w:rPr>
          <w:sz w:val="24"/>
        </w:rPr>
        <w:t>A</w:t>
      </w:r>
      <w:r w:rsidRPr="004B624E" w:rsidR="00385F07">
        <w:rPr>
          <w:sz w:val="24"/>
        </w:rPr>
        <w:t xml:space="preserve">pplication for </w:t>
      </w:r>
      <w:r w:rsidR="004B624E">
        <w:rPr>
          <w:sz w:val="24"/>
        </w:rPr>
        <w:t>Finance</w:t>
      </w:r>
      <w:r w:rsidRPr="004B624E" w:rsidR="00385F07">
        <w:rPr>
          <w:sz w:val="24"/>
        </w:rPr>
        <w:t xml:space="preserve"> and determined that the application has a high probability of advancing to the underwriting phase.  </w:t>
      </w:r>
    </w:p>
    <w:p w:rsidRPr="004B624E" w:rsidR="004B624E" w:rsidP="004B624E" w:rsidRDefault="004B624E" w14:paraId="7D785AE8" w14:textId="77777777">
      <w:pPr>
        <w:rPr>
          <w:sz w:val="24"/>
        </w:rPr>
      </w:pPr>
    </w:p>
    <w:p w:rsidRPr="004B624E" w:rsidR="004B624E" w:rsidP="004B624E" w:rsidRDefault="004B624E" w14:paraId="76C5C45E" w14:textId="15407A70">
      <w:pPr>
        <w:pStyle w:val="ListParagraph"/>
        <w:numPr>
          <w:ilvl w:val="0"/>
          <w:numId w:val="5"/>
        </w:numPr>
        <w:ind w:left="540"/>
        <w:rPr>
          <w:sz w:val="24"/>
        </w:rPr>
      </w:pPr>
      <w:r>
        <w:rPr>
          <w:sz w:val="24"/>
        </w:rPr>
        <w:t xml:space="preserve">The information collected is used by DFC officers and analysts to determine if the individual submitting the form has sufficient financial wherewithal to meet their expected obligations under the terms of the agency’s financing. </w:t>
      </w:r>
    </w:p>
    <w:p w:rsidR="00A209F3" w:rsidRDefault="00A209F3" w14:paraId="449F59E1" w14:textId="77777777">
      <w:pPr>
        <w:pStyle w:val="BodyTextIndent"/>
      </w:pPr>
    </w:p>
    <w:p w:rsidR="00A209F3" w:rsidP="004B624E" w:rsidRDefault="00A209F3" w14:paraId="3047ECCC" w14:textId="0A6CE377">
      <w:pPr>
        <w:ind w:left="540" w:hanging="540"/>
        <w:rPr>
          <w:sz w:val="24"/>
        </w:rPr>
      </w:pPr>
      <w:r>
        <w:rPr>
          <w:sz w:val="24"/>
        </w:rPr>
        <w:t>3.</w:t>
      </w:r>
      <w:r>
        <w:rPr>
          <w:sz w:val="24"/>
        </w:rPr>
        <w:tab/>
      </w:r>
      <w:r w:rsidR="003C0D6B">
        <w:rPr>
          <w:sz w:val="24"/>
        </w:rPr>
        <w:t xml:space="preserve">This form is provided in a fillable PDF format that the user may complete and return to </w:t>
      </w:r>
      <w:r w:rsidR="00D44103">
        <w:rPr>
          <w:sz w:val="24"/>
        </w:rPr>
        <w:t>DFC</w:t>
      </w:r>
      <w:r w:rsidR="003C0D6B">
        <w:rPr>
          <w:sz w:val="24"/>
        </w:rPr>
        <w:t xml:space="preserve"> via secure electronic transmission</w:t>
      </w:r>
      <w:r w:rsidR="00414252">
        <w:rPr>
          <w:sz w:val="24"/>
        </w:rPr>
        <w:t>.</w:t>
      </w:r>
      <w:r w:rsidR="003C0D6B">
        <w:rPr>
          <w:sz w:val="24"/>
        </w:rPr>
        <w:t xml:space="preserve">  Because of the form’s limited usage, </w:t>
      </w:r>
      <w:r w:rsidR="00D44103">
        <w:rPr>
          <w:sz w:val="24"/>
        </w:rPr>
        <w:t>it is not considered cost effective</w:t>
      </w:r>
      <w:r w:rsidR="003C0D6B">
        <w:rPr>
          <w:sz w:val="24"/>
        </w:rPr>
        <w:t xml:space="preserve"> to add it to </w:t>
      </w:r>
      <w:r w:rsidR="00D44103">
        <w:rPr>
          <w:sz w:val="24"/>
        </w:rPr>
        <w:t>the agency’s</w:t>
      </w:r>
      <w:r w:rsidR="003C0D6B">
        <w:rPr>
          <w:sz w:val="24"/>
        </w:rPr>
        <w:t xml:space="preserve"> suite of on-line forms.</w:t>
      </w:r>
      <w:r w:rsidR="00414252">
        <w:rPr>
          <w:sz w:val="24"/>
        </w:rPr>
        <w:t xml:space="preserve">  </w:t>
      </w:r>
    </w:p>
    <w:p w:rsidR="00A209F3" w:rsidRDefault="00A209F3" w14:paraId="525422B4" w14:textId="77777777">
      <w:pPr>
        <w:ind w:left="540" w:hanging="540"/>
        <w:rPr>
          <w:sz w:val="24"/>
        </w:rPr>
      </w:pPr>
    </w:p>
    <w:p w:rsidR="00A209F3" w:rsidRDefault="00A209F3" w14:paraId="00C43002" w14:textId="77777777">
      <w:pPr>
        <w:ind w:left="540" w:hanging="540"/>
        <w:rPr>
          <w:sz w:val="24"/>
        </w:rPr>
      </w:pPr>
      <w:r>
        <w:rPr>
          <w:sz w:val="24"/>
        </w:rPr>
        <w:t>4.</w:t>
      </w:r>
      <w:r>
        <w:rPr>
          <w:sz w:val="24"/>
        </w:rPr>
        <w:tab/>
        <w:t xml:space="preserve">The information </w:t>
      </w:r>
      <w:r w:rsidR="00222088">
        <w:rPr>
          <w:sz w:val="24"/>
        </w:rPr>
        <w:t xml:space="preserve">to be </w:t>
      </w:r>
      <w:r>
        <w:rPr>
          <w:sz w:val="24"/>
        </w:rPr>
        <w:t xml:space="preserve">collected is not duplicated elsewhere.  The information is not already available in any other electronic form and would not be requested by another federal agency or lending institution since it is applicable solely to </w:t>
      </w:r>
      <w:r w:rsidR="00D44103">
        <w:rPr>
          <w:sz w:val="24"/>
        </w:rPr>
        <w:t>DFC</w:t>
      </w:r>
      <w:r>
        <w:rPr>
          <w:sz w:val="24"/>
        </w:rPr>
        <w:t>’s finance program.</w:t>
      </w:r>
    </w:p>
    <w:p w:rsidR="00A209F3" w:rsidRDefault="00A209F3" w14:paraId="01725D53" w14:textId="77777777">
      <w:pPr>
        <w:ind w:left="540" w:hanging="540"/>
        <w:rPr>
          <w:sz w:val="24"/>
        </w:rPr>
      </w:pPr>
    </w:p>
    <w:p w:rsidR="00A209F3" w:rsidRDefault="00A209F3" w14:paraId="1B72ED28" w14:textId="77777777">
      <w:pPr>
        <w:ind w:left="540" w:hanging="540"/>
        <w:rPr>
          <w:sz w:val="24"/>
        </w:rPr>
      </w:pPr>
      <w:r>
        <w:rPr>
          <w:sz w:val="24"/>
        </w:rPr>
        <w:t>5.</w:t>
      </w:r>
      <w:r>
        <w:rPr>
          <w:sz w:val="24"/>
        </w:rPr>
        <w:tab/>
      </w:r>
      <w:r w:rsidR="00695A2A">
        <w:rPr>
          <w:sz w:val="24"/>
        </w:rPr>
        <w:t xml:space="preserve">The sponsors of </w:t>
      </w:r>
      <w:r w:rsidR="00D44103">
        <w:rPr>
          <w:sz w:val="24"/>
        </w:rPr>
        <w:t>DFC</w:t>
      </w:r>
      <w:r w:rsidR="00695A2A">
        <w:rPr>
          <w:sz w:val="24"/>
        </w:rPr>
        <w:t xml:space="preserve">-supported projects who may complete this form represent a wide range of nationalities and socioeconomic backgrounds.  </w:t>
      </w:r>
      <w:r w:rsidR="001822D7">
        <w:rPr>
          <w:sz w:val="24"/>
        </w:rPr>
        <w:t xml:space="preserve">The same questions are asked of all </w:t>
      </w:r>
      <w:r w:rsidR="005C337F">
        <w:rPr>
          <w:sz w:val="24"/>
        </w:rPr>
        <w:t>respondent</w:t>
      </w:r>
      <w:r w:rsidR="00695A2A">
        <w:rPr>
          <w:sz w:val="24"/>
        </w:rPr>
        <w:t>s</w:t>
      </w:r>
      <w:r>
        <w:rPr>
          <w:sz w:val="24"/>
        </w:rPr>
        <w:t>.</w:t>
      </w:r>
      <w:r w:rsidR="001822D7">
        <w:rPr>
          <w:sz w:val="24"/>
        </w:rPr>
        <w:t xml:space="preserve">  </w:t>
      </w:r>
      <w:r w:rsidR="00695A2A">
        <w:rPr>
          <w:sz w:val="24"/>
        </w:rPr>
        <w:t>The complexity of the answers will depend upon the financial circumstances</w:t>
      </w:r>
      <w:r w:rsidR="008B77D8">
        <w:rPr>
          <w:sz w:val="24"/>
        </w:rPr>
        <w:t xml:space="preserve"> of the individual respondent</w:t>
      </w:r>
      <w:r w:rsidR="00695A2A">
        <w:rPr>
          <w:sz w:val="24"/>
        </w:rPr>
        <w:t>.  Significant efforts have been made to make the questions clear and efficient</w:t>
      </w:r>
      <w:r w:rsidR="00BD38B2">
        <w:rPr>
          <w:sz w:val="24"/>
        </w:rPr>
        <w:t>, redu</w:t>
      </w:r>
      <w:r w:rsidR="00695A2A">
        <w:rPr>
          <w:sz w:val="24"/>
        </w:rPr>
        <w:t xml:space="preserve">cing the burden on the </w:t>
      </w:r>
      <w:r w:rsidR="005C337F">
        <w:rPr>
          <w:sz w:val="24"/>
        </w:rPr>
        <w:t>respondent</w:t>
      </w:r>
      <w:r w:rsidR="00BD38B2">
        <w:rPr>
          <w:sz w:val="24"/>
        </w:rPr>
        <w:t>.</w:t>
      </w:r>
      <w:r>
        <w:rPr>
          <w:sz w:val="24"/>
        </w:rPr>
        <w:t xml:space="preserve">  </w:t>
      </w:r>
    </w:p>
    <w:p w:rsidR="001822D7" w:rsidRDefault="001822D7" w14:paraId="2300D8C2" w14:textId="77777777">
      <w:pPr>
        <w:ind w:left="540" w:hanging="540"/>
        <w:rPr>
          <w:sz w:val="24"/>
        </w:rPr>
      </w:pPr>
    </w:p>
    <w:p w:rsidR="00A209F3" w:rsidRDefault="005C337F" w14:paraId="72883EA9" w14:textId="77777777">
      <w:pPr>
        <w:ind w:left="540" w:hanging="540"/>
        <w:rPr>
          <w:sz w:val="24"/>
        </w:rPr>
      </w:pPr>
      <w:r>
        <w:rPr>
          <w:sz w:val="24"/>
        </w:rPr>
        <w:t>6.</w:t>
      </w:r>
      <w:r>
        <w:rPr>
          <w:sz w:val="24"/>
        </w:rPr>
        <w:tab/>
      </w:r>
      <w:r w:rsidR="00146F20">
        <w:rPr>
          <w:sz w:val="24"/>
        </w:rPr>
        <w:t>Without this information,</w:t>
      </w:r>
      <w:r w:rsidRPr="00146F20" w:rsidR="00146F20">
        <w:rPr>
          <w:sz w:val="24"/>
        </w:rPr>
        <w:t xml:space="preserve"> </w:t>
      </w:r>
      <w:r w:rsidR="00D44103">
        <w:rPr>
          <w:sz w:val="24"/>
        </w:rPr>
        <w:t>DFC</w:t>
      </w:r>
      <w:r w:rsidRPr="00146F20" w:rsidR="00146F20">
        <w:rPr>
          <w:sz w:val="24"/>
        </w:rPr>
        <w:t xml:space="preserve"> would not be able to fully evaluate </w:t>
      </w:r>
      <w:r w:rsidR="00146F20">
        <w:rPr>
          <w:sz w:val="24"/>
        </w:rPr>
        <w:t>the ability</w:t>
      </w:r>
      <w:r w:rsidRPr="00146F20" w:rsidR="00146F20">
        <w:rPr>
          <w:sz w:val="24"/>
        </w:rPr>
        <w:t xml:space="preserve"> of individual project sponsors</w:t>
      </w:r>
      <w:r w:rsidR="00146F20">
        <w:rPr>
          <w:sz w:val="24"/>
        </w:rPr>
        <w:t xml:space="preserve"> to meet their </w:t>
      </w:r>
      <w:r w:rsidR="00CA55E4">
        <w:rPr>
          <w:sz w:val="24"/>
        </w:rPr>
        <w:t xml:space="preserve">equity contribution and </w:t>
      </w:r>
      <w:r w:rsidR="00146F20">
        <w:rPr>
          <w:sz w:val="24"/>
        </w:rPr>
        <w:t>project guaranty obligations</w:t>
      </w:r>
      <w:r w:rsidRPr="00146F20" w:rsidR="00A209F3">
        <w:rPr>
          <w:sz w:val="24"/>
        </w:rPr>
        <w:t>.</w:t>
      </w:r>
      <w:r w:rsidR="00146F20">
        <w:rPr>
          <w:sz w:val="24"/>
        </w:rPr>
        <w:t xml:space="preserve">  This form provides for more in-depth analysis than a standard credit report, and in any case, many </w:t>
      </w:r>
      <w:r w:rsidR="00D44103">
        <w:rPr>
          <w:sz w:val="24"/>
        </w:rPr>
        <w:t xml:space="preserve">potential </w:t>
      </w:r>
      <w:r w:rsidR="00146F20">
        <w:rPr>
          <w:sz w:val="24"/>
        </w:rPr>
        <w:t xml:space="preserve">sponsors of </w:t>
      </w:r>
      <w:r w:rsidR="00D44103">
        <w:rPr>
          <w:sz w:val="24"/>
        </w:rPr>
        <w:t>DFC</w:t>
      </w:r>
      <w:r w:rsidR="00146F20">
        <w:rPr>
          <w:sz w:val="24"/>
        </w:rPr>
        <w:t xml:space="preserve"> projects are from jurisdictions where a personal credit report</w:t>
      </w:r>
      <w:r w:rsidR="002C3881">
        <w:rPr>
          <w:sz w:val="24"/>
        </w:rPr>
        <w:t xml:space="preserve"> is not</w:t>
      </w:r>
      <w:r w:rsidR="00146F20">
        <w:rPr>
          <w:sz w:val="24"/>
        </w:rPr>
        <w:t xml:space="preserve"> available.    </w:t>
      </w:r>
      <w:r w:rsidR="00A209F3">
        <w:rPr>
          <w:sz w:val="24"/>
        </w:rPr>
        <w:t xml:space="preserve"> </w:t>
      </w:r>
    </w:p>
    <w:p w:rsidR="00A209F3" w:rsidRDefault="00A209F3" w14:paraId="6FD8DA15" w14:textId="77777777">
      <w:pPr>
        <w:ind w:left="540" w:hanging="540"/>
        <w:rPr>
          <w:sz w:val="24"/>
        </w:rPr>
      </w:pPr>
    </w:p>
    <w:p w:rsidR="00A209F3" w:rsidRDefault="00A209F3" w14:paraId="6D334373" w14:textId="77777777">
      <w:pPr>
        <w:ind w:left="540" w:hanging="540"/>
        <w:rPr>
          <w:sz w:val="24"/>
        </w:rPr>
      </w:pPr>
      <w:r>
        <w:rPr>
          <w:sz w:val="24"/>
        </w:rPr>
        <w:t>7.</w:t>
      </w:r>
      <w:r>
        <w:rPr>
          <w:sz w:val="24"/>
        </w:rPr>
        <w:tab/>
        <w:t>No special circumstances exist that require the information collection to be conducted in a manner inconsistent with the guidelines of the Paperwork Reduction Act and OMB's implementing regulations.</w:t>
      </w:r>
    </w:p>
    <w:p w:rsidR="00A209F3" w:rsidRDefault="00A209F3" w14:paraId="62AF7B4D" w14:textId="77777777">
      <w:pPr>
        <w:ind w:left="540" w:hanging="540"/>
        <w:rPr>
          <w:sz w:val="24"/>
        </w:rPr>
      </w:pPr>
    </w:p>
    <w:p w:rsidR="00A209F3" w:rsidRDefault="00A209F3" w14:paraId="011A21CD" w14:textId="3A49EBC4">
      <w:pPr>
        <w:pStyle w:val="BodyTextIndent"/>
      </w:pPr>
      <w:r>
        <w:t>8.</w:t>
      </w:r>
      <w:r>
        <w:tab/>
      </w:r>
      <w:r w:rsidRPr="00094C9D" w:rsidR="00D44103">
        <w:rPr>
          <w:szCs w:val="24"/>
        </w:rPr>
        <w:t>The</w:t>
      </w:r>
      <w:r w:rsidRPr="00094C9D" w:rsidR="00D44103">
        <w:rPr>
          <w:spacing w:val="9"/>
          <w:szCs w:val="24"/>
        </w:rPr>
        <w:t xml:space="preserve"> </w:t>
      </w:r>
      <w:r w:rsidRPr="00094C9D" w:rsidR="00D44103">
        <w:rPr>
          <w:szCs w:val="24"/>
        </w:rPr>
        <w:t>first</w:t>
      </w:r>
      <w:r w:rsidRPr="00094C9D" w:rsidR="00D44103">
        <w:rPr>
          <w:spacing w:val="12"/>
          <w:szCs w:val="24"/>
        </w:rPr>
        <w:t xml:space="preserve"> </w:t>
      </w:r>
      <w:r w:rsidRPr="00094C9D" w:rsidR="00D44103">
        <w:rPr>
          <w:szCs w:val="24"/>
        </w:rPr>
        <w:t>Federal</w:t>
      </w:r>
      <w:r w:rsidRPr="00094C9D" w:rsidR="00D44103">
        <w:rPr>
          <w:spacing w:val="22"/>
          <w:szCs w:val="24"/>
        </w:rPr>
        <w:t xml:space="preserve"> </w:t>
      </w:r>
      <w:r w:rsidRPr="00094C9D" w:rsidR="00D44103">
        <w:rPr>
          <w:szCs w:val="24"/>
        </w:rPr>
        <w:t>Register</w:t>
      </w:r>
      <w:r w:rsidRPr="00094C9D" w:rsidR="00D44103">
        <w:rPr>
          <w:spacing w:val="13"/>
          <w:szCs w:val="24"/>
        </w:rPr>
        <w:t xml:space="preserve"> </w:t>
      </w:r>
      <w:r w:rsidRPr="00094C9D" w:rsidR="00D44103">
        <w:rPr>
          <w:szCs w:val="24"/>
        </w:rPr>
        <w:t>Notice</w:t>
      </w:r>
      <w:r w:rsidRPr="00094C9D" w:rsidR="00D44103">
        <w:rPr>
          <w:spacing w:val="21"/>
          <w:szCs w:val="24"/>
        </w:rPr>
        <w:t xml:space="preserve"> </w:t>
      </w:r>
      <w:r w:rsidRPr="00094C9D" w:rsidR="00D44103">
        <w:rPr>
          <w:szCs w:val="24"/>
        </w:rPr>
        <w:t>was</w:t>
      </w:r>
      <w:r w:rsidRPr="00094C9D" w:rsidR="00D44103">
        <w:rPr>
          <w:spacing w:val="3"/>
          <w:szCs w:val="24"/>
        </w:rPr>
        <w:t xml:space="preserve"> </w:t>
      </w:r>
      <w:r w:rsidRPr="00094C9D" w:rsidR="00D44103">
        <w:rPr>
          <w:szCs w:val="24"/>
        </w:rPr>
        <w:t>published</w:t>
      </w:r>
      <w:r w:rsidRPr="00094C9D" w:rsidR="00D44103">
        <w:rPr>
          <w:spacing w:val="31"/>
          <w:szCs w:val="24"/>
        </w:rPr>
        <w:t xml:space="preserve"> </w:t>
      </w:r>
      <w:r w:rsidRPr="00485DA5" w:rsidR="00D44103">
        <w:rPr>
          <w:szCs w:val="24"/>
        </w:rPr>
        <w:t>on</w:t>
      </w:r>
      <w:r w:rsidR="004B624E">
        <w:rPr>
          <w:spacing w:val="-3"/>
          <w:szCs w:val="24"/>
        </w:rPr>
        <w:t xml:space="preserve"> May 18, </w:t>
      </w:r>
      <w:r w:rsidRPr="001220DF" w:rsidR="004B624E">
        <w:rPr>
          <w:spacing w:val="-3"/>
          <w:szCs w:val="24"/>
        </w:rPr>
        <w:t>2022</w:t>
      </w:r>
      <w:r w:rsidRPr="001220DF" w:rsidR="00D44103">
        <w:rPr>
          <w:szCs w:val="24"/>
        </w:rPr>
        <w:t xml:space="preserve"> (8</w:t>
      </w:r>
      <w:r w:rsidRPr="001220DF" w:rsidR="004B624E">
        <w:rPr>
          <w:szCs w:val="24"/>
        </w:rPr>
        <w:t>7</w:t>
      </w:r>
      <w:r w:rsidRPr="001220DF" w:rsidR="00D44103">
        <w:rPr>
          <w:szCs w:val="24"/>
        </w:rPr>
        <w:t xml:space="preserve"> FR </w:t>
      </w:r>
      <w:r w:rsidRPr="001220DF" w:rsidR="004B624E">
        <w:rPr>
          <w:szCs w:val="24"/>
        </w:rPr>
        <w:t>30209</w:t>
      </w:r>
      <w:r w:rsidRPr="001220DF" w:rsidR="00D44103">
        <w:rPr>
          <w:szCs w:val="24"/>
        </w:rPr>
        <w:t>).  The agency did not receive any public comments.</w:t>
      </w:r>
      <w:r w:rsidRPr="001220DF" w:rsidR="00D44103">
        <w:rPr>
          <w:spacing w:val="23"/>
          <w:szCs w:val="24"/>
        </w:rPr>
        <w:t xml:space="preserve"> </w:t>
      </w:r>
      <w:r w:rsidRPr="001220DF" w:rsidR="00D44103">
        <w:rPr>
          <w:szCs w:val="24"/>
        </w:rPr>
        <w:t>The</w:t>
      </w:r>
      <w:r w:rsidRPr="001220DF" w:rsidR="00D44103">
        <w:rPr>
          <w:spacing w:val="13"/>
          <w:szCs w:val="24"/>
        </w:rPr>
        <w:t xml:space="preserve"> </w:t>
      </w:r>
      <w:r w:rsidRPr="001220DF" w:rsidR="00D44103">
        <w:rPr>
          <w:szCs w:val="24"/>
        </w:rPr>
        <w:t>second</w:t>
      </w:r>
      <w:r w:rsidRPr="001220DF" w:rsidR="00D44103">
        <w:rPr>
          <w:spacing w:val="13"/>
          <w:szCs w:val="24"/>
        </w:rPr>
        <w:t xml:space="preserve"> </w:t>
      </w:r>
      <w:r w:rsidRPr="001220DF" w:rsidR="00D44103">
        <w:rPr>
          <w:szCs w:val="24"/>
        </w:rPr>
        <w:t>Federal</w:t>
      </w:r>
      <w:r w:rsidRPr="001220DF" w:rsidR="00D44103">
        <w:rPr>
          <w:spacing w:val="21"/>
          <w:szCs w:val="24"/>
        </w:rPr>
        <w:t xml:space="preserve"> </w:t>
      </w:r>
      <w:r w:rsidRPr="001220DF" w:rsidR="00D44103">
        <w:rPr>
          <w:szCs w:val="24"/>
        </w:rPr>
        <w:t>Register</w:t>
      </w:r>
      <w:r w:rsidRPr="001220DF" w:rsidR="00D44103">
        <w:rPr>
          <w:w w:val="99"/>
          <w:szCs w:val="24"/>
        </w:rPr>
        <w:t xml:space="preserve"> </w:t>
      </w:r>
      <w:r w:rsidRPr="001220DF" w:rsidR="00D44103">
        <w:rPr>
          <w:szCs w:val="24"/>
        </w:rPr>
        <w:t>Notice</w:t>
      </w:r>
      <w:r w:rsidRPr="001220DF" w:rsidR="00D44103">
        <w:rPr>
          <w:spacing w:val="26"/>
          <w:szCs w:val="24"/>
        </w:rPr>
        <w:t xml:space="preserve"> </w:t>
      </w:r>
      <w:r w:rsidRPr="001220DF" w:rsidR="00D44103">
        <w:rPr>
          <w:szCs w:val="24"/>
        </w:rPr>
        <w:t xml:space="preserve">was published on </w:t>
      </w:r>
      <w:r w:rsidRPr="001220DF" w:rsidR="001220DF">
        <w:rPr>
          <w:szCs w:val="24"/>
        </w:rPr>
        <w:t>July 22, 2022</w:t>
      </w:r>
      <w:r w:rsidRPr="001220DF" w:rsidR="00D44103">
        <w:rPr>
          <w:szCs w:val="24"/>
        </w:rPr>
        <w:t xml:space="preserve"> (</w:t>
      </w:r>
      <w:r w:rsidRPr="001220DF" w:rsidR="001220DF">
        <w:rPr>
          <w:szCs w:val="24"/>
        </w:rPr>
        <w:t>87 FR 43799</w:t>
      </w:r>
      <w:r w:rsidRPr="001220DF" w:rsidR="00D44103">
        <w:rPr>
          <w:szCs w:val="24"/>
        </w:rPr>
        <w:t>).</w:t>
      </w:r>
    </w:p>
    <w:p w:rsidR="00A209F3" w:rsidP="002C3881" w:rsidRDefault="00A209F3" w14:paraId="628F6D5E" w14:textId="77777777">
      <w:pPr>
        <w:rPr>
          <w:sz w:val="24"/>
        </w:rPr>
      </w:pPr>
      <w:r>
        <w:rPr>
          <w:sz w:val="24"/>
        </w:rPr>
        <w:tab/>
      </w:r>
    </w:p>
    <w:p w:rsidR="00A209F3" w:rsidRDefault="00A209F3" w14:paraId="33639C52" w14:textId="77777777">
      <w:pPr>
        <w:ind w:left="540" w:hanging="540"/>
        <w:rPr>
          <w:sz w:val="24"/>
        </w:rPr>
      </w:pPr>
      <w:r>
        <w:rPr>
          <w:sz w:val="24"/>
        </w:rPr>
        <w:t>9.</w:t>
      </w:r>
      <w:r>
        <w:rPr>
          <w:sz w:val="24"/>
        </w:rPr>
        <w:tab/>
        <w:t>No payments and gifts are offered to respondents.</w:t>
      </w:r>
    </w:p>
    <w:p w:rsidR="00A209F3" w:rsidRDefault="00A209F3" w14:paraId="0F70CDAF" w14:textId="77777777">
      <w:pPr>
        <w:ind w:left="540" w:hanging="540"/>
        <w:rPr>
          <w:sz w:val="24"/>
        </w:rPr>
      </w:pPr>
    </w:p>
    <w:p w:rsidR="00A209F3" w:rsidRDefault="00A209F3" w14:paraId="758F6885" w14:textId="77777777">
      <w:pPr>
        <w:ind w:left="540" w:hanging="540"/>
        <w:rPr>
          <w:sz w:val="24"/>
        </w:rPr>
      </w:pPr>
      <w:r>
        <w:rPr>
          <w:sz w:val="24"/>
        </w:rPr>
        <w:t>10.</w:t>
      </w:r>
      <w:r>
        <w:rPr>
          <w:sz w:val="24"/>
        </w:rPr>
        <w:tab/>
      </w:r>
      <w:r w:rsidR="00D44103">
        <w:rPr>
          <w:sz w:val="24"/>
        </w:rPr>
        <w:t>I</w:t>
      </w:r>
      <w:r w:rsidRPr="00E6170E" w:rsidR="00D44103">
        <w:rPr>
          <w:sz w:val="24"/>
          <w:szCs w:val="24"/>
        </w:rPr>
        <w:t xml:space="preserve">nformation provided in the </w:t>
      </w:r>
      <w:r w:rsidR="00D44103">
        <w:rPr>
          <w:sz w:val="24"/>
          <w:szCs w:val="24"/>
        </w:rPr>
        <w:t>DFC-005</w:t>
      </w:r>
      <w:r w:rsidRPr="00E6170E" w:rsidR="00D44103">
        <w:rPr>
          <w:sz w:val="24"/>
          <w:szCs w:val="24"/>
        </w:rPr>
        <w:t xml:space="preserve"> is deemed</w:t>
      </w:r>
      <w:r w:rsidRPr="002E49C5" w:rsidR="00D44103">
        <w:rPr>
          <w:rFonts w:ascii="Arial" w:hAnsi="Arial" w:cs="Arial"/>
          <w:sz w:val="24"/>
          <w:szCs w:val="24"/>
        </w:rPr>
        <w:t xml:space="preserve"> </w:t>
      </w:r>
      <w:r w:rsidRPr="002158AE" w:rsidR="00D44103">
        <w:rPr>
          <w:sz w:val="24"/>
          <w:szCs w:val="24"/>
        </w:rPr>
        <w:t xml:space="preserve">designated as “confidential commercial information” in accordance with Freedom of Information Act (FOIA) regulations at 22 C.F.R. Part </w:t>
      </w:r>
      <w:proofErr w:type="gramStart"/>
      <w:r w:rsidRPr="002158AE" w:rsidR="00D44103">
        <w:rPr>
          <w:sz w:val="24"/>
          <w:szCs w:val="24"/>
        </w:rPr>
        <w:t>706, and</w:t>
      </w:r>
      <w:proofErr w:type="gramEnd"/>
      <w:r w:rsidRPr="002158AE" w:rsidR="00D44103">
        <w:rPr>
          <w:sz w:val="24"/>
          <w:szCs w:val="24"/>
        </w:rPr>
        <w:t xml:space="preserve"> will be treated as such to the extent permitted by applicable law</w:t>
      </w:r>
      <w:r w:rsidRPr="00E6170E" w:rsidR="00D44103">
        <w:rPr>
          <w:sz w:val="24"/>
          <w:szCs w:val="24"/>
        </w:rPr>
        <w:t>.</w:t>
      </w:r>
      <w:r w:rsidR="00D44103">
        <w:rPr>
          <w:sz w:val="24"/>
          <w:szCs w:val="24"/>
        </w:rPr>
        <w:t xml:space="preserve">  </w:t>
      </w:r>
      <w:r w:rsidRPr="00222088" w:rsidR="00222088">
        <w:rPr>
          <w:sz w:val="24"/>
          <w:szCs w:val="24"/>
        </w:rPr>
        <w:t xml:space="preserve">Personal information belonging to an individual will not be released under the FOIA unless </w:t>
      </w:r>
      <w:r w:rsidR="009070E8">
        <w:rPr>
          <w:sz w:val="24"/>
          <w:szCs w:val="24"/>
        </w:rPr>
        <w:t xml:space="preserve">the information is already public or if </w:t>
      </w:r>
      <w:r w:rsidRPr="00222088" w:rsidR="00222088">
        <w:rPr>
          <w:sz w:val="24"/>
          <w:szCs w:val="24"/>
        </w:rPr>
        <w:t>the public interest is greater than the private interest under 5 U.S.C. § 552(b)(6).</w:t>
      </w:r>
    </w:p>
    <w:p w:rsidR="00A209F3" w:rsidRDefault="00A209F3" w14:paraId="19A9AE21" w14:textId="77777777">
      <w:pPr>
        <w:ind w:left="540" w:hanging="540"/>
        <w:rPr>
          <w:sz w:val="24"/>
        </w:rPr>
      </w:pPr>
    </w:p>
    <w:p w:rsidR="00A209F3" w:rsidRDefault="00A209F3" w14:paraId="1D89EC8D" w14:textId="77777777">
      <w:pPr>
        <w:ind w:left="540" w:hanging="540"/>
        <w:rPr>
          <w:sz w:val="24"/>
        </w:rPr>
      </w:pPr>
      <w:r>
        <w:rPr>
          <w:sz w:val="24"/>
        </w:rPr>
        <w:t>11.</w:t>
      </w:r>
      <w:r>
        <w:rPr>
          <w:sz w:val="24"/>
        </w:rPr>
        <w:tab/>
        <w:t>Not applicable.  None of the questions on this form are of a sensitive nature.</w:t>
      </w:r>
    </w:p>
    <w:p w:rsidR="00A209F3" w:rsidRDefault="00A209F3" w14:paraId="4F44986A" w14:textId="77777777">
      <w:pPr>
        <w:ind w:left="540" w:hanging="540"/>
        <w:rPr>
          <w:sz w:val="24"/>
        </w:rPr>
      </w:pPr>
    </w:p>
    <w:p w:rsidRPr="002C3881" w:rsidR="00A209F3" w:rsidRDefault="00A209F3" w14:paraId="15980762" w14:textId="77777777">
      <w:pPr>
        <w:ind w:left="540" w:hanging="540"/>
        <w:rPr>
          <w:sz w:val="24"/>
        </w:rPr>
      </w:pPr>
      <w:r>
        <w:rPr>
          <w:sz w:val="24"/>
        </w:rPr>
        <w:t>12.</w:t>
      </w:r>
      <w:r>
        <w:rPr>
          <w:sz w:val="24"/>
        </w:rPr>
        <w:tab/>
      </w:r>
      <w:r w:rsidRPr="002C3881">
        <w:rPr>
          <w:sz w:val="24"/>
        </w:rPr>
        <w:t>The estimated burden of collecting this information is as follows:</w:t>
      </w:r>
    </w:p>
    <w:p w:rsidRPr="002C3881" w:rsidR="00A209F3" w:rsidRDefault="00A209F3" w14:paraId="045FEB29" w14:textId="77777777">
      <w:pPr>
        <w:ind w:left="540" w:hanging="540"/>
        <w:rPr>
          <w:sz w:val="24"/>
        </w:rPr>
      </w:pPr>
      <w:r w:rsidRPr="002C3881">
        <w:rPr>
          <w:sz w:val="24"/>
        </w:rPr>
        <w:tab/>
      </w:r>
      <w:r w:rsidRPr="002C3881" w:rsidR="008B77D8">
        <w:rPr>
          <w:sz w:val="24"/>
        </w:rPr>
        <w:t>75</w:t>
      </w:r>
      <w:r w:rsidRPr="002C3881">
        <w:rPr>
          <w:sz w:val="24"/>
        </w:rPr>
        <w:t xml:space="preserve"> respondents</w:t>
      </w:r>
      <w:r w:rsidR="00E86989">
        <w:rPr>
          <w:sz w:val="24"/>
        </w:rPr>
        <w:t xml:space="preserve"> per year</w:t>
      </w:r>
    </w:p>
    <w:p w:rsidRPr="002C3881" w:rsidR="00A209F3" w:rsidRDefault="00550A4A" w14:paraId="6ECD2BFB" w14:textId="77777777">
      <w:pPr>
        <w:ind w:left="540"/>
        <w:rPr>
          <w:sz w:val="24"/>
        </w:rPr>
      </w:pPr>
      <w:r w:rsidRPr="002C3881">
        <w:rPr>
          <w:sz w:val="24"/>
        </w:rPr>
        <w:t xml:space="preserve">x </w:t>
      </w:r>
      <w:r w:rsidR="00933E64">
        <w:rPr>
          <w:sz w:val="24"/>
        </w:rPr>
        <w:t>(</w:t>
      </w:r>
      <w:r w:rsidRPr="002C3881" w:rsidR="00A209F3">
        <w:rPr>
          <w:sz w:val="24"/>
        </w:rPr>
        <w:t>1 per respondent</w:t>
      </w:r>
      <w:r w:rsidR="00933E64">
        <w:rPr>
          <w:sz w:val="24"/>
        </w:rPr>
        <w:t>)</w:t>
      </w:r>
    </w:p>
    <w:p w:rsidRPr="002C3881" w:rsidR="00A209F3" w:rsidRDefault="00A6090B" w14:paraId="501D1CD7" w14:textId="77777777">
      <w:pPr>
        <w:ind w:left="540"/>
        <w:rPr>
          <w:sz w:val="24"/>
        </w:rPr>
      </w:pPr>
      <w:r>
        <w:rPr>
          <w:sz w:val="24"/>
        </w:rPr>
        <w:t>=</w:t>
      </w:r>
      <w:r w:rsidRPr="002C3881" w:rsidR="008B77D8">
        <w:rPr>
          <w:sz w:val="24"/>
        </w:rPr>
        <w:t>75</w:t>
      </w:r>
      <w:r w:rsidRPr="002C3881" w:rsidR="00A209F3">
        <w:rPr>
          <w:sz w:val="24"/>
        </w:rPr>
        <w:t xml:space="preserve"> total annual responses</w:t>
      </w:r>
    </w:p>
    <w:p w:rsidRPr="002C3881" w:rsidR="00A209F3" w:rsidRDefault="00A209F3" w14:paraId="07E84A3D" w14:textId="77777777">
      <w:pPr>
        <w:ind w:left="540"/>
        <w:rPr>
          <w:sz w:val="24"/>
        </w:rPr>
      </w:pPr>
      <w:r w:rsidRPr="002C3881">
        <w:rPr>
          <w:sz w:val="24"/>
        </w:rPr>
        <w:t xml:space="preserve">x </w:t>
      </w:r>
      <w:r w:rsidRPr="002C3881" w:rsidR="008B77D8">
        <w:rPr>
          <w:sz w:val="24"/>
        </w:rPr>
        <w:t>(1 hour</w:t>
      </w:r>
      <w:r w:rsidRPr="002C3881" w:rsidR="00550A4A">
        <w:rPr>
          <w:sz w:val="24"/>
        </w:rPr>
        <w:t xml:space="preserve"> per average respondent</w:t>
      </w:r>
      <w:r w:rsidRPr="002C3881" w:rsidR="008730F9">
        <w:rPr>
          <w:sz w:val="24"/>
        </w:rPr>
        <w:t>)</w:t>
      </w:r>
    </w:p>
    <w:p w:rsidRPr="002C3881" w:rsidR="00A209F3" w:rsidRDefault="00A6090B" w14:paraId="7574A960" w14:textId="77777777">
      <w:pPr>
        <w:ind w:left="540"/>
        <w:rPr>
          <w:sz w:val="24"/>
        </w:rPr>
      </w:pPr>
      <w:r>
        <w:rPr>
          <w:sz w:val="24"/>
        </w:rPr>
        <w:t>=</w:t>
      </w:r>
      <w:r w:rsidRPr="002C3881" w:rsidR="008B77D8">
        <w:rPr>
          <w:sz w:val="24"/>
        </w:rPr>
        <w:t>75</w:t>
      </w:r>
      <w:r w:rsidRPr="002C3881" w:rsidR="00A209F3">
        <w:rPr>
          <w:sz w:val="24"/>
        </w:rPr>
        <w:t xml:space="preserve"> respondent hours</w:t>
      </w:r>
    </w:p>
    <w:p w:rsidRPr="002C3881" w:rsidR="00A209F3" w:rsidRDefault="00550A4A" w14:paraId="1792AFF4" w14:textId="77777777">
      <w:pPr>
        <w:ind w:left="540"/>
        <w:rPr>
          <w:sz w:val="24"/>
          <w:u w:val="single"/>
        </w:rPr>
      </w:pPr>
      <w:r w:rsidRPr="002C3881">
        <w:rPr>
          <w:sz w:val="24"/>
          <w:u w:val="single"/>
        </w:rPr>
        <w:t xml:space="preserve">x </w:t>
      </w:r>
      <w:r w:rsidR="00933E64">
        <w:rPr>
          <w:sz w:val="24"/>
          <w:u w:val="single"/>
        </w:rPr>
        <w:t>(</w:t>
      </w:r>
      <w:r w:rsidRPr="002C3881" w:rsidR="00A209F3">
        <w:rPr>
          <w:sz w:val="24"/>
          <w:u w:val="single"/>
        </w:rPr>
        <w:t>$75</w:t>
      </w:r>
      <w:r w:rsidRPr="002C3881" w:rsidR="00CB7EE3">
        <w:rPr>
          <w:sz w:val="24"/>
          <w:u w:val="single"/>
        </w:rPr>
        <w:t>/hour</w:t>
      </w:r>
      <w:r w:rsidRPr="002C3881" w:rsidR="00A209F3">
        <w:rPr>
          <w:sz w:val="24"/>
          <w:u w:val="single"/>
        </w:rPr>
        <w:t xml:space="preserve"> for personnel, record-keeping, overhead</w:t>
      </w:r>
      <w:r w:rsidR="00933E64">
        <w:rPr>
          <w:sz w:val="24"/>
          <w:u w:val="single"/>
        </w:rPr>
        <w:t>)</w:t>
      </w:r>
    </w:p>
    <w:p w:rsidRPr="002C3881" w:rsidR="00A209F3" w:rsidRDefault="008B77D8" w14:paraId="7174E2A7" w14:textId="77777777">
      <w:pPr>
        <w:ind w:left="540"/>
        <w:rPr>
          <w:sz w:val="24"/>
        </w:rPr>
      </w:pPr>
      <w:r w:rsidRPr="002C3881">
        <w:rPr>
          <w:sz w:val="24"/>
        </w:rPr>
        <w:t>$5,625</w:t>
      </w:r>
      <w:r w:rsidRPr="002C3881" w:rsidR="00CB7EE3">
        <w:rPr>
          <w:sz w:val="24"/>
        </w:rPr>
        <w:t xml:space="preserve"> </w:t>
      </w:r>
      <w:r w:rsidRPr="002C3881" w:rsidR="00A209F3">
        <w:rPr>
          <w:sz w:val="24"/>
        </w:rPr>
        <w:t>total cost to respondents</w:t>
      </w:r>
    </w:p>
    <w:p w:rsidR="00A209F3" w:rsidP="00933E64" w:rsidRDefault="00A209F3" w14:paraId="2C2817A8" w14:textId="77777777">
      <w:pPr>
        <w:rPr>
          <w:sz w:val="24"/>
        </w:rPr>
      </w:pPr>
      <w:r>
        <w:rPr>
          <w:sz w:val="24"/>
        </w:rPr>
        <w:tab/>
      </w:r>
    </w:p>
    <w:p w:rsidR="00A209F3" w:rsidRDefault="00A209F3" w14:paraId="19204C98" w14:textId="77777777">
      <w:pPr>
        <w:ind w:left="540" w:hanging="540"/>
        <w:rPr>
          <w:sz w:val="24"/>
        </w:rPr>
      </w:pPr>
      <w:r>
        <w:rPr>
          <w:sz w:val="24"/>
        </w:rPr>
        <w:t>13.</w:t>
      </w:r>
      <w:r>
        <w:rPr>
          <w:sz w:val="24"/>
        </w:rPr>
        <w:tab/>
        <w:t>The estimated annualized cost to respondents is as follows:</w:t>
      </w:r>
    </w:p>
    <w:p w:rsidR="00A209F3" w:rsidRDefault="00A209F3" w14:paraId="07271E6A" w14:textId="77777777">
      <w:pPr>
        <w:ind w:left="540" w:hanging="540"/>
        <w:rPr>
          <w:sz w:val="24"/>
        </w:rPr>
      </w:pPr>
      <w:r>
        <w:rPr>
          <w:sz w:val="24"/>
        </w:rPr>
        <w:tab/>
        <w:t>(a)  Total capital and start-up costs:  $0</w:t>
      </w:r>
    </w:p>
    <w:p w:rsidR="00A209F3" w:rsidRDefault="00C643B3" w14:paraId="02C68F05" w14:textId="77777777">
      <w:pPr>
        <w:ind w:left="540" w:hanging="540"/>
        <w:rPr>
          <w:sz w:val="24"/>
        </w:rPr>
      </w:pPr>
      <w:r>
        <w:rPr>
          <w:sz w:val="24"/>
        </w:rPr>
        <w:tab/>
        <w:t xml:space="preserve">(b)  </w:t>
      </w:r>
      <w:r w:rsidR="000A3A41">
        <w:rPr>
          <w:sz w:val="24"/>
        </w:rPr>
        <w:t>Total</w:t>
      </w:r>
      <w:r w:rsidR="00A209F3">
        <w:rPr>
          <w:sz w:val="24"/>
        </w:rPr>
        <w:t xml:space="preserve"> operation and maintenance costs:  $0. </w:t>
      </w:r>
    </w:p>
    <w:p w:rsidR="00A209F3" w:rsidRDefault="00A209F3" w14:paraId="1669635F" w14:textId="0633C801">
      <w:pPr>
        <w:ind w:left="540" w:hanging="540"/>
        <w:rPr>
          <w:sz w:val="24"/>
        </w:rPr>
      </w:pPr>
      <w:r>
        <w:rPr>
          <w:sz w:val="24"/>
        </w:rPr>
        <w:tab/>
        <w:t>All costs associated with the form are part of the normal cost of doing business.</w:t>
      </w:r>
      <w:r w:rsidR="00C643B3">
        <w:rPr>
          <w:sz w:val="24"/>
        </w:rPr>
        <w:t xml:space="preserve">  Since all submissions will be electronic and stored on </w:t>
      </w:r>
      <w:r w:rsidR="004B624E">
        <w:rPr>
          <w:sz w:val="24"/>
        </w:rPr>
        <w:t>DF</w:t>
      </w:r>
      <w:r w:rsidR="00C643B3">
        <w:rPr>
          <w:sz w:val="24"/>
        </w:rPr>
        <w:t>C’s secure servers, there will be no postage or storage costs.</w:t>
      </w:r>
    </w:p>
    <w:p w:rsidR="00A209F3" w:rsidRDefault="00A209F3" w14:paraId="641601F6" w14:textId="77777777">
      <w:pPr>
        <w:ind w:left="540" w:hanging="540"/>
        <w:rPr>
          <w:sz w:val="24"/>
        </w:rPr>
      </w:pPr>
    </w:p>
    <w:p w:rsidR="00A209F3" w:rsidP="002E6ABB" w:rsidRDefault="00A209F3" w14:paraId="3B563207" w14:textId="7B6456CB">
      <w:pPr>
        <w:numPr>
          <w:ilvl w:val="0"/>
          <w:numId w:val="2"/>
        </w:numPr>
        <w:tabs>
          <w:tab w:val="clear" w:pos="360"/>
          <w:tab w:val="num" w:pos="540"/>
        </w:tabs>
        <w:ind w:left="540" w:hanging="540"/>
        <w:rPr>
          <w:sz w:val="24"/>
        </w:rPr>
      </w:pPr>
      <w:r>
        <w:rPr>
          <w:sz w:val="24"/>
        </w:rPr>
        <w:t xml:space="preserve">The estimated annualized cost to the Federal government is </w:t>
      </w:r>
      <w:r w:rsidRPr="002C3881" w:rsidR="008B77D8">
        <w:rPr>
          <w:sz w:val="24"/>
        </w:rPr>
        <w:t>75</w:t>
      </w:r>
      <w:r>
        <w:rPr>
          <w:sz w:val="24"/>
        </w:rPr>
        <w:t xml:space="preserve"> responses</w:t>
      </w:r>
      <w:r w:rsidR="00C643B3">
        <w:rPr>
          <w:sz w:val="24"/>
        </w:rPr>
        <w:t xml:space="preserve"> x</w:t>
      </w:r>
      <w:r>
        <w:rPr>
          <w:sz w:val="24"/>
        </w:rPr>
        <w:t xml:space="preserve"> </w:t>
      </w:r>
      <w:r w:rsidR="00C643B3">
        <w:rPr>
          <w:sz w:val="24"/>
        </w:rPr>
        <w:t>1 hour</w:t>
      </w:r>
      <w:r w:rsidR="00333569">
        <w:rPr>
          <w:sz w:val="24"/>
        </w:rPr>
        <w:t xml:space="preserve">.  Using an average cost </w:t>
      </w:r>
      <w:r w:rsidR="00A6090B">
        <w:rPr>
          <w:sz w:val="24"/>
        </w:rPr>
        <w:t>of $</w:t>
      </w:r>
      <w:r w:rsidR="004B624E">
        <w:rPr>
          <w:sz w:val="24"/>
        </w:rPr>
        <w:t>60.49</w:t>
      </w:r>
      <w:r w:rsidR="00333569">
        <w:rPr>
          <w:sz w:val="24"/>
        </w:rPr>
        <w:t xml:space="preserve"> (a GS-14/1</w:t>
      </w:r>
      <w:r w:rsidR="002C3881">
        <w:rPr>
          <w:sz w:val="24"/>
        </w:rPr>
        <w:t xml:space="preserve"> DCB</w:t>
      </w:r>
      <w:r w:rsidR="00333569">
        <w:rPr>
          <w:sz w:val="24"/>
        </w:rPr>
        <w:t>) to review these applications, the total cost to the Federal gove</w:t>
      </w:r>
      <w:r w:rsidR="00C643B3">
        <w:rPr>
          <w:sz w:val="24"/>
        </w:rPr>
        <w:t>rnment</w:t>
      </w:r>
      <w:r w:rsidR="00ED6F4B">
        <w:rPr>
          <w:sz w:val="24"/>
        </w:rPr>
        <w:t xml:space="preserve"> is estimated to be $</w:t>
      </w:r>
      <w:r w:rsidR="002E6ABB">
        <w:rPr>
          <w:sz w:val="24"/>
        </w:rPr>
        <w:t>4,</w:t>
      </w:r>
      <w:r w:rsidR="004527AB">
        <w:rPr>
          <w:sz w:val="24"/>
        </w:rPr>
        <w:t>536.75</w:t>
      </w:r>
      <w:r w:rsidR="00333569">
        <w:rPr>
          <w:sz w:val="24"/>
        </w:rPr>
        <w:t xml:space="preserve"> </w:t>
      </w:r>
      <w:r w:rsidR="002C3881">
        <w:rPr>
          <w:sz w:val="24"/>
        </w:rPr>
        <w:t>(75</w:t>
      </w:r>
      <w:r w:rsidR="00C643B3">
        <w:rPr>
          <w:sz w:val="24"/>
        </w:rPr>
        <w:t xml:space="preserve"> x 1.0 </w:t>
      </w:r>
      <w:r w:rsidR="00333569">
        <w:rPr>
          <w:sz w:val="24"/>
        </w:rPr>
        <w:t>x</w:t>
      </w:r>
      <w:r w:rsidR="00C643B3">
        <w:rPr>
          <w:sz w:val="24"/>
        </w:rPr>
        <w:t xml:space="preserve"> </w:t>
      </w:r>
      <w:r w:rsidR="00A6090B">
        <w:rPr>
          <w:sz w:val="24"/>
        </w:rPr>
        <w:t>$</w:t>
      </w:r>
      <w:r w:rsidR="004527AB">
        <w:rPr>
          <w:sz w:val="24"/>
        </w:rPr>
        <w:t>60.49</w:t>
      </w:r>
      <w:r w:rsidR="00333569">
        <w:rPr>
          <w:sz w:val="24"/>
        </w:rPr>
        <w:t>)</w:t>
      </w:r>
      <w:r>
        <w:rPr>
          <w:sz w:val="24"/>
        </w:rPr>
        <w:t>.</w:t>
      </w:r>
    </w:p>
    <w:p w:rsidR="00A209F3" w:rsidRDefault="00A209F3" w14:paraId="74CA1373" w14:textId="77777777">
      <w:pPr>
        <w:rPr>
          <w:sz w:val="24"/>
        </w:rPr>
      </w:pPr>
    </w:p>
    <w:p w:rsidR="009704E6" w:rsidRDefault="00A209F3" w14:paraId="07592BFA" w14:textId="0A8397E3">
      <w:pPr>
        <w:ind w:left="540" w:hanging="540"/>
        <w:rPr>
          <w:sz w:val="24"/>
        </w:rPr>
      </w:pPr>
      <w:r>
        <w:rPr>
          <w:sz w:val="24"/>
        </w:rPr>
        <w:t>15.</w:t>
      </w:r>
      <w:r>
        <w:rPr>
          <w:sz w:val="24"/>
        </w:rPr>
        <w:tab/>
      </w:r>
      <w:r w:rsidR="004527AB">
        <w:rPr>
          <w:sz w:val="24"/>
        </w:rPr>
        <w:t xml:space="preserve">Not applicable.  </w:t>
      </w:r>
      <w:r w:rsidR="002E6ABB">
        <w:rPr>
          <w:sz w:val="24"/>
        </w:rPr>
        <w:t>Th</w:t>
      </w:r>
      <w:r w:rsidR="004527AB">
        <w:rPr>
          <w:sz w:val="24"/>
        </w:rPr>
        <w:t>ere is no change to the burden</w:t>
      </w:r>
      <w:r w:rsidR="009704E6">
        <w:rPr>
          <w:sz w:val="24"/>
        </w:rPr>
        <w:t>.</w:t>
      </w:r>
      <w:r w:rsidR="00A6090B">
        <w:rPr>
          <w:sz w:val="24"/>
        </w:rPr>
        <w:t xml:space="preserve"> </w:t>
      </w:r>
    </w:p>
    <w:p w:rsidR="00A209F3" w:rsidRDefault="00A209F3" w14:paraId="02F8B96A" w14:textId="77777777">
      <w:pPr>
        <w:ind w:left="540" w:hanging="540"/>
        <w:rPr>
          <w:sz w:val="24"/>
        </w:rPr>
      </w:pPr>
      <w:r>
        <w:rPr>
          <w:sz w:val="24"/>
        </w:rPr>
        <w:tab/>
        <w:t xml:space="preserve"> </w:t>
      </w:r>
    </w:p>
    <w:p w:rsidR="00A209F3" w:rsidRDefault="00A209F3" w14:paraId="1AEDD5B3" w14:textId="77777777">
      <w:pPr>
        <w:ind w:left="540" w:hanging="540"/>
        <w:rPr>
          <w:sz w:val="24"/>
        </w:rPr>
      </w:pPr>
      <w:r>
        <w:rPr>
          <w:sz w:val="24"/>
        </w:rPr>
        <w:t>16.</w:t>
      </w:r>
      <w:r>
        <w:rPr>
          <w:sz w:val="24"/>
        </w:rPr>
        <w:tab/>
        <w:t>Not applicable.  Informa</w:t>
      </w:r>
      <w:r w:rsidR="00222088">
        <w:rPr>
          <w:sz w:val="24"/>
        </w:rPr>
        <w:t>tion provided in the form will</w:t>
      </w:r>
      <w:r>
        <w:rPr>
          <w:sz w:val="24"/>
        </w:rPr>
        <w:t xml:space="preserve"> not </w:t>
      </w:r>
      <w:r w:rsidR="00222088">
        <w:rPr>
          <w:sz w:val="24"/>
        </w:rPr>
        <w:t xml:space="preserve">be </w:t>
      </w:r>
      <w:r>
        <w:rPr>
          <w:sz w:val="24"/>
        </w:rPr>
        <w:t>published or made public in any way.</w:t>
      </w:r>
    </w:p>
    <w:p w:rsidR="00A209F3" w:rsidRDefault="00A209F3" w14:paraId="312C04BB" w14:textId="77777777">
      <w:pPr>
        <w:ind w:left="540" w:hanging="540"/>
        <w:rPr>
          <w:sz w:val="24"/>
        </w:rPr>
      </w:pPr>
    </w:p>
    <w:p w:rsidR="00A209F3" w:rsidP="00FD3F18" w:rsidRDefault="00A209F3" w14:paraId="00BE361B" w14:textId="77777777">
      <w:pPr>
        <w:rPr>
          <w:sz w:val="24"/>
        </w:rPr>
      </w:pPr>
      <w:r>
        <w:rPr>
          <w:sz w:val="24"/>
        </w:rPr>
        <w:t>17.    Not applicable.  The OMB expiration date wil</w:t>
      </w:r>
      <w:r w:rsidR="00FD3F18">
        <w:rPr>
          <w:sz w:val="24"/>
        </w:rPr>
        <w:t xml:space="preserve">l be printed on each </w:t>
      </w:r>
      <w:r>
        <w:rPr>
          <w:sz w:val="24"/>
        </w:rPr>
        <w:t>form.</w:t>
      </w:r>
    </w:p>
    <w:p w:rsidR="00A209F3" w:rsidRDefault="00A209F3" w14:paraId="1C2E57D1" w14:textId="77777777">
      <w:pPr>
        <w:rPr>
          <w:sz w:val="24"/>
        </w:rPr>
      </w:pPr>
    </w:p>
    <w:p w:rsidR="00A209F3" w:rsidRDefault="00A209F3" w14:paraId="38EBB4A2" w14:textId="77777777">
      <w:pPr>
        <w:numPr>
          <w:ilvl w:val="0"/>
          <w:numId w:val="1"/>
        </w:numPr>
        <w:rPr>
          <w:sz w:val="24"/>
        </w:rPr>
      </w:pPr>
      <w:r>
        <w:rPr>
          <w:sz w:val="24"/>
        </w:rPr>
        <w:t>Not applicable.  No exceptions are being requested on the certification statement.</w:t>
      </w:r>
      <w:r>
        <w:rPr>
          <w:sz w:val="24"/>
        </w:rPr>
        <w:tab/>
      </w:r>
    </w:p>
    <w:p w:rsidR="00A209F3" w:rsidRDefault="00A209F3" w14:paraId="457D89AC" w14:textId="77777777">
      <w:pPr>
        <w:rPr>
          <w:sz w:val="24"/>
        </w:rPr>
      </w:pPr>
    </w:p>
    <w:sectPr w:rsidR="00A209F3" w:rsidSect="003C0EE0">
      <w:headerReference w:type="default" r:id="rId8"/>
      <w:footerReference w:type="even" r:id="rId9"/>
      <w:footerReference w:type="default" r:id="rId10"/>
      <w:pgSz w:w="12240" w:h="15840" w:code="1"/>
      <w:pgMar w:top="1440" w:right="1440" w:bottom="1440" w:left="1440" w:header="720" w:footer="720" w:gutter="0"/>
      <w:paperSrc w:first="2"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285A" w14:textId="77777777" w:rsidR="009C04D8" w:rsidRDefault="009C04D8">
      <w:r>
        <w:separator/>
      </w:r>
    </w:p>
  </w:endnote>
  <w:endnote w:type="continuationSeparator" w:id="0">
    <w:p w14:paraId="0357919C" w14:textId="77777777" w:rsidR="009C04D8" w:rsidRDefault="009C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643A" w14:textId="77777777" w:rsidR="00D44103" w:rsidRDefault="00D441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4CDC49" w14:textId="77777777" w:rsidR="00D44103" w:rsidRDefault="00D441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1CA4" w14:textId="77777777" w:rsidR="00D44103" w:rsidRDefault="00D441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57E6">
      <w:rPr>
        <w:rStyle w:val="PageNumber"/>
        <w:noProof/>
      </w:rPr>
      <w:t>2</w:t>
    </w:r>
    <w:r>
      <w:rPr>
        <w:rStyle w:val="PageNumber"/>
      </w:rPr>
      <w:fldChar w:fldCharType="end"/>
    </w:r>
  </w:p>
  <w:p w14:paraId="076FA70F" w14:textId="77777777" w:rsidR="00D44103" w:rsidRDefault="00D441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7355" w14:textId="77777777" w:rsidR="009C04D8" w:rsidRDefault="009C04D8">
      <w:r>
        <w:separator/>
      </w:r>
    </w:p>
  </w:footnote>
  <w:footnote w:type="continuationSeparator" w:id="0">
    <w:p w14:paraId="4F5DBBAC" w14:textId="77777777" w:rsidR="009C04D8" w:rsidRDefault="009C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21F9" w14:textId="77777777" w:rsidR="00D44103" w:rsidRDefault="00D44103">
    <w:pPr>
      <w:rPr>
        <w:sz w:val="16"/>
      </w:rPr>
    </w:pPr>
  </w:p>
  <w:p w14:paraId="7A232006" w14:textId="77777777" w:rsidR="00D44103" w:rsidRDefault="00D4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3C5"/>
    <w:multiLevelType w:val="hybridMultilevel"/>
    <w:tmpl w:val="B1E2A0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FA5635C"/>
    <w:multiLevelType w:val="hybridMultilevel"/>
    <w:tmpl w:val="B726B304"/>
    <w:lvl w:ilvl="0" w:tplc="6CC40B82">
      <w:start w:val="18"/>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0B22C4D"/>
    <w:multiLevelType w:val="hybridMultilevel"/>
    <w:tmpl w:val="73B2E730"/>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7070D67"/>
    <w:multiLevelType w:val="hybridMultilevel"/>
    <w:tmpl w:val="2784352C"/>
    <w:lvl w:ilvl="0" w:tplc="79FADEA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9865FF"/>
    <w:multiLevelType w:val="hybridMultilevel"/>
    <w:tmpl w:val="DB0CE36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A8"/>
    <w:rsid w:val="00000E42"/>
    <w:rsid w:val="00020BBB"/>
    <w:rsid w:val="00035A10"/>
    <w:rsid w:val="000417CB"/>
    <w:rsid w:val="00077F00"/>
    <w:rsid w:val="00085D9F"/>
    <w:rsid w:val="000A3A41"/>
    <w:rsid w:val="000F7D84"/>
    <w:rsid w:val="001220DF"/>
    <w:rsid w:val="00141A82"/>
    <w:rsid w:val="00146F20"/>
    <w:rsid w:val="001822D7"/>
    <w:rsid w:val="0018491C"/>
    <w:rsid w:val="00196DB4"/>
    <w:rsid w:val="00201CD9"/>
    <w:rsid w:val="0020562A"/>
    <w:rsid w:val="00211139"/>
    <w:rsid w:val="00222088"/>
    <w:rsid w:val="00245CC1"/>
    <w:rsid w:val="002568D5"/>
    <w:rsid w:val="00257B72"/>
    <w:rsid w:val="002731DD"/>
    <w:rsid w:val="00274C16"/>
    <w:rsid w:val="00277165"/>
    <w:rsid w:val="00292818"/>
    <w:rsid w:val="00292A2E"/>
    <w:rsid w:val="002A27CF"/>
    <w:rsid w:val="002A6130"/>
    <w:rsid w:val="002B7EF7"/>
    <w:rsid w:val="002C3881"/>
    <w:rsid w:val="002E6ABB"/>
    <w:rsid w:val="00331438"/>
    <w:rsid w:val="00333569"/>
    <w:rsid w:val="003538B5"/>
    <w:rsid w:val="00385F07"/>
    <w:rsid w:val="003863AF"/>
    <w:rsid w:val="003911D6"/>
    <w:rsid w:val="003B56C3"/>
    <w:rsid w:val="003C0D6B"/>
    <w:rsid w:val="003C0EE0"/>
    <w:rsid w:val="003C7A52"/>
    <w:rsid w:val="0040297D"/>
    <w:rsid w:val="00414252"/>
    <w:rsid w:val="00415CB2"/>
    <w:rsid w:val="004236C7"/>
    <w:rsid w:val="004527AB"/>
    <w:rsid w:val="004B2F53"/>
    <w:rsid w:val="004B624E"/>
    <w:rsid w:val="004C733A"/>
    <w:rsid w:val="004D1606"/>
    <w:rsid w:val="004F07FE"/>
    <w:rsid w:val="00506E04"/>
    <w:rsid w:val="00510B42"/>
    <w:rsid w:val="00543DDC"/>
    <w:rsid w:val="005444D4"/>
    <w:rsid w:val="00550A4A"/>
    <w:rsid w:val="00554015"/>
    <w:rsid w:val="00597289"/>
    <w:rsid w:val="005C337F"/>
    <w:rsid w:val="005E12D0"/>
    <w:rsid w:val="00695A2A"/>
    <w:rsid w:val="006D3AD1"/>
    <w:rsid w:val="006E1D99"/>
    <w:rsid w:val="007057E6"/>
    <w:rsid w:val="007152E4"/>
    <w:rsid w:val="00780B27"/>
    <w:rsid w:val="007813D1"/>
    <w:rsid w:val="007C70D1"/>
    <w:rsid w:val="007D0157"/>
    <w:rsid w:val="007F107A"/>
    <w:rsid w:val="00834B5E"/>
    <w:rsid w:val="00855911"/>
    <w:rsid w:val="00865F8E"/>
    <w:rsid w:val="008730F9"/>
    <w:rsid w:val="008A5B97"/>
    <w:rsid w:val="008A78D2"/>
    <w:rsid w:val="008B00B4"/>
    <w:rsid w:val="008B77D8"/>
    <w:rsid w:val="008F3C7B"/>
    <w:rsid w:val="009070E8"/>
    <w:rsid w:val="00933E64"/>
    <w:rsid w:val="009704E6"/>
    <w:rsid w:val="009A4848"/>
    <w:rsid w:val="009C04D8"/>
    <w:rsid w:val="009C5E5F"/>
    <w:rsid w:val="009F6A1B"/>
    <w:rsid w:val="00A027C0"/>
    <w:rsid w:val="00A11AB6"/>
    <w:rsid w:val="00A209F3"/>
    <w:rsid w:val="00A6090B"/>
    <w:rsid w:val="00A82686"/>
    <w:rsid w:val="00A8536F"/>
    <w:rsid w:val="00A912AF"/>
    <w:rsid w:val="00AA474B"/>
    <w:rsid w:val="00AB03C4"/>
    <w:rsid w:val="00B40EDA"/>
    <w:rsid w:val="00B42089"/>
    <w:rsid w:val="00B76F9A"/>
    <w:rsid w:val="00BB0806"/>
    <w:rsid w:val="00BD009D"/>
    <w:rsid w:val="00BD38B2"/>
    <w:rsid w:val="00BE4268"/>
    <w:rsid w:val="00C50DB1"/>
    <w:rsid w:val="00C54878"/>
    <w:rsid w:val="00C643B3"/>
    <w:rsid w:val="00C919D2"/>
    <w:rsid w:val="00CA55E4"/>
    <w:rsid w:val="00CB7EE3"/>
    <w:rsid w:val="00CF209B"/>
    <w:rsid w:val="00D05E0E"/>
    <w:rsid w:val="00D246F9"/>
    <w:rsid w:val="00D44103"/>
    <w:rsid w:val="00D4799E"/>
    <w:rsid w:val="00D92728"/>
    <w:rsid w:val="00D9394E"/>
    <w:rsid w:val="00DC6BB4"/>
    <w:rsid w:val="00DD3347"/>
    <w:rsid w:val="00DF7080"/>
    <w:rsid w:val="00E323CA"/>
    <w:rsid w:val="00E44AA8"/>
    <w:rsid w:val="00E86989"/>
    <w:rsid w:val="00ED6F4B"/>
    <w:rsid w:val="00F428A0"/>
    <w:rsid w:val="00F50299"/>
    <w:rsid w:val="00F53EF0"/>
    <w:rsid w:val="00F64BC7"/>
    <w:rsid w:val="00FB3B15"/>
    <w:rsid w:val="00FD1972"/>
    <w:rsid w:val="00FD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3B936"/>
  <w15:chartTrackingRefBased/>
  <w15:docId w15:val="{241F26E2-15C9-49E4-821F-AF4599B3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080" w:hanging="540"/>
      <w:outlineLvl w:val="0"/>
    </w:pPr>
    <w:rPr>
      <w:sz w:val="24"/>
    </w:rPr>
  </w:style>
  <w:style w:type="paragraph" w:styleId="Heading2">
    <w:name w:val="heading 2"/>
    <w:basedOn w:val="Normal"/>
    <w:next w:val="Normal"/>
    <w:qFormat/>
    <w:pPr>
      <w:keepNext/>
      <w:ind w:left="540" w:hanging="540"/>
      <w:outlineLvl w:val="1"/>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40" w:hanging="540"/>
    </w:pPr>
    <w:rPr>
      <w:sz w:val="24"/>
    </w:rPr>
  </w:style>
  <w:style w:type="paragraph" w:styleId="Title">
    <w:name w:val="Title"/>
    <w:basedOn w:val="Normal"/>
    <w:qFormat/>
    <w:pPr>
      <w:jc w:val="center"/>
    </w:pPr>
    <w:rPr>
      <w:b/>
      <w:sz w:val="24"/>
    </w:rPr>
  </w:style>
  <w:style w:type="paragraph" w:styleId="BodyTextIndent2">
    <w:name w:val="Body Text Indent 2"/>
    <w:basedOn w:val="Normal"/>
    <w:pPr>
      <w:autoSpaceDE w:val="0"/>
      <w:autoSpaceDN w:val="0"/>
      <w:adjustRightInd w:val="0"/>
      <w:ind w:left="540"/>
    </w:pPr>
    <w:rPr>
      <w:sz w:val="24"/>
      <w:szCs w:val="24"/>
    </w:rPr>
  </w:style>
  <w:style w:type="paragraph" w:styleId="BodyTextIndent3">
    <w:name w:val="Body Text Indent 3"/>
    <w:basedOn w:val="Normal"/>
    <w:pPr>
      <w:ind w:left="540"/>
    </w:pPr>
    <w:rPr>
      <w:color w:val="FF0000"/>
      <w:sz w:val="24"/>
    </w:rPr>
  </w:style>
  <w:style w:type="paragraph" w:styleId="FootnoteText">
    <w:name w:val="footnote text"/>
    <w:basedOn w:val="Normal"/>
    <w:link w:val="FootnoteTextChar"/>
    <w:rsid w:val="00C919D2"/>
  </w:style>
  <w:style w:type="character" w:customStyle="1" w:styleId="FootnoteTextChar">
    <w:name w:val="Footnote Text Char"/>
    <w:basedOn w:val="DefaultParagraphFont"/>
    <w:link w:val="FootnoteText"/>
    <w:rsid w:val="00C919D2"/>
  </w:style>
  <w:style w:type="character" w:styleId="FootnoteReference">
    <w:name w:val="footnote reference"/>
    <w:rsid w:val="00C919D2"/>
    <w:rPr>
      <w:vertAlign w:val="superscript"/>
    </w:rPr>
  </w:style>
  <w:style w:type="paragraph" w:styleId="BalloonText">
    <w:name w:val="Balloon Text"/>
    <w:basedOn w:val="Normal"/>
    <w:link w:val="BalloonTextChar"/>
    <w:rsid w:val="003863AF"/>
    <w:rPr>
      <w:rFonts w:ascii="Tahoma" w:hAnsi="Tahoma" w:cs="Tahoma"/>
      <w:sz w:val="16"/>
      <w:szCs w:val="16"/>
    </w:rPr>
  </w:style>
  <w:style w:type="character" w:customStyle="1" w:styleId="BalloonTextChar">
    <w:name w:val="Balloon Text Char"/>
    <w:link w:val="BalloonText"/>
    <w:rsid w:val="003863AF"/>
    <w:rPr>
      <w:rFonts w:ascii="Tahoma" w:hAnsi="Tahoma" w:cs="Tahoma"/>
      <w:sz w:val="16"/>
      <w:szCs w:val="16"/>
    </w:rPr>
  </w:style>
  <w:style w:type="character" w:styleId="CommentReference">
    <w:name w:val="annotation reference"/>
    <w:rsid w:val="00146F20"/>
    <w:rPr>
      <w:sz w:val="16"/>
      <w:szCs w:val="16"/>
    </w:rPr>
  </w:style>
  <w:style w:type="paragraph" w:styleId="CommentText">
    <w:name w:val="annotation text"/>
    <w:basedOn w:val="Normal"/>
    <w:link w:val="CommentTextChar"/>
    <w:rsid w:val="00146F20"/>
  </w:style>
  <w:style w:type="character" w:customStyle="1" w:styleId="CommentTextChar">
    <w:name w:val="Comment Text Char"/>
    <w:basedOn w:val="DefaultParagraphFont"/>
    <w:link w:val="CommentText"/>
    <w:rsid w:val="00146F20"/>
  </w:style>
  <w:style w:type="paragraph" w:styleId="CommentSubject">
    <w:name w:val="annotation subject"/>
    <w:basedOn w:val="CommentText"/>
    <w:next w:val="CommentText"/>
    <w:link w:val="CommentSubjectChar"/>
    <w:rsid w:val="00146F20"/>
    <w:rPr>
      <w:b/>
      <w:bCs/>
    </w:rPr>
  </w:style>
  <w:style w:type="character" w:customStyle="1" w:styleId="CommentSubjectChar">
    <w:name w:val="Comment Subject Char"/>
    <w:link w:val="CommentSubject"/>
    <w:rsid w:val="00146F20"/>
    <w:rPr>
      <w:b/>
      <w:bCs/>
    </w:rPr>
  </w:style>
  <w:style w:type="paragraph" w:styleId="Revision">
    <w:name w:val="Revision"/>
    <w:hidden/>
    <w:uiPriority w:val="99"/>
    <w:semiHidden/>
    <w:rsid w:val="00146F20"/>
  </w:style>
  <w:style w:type="paragraph" w:styleId="ListParagraph">
    <w:name w:val="List Paragraph"/>
    <w:basedOn w:val="Normal"/>
    <w:uiPriority w:val="34"/>
    <w:qFormat/>
    <w:rsid w:val="004B6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1B1D-75F4-476E-891C-2F64542B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738</Words>
  <Characters>4008</Characters>
  <Application>Microsoft Office Word</Application>
  <DocSecurity>0</DocSecurity>
  <Lines>89</Lines>
  <Paragraphs>69</Paragraphs>
  <ScaleCrop>false</ScaleCrop>
  <HeadingPairs>
    <vt:vector size="2" baseType="variant">
      <vt:variant>
        <vt:lpstr>Title</vt:lpstr>
      </vt:variant>
      <vt:variant>
        <vt:i4>1</vt:i4>
      </vt:variant>
    </vt:vector>
  </HeadingPairs>
  <TitlesOfParts>
    <vt:vector size="1" baseType="lpstr">
      <vt:lpstr>1.	Pursuant to the Foreign Assistance Act of 1961, as amended (the “Foreign Assistance Act”), OPIC must screen each applicant for investment insurance to determine the eligibility of the investor, assess political risks of the project in the host country.</vt:lpstr>
    </vt:vector>
  </TitlesOfParts>
  <Company>opic</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Pursuant to the Foreign Assistance Act of 1961, as amended (the “Foreign Assistance Act”), OPIC must screen each applicant for investment insurance to determine the eligibility of the investor, assess political risks of the project in the host country.</dc:title>
  <dc:subject/>
  <dc:creator>Carol Brock</dc:creator>
  <cp:keywords/>
  <cp:lastModifiedBy>Howard, Deborah (ODC)</cp:lastModifiedBy>
  <cp:revision>4</cp:revision>
  <cp:lastPrinted>2014-08-22T14:59:00Z</cp:lastPrinted>
  <dcterms:created xsi:type="dcterms:W3CDTF">2022-06-16T18:33:00Z</dcterms:created>
  <dcterms:modified xsi:type="dcterms:W3CDTF">2022-07-22T15:10:00Z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wCAA/90BsnYnJ4cwtLBAfOclTzL68NRVVgtUCwvUt4KOO4GSNZNdzgS+u4UzG0T2GRMP2+pCenXCiFhC_x000d_
Srj5zGVD2ZlTN6mTUCYSArVFtLezxb8FLR66FuBOQQVpjP21mJCkwG5XhXlLcL/fIAVEiQYUhk0v_x000d_
89WZv97x+DBvFLLGrXE=</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