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B4F92" w:rsidR="00AA71A6" w:rsidP="00A37A5F" w:rsidRDefault="002D133A" w14:paraId="16EE223F" w14:textId="77777777">
      <w:pPr>
        <w:suppressAutoHyphens/>
        <w:jc w:val="center"/>
        <w:rPr>
          <w:rFonts w:ascii="Times New Roman" w:hAnsi="Times New Roman"/>
          <w:b/>
          <w:szCs w:val="24"/>
        </w:rPr>
      </w:pPr>
      <w:r w:rsidRPr="00CB4F92">
        <w:rPr>
          <w:rFonts w:ascii="Times New Roman" w:hAnsi="Times New Roman"/>
          <w:b/>
          <w:szCs w:val="24"/>
        </w:rPr>
        <w:t>SUPPORTING STATEMENT FOR</w:t>
      </w:r>
      <w:r w:rsidRPr="00CB4F92" w:rsidR="00AA71A6">
        <w:rPr>
          <w:rFonts w:ascii="Times New Roman" w:hAnsi="Times New Roman"/>
          <w:b/>
          <w:szCs w:val="24"/>
        </w:rPr>
        <w:t xml:space="preserve"> NEW AND </w:t>
      </w:r>
    </w:p>
    <w:p w:rsidRPr="00E023FF" w:rsidR="002D133A" w:rsidP="00A37A5F" w:rsidRDefault="00AA71A6" w14:paraId="48A48747" w14:textId="77777777">
      <w:pPr>
        <w:suppressAutoHyphens/>
        <w:jc w:val="center"/>
        <w:rPr>
          <w:rFonts w:ascii="Times New Roman" w:hAnsi="Times New Roman"/>
          <w:szCs w:val="24"/>
        </w:rPr>
      </w:pPr>
      <w:r w:rsidRPr="00CB4F92">
        <w:rPr>
          <w:rFonts w:ascii="Times New Roman" w:hAnsi="Times New Roman"/>
          <w:b/>
          <w:szCs w:val="24"/>
        </w:rPr>
        <w:t xml:space="preserve">REVISED INFORMATION </w:t>
      </w:r>
      <w:r w:rsidRPr="00CB4F92" w:rsidR="002D133A">
        <w:rPr>
          <w:rFonts w:ascii="Times New Roman" w:hAnsi="Times New Roman"/>
          <w:b/>
          <w:szCs w:val="24"/>
        </w:rPr>
        <w:t>COLLECTION</w:t>
      </w:r>
      <w:r w:rsidRPr="00CB4F92">
        <w:rPr>
          <w:rFonts w:ascii="Times New Roman" w:hAnsi="Times New Roman"/>
          <w:b/>
          <w:szCs w:val="24"/>
        </w:rPr>
        <w:t>S</w:t>
      </w:r>
    </w:p>
    <w:p w:rsidRPr="00E023FF" w:rsidR="002D133A" w:rsidRDefault="002D133A" w14:paraId="6AE69811" w14:textId="77777777">
      <w:pPr>
        <w:suppressAutoHyphens/>
        <w:rPr>
          <w:rFonts w:ascii="Times New Roman" w:hAnsi="Times New Roman"/>
          <w:szCs w:val="24"/>
        </w:rPr>
      </w:pPr>
    </w:p>
    <w:p w:rsidRPr="00E023FF" w:rsidR="00B21470" w:rsidRDefault="002D133A" w14:paraId="2B64A5E2" w14:textId="77777777">
      <w:pPr>
        <w:tabs>
          <w:tab w:val="center" w:pos="4680"/>
        </w:tabs>
        <w:suppressAutoHyphens/>
        <w:rPr>
          <w:rFonts w:ascii="Times New Roman" w:hAnsi="Times New Roman"/>
          <w:szCs w:val="24"/>
          <w:u w:val="single"/>
        </w:rPr>
      </w:pPr>
      <w:r w:rsidRPr="00E023FF">
        <w:rPr>
          <w:rFonts w:ascii="Times New Roman" w:hAnsi="Times New Roman"/>
          <w:szCs w:val="24"/>
        </w:rPr>
        <w:tab/>
      </w:r>
      <w:r w:rsidRPr="00E023FF" w:rsidR="007C3416">
        <w:rPr>
          <w:rFonts w:ascii="Times New Roman" w:hAnsi="Times New Roman"/>
          <w:szCs w:val="24"/>
          <w:u w:val="single"/>
        </w:rPr>
        <w:t>Core Principles and Other Requirements for Designated Contract Markets</w:t>
      </w:r>
    </w:p>
    <w:p w:rsidRPr="00E023FF" w:rsidR="00B21470" w:rsidRDefault="00B21470" w14:paraId="4F3CA38C" w14:textId="77777777">
      <w:pPr>
        <w:tabs>
          <w:tab w:val="center" w:pos="4680"/>
        </w:tabs>
        <w:suppressAutoHyphens/>
        <w:rPr>
          <w:rFonts w:ascii="Times New Roman" w:hAnsi="Times New Roman"/>
          <w:szCs w:val="24"/>
          <w:u w:val="single"/>
        </w:rPr>
      </w:pPr>
    </w:p>
    <w:p w:rsidRPr="00CB4F92" w:rsidR="002D133A" w:rsidP="00B21470" w:rsidRDefault="002D133A" w14:paraId="645B0088" w14:textId="77777777">
      <w:pPr>
        <w:tabs>
          <w:tab w:val="center" w:pos="4680"/>
        </w:tabs>
        <w:suppressAutoHyphens/>
        <w:jc w:val="center"/>
        <w:rPr>
          <w:rFonts w:ascii="Times New Roman" w:hAnsi="Times New Roman"/>
          <w:b/>
          <w:szCs w:val="24"/>
        </w:rPr>
      </w:pPr>
      <w:r w:rsidRPr="00CB4F92">
        <w:rPr>
          <w:rFonts w:ascii="Times New Roman" w:hAnsi="Times New Roman"/>
          <w:b/>
          <w:szCs w:val="24"/>
        </w:rPr>
        <w:t>OMB CONTROL NUMBER 3038-</w:t>
      </w:r>
      <w:r w:rsidRPr="00CB4F92" w:rsidR="007C3416">
        <w:rPr>
          <w:rFonts w:ascii="Times New Roman" w:hAnsi="Times New Roman"/>
          <w:b/>
          <w:szCs w:val="24"/>
        </w:rPr>
        <w:t>0052</w:t>
      </w:r>
    </w:p>
    <w:p w:rsidRPr="00E023FF" w:rsidR="002D133A" w:rsidRDefault="002D133A" w14:paraId="123056F9" w14:textId="77777777">
      <w:pPr>
        <w:tabs>
          <w:tab w:val="left" w:pos="-720"/>
        </w:tabs>
        <w:suppressAutoHyphens/>
        <w:rPr>
          <w:rFonts w:ascii="Times New Roman" w:hAnsi="Times New Roman"/>
          <w:szCs w:val="24"/>
        </w:rPr>
      </w:pPr>
    </w:p>
    <w:p w:rsidRPr="00CB4F92" w:rsidR="002D133A" w:rsidRDefault="002D133A" w14:paraId="638541B5" w14:textId="77777777">
      <w:pPr>
        <w:tabs>
          <w:tab w:val="left" w:pos="-720"/>
        </w:tabs>
        <w:suppressAutoHyphens/>
        <w:rPr>
          <w:rFonts w:ascii="Times New Roman" w:hAnsi="Times New Roman"/>
          <w:b/>
          <w:szCs w:val="24"/>
        </w:rPr>
      </w:pPr>
      <w:r w:rsidRPr="00CB4F92">
        <w:rPr>
          <w:rFonts w:ascii="Times New Roman" w:hAnsi="Times New Roman"/>
          <w:b/>
          <w:szCs w:val="24"/>
          <w:u w:val="single"/>
        </w:rPr>
        <w:t>Justification</w:t>
      </w:r>
    </w:p>
    <w:p w:rsidRPr="00CB4F92" w:rsidR="002D133A" w:rsidRDefault="002D133A" w14:paraId="0A369FE3" w14:textId="77777777">
      <w:pPr>
        <w:tabs>
          <w:tab w:val="left" w:pos="-720"/>
        </w:tabs>
        <w:suppressAutoHyphens/>
        <w:rPr>
          <w:rFonts w:ascii="Times New Roman" w:hAnsi="Times New Roman"/>
          <w:b/>
          <w:szCs w:val="24"/>
        </w:rPr>
      </w:pPr>
    </w:p>
    <w:p w:rsidRPr="00CB4F92" w:rsidR="002D133A" w:rsidRDefault="002D133A" w14:paraId="6CA086DA" w14:textId="77777777">
      <w:pPr>
        <w:tabs>
          <w:tab w:val="left" w:pos="-720"/>
          <w:tab w:val="left" w:pos="0"/>
        </w:tabs>
        <w:suppressAutoHyphens/>
        <w:ind w:left="720" w:hanging="720"/>
        <w:rPr>
          <w:rFonts w:ascii="Times New Roman" w:hAnsi="Times New Roman"/>
          <w:b/>
          <w:szCs w:val="24"/>
        </w:rPr>
      </w:pPr>
      <w:r w:rsidRPr="00CB4F92">
        <w:rPr>
          <w:rFonts w:ascii="Times New Roman" w:hAnsi="Times New Roman"/>
          <w:b/>
          <w:szCs w:val="24"/>
        </w:rPr>
        <w:t>1.</w:t>
      </w:r>
      <w:r w:rsidRPr="00CB4F92">
        <w:rPr>
          <w:rFonts w:ascii="Times New Roman" w:hAnsi="Times New Roman"/>
          <w:b/>
          <w:szCs w:val="24"/>
        </w:rPr>
        <w:tab/>
      </w:r>
      <w:r w:rsidRPr="00CB4F92">
        <w:rPr>
          <w:rFonts w:ascii="Times New Roman" w:hAnsi="Times New Roman"/>
          <w:b/>
          <w:szCs w:val="24"/>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CB4F92">
        <w:rPr>
          <w:rFonts w:ascii="Times New Roman" w:hAnsi="Times New Roman"/>
          <w:b/>
          <w:szCs w:val="24"/>
        </w:rPr>
        <w:t>.</w:t>
      </w:r>
    </w:p>
    <w:p w:rsidRPr="00E023FF" w:rsidR="002D133A" w:rsidRDefault="002D133A" w14:paraId="65624CA8" w14:textId="77777777">
      <w:pPr>
        <w:tabs>
          <w:tab w:val="left" w:pos="-720"/>
        </w:tabs>
        <w:suppressAutoHyphens/>
        <w:rPr>
          <w:rFonts w:ascii="Times New Roman" w:hAnsi="Times New Roman"/>
          <w:szCs w:val="24"/>
        </w:rPr>
      </w:pPr>
    </w:p>
    <w:p w:rsidRPr="00E023FF" w:rsidR="00F85624" w:rsidP="00F85624" w:rsidRDefault="00155975" w14:paraId="0723C5CA" w14:textId="1A339C45">
      <w:pPr>
        <w:tabs>
          <w:tab w:val="left" w:pos="-720"/>
        </w:tabs>
        <w:suppressAutoHyphens/>
        <w:rPr>
          <w:rFonts w:ascii="Times New Roman" w:hAnsi="Times New Roman"/>
          <w:szCs w:val="24"/>
        </w:rPr>
      </w:pPr>
      <w:r w:rsidRPr="00E023FF">
        <w:rPr>
          <w:rFonts w:ascii="Times New Roman" w:hAnsi="Times New Roman"/>
          <w:szCs w:val="24"/>
        </w:rPr>
        <w:tab/>
      </w:r>
      <w:r w:rsidRPr="00E023FF" w:rsidR="00F85624">
        <w:rPr>
          <w:rFonts w:ascii="Times New Roman" w:hAnsi="Times New Roman"/>
          <w:szCs w:val="24"/>
        </w:rPr>
        <w:t>The regulations governing designated contract markets (“</w:t>
      </w:r>
      <w:r w:rsidRPr="00E023FF" w:rsidR="00F85624">
        <w:rPr>
          <w:rFonts w:ascii="Times New Roman" w:hAnsi="Times New Roman"/>
          <w:b/>
          <w:szCs w:val="24"/>
          <w:u w:val="single"/>
        </w:rPr>
        <w:t>DCMs</w:t>
      </w:r>
      <w:r w:rsidRPr="00E023FF" w:rsidR="00F85624">
        <w:rPr>
          <w:rFonts w:ascii="Times New Roman" w:hAnsi="Times New Roman"/>
          <w:szCs w:val="24"/>
        </w:rPr>
        <w:t>”) originally were adopted pursuant to the Commodity Futures Modernization Act of 2000, which amended section 5 of the Commodity Exchange Act (“</w:t>
      </w:r>
      <w:r w:rsidRPr="00E023FF" w:rsidR="00F85624">
        <w:rPr>
          <w:rFonts w:ascii="Times New Roman" w:hAnsi="Times New Roman"/>
          <w:b/>
          <w:szCs w:val="24"/>
          <w:u w:val="single"/>
        </w:rPr>
        <w:t>CEA</w:t>
      </w:r>
      <w:r w:rsidRPr="00E023FF" w:rsidR="00F85624">
        <w:rPr>
          <w:rFonts w:ascii="Times New Roman" w:hAnsi="Times New Roman"/>
          <w:szCs w:val="24"/>
        </w:rPr>
        <w:t>”) to impose requirements concerning the registration and operation of DCMs.</w:t>
      </w:r>
      <w:r w:rsidRPr="00E023FF" w:rsidR="00F85624">
        <w:rPr>
          <w:rFonts w:ascii="Times New Roman" w:hAnsi="Times New Roman"/>
          <w:szCs w:val="24"/>
          <w:vertAlign w:val="superscript"/>
        </w:rPr>
        <w:footnoteReference w:id="1"/>
      </w:r>
      <w:r w:rsidRPr="00E023FF" w:rsidR="00F85624">
        <w:rPr>
          <w:rFonts w:ascii="Times New Roman" w:hAnsi="Times New Roman"/>
          <w:szCs w:val="24"/>
        </w:rPr>
        <w:t xml:space="preserve">  The DCM statutory framework subsequently was revised as a result of further amendments to the CEA under Title VII of the Dodd-Frank Wall Street Reform and Consumer Protection Act (“</w:t>
      </w:r>
      <w:r w:rsidRPr="00E023FF" w:rsidR="00F85624">
        <w:rPr>
          <w:rFonts w:ascii="Times New Roman" w:hAnsi="Times New Roman"/>
          <w:b/>
          <w:szCs w:val="24"/>
          <w:u w:val="single"/>
        </w:rPr>
        <w:t>Dodd-Frank Act</w:t>
      </w:r>
      <w:r w:rsidRPr="00E023FF" w:rsidR="00F85624">
        <w:rPr>
          <w:rFonts w:ascii="Times New Roman" w:hAnsi="Times New Roman"/>
          <w:szCs w:val="24"/>
        </w:rPr>
        <w:t>”).</w:t>
      </w:r>
      <w:r w:rsidRPr="00E023FF" w:rsidR="00F85624">
        <w:rPr>
          <w:rStyle w:val="FootnoteReference"/>
          <w:rFonts w:ascii="Times New Roman" w:hAnsi="Times New Roman"/>
          <w:szCs w:val="24"/>
        </w:rPr>
        <w:footnoteReference w:id="2"/>
      </w:r>
      <w:r w:rsidRPr="00E023FF" w:rsidR="00F85624">
        <w:rPr>
          <w:rFonts w:ascii="Times New Roman" w:hAnsi="Times New Roman"/>
          <w:szCs w:val="24"/>
        </w:rPr>
        <w:t xml:space="preserve">  Part 38 of the</w:t>
      </w:r>
      <w:r w:rsidR="0021740F">
        <w:rPr>
          <w:rFonts w:ascii="Times New Roman" w:hAnsi="Times New Roman"/>
          <w:szCs w:val="24"/>
        </w:rPr>
        <w:t xml:space="preserve"> U</w:t>
      </w:r>
      <w:r w:rsidR="00C34AB1">
        <w:rPr>
          <w:rFonts w:ascii="Times New Roman" w:hAnsi="Times New Roman"/>
          <w:szCs w:val="24"/>
        </w:rPr>
        <w:t>.</w:t>
      </w:r>
      <w:r w:rsidR="0021740F">
        <w:rPr>
          <w:rFonts w:ascii="Times New Roman" w:hAnsi="Times New Roman"/>
          <w:szCs w:val="24"/>
        </w:rPr>
        <w:t>S</w:t>
      </w:r>
      <w:r w:rsidR="00C34AB1">
        <w:rPr>
          <w:rFonts w:ascii="Times New Roman" w:hAnsi="Times New Roman"/>
          <w:szCs w:val="24"/>
        </w:rPr>
        <w:t>.</w:t>
      </w:r>
      <w:r w:rsidR="0021740F">
        <w:rPr>
          <w:rFonts w:ascii="Times New Roman" w:hAnsi="Times New Roman"/>
          <w:szCs w:val="24"/>
        </w:rPr>
        <w:t xml:space="preserve"> Commodity Futures Trading</w:t>
      </w:r>
      <w:r w:rsidRPr="00E023FF" w:rsidR="00F85624">
        <w:rPr>
          <w:rFonts w:ascii="Times New Roman" w:hAnsi="Times New Roman"/>
          <w:szCs w:val="24"/>
        </w:rPr>
        <w:t xml:space="preserve"> Commission’s</w:t>
      </w:r>
      <w:r w:rsidR="0021740F">
        <w:rPr>
          <w:rFonts w:ascii="Times New Roman" w:hAnsi="Times New Roman"/>
          <w:szCs w:val="24"/>
        </w:rPr>
        <w:t xml:space="preserve"> (“</w:t>
      </w:r>
      <w:r w:rsidR="0021740F">
        <w:rPr>
          <w:rFonts w:ascii="Times New Roman" w:hAnsi="Times New Roman"/>
          <w:b/>
          <w:szCs w:val="24"/>
          <w:u w:val="single"/>
        </w:rPr>
        <w:t>Commission</w:t>
      </w:r>
      <w:r w:rsidR="0021740F">
        <w:rPr>
          <w:rFonts w:ascii="Times New Roman" w:hAnsi="Times New Roman"/>
          <w:szCs w:val="24"/>
        </w:rPr>
        <w:t>”)</w:t>
      </w:r>
      <w:r w:rsidRPr="00E023FF" w:rsidR="00F85624">
        <w:rPr>
          <w:rFonts w:ascii="Times New Roman" w:hAnsi="Times New Roman"/>
          <w:szCs w:val="24"/>
        </w:rPr>
        <w:t xml:space="preserve"> regulations governs the activities of DCMs.  The information collected pursuant to part 38 is necessary for the Commission to evaluate whether entities operating as, or applying to become, DCMs comply with the part 38</w:t>
      </w:r>
      <w:r w:rsidR="0021740F">
        <w:rPr>
          <w:rFonts w:ascii="Times New Roman" w:hAnsi="Times New Roman"/>
          <w:szCs w:val="24"/>
        </w:rPr>
        <w:t>,</w:t>
      </w:r>
      <w:r w:rsidRPr="00E023FF" w:rsidR="00F85624">
        <w:rPr>
          <w:rFonts w:ascii="Times New Roman" w:hAnsi="Times New Roman"/>
          <w:szCs w:val="24"/>
        </w:rPr>
        <w:t xml:space="preserve"> other Commission requirements</w:t>
      </w:r>
      <w:r w:rsidR="0021740F">
        <w:rPr>
          <w:rFonts w:ascii="Times New Roman" w:hAnsi="Times New Roman"/>
          <w:szCs w:val="24"/>
        </w:rPr>
        <w:t>,</w:t>
      </w:r>
      <w:r w:rsidRPr="00E023FF" w:rsidR="00F85624">
        <w:rPr>
          <w:rFonts w:ascii="Times New Roman" w:hAnsi="Times New Roman"/>
          <w:szCs w:val="24"/>
        </w:rPr>
        <w:t xml:space="preserve"> and the CEA’s statutory requirements</w:t>
      </w:r>
      <w:r w:rsidR="00FD71FB">
        <w:rPr>
          <w:rFonts w:ascii="Times New Roman" w:hAnsi="Times New Roman"/>
          <w:szCs w:val="24"/>
        </w:rPr>
        <w:t>.</w:t>
      </w:r>
    </w:p>
    <w:p w:rsidRPr="00E023FF" w:rsidR="00155975" w:rsidP="00F85624" w:rsidRDefault="00155975" w14:paraId="02679A6C" w14:textId="77777777">
      <w:pPr>
        <w:rPr>
          <w:rFonts w:ascii="Times New Roman" w:hAnsi="Times New Roman"/>
          <w:szCs w:val="24"/>
        </w:rPr>
      </w:pPr>
    </w:p>
    <w:p w:rsidRPr="00E023FF" w:rsidR="009C2BA6" w:rsidP="00155975" w:rsidRDefault="00910ED7" w14:paraId="5B9BD203" w14:textId="48FEC095">
      <w:pPr>
        <w:tabs>
          <w:tab w:val="left" w:pos="-720"/>
        </w:tabs>
        <w:suppressAutoHyphens/>
        <w:rPr>
          <w:rFonts w:ascii="Times New Roman" w:hAnsi="Times New Roman"/>
          <w:szCs w:val="24"/>
        </w:rPr>
      </w:pPr>
      <w:r w:rsidRPr="00E023FF">
        <w:rPr>
          <w:rFonts w:ascii="Times New Roman" w:hAnsi="Times New Roman"/>
          <w:szCs w:val="24"/>
        </w:rPr>
        <w:tab/>
      </w:r>
      <w:r w:rsidRPr="00E023FF" w:rsidR="00F85624">
        <w:rPr>
          <w:rFonts w:ascii="Times New Roman" w:hAnsi="Times New Roman"/>
          <w:szCs w:val="24"/>
        </w:rPr>
        <w:t>Collection 3038-0052 was created in response to the part 38 regulatory requirements for DCMs.  In general, OMB Control Number 3038-0052 covers all information collections in part 38, including Subpart A and the DCM core principles (</w:t>
      </w:r>
      <w:r w:rsidRPr="00E023FF" w:rsidR="00F85624">
        <w:rPr>
          <w:rFonts w:ascii="Times New Roman" w:hAnsi="Times New Roman"/>
          <w:i/>
          <w:szCs w:val="24"/>
        </w:rPr>
        <w:t>i.e.</w:t>
      </w:r>
      <w:r w:rsidRPr="00E023FF" w:rsidR="00F85624">
        <w:rPr>
          <w:rFonts w:ascii="Times New Roman" w:hAnsi="Times New Roman"/>
          <w:szCs w:val="24"/>
        </w:rPr>
        <w:t>, Subparts B through X) as well as the related appendices thereto (</w:t>
      </w:r>
      <w:r w:rsidRPr="00E023FF" w:rsidR="00F85624">
        <w:rPr>
          <w:rFonts w:ascii="Times New Roman" w:hAnsi="Times New Roman"/>
          <w:i/>
          <w:szCs w:val="24"/>
        </w:rPr>
        <w:t>i.e.</w:t>
      </w:r>
      <w:r w:rsidRPr="00E023FF" w:rsidR="00F85624">
        <w:rPr>
          <w:rFonts w:ascii="Times New Roman" w:hAnsi="Times New Roman"/>
          <w:szCs w:val="24"/>
        </w:rPr>
        <w:t xml:space="preserve">, Appendix A—Form DCM; Appendix B—Guidance on, and Acceptable Practices in, Compliance with Core Principles; and Appendix C—Demonstration of Compliance That a Contract Is Not Readily Susceptible to Manipulation).  </w:t>
      </w:r>
      <w:r w:rsidRPr="00E023FF" w:rsidR="009C2BA6">
        <w:rPr>
          <w:rFonts w:ascii="Times New Roman" w:hAnsi="Times New Roman"/>
          <w:szCs w:val="24"/>
        </w:rPr>
        <w:t xml:space="preserve">Further, this OMB control number, 3038-0052, also includes all information collections related to part 9 (“Rules Relating to Review of Exchange Disciplinary, Access Denial </w:t>
      </w:r>
      <w:proofErr w:type="gramStart"/>
      <w:r w:rsidRPr="00E023FF" w:rsidR="009C2BA6">
        <w:rPr>
          <w:rFonts w:ascii="Times New Roman" w:hAnsi="Times New Roman"/>
          <w:szCs w:val="24"/>
        </w:rPr>
        <w:t>Or</w:t>
      </w:r>
      <w:proofErr w:type="gramEnd"/>
      <w:r w:rsidRPr="00E023FF" w:rsidR="009C2BA6">
        <w:rPr>
          <w:rFonts w:ascii="Times New Roman" w:hAnsi="Times New Roman"/>
          <w:szCs w:val="24"/>
        </w:rPr>
        <w:t xml:space="preserve"> Other Adverse Actions”) to the extent </w:t>
      </w:r>
      <w:r w:rsidR="00A81612">
        <w:rPr>
          <w:rFonts w:ascii="Times New Roman" w:hAnsi="Times New Roman"/>
          <w:szCs w:val="24"/>
        </w:rPr>
        <w:t>p</w:t>
      </w:r>
      <w:r w:rsidRPr="00E023FF" w:rsidR="009C2BA6">
        <w:rPr>
          <w:rFonts w:ascii="Times New Roman" w:hAnsi="Times New Roman"/>
          <w:szCs w:val="24"/>
        </w:rPr>
        <w:t>art 9 is applicable to DCMs.</w:t>
      </w:r>
      <w:r w:rsidR="00D5219B">
        <w:rPr>
          <w:rStyle w:val="FootnoteReference"/>
          <w:rFonts w:ascii="Times New Roman" w:hAnsi="Times New Roman"/>
          <w:szCs w:val="24"/>
        </w:rPr>
        <w:footnoteReference w:id="3"/>
      </w:r>
      <w:r w:rsidRPr="00E023FF" w:rsidR="009C2BA6">
        <w:rPr>
          <w:rFonts w:ascii="Times New Roman" w:hAnsi="Times New Roman"/>
          <w:szCs w:val="24"/>
        </w:rPr>
        <w:t xml:space="preserve"> </w:t>
      </w:r>
      <w:r w:rsidRPr="00A00E90" w:rsidR="00A00E90">
        <w:rPr>
          <w:rFonts w:ascii="Times New Roman" w:hAnsi="Times New Roman"/>
          <w:szCs w:val="24"/>
        </w:rPr>
        <w:t>This collection also includes the</w:t>
      </w:r>
      <w:r w:rsidR="002D3259">
        <w:rPr>
          <w:rFonts w:ascii="Times New Roman" w:hAnsi="Times New Roman"/>
          <w:szCs w:val="24"/>
        </w:rPr>
        <w:t xml:space="preserve"> recently adopted</w:t>
      </w:r>
      <w:r w:rsidRPr="00A00E90" w:rsidR="00A00E90">
        <w:rPr>
          <w:rFonts w:ascii="Times New Roman" w:hAnsi="Times New Roman"/>
          <w:szCs w:val="24"/>
        </w:rPr>
        <w:t xml:space="preserve"> </w:t>
      </w:r>
      <w:r w:rsidRPr="00A00E90" w:rsidR="00A00E90">
        <w:rPr>
          <w:rFonts w:ascii="Times New Roman" w:hAnsi="Times New Roman"/>
          <w:szCs w:val="24"/>
        </w:rPr>
        <w:lastRenderedPageBreak/>
        <w:t>requirements under regulation 38.251(g) in connection with the reporting of specific market disruption events to the Commission.</w:t>
      </w:r>
      <w:r w:rsidR="000B4E52">
        <w:rPr>
          <w:rStyle w:val="FootnoteReference"/>
          <w:rFonts w:ascii="Times New Roman" w:hAnsi="Times New Roman"/>
          <w:szCs w:val="24"/>
        </w:rPr>
        <w:footnoteReference w:id="4"/>
      </w:r>
      <w:r w:rsidRPr="00A00E90" w:rsidR="00A00E90">
        <w:rPr>
          <w:rFonts w:ascii="Times New Roman" w:hAnsi="Times New Roman"/>
          <w:szCs w:val="24"/>
        </w:rPr>
        <w:t xml:space="preserve">  </w:t>
      </w:r>
    </w:p>
    <w:p w:rsidRPr="00E023FF" w:rsidR="009C2BA6" w:rsidP="00155975" w:rsidRDefault="009C2BA6" w14:paraId="03D4A073" w14:textId="77777777">
      <w:pPr>
        <w:tabs>
          <w:tab w:val="left" w:pos="-720"/>
        </w:tabs>
        <w:suppressAutoHyphens/>
        <w:rPr>
          <w:rFonts w:ascii="Times New Roman" w:hAnsi="Times New Roman"/>
          <w:szCs w:val="24"/>
        </w:rPr>
      </w:pPr>
    </w:p>
    <w:p w:rsidRPr="00E023FF" w:rsidR="002E507C" w:rsidP="00155975" w:rsidRDefault="009C2BA6" w14:paraId="0F1C20B7" w14:textId="74465F8F">
      <w:pPr>
        <w:tabs>
          <w:tab w:val="left" w:pos="-720"/>
        </w:tabs>
        <w:suppressAutoHyphens/>
        <w:rPr>
          <w:rFonts w:ascii="Times New Roman" w:hAnsi="Times New Roman"/>
          <w:szCs w:val="24"/>
        </w:rPr>
      </w:pPr>
      <w:r w:rsidRPr="00E023FF">
        <w:rPr>
          <w:rFonts w:ascii="Times New Roman" w:hAnsi="Times New Roman"/>
          <w:szCs w:val="24"/>
        </w:rPr>
        <w:tab/>
      </w:r>
      <w:r w:rsidRPr="00E023FF" w:rsidR="00155975">
        <w:rPr>
          <w:rFonts w:ascii="Times New Roman" w:hAnsi="Times New Roman"/>
          <w:szCs w:val="24"/>
        </w:rPr>
        <w:t xml:space="preserve">This OMB control number, 3038-0052, also includes collections under Rule 1.52 regarding the Enhanced Protections Afforded Customer and Customer Funds Held by Futures Clearing Merchants and Derivatives Clearing Organizations. </w:t>
      </w:r>
      <w:r w:rsidR="00FC79B8">
        <w:rPr>
          <w:rFonts w:ascii="Times New Roman" w:hAnsi="Times New Roman"/>
          <w:szCs w:val="24"/>
        </w:rPr>
        <w:t>Commission r</w:t>
      </w:r>
      <w:r w:rsidRPr="00E023FF" w:rsidR="00155975">
        <w:rPr>
          <w:rFonts w:ascii="Times New Roman" w:hAnsi="Times New Roman"/>
          <w:szCs w:val="24"/>
        </w:rPr>
        <w:t>egulation 1.52 imposes information collection burdens on DCMs.</w:t>
      </w:r>
      <w:r w:rsidR="001F63CB">
        <w:rPr>
          <w:rStyle w:val="FootnoteReference"/>
          <w:rFonts w:ascii="Times New Roman" w:hAnsi="Times New Roman"/>
          <w:szCs w:val="24"/>
        </w:rPr>
        <w:footnoteReference w:id="5"/>
      </w:r>
      <w:r w:rsidRPr="00E023FF" w:rsidR="00155975">
        <w:rPr>
          <w:rFonts w:ascii="Times New Roman" w:hAnsi="Times New Roman"/>
          <w:szCs w:val="24"/>
        </w:rPr>
        <w:t xml:space="preserve">  </w:t>
      </w:r>
    </w:p>
    <w:p w:rsidRPr="00E023FF" w:rsidR="00E16C0E" w:rsidP="00155975" w:rsidRDefault="00E16C0E" w14:paraId="451FC427" w14:textId="77777777">
      <w:pPr>
        <w:tabs>
          <w:tab w:val="left" w:pos="-720"/>
        </w:tabs>
        <w:suppressAutoHyphens/>
        <w:rPr>
          <w:rFonts w:ascii="Times New Roman" w:hAnsi="Times New Roman"/>
          <w:szCs w:val="24"/>
        </w:rPr>
      </w:pPr>
    </w:p>
    <w:p w:rsidRPr="00E023FF" w:rsidR="00E16C0E" w:rsidP="00155975" w:rsidRDefault="00E16C0E" w14:paraId="6EB4E46E" w14:textId="77777777">
      <w:pPr>
        <w:tabs>
          <w:tab w:val="left" w:pos="-720"/>
        </w:tabs>
        <w:suppressAutoHyphens/>
        <w:rPr>
          <w:rFonts w:ascii="Times New Roman" w:hAnsi="Times New Roman"/>
          <w:szCs w:val="24"/>
        </w:rPr>
      </w:pPr>
      <w:r w:rsidRPr="00E023FF">
        <w:rPr>
          <w:rFonts w:ascii="Times New Roman" w:hAnsi="Times New Roman"/>
          <w:szCs w:val="24"/>
        </w:rPr>
        <w:tab/>
      </w:r>
      <w:bookmarkStart w:name="_Hlk99715479" w:id="0"/>
      <w:r w:rsidRPr="00E023FF">
        <w:rPr>
          <w:rFonts w:ascii="Times New Roman" w:hAnsi="Times New Roman"/>
          <w:szCs w:val="24"/>
        </w:rPr>
        <w:t xml:space="preserve">Additionally, this OMB control number, 3038-0052, also includes collections under regulation 38.1051(n) that relate to system safeguards and cybersecurity testing requirements and requires DCMs to provide the Commission with annual trading volume information.  </w:t>
      </w:r>
    </w:p>
    <w:p w:rsidRPr="00E023FF" w:rsidR="00E16C0E" w:rsidP="00155975" w:rsidRDefault="00155975" w14:paraId="2CAC4F1E" w14:textId="77777777">
      <w:pPr>
        <w:tabs>
          <w:tab w:val="left" w:pos="-720"/>
        </w:tabs>
        <w:suppressAutoHyphens/>
        <w:rPr>
          <w:rFonts w:ascii="Times New Roman" w:hAnsi="Times New Roman"/>
          <w:szCs w:val="24"/>
        </w:rPr>
      </w:pPr>
      <w:r w:rsidRPr="00E023FF">
        <w:rPr>
          <w:rFonts w:ascii="Times New Roman" w:hAnsi="Times New Roman"/>
          <w:szCs w:val="24"/>
        </w:rPr>
        <w:tab/>
      </w:r>
    </w:p>
    <w:p w:rsidRPr="00E023FF" w:rsidR="00F85CEB" w:rsidP="00A40930" w:rsidRDefault="00E16C0E" w14:paraId="6963EED0" w14:textId="7C8D7182">
      <w:pPr>
        <w:tabs>
          <w:tab w:val="left" w:pos="-720"/>
        </w:tabs>
        <w:suppressAutoHyphens/>
        <w:rPr>
          <w:rFonts w:ascii="Times New Roman" w:hAnsi="Times New Roman"/>
          <w:szCs w:val="24"/>
        </w:rPr>
      </w:pPr>
      <w:r w:rsidRPr="00E023FF">
        <w:rPr>
          <w:rFonts w:ascii="Times New Roman" w:hAnsi="Times New Roman"/>
          <w:szCs w:val="24"/>
        </w:rPr>
        <w:tab/>
      </w:r>
      <w:bookmarkStart w:name="_Hlk100155146" w:id="1"/>
      <w:r w:rsidR="00FD71FB">
        <w:rPr>
          <w:rFonts w:ascii="Times New Roman" w:hAnsi="Times New Roman"/>
          <w:szCs w:val="24"/>
        </w:rPr>
        <w:t>For the majority of collections under OMB control number 3038-0052, t</w:t>
      </w:r>
      <w:r w:rsidRPr="00E023FF" w:rsidR="00155975">
        <w:rPr>
          <w:rFonts w:ascii="Times New Roman" w:hAnsi="Times New Roman"/>
          <w:szCs w:val="24"/>
        </w:rPr>
        <w:t>he Commission notes that the number of registered, active DCMs has increased from 14 to 16.</w:t>
      </w:r>
      <w:r w:rsidRPr="00E023FF" w:rsidR="00155975">
        <w:rPr>
          <w:rStyle w:val="FootnoteReference"/>
          <w:rFonts w:ascii="Times New Roman" w:hAnsi="Times New Roman"/>
          <w:szCs w:val="24"/>
        </w:rPr>
        <w:footnoteReference w:id="6"/>
      </w:r>
      <w:r w:rsidRPr="00E023FF" w:rsidR="00155975">
        <w:rPr>
          <w:rFonts w:ascii="Times New Roman" w:hAnsi="Times New Roman"/>
          <w:szCs w:val="24"/>
        </w:rPr>
        <w:t xml:space="preserve">  This increase in the number of registered DCMs will increase the total information collection burdens for OMB control number 3038-0052 as noted in Attachment A.</w:t>
      </w:r>
      <w:r w:rsidR="00FD71FB">
        <w:rPr>
          <w:rStyle w:val="FootnoteReference"/>
          <w:rFonts w:ascii="Times New Roman" w:hAnsi="Times New Roman"/>
          <w:szCs w:val="24"/>
        </w:rPr>
        <w:footnoteReference w:id="7"/>
      </w:r>
      <w:r w:rsidRPr="00E023FF" w:rsidR="00155975">
        <w:rPr>
          <w:rFonts w:ascii="Times New Roman" w:hAnsi="Times New Roman"/>
          <w:szCs w:val="24"/>
        </w:rPr>
        <w:t xml:space="preserve"> </w:t>
      </w:r>
      <w:bookmarkEnd w:id="1"/>
    </w:p>
    <w:bookmarkEnd w:id="0"/>
    <w:p w:rsidRPr="00E023FF" w:rsidR="00690529" w:rsidP="00C60F97" w:rsidRDefault="006F1D77" w14:paraId="39CD9541" w14:textId="77777777">
      <w:pPr>
        <w:tabs>
          <w:tab w:val="left" w:pos="-720"/>
        </w:tabs>
        <w:suppressAutoHyphens/>
        <w:ind w:left="720"/>
        <w:rPr>
          <w:rFonts w:ascii="Times New Roman" w:hAnsi="Times New Roman"/>
          <w:szCs w:val="24"/>
        </w:rPr>
      </w:pPr>
      <w:r w:rsidRPr="00E023FF">
        <w:rPr>
          <w:rFonts w:ascii="Times New Roman" w:hAnsi="Times New Roman"/>
          <w:szCs w:val="24"/>
        </w:rPr>
        <w:t xml:space="preserve"> </w:t>
      </w:r>
    </w:p>
    <w:p w:rsidRPr="00CB4F92" w:rsidR="00C33A9E" w:rsidP="009C2BA6" w:rsidRDefault="002D133A" w14:paraId="1EE3A37A" w14:textId="77777777">
      <w:pPr>
        <w:tabs>
          <w:tab w:val="left" w:pos="-720"/>
        </w:tabs>
        <w:suppressAutoHyphens/>
        <w:ind w:left="720" w:hanging="720"/>
        <w:rPr>
          <w:rFonts w:ascii="Times New Roman" w:hAnsi="Times New Roman"/>
          <w:b/>
          <w:szCs w:val="24"/>
        </w:rPr>
      </w:pPr>
      <w:r w:rsidRPr="00CB4F92">
        <w:rPr>
          <w:rFonts w:ascii="Times New Roman" w:hAnsi="Times New Roman"/>
          <w:b/>
          <w:szCs w:val="24"/>
        </w:rPr>
        <w:t>2.</w:t>
      </w:r>
      <w:r w:rsidRPr="00CB4F92">
        <w:rPr>
          <w:rFonts w:ascii="Times New Roman" w:hAnsi="Times New Roman"/>
          <w:b/>
          <w:szCs w:val="24"/>
        </w:rPr>
        <w:tab/>
      </w:r>
      <w:r w:rsidRPr="00CB4F92">
        <w:rPr>
          <w:rFonts w:ascii="Times New Roman" w:hAnsi="Times New Roman"/>
          <w:b/>
          <w:szCs w:val="24"/>
          <w:u w:val="single"/>
        </w:rPr>
        <w:t>Indicate how, by whom, and for what purpose the dat</w:t>
      </w:r>
      <w:r w:rsidRPr="00CB4F92" w:rsidR="00C33A9E">
        <w:rPr>
          <w:rFonts w:ascii="Times New Roman" w:hAnsi="Times New Roman"/>
          <w:b/>
          <w:szCs w:val="24"/>
          <w:u w:val="single"/>
        </w:rPr>
        <w:t>a</w:t>
      </w:r>
      <w:r w:rsidRPr="00CB4F92">
        <w:rPr>
          <w:rFonts w:ascii="Times New Roman" w:hAnsi="Times New Roman"/>
          <w:b/>
          <w:szCs w:val="24"/>
          <w:u w:val="single"/>
        </w:rPr>
        <w:t xml:space="preserve"> would be used.  Except for a new collection, indicate the actual use the agency has made of the information received from the current collection</w:t>
      </w:r>
      <w:r w:rsidRPr="00CB4F92">
        <w:rPr>
          <w:rFonts w:ascii="Times New Roman" w:hAnsi="Times New Roman"/>
          <w:b/>
          <w:szCs w:val="24"/>
        </w:rPr>
        <w:t>.</w:t>
      </w:r>
    </w:p>
    <w:p w:rsidRPr="00E023FF" w:rsidR="00E16C0E" w:rsidRDefault="00E16C0E" w14:paraId="1E033007" w14:textId="77777777">
      <w:pPr>
        <w:tabs>
          <w:tab w:val="left" w:pos="-720"/>
        </w:tabs>
        <w:suppressAutoHyphens/>
        <w:ind w:left="720" w:hanging="720"/>
        <w:rPr>
          <w:rFonts w:ascii="Times New Roman" w:hAnsi="Times New Roman"/>
          <w:szCs w:val="24"/>
        </w:rPr>
      </w:pPr>
    </w:p>
    <w:p w:rsidR="00E16C0E" w:rsidP="00E16C0E" w:rsidRDefault="00E16C0E" w14:paraId="34DEBD18" w14:textId="30807731">
      <w:pPr>
        <w:autoSpaceDE w:val="0"/>
        <w:autoSpaceDN w:val="0"/>
        <w:adjustRightInd w:val="0"/>
        <w:ind w:firstLine="720"/>
        <w:rPr>
          <w:rFonts w:ascii="Times New Roman" w:hAnsi="Times New Roman" w:eastAsia="PMingLiU"/>
          <w:szCs w:val="24"/>
        </w:rPr>
      </w:pPr>
      <w:r w:rsidRPr="00E023FF">
        <w:rPr>
          <w:rFonts w:ascii="Times New Roman" w:hAnsi="Times New Roman" w:eastAsia="PMingLiU"/>
          <w:szCs w:val="24"/>
        </w:rPr>
        <w:t xml:space="preserve">The initial IC under the collection—regulations governing designated contract markets (DCMs)—found in </w:t>
      </w:r>
      <w:r w:rsidR="00FC79B8">
        <w:rPr>
          <w:rFonts w:ascii="Times New Roman" w:hAnsi="Times New Roman" w:eastAsia="PMingLiU"/>
          <w:szCs w:val="24"/>
        </w:rPr>
        <w:t>p</w:t>
      </w:r>
      <w:r w:rsidRPr="00E023FF">
        <w:rPr>
          <w:rFonts w:ascii="Times New Roman" w:hAnsi="Times New Roman" w:eastAsia="PMingLiU"/>
          <w:szCs w:val="24"/>
        </w:rPr>
        <w:t>art 38 of the Commission’s rules—</w:t>
      </w:r>
      <w:r w:rsidRPr="00E023FF" w:rsidR="00236618">
        <w:rPr>
          <w:rFonts w:ascii="Times New Roman" w:hAnsi="Times New Roman"/>
          <w:szCs w:val="24"/>
        </w:rPr>
        <w:t xml:space="preserve"> were adopted pursuant to the Commodity Futures Modernization Act of 2000, which amended section 5 of the CEA to impose requirements concerning the registration and operation of DCMs.  The DCM statutory framework subsequently was revised as a result of further amendments to the CEA under Title VII of the Dodd-Frank Act. Part 38 of the Commission’s regulations governs the activities of </w:t>
      </w:r>
      <w:r w:rsidRPr="00E023FF" w:rsidR="00236618">
        <w:rPr>
          <w:rFonts w:ascii="Times New Roman" w:hAnsi="Times New Roman"/>
          <w:szCs w:val="24"/>
        </w:rPr>
        <w:lastRenderedPageBreak/>
        <w:t xml:space="preserve">DCMs.  </w:t>
      </w:r>
      <w:r w:rsidRPr="00E023FF">
        <w:rPr>
          <w:rFonts w:ascii="Times New Roman" w:hAnsi="Times New Roman" w:eastAsia="PMingLiU"/>
          <w:szCs w:val="24"/>
        </w:rPr>
        <w:t xml:space="preserve">The information collected under </w:t>
      </w:r>
      <w:r w:rsidR="00FC79B8">
        <w:rPr>
          <w:rFonts w:ascii="Times New Roman" w:hAnsi="Times New Roman" w:eastAsia="PMingLiU"/>
          <w:szCs w:val="24"/>
        </w:rPr>
        <w:t>p</w:t>
      </w:r>
      <w:r w:rsidRPr="00E023FF">
        <w:rPr>
          <w:rFonts w:ascii="Times New Roman" w:hAnsi="Times New Roman" w:eastAsia="PMingLiU"/>
          <w:szCs w:val="24"/>
        </w:rPr>
        <w:t xml:space="preserve">art 38 is used by the Commission to evaluate whether entities operating as, or applying to become, DCMs complied with its requirements. </w:t>
      </w:r>
    </w:p>
    <w:p w:rsidRPr="00E023FF" w:rsidR="00FD71FB" w:rsidP="00E16C0E" w:rsidRDefault="00FD71FB" w14:paraId="3F90F4AC" w14:textId="77777777">
      <w:pPr>
        <w:autoSpaceDE w:val="0"/>
        <w:autoSpaceDN w:val="0"/>
        <w:adjustRightInd w:val="0"/>
        <w:ind w:firstLine="720"/>
        <w:rPr>
          <w:rFonts w:ascii="Times New Roman" w:hAnsi="Times New Roman" w:eastAsia="PMingLiU"/>
          <w:szCs w:val="24"/>
        </w:rPr>
      </w:pPr>
    </w:p>
    <w:p w:rsidRPr="00E023FF" w:rsidR="00E16C0E" w:rsidP="00E16C0E" w:rsidRDefault="00E16C0E" w14:paraId="60090215" w14:textId="1B330611">
      <w:pPr>
        <w:autoSpaceDE w:val="0"/>
        <w:autoSpaceDN w:val="0"/>
        <w:adjustRightInd w:val="0"/>
        <w:ind w:firstLine="720"/>
        <w:rPr>
          <w:rFonts w:ascii="Times New Roman" w:hAnsi="Times New Roman" w:eastAsia="PMingLiU"/>
          <w:szCs w:val="24"/>
        </w:rPr>
      </w:pPr>
      <w:r w:rsidRPr="00E023FF">
        <w:rPr>
          <w:rFonts w:ascii="Times New Roman" w:hAnsi="Times New Roman" w:eastAsia="PMingLiU"/>
          <w:szCs w:val="24"/>
        </w:rPr>
        <w:t>Information generated by the collection’s second IC provide</w:t>
      </w:r>
      <w:r w:rsidR="00983A3F">
        <w:rPr>
          <w:rFonts w:ascii="Times New Roman" w:hAnsi="Times New Roman" w:eastAsia="PMingLiU"/>
          <w:szCs w:val="24"/>
        </w:rPr>
        <w:t>s</w:t>
      </w:r>
      <w:r w:rsidRPr="00E023FF">
        <w:rPr>
          <w:rFonts w:ascii="Times New Roman" w:hAnsi="Times New Roman" w:eastAsia="PMingLiU"/>
          <w:szCs w:val="24"/>
        </w:rPr>
        <w:t xml:space="preserve"> the means for the Commission to prevent unauthorized usage of customer funds by FCMs while also providing modifications to existing rules respecting DCMs.  The provisions obligated DCMs to comply with additional requirements for self-regulatory organizations, including the requirements to adopt enhanced examination procedures and have examination programs reviewed by an examinations expert and periodically file data with the Commission; information that is used by the Commission to maintain oversight by identifying problematic financial matters in time to avoid market disruptions, and avoid tie-up of customer funds.</w:t>
      </w:r>
    </w:p>
    <w:p w:rsidRPr="00E023FF" w:rsidR="00E16C0E" w:rsidP="00E16C0E" w:rsidRDefault="00E16C0E" w14:paraId="54A1BA97" w14:textId="77777777">
      <w:pPr>
        <w:autoSpaceDE w:val="0"/>
        <w:autoSpaceDN w:val="0"/>
        <w:adjustRightInd w:val="0"/>
        <w:ind w:firstLine="720"/>
        <w:rPr>
          <w:rFonts w:ascii="Times New Roman" w:hAnsi="Times New Roman" w:eastAsia="PMingLiU"/>
          <w:szCs w:val="24"/>
        </w:rPr>
      </w:pPr>
    </w:p>
    <w:p w:rsidRPr="00E023FF" w:rsidR="00E16C0E" w:rsidP="00E16C0E" w:rsidRDefault="00E16C0E" w14:paraId="5B802053" w14:textId="77777777">
      <w:pPr>
        <w:autoSpaceDE w:val="0"/>
        <w:autoSpaceDN w:val="0"/>
        <w:adjustRightInd w:val="0"/>
        <w:ind w:firstLine="720"/>
        <w:rPr>
          <w:rFonts w:ascii="Times New Roman" w:hAnsi="Times New Roman" w:eastAsia="PMingLiU"/>
          <w:szCs w:val="24"/>
        </w:rPr>
      </w:pPr>
      <w:r w:rsidRPr="00E023FF">
        <w:rPr>
          <w:rFonts w:ascii="Times New Roman" w:hAnsi="Times New Roman" w:eastAsia="PMingLiU"/>
          <w:szCs w:val="24"/>
        </w:rPr>
        <w:t>Under the collection’s third IC, the Commission uses the information to enhance its oversight by adopting the System Safeguards and Cybersecurity Testing Final Rulemaking, which requires DCMs to provide the Commission with annual trading volume information.  Specifically, the trading volume information assists the Commission in its application of the enhanced system safeguard and cybersecurity testing requirements for DCMs.</w:t>
      </w:r>
    </w:p>
    <w:p w:rsidRPr="00E023FF" w:rsidR="00661626" w:rsidP="00661626" w:rsidRDefault="00661626" w14:paraId="5D64F873" w14:textId="77777777">
      <w:pPr>
        <w:tabs>
          <w:tab w:val="left" w:pos="-720"/>
        </w:tabs>
        <w:suppressAutoHyphens/>
        <w:ind w:left="720" w:hanging="720"/>
        <w:rPr>
          <w:rFonts w:ascii="Times New Roman" w:hAnsi="Times New Roman"/>
          <w:szCs w:val="24"/>
        </w:rPr>
      </w:pPr>
    </w:p>
    <w:p w:rsidRPr="00CB4F92" w:rsidR="002D133A" w:rsidRDefault="002D133A" w14:paraId="059C4DFD" w14:textId="77777777">
      <w:pPr>
        <w:tabs>
          <w:tab w:val="left" w:pos="-720"/>
          <w:tab w:val="left" w:pos="0"/>
        </w:tabs>
        <w:suppressAutoHyphens/>
        <w:ind w:left="720" w:hanging="720"/>
        <w:rPr>
          <w:rFonts w:ascii="Times New Roman" w:hAnsi="Times New Roman"/>
          <w:b/>
          <w:szCs w:val="24"/>
          <w:u w:val="single"/>
        </w:rPr>
      </w:pPr>
      <w:r w:rsidRPr="00CB4F92">
        <w:rPr>
          <w:rFonts w:ascii="Times New Roman" w:hAnsi="Times New Roman"/>
          <w:b/>
          <w:szCs w:val="24"/>
        </w:rPr>
        <w:t>3.</w:t>
      </w:r>
      <w:r w:rsidRPr="00CB4F92">
        <w:rPr>
          <w:rFonts w:ascii="Times New Roman" w:hAnsi="Times New Roman"/>
          <w:b/>
          <w:szCs w:val="24"/>
        </w:rPr>
        <w:tab/>
      </w:r>
      <w:r w:rsidRPr="00CB4F92">
        <w:rPr>
          <w:rFonts w:ascii="Times New Roman" w:hAnsi="Times New Roman"/>
          <w:b/>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023FF" w:rsidR="00AD00FE" w:rsidRDefault="00AD00FE" w14:paraId="5868A033" w14:textId="77777777">
      <w:pPr>
        <w:tabs>
          <w:tab w:val="left" w:pos="-720"/>
          <w:tab w:val="left" w:pos="0"/>
        </w:tabs>
        <w:suppressAutoHyphens/>
        <w:ind w:left="720" w:hanging="720"/>
        <w:rPr>
          <w:rFonts w:ascii="Times New Roman" w:hAnsi="Times New Roman"/>
          <w:szCs w:val="24"/>
          <w:u w:val="single"/>
        </w:rPr>
      </w:pPr>
    </w:p>
    <w:p w:rsidRPr="00E023FF" w:rsidR="00981B08" w:rsidP="00E90756" w:rsidRDefault="00E90756" w14:paraId="40D6B4B2" w14:textId="77777777">
      <w:pPr>
        <w:tabs>
          <w:tab w:val="left" w:pos="-720"/>
          <w:tab w:val="left" w:pos="0"/>
        </w:tabs>
        <w:suppressAutoHyphens/>
        <w:rPr>
          <w:rFonts w:ascii="Times New Roman" w:hAnsi="Times New Roman"/>
          <w:szCs w:val="24"/>
        </w:rPr>
      </w:pPr>
      <w:r w:rsidRPr="00E023FF">
        <w:rPr>
          <w:rFonts w:ascii="Times New Roman" w:hAnsi="Times New Roman"/>
          <w:szCs w:val="24"/>
        </w:rPr>
        <w:tab/>
      </w:r>
      <w:r w:rsidRPr="00E023FF" w:rsidR="00AA1525">
        <w:rPr>
          <w:rFonts w:ascii="Times New Roman" w:hAnsi="Times New Roman"/>
          <w:szCs w:val="24"/>
        </w:rPr>
        <w:t xml:space="preserve">All required submissions by DCMs to the Commission may be submitted electronically. </w:t>
      </w:r>
      <w:r w:rsidRPr="00E023FF">
        <w:rPr>
          <w:rFonts w:ascii="Times New Roman" w:hAnsi="Times New Roman"/>
          <w:szCs w:val="24"/>
        </w:rPr>
        <w:t xml:space="preserve"> </w:t>
      </w:r>
      <w:r w:rsidRPr="00E023FF" w:rsidR="00AA1525">
        <w:rPr>
          <w:rFonts w:ascii="Times New Roman" w:hAnsi="Times New Roman"/>
          <w:szCs w:val="24"/>
        </w:rPr>
        <w:t xml:space="preserve">Records required to be kept may similarly be maintained electronically.  </w:t>
      </w:r>
    </w:p>
    <w:p w:rsidRPr="00E023FF" w:rsidR="002D133A" w:rsidRDefault="002D133A" w14:paraId="07DEE749" w14:textId="77777777">
      <w:pPr>
        <w:tabs>
          <w:tab w:val="left" w:pos="-720"/>
        </w:tabs>
        <w:suppressAutoHyphens/>
        <w:rPr>
          <w:rFonts w:ascii="Times New Roman" w:hAnsi="Times New Roman"/>
          <w:szCs w:val="24"/>
        </w:rPr>
      </w:pPr>
    </w:p>
    <w:p w:rsidRPr="00CB4F92" w:rsidR="002D133A" w:rsidRDefault="002D133A" w14:paraId="0D5B8E19" w14:textId="77777777">
      <w:pPr>
        <w:tabs>
          <w:tab w:val="left" w:pos="-720"/>
          <w:tab w:val="left" w:pos="0"/>
        </w:tabs>
        <w:suppressAutoHyphens/>
        <w:ind w:left="720" w:hanging="720"/>
        <w:rPr>
          <w:rFonts w:ascii="Times New Roman" w:hAnsi="Times New Roman"/>
          <w:b/>
          <w:szCs w:val="24"/>
        </w:rPr>
      </w:pPr>
      <w:r w:rsidRPr="00CB4F92">
        <w:rPr>
          <w:rFonts w:ascii="Times New Roman" w:hAnsi="Times New Roman"/>
          <w:b/>
          <w:szCs w:val="24"/>
        </w:rPr>
        <w:t>4.</w:t>
      </w:r>
      <w:r w:rsidRPr="00CB4F92">
        <w:rPr>
          <w:rFonts w:ascii="Times New Roman" w:hAnsi="Times New Roman"/>
          <w:b/>
          <w:szCs w:val="24"/>
        </w:rPr>
        <w:tab/>
      </w:r>
      <w:r w:rsidRPr="00CB4F92">
        <w:rPr>
          <w:rFonts w:ascii="Times New Roman" w:hAnsi="Times New Roman"/>
          <w:b/>
          <w:szCs w:val="24"/>
          <w:u w:val="single"/>
        </w:rPr>
        <w:t>Describe efforts to identify duplication.  Show specifically why any similar information already available cannot be used or modified for use for the purposes described in Item 2 above</w:t>
      </w:r>
      <w:r w:rsidRPr="00CB4F92">
        <w:rPr>
          <w:rFonts w:ascii="Times New Roman" w:hAnsi="Times New Roman"/>
          <w:b/>
          <w:szCs w:val="24"/>
        </w:rPr>
        <w:t>.</w:t>
      </w:r>
    </w:p>
    <w:p w:rsidRPr="00E023FF" w:rsidR="00AD00FE" w:rsidRDefault="00AD00FE" w14:paraId="0C671FDD" w14:textId="77777777">
      <w:pPr>
        <w:tabs>
          <w:tab w:val="left" w:pos="-720"/>
          <w:tab w:val="left" w:pos="0"/>
        </w:tabs>
        <w:suppressAutoHyphens/>
        <w:ind w:left="720" w:hanging="720"/>
        <w:rPr>
          <w:rFonts w:ascii="Times New Roman" w:hAnsi="Times New Roman"/>
          <w:szCs w:val="24"/>
        </w:rPr>
      </w:pPr>
    </w:p>
    <w:p w:rsidRPr="00E023FF" w:rsidR="00AD00FE" w:rsidP="00E90756" w:rsidRDefault="00AD00FE" w14:paraId="6B3E1F66" w14:textId="77777777">
      <w:pPr>
        <w:tabs>
          <w:tab w:val="left" w:pos="-720"/>
          <w:tab w:val="left" w:pos="0"/>
        </w:tabs>
        <w:suppressAutoHyphens/>
        <w:rPr>
          <w:rFonts w:ascii="Times New Roman" w:hAnsi="Times New Roman"/>
          <w:szCs w:val="24"/>
        </w:rPr>
      </w:pPr>
      <w:r w:rsidRPr="00E023FF">
        <w:rPr>
          <w:rFonts w:ascii="Times New Roman" w:hAnsi="Times New Roman"/>
          <w:szCs w:val="24"/>
        </w:rPr>
        <w:tab/>
      </w:r>
      <w:r w:rsidRPr="00E023FF" w:rsidR="00E90756">
        <w:rPr>
          <w:rFonts w:ascii="Times New Roman" w:hAnsi="Times New Roman"/>
          <w:szCs w:val="24"/>
        </w:rPr>
        <w:t>Information collected under this OMB Control Number is not already collected by the Commission for any other purpose, nor is it collected by any other agency, nor is the information available from any other source.</w:t>
      </w:r>
      <w:r w:rsidRPr="00E023FF" w:rsidR="00E90756">
        <w:rPr>
          <w:rFonts w:ascii="Times New Roman" w:hAnsi="Times New Roman"/>
          <w:szCs w:val="24"/>
        </w:rPr>
        <w:tab/>
      </w:r>
    </w:p>
    <w:p w:rsidRPr="00E023FF" w:rsidR="002D133A" w:rsidRDefault="002D133A" w14:paraId="49477C26" w14:textId="77777777">
      <w:pPr>
        <w:tabs>
          <w:tab w:val="left" w:pos="-720"/>
        </w:tabs>
        <w:suppressAutoHyphens/>
        <w:rPr>
          <w:rFonts w:ascii="Times New Roman" w:hAnsi="Times New Roman"/>
          <w:szCs w:val="24"/>
        </w:rPr>
      </w:pPr>
    </w:p>
    <w:p w:rsidRPr="00CB4F92" w:rsidR="002D133A" w:rsidRDefault="002D133A" w14:paraId="56728D74" w14:textId="0F7C7526">
      <w:pPr>
        <w:tabs>
          <w:tab w:val="left" w:pos="-720"/>
          <w:tab w:val="left" w:pos="0"/>
        </w:tabs>
        <w:suppressAutoHyphens/>
        <w:ind w:left="720" w:hanging="720"/>
        <w:rPr>
          <w:rFonts w:ascii="Times New Roman" w:hAnsi="Times New Roman"/>
          <w:b/>
          <w:szCs w:val="24"/>
        </w:rPr>
      </w:pPr>
      <w:r w:rsidRPr="00CB4F92">
        <w:rPr>
          <w:rFonts w:ascii="Times New Roman" w:hAnsi="Times New Roman"/>
          <w:b/>
          <w:szCs w:val="24"/>
        </w:rPr>
        <w:t>5.</w:t>
      </w:r>
      <w:r w:rsidRPr="00CB4F92">
        <w:rPr>
          <w:rFonts w:ascii="Times New Roman" w:hAnsi="Times New Roman"/>
          <w:b/>
          <w:szCs w:val="24"/>
        </w:rPr>
        <w:tab/>
      </w:r>
      <w:r w:rsidRPr="00CB4F92">
        <w:rPr>
          <w:rFonts w:ascii="Times New Roman" w:hAnsi="Times New Roman"/>
          <w:b/>
          <w:szCs w:val="24"/>
          <w:u w:val="single"/>
        </w:rPr>
        <w:t>If the collection of information involves small business or other small entities (Item 5 of OMB Fo</w:t>
      </w:r>
      <w:r w:rsidRPr="00CB4F92" w:rsidR="00FC79B8">
        <w:rPr>
          <w:rFonts w:ascii="Times New Roman" w:hAnsi="Times New Roman"/>
          <w:b/>
          <w:szCs w:val="24"/>
          <w:u w:val="single"/>
        </w:rPr>
        <w:t>r</w:t>
      </w:r>
      <w:r w:rsidRPr="00CB4F92">
        <w:rPr>
          <w:rFonts w:ascii="Times New Roman" w:hAnsi="Times New Roman"/>
          <w:b/>
          <w:szCs w:val="24"/>
          <w:u w:val="single"/>
        </w:rPr>
        <w:t>m 83-I), describe the methods used to minimize burden</w:t>
      </w:r>
      <w:r w:rsidRPr="00CB4F92">
        <w:rPr>
          <w:rFonts w:ascii="Times New Roman" w:hAnsi="Times New Roman"/>
          <w:b/>
          <w:szCs w:val="24"/>
        </w:rPr>
        <w:t>.</w:t>
      </w:r>
    </w:p>
    <w:p w:rsidRPr="00E023FF" w:rsidR="002D271D" w:rsidRDefault="002D271D" w14:paraId="03A97835" w14:textId="77777777">
      <w:pPr>
        <w:tabs>
          <w:tab w:val="left" w:pos="-720"/>
          <w:tab w:val="left" w:pos="0"/>
        </w:tabs>
        <w:suppressAutoHyphens/>
        <w:ind w:left="720" w:hanging="720"/>
        <w:rPr>
          <w:rFonts w:ascii="Times New Roman" w:hAnsi="Times New Roman"/>
          <w:szCs w:val="24"/>
        </w:rPr>
      </w:pPr>
    </w:p>
    <w:p w:rsidRPr="00E023FF" w:rsidR="002D271D" w:rsidP="00E90756" w:rsidRDefault="002D271D" w14:paraId="17752D4C" w14:textId="570D0DBC">
      <w:pPr>
        <w:tabs>
          <w:tab w:val="left" w:pos="-720"/>
          <w:tab w:val="left" w:pos="0"/>
        </w:tabs>
        <w:suppressAutoHyphens/>
        <w:rPr>
          <w:rFonts w:ascii="Times New Roman" w:hAnsi="Times New Roman"/>
          <w:szCs w:val="24"/>
        </w:rPr>
      </w:pPr>
      <w:r w:rsidRPr="00E023FF">
        <w:rPr>
          <w:rFonts w:ascii="Times New Roman" w:hAnsi="Times New Roman"/>
          <w:szCs w:val="24"/>
        </w:rPr>
        <w:tab/>
      </w:r>
      <w:r w:rsidRPr="00E023FF" w:rsidR="00E90756">
        <w:rPr>
          <w:rFonts w:ascii="Times New Roman" w:hAnsi="Times New Roman"/>
          <w:szCs w:val="24"/>
        </w:rPr>
        <w:t>The required information collected under OMB Control Number</w:t>
      </w:r>
      <w:r w:rsidR="00A65319">
        <w:rPr>
          <w:rFonts w:ascii="Times New Roman" w:hAnsi="Times New Roman"/>
          <w:szCs w:val="24"/>
        </w:rPr>
        <w:t xml:space="preserve"> 3038-0052</w:t>
      </w:r>
      <w:r w:rsidRPr="00E023FF" w:rsidR="00E90756">
        <w:rPr>
          <w:rFonts w:ascii="Times New Roman" w:hAnsi="Times New Roman"/>
          <w:szCs w:val="24"/>
        </w:rPr>
        <w:t xml:space="preserve"> does not involve any small businesses or other small entities.  The Commission has established certain definitions of “small entities” to be used by the Commission in evaluating the impact of its rules </w:t>
      </w:r>
      <w:r w:rsidRPr="00E023FF" w:rsidR="00E90756">
        <w:rPr>
          <w:rFonts w:ascii="Times New Roman" w:hAnsi="Times New Roman"/>
          <w:szCs w:val="24"/>
        </w:rPr>
        <w:lastRenderedPageBreak/>
        <w:t>on such entities in accordance with the Regulatory Flexibility Act (</w:t>
      </w:r>
      <w:r w:rsidR="00A65319">
        <w:rPr>
          <w:rFonts w:ascii="Times New Roman" w:hAnsi="Times New Roman"/>
          <w:szCs w:val="24"/>
        </w:rPr>
        <w:t>“</w:t>
      </w:r>
      <w:r w:rsidRPr="00E023FF" w:rsidR="00E90756">
        <w:rPr>
          <w:rFonts w:ascii="Times New Roman" w:hAnsi="Times New Roman"/>
          <w:szCs w:val="24"/>
        </w:rPr>
        <w:t>RFA</w:t>
      </w:r>
      <w:r w:rsidR="00A65319">
        <w:rPr>
          <w:rFonts w:ascii="Times New Roman" w:hAnsi="Times New Roman"/>
          <w:szCs w:val="24"/>
        </w:rPr>
        <w:t>”</w:t>
      </w:r>
      <w:r w:rsidRPr="00E023FF" w:rsidR="00E90756">
        <w:rPr>
          <w:rFonts w:ascii="Times New Roman" w:hAnsi="Times New Roman"/>
          <w:szCs w:val="24"/>
        </w:rPr>
        <w:t>).  The Commission previously determined that DCMs are not small entities for the purpose of the RFA.</w:t>
      </w:r>
      <w:r w:rsidRPr="00E023FF" w:rsidR="00E023FF">
        <w:rPr>
          <w:rStyle w:val="FootnoteReference"/>
          <w:rFonts w:ascii="Times New Roman" w:hAnsi="Times New Roman"/>
          <w:szCs w:val="24"/>
        </w:rPr>
        <w:footnoteReference w:id="8"/>
      </w:r>
    </w:p>
    <w:p w:rsidRPr="00E023FF" w:rsidR="002D133A" w:rsidRDefault="002D133A" w14:paraId="05577E40" w14:textId="77777777">
      <w:pPr>
        <w:tabs>
          <w:tab w:val="left" w:pos="-720"/>
        </w:tabs>
        <w:suppressAutoHyphens/>
        <w:rPr>
          <w:rFonts w:ascii="Times New Roman" w:hAnsi="Times New Roman"/>
          <w:szCs w:val="24"/>
        </w:rPr>
      </w:pPr>
    </w:p>
    <w:p w:rsidRPr="00CB4F92" w:rsidR="002D133A" w:rsidRDefault="002D133A" w14:paraId="0893153A" w14:textId="5E366640">
      <w:pPr>
        <w:tabs>
          <w:tab w:val="left" w:pos="-720"/>
          <w:tab w:val="left" w:pos="0"/>
        </w:tabs>
        <w:suppressAutoHyphens/>
        <w:ind w:left="720" w:hanging="720"/>
        <w:rPr>
          <w:rFonts w:ascii="Times New Roman" w:hAnsi="Times New Roman"/>
          <w:b/>
          <w:szCs w:val="24"/>
        </w:rPr>
      </w:pPr>
      <w:r w:rsidRPr="00E023FF">
        <w:rPr>
          <w:rFonts w:ascii="Times New Roman" w:hAnsi="Times New Roman"/>
          <w:szCs w:val="24"/>
        </w:rPr>
        <w:t>6.</w:t>
      </w:r>
      <w:r w:rsidRPr="00E023FF">
        <w:rPr>
          <w:rFonts w:ascii="Times New Roman" w:hAnsi="Times New Roman"/>
          <w:szCs w:val="24"/>
        </w:rPr>
        <w:tab/>
      </w:r>
      <w:r w:rsidRPr="00CB4F92">
        <w:rPr>
          <w:rFonts w:ascii="Times New Roman" w:hAnsi="Times New Roman"/>
          <w:b/>
          <w:szCs w:val="24"/>
          <w:u w:val="single"/>
        </w:rPr>
        <w:t>Describe the consequence to the Federal Program or policy activities if the collection</w:t>
      </w:r>
      <w:r w:rsidR="00CB4F92">
        <w:rPr>
          <w:rFonts w:ascii="Times New Roman" w:hAnsi="Times New Roman"/>
          <w:b/>
          <w:szCs w:val="24"/>
          <w:u w:val="single"/>
        </w:rPr>
        <w:t xml:space="preserve"> </w:t>
      </w:r>
      <w:r w:rsidRPr="00CB4F92">
        <w:rPr>
          <w:rFonts w:ascii="Times New Roman" w:hAnsi="Times New Roman"/>
          <w:b/>
          <w:szCs w:val="24"/>
          <w:u w:val="single"/>
        </w:rPr>
        <w:t>were conducted less frequently as well as any technical or legal obstacles to reducing burden</w:t>
      </w:r>
      <w:r w:rsidRPr="00CB4F92">
        <w:rPr>
          <w:rFonts w:ascii="Times New Roman" w:hAnsi="Times New Roman"/>
          <w:b/>
          <w:szCs w:val="24"/>
        </w:rPr>
        <w:t>.</w:t>
      </w:r>
    </w:p>
    <w:p w:rsidRPr="00E023FF" w:rsidR="006441D4" w:rsidRDefault="006441D4" w14:paraId="0DA1F97C" w14:textId="77777777">
      <w:pPr>
        <w:tabs>
          <w:tab w:val="left" w:pos="-720"/>
          <w:tab w:val="left" w:pos="0"/>
        </w:tabs>
        <w:suppressAutoHyphens/>
        <w:ind w:left="720" w:hanging="720"/>
        <w:rPr>
          <w:rFonts w:ascii="Times New Roman" w:hAnsi="Times New Roman"/>
          <w:szCs w:val="24"/>
        </w:rPr>
      </w:pPr>
    </w:p>
    <w:p w:rsidRPr="00E023FF" w:rsidR="006441D4" w:rsidP="00E90756" w:rsidRDefault="006441D4" w14:paraId="19ECD25B" w14:textId="77777777">
      <w:pPr>
        <w:tabs>
          <w:tab w:val="left" w:pos="-720"/>
          <w:tab w:val="left" w:pos="0"/>
        </w:tabs>
        <w:suppressAutoHyphens/>
        <w:rPr>
          <w:rFonts w:ascii="Times New Roman" w:hAnsi="Times New Roman"/>
          <w:szCs w:val="24"/>
        </w:rPr>
      </w:pPr>
      <w:r w:rsidRPr="00E023FF">
        <w:rPr>
          <w:rFonts w:ascii="Times New Roman" w:hAnsi="Times New Roman"/>
          <w:szCs w:val="24"/>
        </w:rPr>
        <w:tab/>
        <w:t>This question is not applicable.</w:t>
      </w:r>
    </w:p>
    <w:p w:rsidRPr="00E023FF" w:rsidR="002D133A" w:rsidRDefault="002D133A" w14:paraId="2D4EAB67" w14:textId="77777777">
      <w:pPr>
        <w:tabs>
          <w:tab w:val="left" w:pos="-720"/>
        </w:tabs>
        <w:suppressAutoHyphens/>
        <w:rPr>
          <w:rFonts w:ascii="Times New Roman" w:hAnsi="Times New Roman"/>
          <w:szCs w:val="24"/>
        </w:rPr>
      </w:pPr>
    </w:p>
    <w:p w:rsidRPr="00CB4F92" w:rsidR="002D133A" w:rsidP="00ED6C64" w:rsidRDefault="002D133A" w14:paraId="3E1246B1" w14:textId="77777777">
      <w:pPr>
        <w:tabs>
          <w:tab w:val="left" w:pos="-720"/>
        </w:tabs>
        <w:suppressAutoHyphens/>
        <w:rPr>
          <w:rFonts w:ascii="Times New Roman" w:hAnsi="Times New Roman"/>
          <w:b/>
          <w:szCs w:val="24"/>
        </w:rPr>
      </w:pPr>
      <w:r w:rsidRPr="00E023FF">
        <w:rPr>
          <w:rFonts w:ascii="Times New Roman" w:hAnsi="Times New Roman"/>
          <w:szCs w:val="24"/>
        </w:rPr>
        <w:t xml:space="preserve"> 7.</w:t>
      </w:r>
      <w:r w:rsidRPr="00E023FF">
        <w:rPr>
          <w:rFonts w:ascii="Times New Roman" w:hAnsi="Times New Roman"/>
          <w:szCs w:val="24"/>
        </w:rPr>
        <w:tab/>
      </w:r>
      <w:r w:rsidRPr="00CB4F92">
        <w:rPr>
          <w:rFonts w:ascii="Times New Roman" w:hAnsi="Times New Roman"/>
          <w:b/>
          <w:szCs w:val="24"/>
          <w:u w:val="single"/>
        </w:rPr>
        <w:t>Explain any special circumstances that require the collection to be conducted in a manner</w:t>
      </w:r>
      <w:r w:rsidRPr="00CB4F92">
        <w:rPr>
          <w:rFonts w:ascii="Times New Roman" w:hAnsi="Times New Roman"/>
          <w:b/>
          <w:szCs w:val="24"/>
        </w:rPr>
        <w:t>:</w:t>
      </w:r>
    </w:p>
    <w:p w:rsidRPr="00CB4F92" w:rsidR="002D133A" w:rsidRDefault="002D133A" w14:paraId="5E2EB796" w14:textId="77777777">
      <w:pPr>
        <w:tabs>
          <w:tab w:val="left" w:pos="-720"/>
        </w:tabs>
        <w:suppressAutoHyphens/>
        <w:rPr>
          <w:rFonts w:ascii="Times New Roman" w:hAnsi="Times New Roman"/>
          <w:b/>
          <w:szCs w:val="24"/>
        </w:rPr>
      </w:pPr>
    </w:p>
    <w:p w:rsidRPr="00CB4F92" w:rsidR="002D133A" w:rsidRDefault="002D133A" w14:paraId="4145D3AD" w14:textId="77777777">
      <w:pPr>
        <w:tabs>
          <w:tab w:val="left" w:pos="-720"/>
          <w:tab w:val="left" w:pos="0"/>
          <w:tab w:val="left" w:pos="720"/>
        </w:tabs>
        <w:suppressAutoHyphens/>
        <w:ind w:left="1440" w:hanging="1440"/>
        <w:rPr>
          <w:rFonts w:ascii="Times New Roman" w:hAnsi="Times New Roman"/>
          <w:b/>
          <w:szCs w:val="24"/>
        </w:rPr>
      </w:pPr>
      <w:r w:rsidRPr="00CB4F92">
        <w:rPr>
          <w:rFonts w:ascii="Times New Roman" w:hAnsi="Times New Roman"/>
          <w:b/>
          <w:szCs w:val="24"/>
        </w:rPr>
        <w:tab/>
        <w:t>-</w:t>
      </w:r>
      <w:r w:rsidRPr="00CB4F92">
        <w:rPr>
          <w:rFonts w:ascii="Times New Roman" w:hAnsi="Times New Roman"/>
          <w:b/>
          <w:szCs w:val="24"/>
        </w:rPr>
        <w:tab/>
      </w:r>
      <w:r w:rsidRPr="00CB4F92">
        <w:rPr>
          <w:rFonts w:ascii="Times New Roman" w:hAnsi="Times New Roman"/>
          <w:b/>
          <w:szCs w:val="24"/>
          <w:u w:val="single"/>
        </w:rPr>
        <w:t>requiring respondents to report information to the agency more often than quarterly;</w:t>
      </w:r>
    </w:p>
    <w:p w:rsidRPr="00E023FF" w:rsidR="00141085" w:rsidP="00141085" w:rsidRDefault="006441D4" w14:paraId="2ED67A0D" w14:textId="77777777">
      <w:pPr>
        <w:tabs>
          <w:tab w:val="left" w:pos="-720"/>
        </w:tabs>
        <w:suppressAutoHyphens/>
        <w:rPr>
          <w:rFonts w:ascii="Times New Roman" w:hAnsi="Times New Roman"/>
          <w:szCs w:val="24"/>
        </w:rPr>
      </w:pPr>
      <w:r w:rsidRPr="00E023FF">
        <w:rPr>
          <w:rFonts w:ascii="Times New Roman" w:hAnsi="Times New Roman"/>
          <w:szCs w:val="24"/>
        </w:rPr>
        <w:tab/>
      </w:r>
      <w:r w:rsidRPr="00E023FF">
        <w:rPr>
          <w:rFonts w:ascii="Times New Roman" w:hAnsi="Times New Roman"/>
          <w:szCs w:val="24"/>
        </w:rPr>
        <w:tab/>
      </w:r>
    </w:p>
    <w:p w:rsidRPr="00E023FF" w:rsidR="00EF2251" w:rsidP="00141085" w:rsidRDefault="00EF2251" w14:paraId="75151545" w14:textId="77777777">
      <w:pPr>
        <w:tabs>
          <w:tab w:val="left" w:pos="-720"/>
        </w:tabs>
        <w:suppressAutoHyphens/>
        <w:rPr>
          <w:rFonts w:ascii="Times New Roman" w:hAnsi="Times New Roman"/>
          <w:szCs w:val="24"/>
        </w:rPr>
      </w:pPr>
    </w:p>
    <w:p w:rsidR="00EF2251" w:rsidP="00EF2251" w:rsidRDefault="002A25BE" w14:paraId="44DDDC05" w14:textId="34A6E469">
      <w:pPr>
        <w:tabs>
          <w:tab w:val="left" w:pos="-720"/>
        </w:tabs>
        <w:suppressAutoHyphens/>
        <w:rPr>
          <w:rFonts w:ascii="Times New Roman" w:hAnsi="Times New Roman"/>
          <w:szCs w:val="24"/>
        </w:rPr>
      </w:pPr>
      <w:r>
        <w:rPr>
          <w:rFonts w:ascii="Times New Roman" w:hAnsi="Times New Roman"/>
          <w:szCs w:val="24"/>
        </w:rPr>
        <w:tab/>
      </w:r>
      <w:r w:rsidRPr="00E023FF" w:rsidR="00EF2251">
        <w:rPr>
          <w:rFonts w:ascii="Times New Roman" w:hAnsi="Times New Roman"/>
          <w:szCs w:val="24"/>
        </w:rPr>
        <w:t>The current rules</w:t>
      </w:r>
      <w:r>
        <w:rPr>
          <w:rFonts w:ascii="Times New Roman" w:hAnsi="Times New Roman"/>
          <w:szCs w:val="24"/>
        </w:rPr>
        <w:t xml:space="preserve"> under </w:t>
      </w:r>
      <w:r w:rsidR="00B909EA">
        <w:rPr>
          <w:rFonts w:ascii="Times New Roman" w:hAnsi="Times New Roman"/>
          <w:szCs w:val="24"/>
        </w:rPr>
        <w:t>p</w:t>
      </w:r>
      <w:r>
        <w:rPr>
          <w:rFonts w:ascii="Times New Roman" w:hAnsi="Times New Roman"/>
          <w:szCs w:val="24"/>
        </w:rPr>
        <w:t>art 9</w:t>
      </w:r>
      <w:r w:rsidRPr="00E023FF" w:rsidR="00EF2251">
        <w:rPr>
          <w:rFonts w:ascii="Times New Roman" w:hAnsi="Times New Roman"/>
          <w:szCs w:val="24"/>
        </w:rPr>
        <w:t xml:space="preserve"> require respondents to report the disciplinary and access denial information to the National Futures Association (“</w:t>
      </w:r>
      <w:r w:rsidRPr="00E023FF" w:rsidR="00EF2251">
        <w:rPr>
          <w:rFonts w:ascii="Times New Roman" w:hAnsi="Times New Roman"/>
          <w:b/>
          <w:szCs w:val="24"/>
          <w:u w:val="single"/>
        </w:rPr>
        <w:t>NFA</w:t>
      </w:r>
      <w:r w:rsidRPr="00E023FF" w:rsidR="00EF2251">
        <w:rPr>
          <w:rFonts w:ascii="Times New Roman" w:hAnsi="Times New Roman"/>
          <w:szCs w:val="24"/>
        </w:rPr>
        <w:t xml:space="preserve">”) within 30 days of the adverse action. </w:t>
      </w:r>
    </w:p>
    <w:p w:rsidR="0009510B" w:rsidP="00EF2251" w:rsidRDefault="0009510B" w14:paraId="35ADE392" w14:textId="6B002D28">
      <w:pPr>
        <w:tabs>
          <w:tab w:val="left" w:pos="-720"/>
        </w:tabs>
        <w:suppressAutoHyphens/>
        <w:rPr>
          <w:rFonts w:ascii="Times New Roman" w:hAnsi="Times New Roman"/>
          <w:szCs w:val="24"/>
        </w:rPr>
      </w:pPr>
    </w:p>
    <w:p w:rsidRPr="00E023FF" w:rsidR="0009510B" w:rsidP="00EF2251" w:rsidRDefault="0009510B" w14:paraId="00D14A07" w14:textId="3A552FEB">
      <w:pPr>
        <w:tabs>
          <w:tab w:val="left" w:pos="-720"/>
        </w:tabs>
        <w:suppressAutoHyphens/>
        <w:rPr>
          <w:rFonts w:ascii="Times New Roman" w:hAnsi="Times New Roman"/>
          <w:szCs w:val="24"/>
        </w:rPr>
      </w:pPr>
      <w:r>
        <w:rPr>
          <w:rFonts w:ascii="Times New Roman" w:hAnsi="Times New Roman"/>
          <w:szCs w:val="24"/>
        </w:rPr>
        <w:tab/>
        <w:t xml:space="preserve">Commission regulation 38.251(g) requires prompt notification of a market disruption. The frequency of such notifications will depend upon the frequency of market disruptions at a DCM. </w:t>
      </w:r>
    </w:p>
    <w:p w:rsidRPr="00CB4F92" w:rsidR="00EF2251" w:rsidP="00141085" w:rsidRDefault="00EF2251" w14:paraId="0E4E91A6" w14:textId="77777777">
      <w:pPr>
        <w:tabs>
          <w:tab w:val="left" w:pos="-720"/>
        </w:tabs>
        <w:suppressAutoHyphens/>
        <w:rPr>
          <w:rFonts w:ascii="Times New Roman" w:hAnsi="Times New Roman"/>
          <w:b/>
          <w:szCs w:val="24"/>
        </w:rPr>
      </w:pPr>
    </w:p>
    <w:p w:rsidRPr="00CB4F92" w:rsidR="002D133A" w:rsidRDefault="002D133A" w14:paraId="77363B02" w14:textId="77777777">
      <w:pPr>
        <w:tabs>
          <w:tab w:val="left" w:pos="-720"/>
          <w:tab w:val="left" w:pos="0"/>
          <w:tab w:val="left" w:pos="720"/>
        </w:tabs>
        <w:suppressAutoHyphens/>
        <w:ind w:left="1440" w:hanging="1440"/>
        <w:rPr>
          <w:rFonts w:ascii="Times New Roman" w:hAnsi="Times New Roman"/>
          <w:b/>
          <w:szCs w:val="24"/>
          <w:u w:val="single"/>
        </w:rPr>
      </w:pPr>
      <w:r w:rsidRPr="00CB4F92">
        <w:rPr>
          <w:rFonts w:ascii="Times New Roman" w:hAnsi="Times New Roman"/>
          <w:b/>
          <w:szCs w:val="24"/>
        </w:rPr>
        <w:tab/>
        <w:t>-</w:t>
      </w:r>
      <w:r w:rsidRPr="00CB4F92">
        <w:rPr>
          <w:rFonts w:ascii="Times New Roman" w:hAnsi="Times New Roman"/>
          <w:b/>
          <w:szCs w:val="24"/>
        </w:rPr>
        <w:tab/>
      </w:r>
      <w:r w:rsidRPr="00CB4F92">
        <w:rPr>
          <w:rFonts w:ascii="Times New Roman" w:hAnsi="Times New Roman"/>
          <w:b/>
          <w:szCs w:val="24"/>
          <w:u w:val="single"/>
        </w:rPr>
        <w:t>requiring respondents to prepare a written response to a collection of information in fewer than 30 days after receipt of it:</w:t>
      </w:r>
    </w:p>
    <w:p w:rsidRPr="00E023FF" w:rsidR="006441D4" w:rsidRDefault="006441D4" w14:paraId="7682B448" w14:textId="77777777">
      <w:pPr>
        <w:tabs>
          <w:tab w:val="left" w:pos="-720"/>
          <w:tab w:val="left" w:pos="0"/>
          <w:tab w:val="left" w:pos="720"/>
        </w:tabs>
        <w:suppressAutoHyphens/>
        <w:ind w:left="1440" w:hanging="1440"/>
        <w:rPr>
          <w:rFonts w:ascii="Times New Roman" w:hAnsi="Times New Roman"/>
          <w:szCs w:val="24"/>
          <w:u w:val="single"/>
        </w:rPr>
      </w:pPr>
    </w:p>
    <w:p w:rsidRPr="00CE0751" w:rsidR="0009510B" w:rsidRDefault="002A25BE" w14:paraId="1980E8A0" w14:textId="2A27EA4E">
      <w:pPr>
        <w:tabs>
          <w:tab w:val="left" w:pos="-720"/>
        </w:tabs>
        <w:suppressAutoHyphens/>
        <w:rPr>
          <w:rFonts w:ascii="Times New Roman" w:hAnsi="Times New Roman"/>
        </w:rPr>
      </w:pPr>
      <w:r>
        <w:rPr>
          <w:rFonts w:ascii="Times New Roman" w:hAnsi="Times New Roman"/>
        </w:rPr>
        <w:tab/>
      </w:r>
      <w:r w:rsidRPr="00323FE0">
        <w:rPr>
          <w:rFonts w:ascii="Times New Roman" w:hAnsi="Times New Roman"/>
        </w:rPr>
        <w:t xml:space="preserve">In order for the Commission to adequately perform its statutory responsibility to determine whether </w:t>
      </w:r>
      <w:r>
        <w:rPr>
          <w:rFonts w:ascii="Times New Roman" w:hAnsi="Times New Roman"/>
        </w:rPr>
        <w:t>DCMs</w:t>
      </w:r>
      <w:r w:rsidRPr="00323FE0">
        <w:rPr>
          <w:rFonts w:ascii="Times New Roman" w:hAnsi="Times New Roman"/>
        </w:rPr>
        <w:t xml:space="preserve">, and applicants to become </w:t>
      </w:r>
      <w:r>
        <w:rPr>
          <w:rFonts w:ascii="Times New Roman" w:hAnsi="Times New Roman"/>
        </w:rPr>
        <w:t>DCMs</w:t>
      </w:r>
      <w:r w:rsidRPr="00323FE0">
        <w:rPr>
          <w:rFonts w:ascii="Times New Roman" w:hAnsi="Times New Roman"/>
        </w:rPr>
        <w:t xml:space="preserve">, </w:t>
      </w:r>
      <w:proofErr w:type="gramStart"/>
      <w:r w:rsidRPr="00323FE0">
        <w:rPr>
          <w:rFonts w:ascii="Times New Roman" w:hAnsi="Times New Roman"/>
        </w:rPr>
        <w:t>are in compliance with</w:t>
      </w:r>
      <w:proofErr w:type="gramEnd"/>
      <w:r w:rsidRPr="00323FE0">
        <w:rPr>
          <w:rFonts w:ascii="Times New Roman" w:hAnsi="Times New Roman"/>
        </w:rPr>
        <w:t xml:space="preserve"> the applicable core principles, a request for information may require the collection and presentation of information in fewer than 30 days depending on the exigency of the situation</w:t>
      </w:r>
      <w:r>
        <w:rPr>
          <w:rFonts w:ascii="Times New Roman" w:hAnsi="Times New Roman"/>
        </w:rPr>
        <w:t xml:space="preserve">. </w:t>
      </w:r>
    </w:p>
    <w:p w:rsidRPr="00E023FF" w:rsidR="00997149" w:rsidRDefault="00997149" w14:paraId="4CCF0970" w14:textId="77777777">
      <w:pPr>
        <w:tabs>
          <w:tab w:val="left" w:pos="-720"/>
        </w:tabs>
        <w:suppressAutoHyphens/>
        <w:rPr>
          <w:rFonts w:ascii="Times New Roman" w:hAnsi="Times New Roman"/>
          <w:szCs w:val="24"/>
        </w:rPr>
      </w:pPr>
    </w:p>
    <w:p w:rsidRPr="00CB4F92" w:rsidR="002D133A" w:rsidRDefault="002D133A" w14:paraId="74982C53" w14:textId="77777777">
      <w:pPr>
        <w:tabs>
          <w:tab w:val="left" w:pos="-720"/>
          <w:tab w:val="left" w:pos="0"/>
          <w:tab w:val="left" w:pos="720"/>
        </w:tabs>
        <w:suppressAutoHyphens/>
        <w:ind w:left="1440" w:hanging="1440"/>
        <w:rPr>
          <w:rFonts w:ascii="Times New Roman" w:hAnsi="Times New Roman"/>
          <w:b/>
          <w:szCs w:val="24"/>
        </w:rPr>
      </w:pPr>
      <w:r w:rsidRPr="00E023FF">
        <w:rPr>
          <w:rFonts w:ascii="Times New Roman" w:hAnsi="Times New Roman"/>
          <w:szCs w:val="24"/>
        </w:rPr>
        <w:tab/>
        <w:t>-</w:t>
      </w:r>
      <w:r w:rsidRPr="00E023FF">
        <w:rPr>
          <w:rFonts w:ascii="Times New Roman" w:hAnsi="Times New Roman"/>
          <w:szCs w:val="24"/>
        </w:rPr>
        <w:tab/>
      </w:r>
      <w:r w:rsidRPr="00CB4F92">
        <w:rPr>
          <w:rFonts w:ascii="Times New Roman" w:hAnsi="Times New Roman"/>
          <w:b/>
          <w:szCs w:val="24"/>
          <w:u w:val="single"/>
        </w:rPr>
        <w:t>requiring respondents to submit more that an original and two copies of any document</w:t>
      </w:r>
      <w:r w:rsidRPr="00CB4F92">
        <w:rPr>
          <w:rFonts w:ascii="Times New Roman" w:hAnsi="Times New Roman"/>
          <w:b/>
          <w:szCs w:val="24"/>
        </w:rPr>
        <w:t>;</w:t>
      </w:r>
    </w:p>
    <w:p w:rsidRPr="00E023FF" w:rsidR="00A51412" w:rsidRDefault="00A51412" w14:paraId="0CE96876" w14:textId="77777777">
      <w:pPr>
        <w:tabs>
          <w:tab w:val="left" w:pos="-720"/>
          <w:tab w:val="left" w:pos="0"/>
          <w:tab w:val="left" w:pos="720"/>
        </w:tabs>
        <w:suppressAutoHyphens/>
        <w:ind w:left="1440" w:hanging="1440"/>
        <w:rPr>
          <w:rFonts w:ascii="Times New Roman" w:hAnsi="Times New Roman"/>
          <w:szCs w:val="24"/>
        </w:rPr>
      </w:pPr>
      <w:r w:rsidRPr="00E023FF">
        <w:rPr>
          <w:rFonts w:ascii="Times New Roman" w:hAnsi="Times New Roman"/>
          <w:szCs w:val="24"/>
        </w:rPr>
        <w:tab/>
      </w:r>
    </w:p>
    <w:p w:rsidRPr="00E023FF" w:rsidR="00A51412" w:rsidP="00E023FF" w:rsidRDefault="00A51412" w14:paraId="71593787" w14:textId="77777777">
      <w:pPr>
        <w:tabs>
          <w:tab w:val="left" w:pos="-720"/>
          <w:tab w:val="left" w:pos="0"/>
          <w:tab w:val="left" w:pos="720"/>
        </w:tabs>
        <w:suppressAutoHyphens/>
        <w:rPr>
          <w:rFonts w:ascii="Times New Roman" w:hAnsi="Times New Roman"/>
          <w:szCs w:val="24"/>
        </w:rPr>
      </w:pPr>
      <w:r w:rsidRPr="00E023FF">
        <w:rPr>
          <w:rFonts w:ascii="Times New Roman" w:hAnsi="Times New Roman"/>
          <w:szCs w:val="24"/>
        </w:rPr>
        <w:tab/>
      </w:r>
      <w:r w:rsidRPr="00E023FF" w:rsidR="00E023FF">
        <w:rPr>
          <w:rFonts w:ascii="Times New Roman" w:hAnsi="Times New Roman"/>
          <w:szCs w:val="24"/>
        </w:rPr>
        <w:t>Respondents are not required to submit more than an original and two copies of any documents to the Commission or third parties.</w:t>
      </w:r>
    </w:p>
    <w:p w:rsidRPr="00E023FF" w:rsidR="002D133A" w:rsidRDefault="002D133A" w14:paraId="06B42CE2" w14:textId="77777777">
      <w:pPr>
        <w:tabs>
          <w:tab w:val="left" w:pos="-720"/>
        </w:tabs>
        <w:suppressAutoHyphens/>
        <w:rPr>
          <w:rFonts w:ascii="Times New Roman" w:hAnsi="Times New Roman"/>
          <w:szCs w:val="24"/>
        </w:rPr>
      </w:pPr>
    </w:p>
    <w:p w:rsidRPr="00CB4F92" w:rsidR="002D133A" w:rsidRDefault="002D133A" w14:paraId="492A90E0" w14:textId="77777777">
      <w:pPr>
        <w:tabs>
          <w:tab w:val="left" w:pos="-720"/>
          <w:tab w:val="left" w:pos="0"/>
          <w:tab w:val="left" w:pos="720"/>
        </w:tabs>
        <w:suppressAutoHyphens/>
        <w:ind w:left="1440" w:hanging="1440"/>
        <w:rPr>
          <w:rFonts w:ascii="Times New Roman" w:hAnsi="Times New Roman"/>
          <w:b/>
          <w:szCs w:val="24"/>
        </w:rPr>
      </w:pPr>
      <w:r w:rsidRPr="00E023FF">
        <w:rPr>
          <w:rFonts w:ascii="Times New Roman" w:hAnsi="Times New Roman"/>
          <w:szCs w:val="24"/>
        </w:rPr>
        <w:tab/>
        <w:t>-</w:t>
      </w:r>
      <w:r w:rsidRPr="00E023FF">
        <w:rPr>
          <w:rFonts w:ascii="Times New Roman" w:hAnsi="Times New Roman"/>
          <w:szCs w:val="24"/>
        </w:rPr>
        <w:tab/>
      </w:r>
      <w:r w:rsidRPr="00CB4F92">
        <w:rPr>
          <w:rFonts w:ascii="Times New Roman" w:hAnsi="Times New Roman"/>
          <w:b/>
          <w:szCs w:val="24"/>
          <w:u w:val="single"/>
        </w:rPr>
        <w:t>requiring respondents to retain records other than health, medical, government contract, grant-in-aid, or tax records, for more than three years</w:t>
      </w:r>
      <w:r w:rsidRPr="00CB4F92">
        <w:rPr>
          <w:rFonts w:ascii="Times New Roman" w:hAnsi="Times New Roman"/>
          <w:b/>
          <w:szCs w:val="24"/>
        </w:rPr>
        <w:t>;</w:t>
      </w:r>
    </w:p>
    <w:p w:rsidRPr="00E023FF" w:rsidR="005705D1" w:rsidRDefault="005705D1" w14:paraId="0104B2C0" w14:textId="77777777">
      <w:pPr>
        <w:tabs>
          <w:tab w:val="left" w:pos="-720"/>
          <w:tab w:val="left" w:pos="0"/>
          <w:tab w:val="left" w:pos="720"/>
        </w:tabs>
        <w:suppressAutoHyphens/>
        <w:ind w:left="1440" w:hanging="1440"/>
        <w:rPr>
          <w:rFonts w:ascii="Times New Roman" w:hAnsi="Times New Roman"/>
          <w:szCs w:val="24"/>
        </w:rPr>
      </w:pPr>
    </w:p>
    <w:p w:rsidRPr="00E023FF" w:rsidR="002D133A" w:rsidP="006862FF" w:rsidRDefault="006862FF" w14:paraId="2C4A2D45" w14:textId="57BA2C23">
      <w:pPr>
        <w:tabs>
          <w:tab w:val="left" w:pos="-720"/>
          <w:tab w:val="left" w:pos="0"/>
          <w:tab w:val="left" w:pos="720"/>
        </w:tabs>
        <w:spacing w:after="240"/>
        <w:rPr>
          <w:rFonts w:ascii="Times New Roman" w:hAnsi="Times New Roman"/>
          <w:szCs w:val="24"/>
        </w:rPr>
      </w:pPr>
      <w:r w:rsidRPr="00E023FF">
        <w:rPr>
          <w:rFonts w:ascii="Times New Roman" w:hAnsi="Times New Roman"/>
          <w:szCs w:val="24"/>
        </w:rPr>
        <w:lastRenderedPageBreak/>
        <w:tab/>
        <w:t>DCMs are required to maintain records of all activities related to their business as a contract market, in a form and manner acceptable to the Commission, for a period of five years from the date thereof and shall be readily accessible during the first two years of the five</w:t>
      </w:r>
      <w:r w:rsidR="00034A28">
        <w:rPr>
          <w:rFonts w:ascii="Times New Roman" w:hAnsi="Times New Roman"/>
          <w:szCs w:val="24"/>
        </w:rPr>
        <w:t>-</w:t>
      </w:r>
      <w:r w:rsidRPr="00E023FF">
        <w:rPr>
          <w:rFonts w:ascii="Times New Roman" w:hAnsi="Times New Roman"/>
          <w:szCs w:val="24"/>
        </w:rPr>
        <w:t xml:space="preserve">year period, pursuant to Commission Regulations 1.31 and </w:t>
      </w:r>
      <w:r w:rsidR="003D1C9C">
        <w:rPr>
          <w:rFonts w:ascii="Times New Roman" w:hAnsi="Times New Roman"/>
          <w:szCs w:val="24"/>
        </w:rPr>
        <w:t>DCM Core Principle 18</w:t>
      </w:r>
      <w:r w:rsidRPr="00E023FF">
        <w:rPr>
          <w:rFonts w:ascii="Times New Roman" w:hAnsi="Times New Roman"/>
          <w:szCs w:val="24"/>
        </w:rPr>
        <w:t xml:space="preserve"> (Recordkeeping).  All such books and records are open to inspection by any representative of the Commission or the U.S. Department of Justice.</w:t>
      </w:r>
    </w:p>
    <w:p w:rsidRPr="00CB4F92" w:rsidR="002D133A" w:rsidRDefault="002D133A" w14:paraId="34B7686A" w14:textId="77777777">
      <w:pPr>
        <w:tabs>
          <w:tab w:val="left" w:pos="-720"/>
          <w:tab w:val="left" w:pos="0"/>
          <w:tab w:val="left" w:pos="720"/>
        </w:tabs>
        <w:suppressAutoHyphens/>
        <w:ind w:left="1440" w:hanging="1440"/>
        <w:rPr>
          <w:rFonts w:ascii="Times New Roman" w:hAnsi="Times New Roman"/>
          <w:b/>
          <w:szCs w:val="24"/>
        </w:rPr>
      </w:pPr>
      <w:r w:rsidRPr="00E023FF">
        <w:rPr>
          <w:rFonts w:ascii="Times New Roman" w:hAnsi="Times New Roman"/>
          <w:szCs w:val="24"/>
        </w:rPr>
        <w:tab/>
        <w:t>-</w:t>
      </w:r>
      <w:r w:rsidRPr="00E023FF">
        <w:rPr>
          <w:rFonts w:ascii="Times New Roman" w:hAnsi="Times New Roman"/>
          <w:szCs w:val="24"/>
        </w:rPr>
        <w:tab/>
      </w:r>
      <w:r w:rsidRPr="00CB4F92">
        <w:rPr>
          <w:rFonts w:ascii="Times New Roman" w:hAnsi="Times New Roman"/>
          <w:b/>
          <w:szCs w:val="24"/>
          <w:u w:val="single"/>
        </w:rPr>
        <w:t>in connection with a statistical survey, that is not designed to produce valid and reliable results that can be generalized to the universe of study</w:t>
      </w:r>
      <w:r w:rsidRPr="00CB4F92">
        <w:rPr>
          <w:rFonts w:ascii="Times New Roman" w:hAnsi="Times New Roman"/>
          <w:b/>
          <w:szCs w:val="24"/>
        </w:rPr>
        <w:t xml:space="preserve">; </w:t>
      </w:r>
    </w:p>
    <w:p w:rsidRPr="00E023FF" w:rsidR="00DB1D30" w:rsidRDefault="00DB1D30" w14:paraId="7B2D8043" w14:textId="77777777">
      <w:pPr>
        <w:tabs>
          <w:tab w:val="left" w:pos="-720"/>
          <w:tab w:val="left" w:pos="0"/>
          <w:tab w:val="left" w:pos="720"/>
        </w:tabs>
        <w:suppressAutoHyphens/>
        <w:ind w:left="1440" w:hanging="1440"/>
        <w:rPr>
          <w:rFonts w:ascii="Times New Roman" w:hAnsi="Times New Roman"/>
          <w:szCs w:val="24"/>
        </w:rPr>
      </w:pPr>
    </w:p>
    <w:p w:rsidRPr="00E023FF" w:rsidR="00DB1D30" w:rsidRDefault="00041CCF" w14:paraId="1B9E730E" w14:textId="77777777">
      <w:pPr>
        <w:tabs>
          <w:tab w:val="left" w:pos="-720"/>
          <w:tab w:val="left" w:pos="0"/>
          <w:tab w:val="left" w:pos="720"/>
        </w:tabs>
        <w:suppressAutoHyphens/>
        <w:ind w:left="1440" w:hanging="1440"/>
        <w:rPr>
          <w:rFonts w:ascii="Times New Roman" w:hAnsi="Times New Roman"/>
          <w:szCs w:val="24"/>
        </w:rPr>
      </w:pPr>
      <w:r w:rsidRPr="00E023FF">
        <w:rPr>
          <w:rFonts w:ascii="Times New Roman" w:hAnsi="Times New Roman"/>
          <w:szCs w:val="24"/>
        </w:rPr>
        <w:tab/>
        <w:t xml:space="preserve">Not applicable. </w:t>
      </w:r>
    </w:p>
    <w:p w:rsidRPr="00E023FF" w:rsidR="002D133A" w:rsidRDefault="002D133A" w14:paraId="28B0A0C0" w14:textId="77777777">
      <w:pPr>
        <w:tabs>
          <w:tab w:val="left" w:pos="-720"/>
        </w:tabs>
        <w:suppressAutoHyphens/>
        <w:rPr>
          <w:rFonts w:ascii="Times New Roman" w:hAnsi="Times New Roman"/>
          <w:szCs w:val="24"/>
        </w:rPr>
      </w:pPr>
    </w:p>
    <w:p w:rsidRPr="00CB4F92" w:rsidR="002D133A" w:rsidRDefault="002D133A" w14:paraId="1B13B63A" w14:textId="77777777">
      <w:pPr>
        <w:tabs>
          <w:tab w:val="left" w:pos="-720"/>
          <w:tab w:val="left" w:pos="0"/>
          <w:tab w:val="left" w:pos="720"/>
        </w:tabs>
        <w:suppressAutoHyphens/>
        <w:ind w:left="1440" w:hanging="1440"/>
        <w:rPr>
          <w:rFonts w:ascii="Times New Roman" w:hAnsi="Times New Roman"/>
          <w:b/>
          <w:szCs w:val="24"/>
        </w:rPr>
      </w:pPr>
      <w:r w:rsidRPr="00E023FF">
        <w:rPr>
          <w:rFonts w:ascii="Times New Roman" w:hAnsi="Times New Roman"/>
          <w:szCs w:val="24"/>
        </w:rPr>
        <w:tab/>
        <w:t>-</w:t>
      </w:r>
      <w:r w:rsidRPr="00E023FF">
        <w:rPr>
          <w:rFonts w:ascii="Times New Roman" w:hAnsi="Times New Roman"/>
          <w:szCs w:val="24"/>
        </w:rPr>
        <w:tab/>
      </w:r>
      <w:r w:rsidRPr="00CB4F92">
        <w:rPr>
          <w:rFonts w:ascii="Times New Roman" w:hAnsi="Times New Roman"/>
          <w:b/>
          <w:szCs w:val="24"/>
          <w:u w:val="single"/>
        </w:rPr>
        <w:t>requiring the use of a statistical data classification that has not been reviewed and approved by OMB</w:t>
      </w:r>
      <w:r w:rsidRPr="00CB4F92">
        <w:rPr>
          <w:rFonts w:ascii="Times New Roman" w:hAnsi="Times New Roman"/>
          <w:b/>
          <w:szCs w:val="24"/>
        </w:rPr>
        <w:t>;</w:t>
      </w:r>
    </w:p>
    <w:p w:rsidRPr="00E023FF" w:rsidR="00DB1D30" w:rsidRDefault="00DB1D30" w14:paraId="5E4285B1" w14:textId="77777777">
      <w:pPr>
        <w:tabs>
          <w:tab w:val="left" w:pos="-720"/>
          <w:tab w:val="left" w:pos="0"/>
          <w:tab w:val="left" w:pos="720"/>
        </w:tabs>
        <w:suppressAutoHyphens/>
        <w:ind w:left="1440" w:hanging="1440"/>
        <w:rPr>
          <w:rFonts w:ascii="Times New Roman" w:hAnsi="Times New Roman"/>
          <w:szCs w:val="24"/>
        </w:rPr>
      </w:pPr>
    </w:p>
    <w:p w:rsidRPr="00E023FF" w:rsidR="00DB1D30" w:rsidRDefault="00DB1D30" w14:paraId="390FC11A" w14:textId="77777777">
      <w:pPr>
        <w:tabs>
          <w:tab w:val="left" w:pos="-720"/>
          <w:tab w:val="left" w:pos="0"/>
          <w:tab w:val="left" w:pos="720"/>
        </w:tabs>
        <w:suppressAutoHyphens/>
        <w:ind w:left="1440" w:hanging="1440"/>
        <w:rPr>
          <w:rFonts w:ascii="Times New Roman" w:hAnsi="Times New Roman"/>
          <w:szCs w:val="24"/>
        </w:rPr>
      </w:pPr>
      <w:r w:rsidRPr="00E023FF">
        <w:rPr>
          <w:rFonts w:ascii="Times New Roman" w:hAnsi="Times New Roman"/>
          <w:szCs w:val="24"/>
        </w:rPr>
        <w:tab/>
      </w:r>
      <w:r w:rsidRPr="00E023FF" w:rsidR="000C68D5">
        <w:rPr>
          <w:rFonts w:ascii="Times New Roman" w:hAnsi="Times New Roman"/>
          <w:szCs w:val="24"/>
        </w:rPr>
        <w:t>Not applicable.</w:t>
      </w:r>
    </w:p>
    <w:p w:rsidRPr="00E023FF" w:rsidR="002D133A" w:rsidRDefault="002D133A" w14:paraId="2C6FC834" w14:textId="77777777">
      <w:pPr>
        <w:tabs>
          <w:tab w:val="left" w:pos="-720"/>
        </w:tabs>
        <w:suppressAutoHyphens/>
        <w:rPr>
          <w:rFonts w:ascii="Times New Roman" w:hAnsi="Times New Roman"/>
          <w:szCs w:val="24"/>
        </w:rPr>
      </w:pPr>
    </w:p>
    <w:p w:rsidRPr="00CB4F92" w:rsidR="002D133A" w:rsidRDefault="002D133A" w14:paraId="576050D9" w14:textId="77777777">
      <w:pPr>
        <w:tabs>
          <w:tab w:val="left" w:pos="-720"/>
          <w:tab w:val="left" w:pos="0"/>
          <w:tab w:val="left" w:pos="720"/>
        </w:tabs>
        <w:suppressAutoHyphens/>
        <w:ind w:left="1440" w:hanging="1440"/>
        <w:rPr>
          <w:rFonts w:ascii="Times New Roman" w:hAnsi="Times New Roman"/>
          <w:b/>
          <w:szCs w:val="24"/>
          <w:u w:val="single"/>
        </w:rPr>
      </w:pPr>
      <w:r w:rsidRPr="00E023FF">
        <w:rPr>
          <w:rFonts w:ascii="Times New Roman" w:hAnsi="Times New Roman"/>
          <w:szCs w:val="24"/>
        </w:rPr>
        <w:tab/>
        <w:t>-</w:t>
      </w:r>
      <w:r w:rsidRPr="00E023FF">
        <w:rPr>
          <w:rFonts w:ascii="Times New Roman" w:hAnsi="Times New Roman"/>
          <w:szCs w:val="24"/>
        </w:rPr>
        <w:tab/>
      </w:r>
      <w:r w:rsidRPr="00CB4F92">
        <w:rPr>
          <w:rFonts w:ascii="Times New Roman" w:hAnsi="Times New Roman"/>
          <w:b/>
          <w:szCs w:val="24"/>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E023FF" w:rsidR="00DB1D30" w:rsidRDefault="00DB1D30" w14:paraId="250A8C7F" w14:textId="77777777">
      <w:pPr>
        <w:tabs>
          <w:tab w:val="left" w:pos="-720"/>
          <w:tab w:val="left" w:pos="0"/>
          <w:tab w:val="left" w:pos="720"/>
        </w:tabs>
        <w:suppressAutoHyphens/>
        <w:ind w:left="1440" w:hanging="1440"/>
        <w:rPr>
          <w:rFonts w:ascii="Times New Roman" w:hAnsi="Times New Roman"/>
          <w:szCs w:val="24"/>
          <w:u w:val="single"/>
        </w:rPr>
      </w:pPr>
    </w:p>
    <w:p w:rsidRPr="00E023FF" w:rsidR="00DB1D30" w:rsidRDefault="00DB1D30" w14:paraId="20BC9AB0" w14:textId="4F9E505A">
      <w:pPr>
        <w:tabs>
          <w:tab w:val="left" w:pos="-720"/>
          <w:tab w:val="left" w:pos="0"/>
          <w:tab w:val="left" w:pos="720"/>
        </w:tabs>
        <w:suppressAutoHyphens/>
        <w:ind w:left="1440" w:hanging="1440"/>
        <w:rPr>
          <w:rFonts w:ascii="Times New Roman" w:hAnsi="Times New Roman"/>
          <w:szCs w:val="24"/>
        </w:rPr>
      </w:pPr>
      <w:r w:rsidRPr="00E023FF">
        <w:rPr>
          <w:rFonts w:ascii="Times New Roman" w:hAnsi="Times New Roman"/>
          <w:szCs w:val="24"/>
        </w:rPr>
        <w:tab/>
      </w:r>
      <w:r w:rsidR="00A65319">
        <w:rPr>
          <w:rFonts w:ascii="Times New Roman" w:hAnsi="Times New Roman"/>
          <w:szCs w:val="24"/>
        </w:rPr>
        <w:t xml:space="preserve">Not applicable. </w:t>
      </w:r>
    </w:p>
    <w:p w:rsidRPr="00E023FF" w:rsidR="002D133A" w:rsidRDefault="002D133A" w14:paraId="7E870E67" w14:textId="77777777">
      <w:pPr>
        <w:tabs>
          <w:tab w:val="left" w:pos="-720"/>
        </w:tabs>
        <w:suppressAutoHyphens/>
        <w:rPr>
          <w:rFonts w:ascii="Times New Roman" w:hAnsi="Times New Roman"/>
          <w:szCs w:val="24"/>
        </w:rPr>
      </w:pPr>
    </w:p>
    <w:p w:rsidRPr="00CB4F92" w:rsidR="002D133A" w:rsidRDefault="002D133A" w14:paraId="1E4075AA" w14:textId="77777777">
      <w:pPr>
        <w:tabs>
          <w:tab w:val="left" w:pos="-720"/>
          <w:tab w:val="left" w:pos="0"/>
          <w:tab w:val="left" w:pos="720"/>
        </w:tabs>
        <w:suppressAutoHyphens/>
        <w:ind w:left="1440" w:hanging="1440"/>
        <w:rPr>
          <w:rFonts w:ascii="Times New Roman" w:hAnsi="Times New Roman"/>
          <w:b/>
          <w:szCs w:val="24"/>
        </w:rPr>
      </w:pPr>
      <w:r w:rsidRPr="00E023FF">
        <w:rPr>
          <w:rFonts w:ascii="Times New Roman" w:hAnsi="Times New Roman"/>
          <w:szCs w:val="24"/>
        </w:rPr>
        <w:tab/>
        <w:t>-</w:t>
      </w:r>
      <w:r w:rsidRPr="00E023FF">
        <w:rPr>
          <w:rFonts w:ascii="Times New Roman" w:hAnsi="Times New Roman"/>
          <w:szCs w:val="24"/>
        </w:rPr>
        <w:tab/>
      </w:r>
      <w:r w:rsidRPr="00CB4F92">
        <w:rPr>
          <w:rFonts w:ascii="Times New Roman" w:hAnsi="Times New Roman"/>
          <w:b/>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CB4F92">
        <w:rPr>
          <w:rFonts w:ascii="Times New Roman" w:hAnsi="Times New Roman"/>
          <w:b/>
          <w:szCs w:val="24"/>
        </w:rPr>
        <w:t>.</w:t>
      </w:r>
    </w:p>
    <w:p w:rsidRPr="00E023FF" w:rsidR="00DB1D30" w:rsidRDefault="00DB1D30" w14:paraId="29EEB222" w14:textId="77777777">
      <w:pPr>
        <w:tabs>
          <w:tab w:val="left" w:pos="-720"/>
          <w:tab w:val="left" w:pos="0"/>
          <w:tab w:val="left" w:pos="720"/>
        </w:tabs>
        <w:suppressAutoHyphens/>
        <w:ind w:left="1440" w:hanging="1440"/>
        <w:rPr>
          <w:rFonts w:ascii="Times New Roman" w:hAnsi="Times New Roman"/>
          <w:szCs w:val="24"/>
        </w:rPr>
      </w:pPr>
    </w:p>
    <w:p w:rsidRPr="00E023FF" w:rsidR="002D133A" w:rsidRDefault="00DB1D30" w14:paraId="45347EBE" w14:textId="51B08AB0">
      <w:pPr>
        <w:tabs>
          <w:tab w:val="left" w:pos="-720"/>
        </w:tabs>
        <w:suppressAutoHyphens/>
        <w:rPr>
          <w:rFonts w:ascii="Times New Roman" w:hAnsi="Times New Roman"/>
          <w:szCs w:val="24"/>
        </w:rPr>
      </w:pPr>
      <w:r w:rsidRPr="00E023FF">
        <w:rPr>
          <w:rFonts w:ascii="Times New Roman" w:hAnsi="Times New Roman"/>
          <w:szCs w:val="24"/>
        </w:rPr>
        <w:tab/>
      </w:r>
      <w:bookmarkStart w:name="_Hlk99721757" w:id="2"/>
      <w:r w:rsidRPr="00997149" w:rsidR="00997149">
        <w:rPr>
          <w:rFonts w:ascii="Times New Roman" w:hAnsi="Times New Roman"/>
          <w:szCs w:val="24"/>
        </w:rPr>
        <w:t xml:space="preserve">The Commission has procedures to protect the confidentiality of an applicant’s or registrant’s data.  These are set forth in the Commission’s regulations </w:t>
      </w:r>
      <w:r w:rsidR="00A638EA">
        <w:rPr>
          <w:rFonts w:ascii="Times New Roman" w:hAnsi="Times New Roman"/>
          <w:szCs w:val="24"/>
        </w:rPr>
        <w:t>under</w:t>
      </w:r>
      <w:r w:rsidRPr="00997149" w:rsidR="00997149">
        <w:rPr>
          <w:rFonts w:ascii="Times New Roman" w:hAnsi="Times New Roman"/>
          <w:szCs w:val="24"/>
        </w:rPr>
        <w:t xml:space="preserve"> </w:t>
      </w:r>
      <w:r w:rsidR="00034A28">
        <w:rPr>
          <w:rFonts w:ascii="Times New Roman" w:hAnsi="Times New Roman"/>
          <w:szCs w:val="24"/>
        </w:rPr>
        <w:t>p</w:t>
      </w:r>
      <w:r w:rsidRPr="00997149" w:rsidR="00997149">
        <w:rPr>
          <w:rFonts w:ascii="Times New Roman" w:hAnsi="Times New Roman"/>
          <w:szCs w:val="24"/>
        </w:rPr>
        <w:t xml:space="preserve">arts 145 and 147.  In addition, </w:t>
      </w:r>
      <w:r w:rsidR="00E63554">
        <w:rPr>
          <w:rFonts w:ascii="Times New Roman" w:hAnsi="Times New Roman"/>
          <w:szCs w:val="24"/>
        </w:rPr>
        <w:t>s</w:t>
      </w:r>
      <w:r w:rsidRPr="00A65319" w:rsidR="00A638EA">
        <w:rPr>
          <w:rFonts w:ascii="Times New Roman" w:hAnsi="Times New Roman"/>
          <w:szCs w:val="24"/>
        </w:rPr>
        <w:t xml:space="preserve">ection 8(a)(1) of the CEA strictly prohibits the Commission, unless specifically authorized by the CEA, from making public “data and information that would separately disclose the business transactions or market positions of any person and trade secrets or names of customers.”  </w:t>
      </w:r>
      <w:r w:rsidRPr="00997149" w:rsidR="00997149">
        <w:rPr>
          <w:rFonts w:ascii="Times New Roman" w:hAnsi="Times New Roman"/>
          <w:szCs w:val="24"/>
        </w:rPr>
        <w:t xml:space="preserve">A number of narrow exceptions are set forth in Sections 8(b) and (e) of the </w:t>
      </w:r>
      <w:r w:rsidR="00A638EA">
        <w:rPr>
          <w:rFonts w:ascii="Times New Roman" w:hAnsi="Times New Roman"/>
          <w:szCs w:val="24"/>
        </w:rPr>
        <w:t>CEA</w:t>
      </w:r>
      <w:r w:rsidRPr="00997149" w:rsidR="00997149">
        <w:rPr>
          <w:rFonts w:ascii="Times New Roman" w:hAnsi="Times New Roman"/>
          <w:szCs w:val="24"/>
        </w:rPr>
        <w:t xml:space="preserve"> permitting the Commission to disclose “Section 8 material” for (</w:t>
      </w:r>
      <w:proofErr w:type="spellStart"/>
      <w:r w:rsidRPr="00997149" w:rsidR="00997149">
        <w:rPr>
          <w:rFonts w:ascii="Times New Roman" w:hAnsi="Times New Roman"/>
          <w:szCs w:val="24"/>
        </w:rPr>
        <w:t>i</w:t>
      </w:r>
      <w:proofErr w:type="spellEnd"/>
      <w:r w:rsidRPr="00997149" w:rsidR="00997149">
        <w:rPr>
          <w:rFonts w:ascii="Times New Roman" w:hAnsi="Times New Roman"/>
          <w:szCs w:val="24"/>
        </w:rPr>
        <w:t>) prior public disclosures</w:t>
      </w:r>
      <w:r w:rsidR="0023081A">
        <w:rPr>
          <w:rFonts w:ascii="Times New Roman" w:hAnsi="Times New Roman"/>
          <w:szCs w:val="24"/>
        </w:rPr>
        <w:t>;</w:t>
      </w:r>
      <w:r w:rsidRPr="00997149" w:rsidR="00997149">
        <w:rPr>
          <w:rFonts w:ascii="Times New Roman" w:hAnsi="Times New Roman"/>
          <w:szCs w:val="24"/>
        </w:rPr>
        <w:t xml:space="preserve"> (ii) congressional, administrative</w:t>
      </w:r>
      <w:r w:rsidR="0023081A">
        <w:rPr>
          <w:rFonts w:ascii="Times New Roman" w:hAnsi="Times New Roman"/>
          <w:szCs w:val="24"/>
        </w:rPr>
        <w:t>,</w:t>
      </w:r>
      <w:r w:rsidRPr="00997149" w:rsidR="00997149">
        <w:rPr>
          <w:rFonts w:ascii="Times New Roman" w:hAnsi="Times New Roman"/>
          <w:szCs w:val="24"/>
        </w:rPr>
        <w:t xml:space="preserve"> and/or judicial proceedings</w:t>
      </w:r>
      <w:r w:rsidR="0023081A">
        <w:rPr>
          <w:rFonts w:ascii="Times New Roman" w:hAnsi="Times New Roman"/>
          <w:szCs w:val="24"/>
        </w:rPr>
        <w:t>;</w:t>
      </w:r>
      <w:r w:rsidRPr="00997149" w:rsidR="00997149">
        <w:rPr>
          <w:rFonts w:ascii="Times New Roman" w:hAnsi="Times New Roman"/>
          <w:szCs w:val="24"/>
        </w:rPr>
        <w:t xml:space="preserve"> (iii) other federal departments and agencies, individual states</w:t>
      </w:r>
      <w:r w:rsidR="0023081A">
        <w:rPr>
          <w:rFonts w:ascii="Times New Roman" w:hAnsi="Times New Roman"/>
          <w:szCs w:val="24"/>
        </w:rPr>
        <w:t>,</w:t>
      </w:r>
      <w:r w:rsidRPr="00997149" w:rsidR="00997149">
        <w:rPr>
          <w:rFonts w:ascii="Times New Roman" w:hAnsi="Times New Roman"/>
          <w:szCs w:val="24"/>
        </w:rPr>
        <w:t xml:space="preserve"> and foreign futures authorities</w:t>
      </w:r>
      <w:r w:rsidR="0023081A">
        <w:rPr>
          <w:rFonts w:ascii="Times New Roman" w:hAnsi="Times New Roman"/>
          <w:szCs w:val="24"/>
        </w:rPr>
        <w:t>;</w:t>
      </w:r>
      <w:r w:rsidRPr="00997149" w:rsidR="00997149">
        <w:rPr>
          <w:rFonts w:ascii="Times New Roman" w:hAnsi="Times New Roman"/>
          <w:szCs w:val="24"/>
        </w:rPr>
        <w:t xml:space="preserve"> and (iv) registered entity investigations.</w:t>
      </w:r>
      <w:bookmarkEnd w:id="2"/>
      <w:r w:rsidRPr="00E023FF">
        <w:rPr>
          <w:rFonts w:ascii="Times New Roman" w:hAnsi="Times New Roman"/>
          <w:szCs w:val="24"/>
        </w:rPr>
        <w:tab/>
      </w:r>
    </w:p>
    <w:p w:rsidRPr="00E023FF" w:rsidR="00F95BE1" w:rsidRDefault="00F95BE1" w14:paraId="09EF284D" w14:textId="77777777">
      <w:pPr>
        <w:tabs>
          <w:tab w:val="left" w:pos="-720"/>
        </w:tabs>
        <w:suppressAutoHyphens/>
        <w:rPr>
          <w:rFonts w:ascii="Times New Roman" w:hAnsi="Times New Roman"/>
          <w:szCs w:val="24"/>
        </w:rPr>
      </w:pPr>
    </w:p>
    <w:p w:rsidRPr="00CB4F92" w:rsidR="002D133A" w:rsidRDefault="002D133A" w14:paraId="36E9CD51" w14:textId="77777777">
      <w:pPr>
        <w:tabs>
          <w:tab w:val="left" w:pos="-720"/>
          <w:tab w:val="left" w:pos="0"/>
        </w:tabs>
        <w:suppressAutoHyphens/>
        <w:ind w:left="720" w:hanging="720"/>
        <w:rPr>
          <w:rFonts w:ascii="Times New Roman" w:hAnsi="Times New Roman"/>
          <w:b/>
          <w:szCs w:val="24"/>
          <w:u w:val="single"/>
        </w:rPr>
      </w:pPr>
      <w:r w:rsidRPr="00E023FF">
        <w:rPr>
          <w:rFonts w:ascii="Times New Roman" w:hAnsi="Times New Roman"/>
          <w:szCs w:val="24"/>
        </w:rPr>
        <w:t>8.</w:t>
      </w:r>
      <w:r w:rsidRPr="00E023FF">
        <w:rPr>
          <w:rFonts w:ascii="Times New Roman" w:hAnsi="Times New Roman"/>
          <w:szCs w:val="24"/>
        </w:rPr>
        <w:tab/>
      </w:r>
      <w:r w:rsidRPr="00CB4F92">
        <w:rPr>
          <w:rFonts w:ascii="Times New Roman" w:hAnsi="Times New Roman"/>
          <w:b/>
          <w:szCs w:val="24"/>
          <w:u w:val="single"/>
        </w:rPr>
        <w:t xml:space="preserve">If applicable, provide a copy and identify the date and page number of </w:t>
      </w:r>
      <w:proofErr w:type="gramStart"/>
      <w:r w:rsidRPr="00CB4F92">
        <w:rPr>
          <w:rFonts w:ascii="Times New Roman" w:hAnsi="Times New Roman"/>
          <w:b/>
          <w:szCs w:val="24"/>
          <w:u w:val="single"/>
        </w:rPr>
        <w:t>publication</w:t>
      </w:r>
      <w:proofErr w:type="gramEnd"/>
      <w:r w:rsidRPr="00CB4F92">
        <w:rPr>
          <w:rFonts w:ascii="Times New Roman" w:hAnsi="Times New Roman"/>
          <w:b/>
          <w:szCs w:val="24"/>
          <w:u w:val="single"/>
        </w:rPr>
        <w:t xml:space="preserve"> in the Federal Register of the agency's notice required by 5 C.F.R. 1320.8(d), soliciting comments on the information collection prior to submission to OMB.  </w:t>
      </w:r>
      <w:r w:rsidRPr="00CB4F92">
        <w:rPr>
          <w:rFonts w:ascii="Times New Roman" w:hAnsi="Times New Roman"/>
          <w:b/>
          <w:szCs w:val="24"/>
          <w:u w:val="single"/>
        </w:rPr>
        <w:lastRenderedPageBreak/>
        <w:t>Summarize public comments received in response to that notice and describe actions taken by the agency in response to these comments.  Specifically address comments received on cost and hour burden.</w:t>
      </w:r>
    </w:p>
    <w:p w:rsidRPr="00CB4F92" w:rsidR="002D133A" w:rsidP="00424A91" w:rsidRDefault="00BD732F" w14:paraId="427670DF" w14:textId="77777777">
      <w:pPr>
        <w:tabs>
          <w:tab w:val="left" w:pos="-720"/>
          <w:tab w:val="left" w:pos="0"/>
        </w:tabs>
        <w:suppressAutoHyphens/>
        <w:ind w:left="720" w:hanging="720"/>
        <w:rPr>
          <w:rFonts w:ascii="Times New Roman" w:hAnsi="Times New Roman"/>
          <w:b/>
          <w:szCs w:val="24"/>
        </w:rPr>
      </w:pPr>
      <w:r w:rsidRPr="00CB4F92">
        <w:rPr>
          <w:rFonts w:ascii="Times New Roman" w:hAnsi="Times New Roman"/>
          <w:b/>
          <w:szCs w:val="24"/>
        </w:rPr>
        <w:tab/>
      </w:r>
      <w:r w:rsidRPr="00CB4F92" w:rsidR="000165B4">
        <w:rPr>
          <w:rFonts w:ascii="Times New Roman" w:hAnsi="Times New Roman"/>
          <w:b/>
          <w:szCs w:val="24"/>
        </w:rPr>
        <w:tab/>
      </w:r>
    </w:p>
    <w:p w:rsidRPr="00CB4F92" w:rsidR="00BD732F" w:rsidP="00E63554" w:rsidRDefault="002D133A" w14:paraId="6B781C54" w14:textId="1E1F2DDE">
      <w:pPr>
        <w:tabs>
          <w:tab w:val="left" w:pos="-720"/>
          <w:tab w:val="left" w:pos="0"/>
        </w:tabs>
        <w:suppressAutoHyphens/>
        <w:ind w:left="720" w:hanging="720"/>
        <w:rPr>
          <w:rFonts w:ascii="Times New Roman" w:hAnsi="Times New Roman"/>
          <w:b/>
          <w:szCs w:val="24"/>
          <w:u w:val="single"/>
        </w:rPr>
      </w:pPr>
      <w:r w:rsidRPr="00CB4F92">
        <w:rPr>
          <w:rFonts w:ascii="Times New Roman" w:hAnsi="Times New Roman"/>
          <w:b/>
          <w:szCs w:val="24"/>
        </w:rPr>
        <w:tab/>
      </w:r>
      <w:r w:rsidRPr="00CB4F92">
        <w:rPr>
          <w:rFonts w:ascii="Times New Roman" w:hAnsi="Times New Roman"/>
          <w:b/>
          <w:szCs w:val="24"/>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B4F92" w:rsidR="00F95BE1" w:rsidRDefault="00F95BE1" w14:paraId="79E3A5A4" w14:textId="77777777">
      <w:pPr>
        <w:tabs>
          <w:tab w:val="left" w:pos="-720"/>
          <w:tab w:val="left" w:pos="0"/>
        </w:tabs>
        <w:suppressAutoHyphens/>
        <w:ind w:left="720" w:hanging="720"/>
        <w:rPr>
          <w:rFonts w:ascii="Times New Roman" w:hAnsi="Times New Roman"/>
          <w:b/>
          <w:szCs w:val="24"/>
        </w:rPr>
      </w:pPr>
    </w:p>
    <w:p w:rsidRPr="00CB4F92" w:rsidR="002D133A" w:rsidRDefault="002D133A" w14:paraId="2D5690C5" w14:textId="77777777">
      <w:pPr>
        <w:tabs>
          <w:tab w:val="left" w:pos="-720"/>
          <w:tab w:val="left" w:pos="0"/>
        </w:tabs>
        <w:suppressAutoHyphens/>
        <w:ind w:left="720" w:hanging="720"/>
        <w:rPr>
          <w:rFonts w:ascii="Times New Roman" w:hAnsi="Times New Roman"/>
          <w:b/>
          <w:szCs w:val="24"/>
        </w:rPr>
      </w:pPr>
      <w:r w:rsidRPr="00CB4F92">
        <w:rPr>
          <w:rFonts w:ascii="Times New Roman" w:hAnsi="Times New Roman"/>
          <w:b/>
          <w:szCs w:val="24"/>
        </w:rPr>
        <w:tab/>
      </w:r>
      <w:r w:rsidRPr="00CB4F92">
        <w:rPr>
          <w:rFonts w:ascii="Times New Roman" w:hAnsi="Times New Roman"/>
          <w:b/>
          <w:szCs w:val="24"/>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CB4F92">
        <w:rPr>
          <w:rFonts w:ascii="Times New Roman" w:hAnsi="Times New Roman"/>
          <w:b/>
          <w:szCs w:val="24"/>
        </w:rPr>
        <w:t>.</w:t>
      </w:r>
    </w:p>
    <w:p w:rsidRPr="00E023FF" w:rsidR="002D133A" w:rsidRDefault="002D133A" w14:paraId="6CFCA9B5" w14:textId="77777777">
      <w:pPr>
        <w:tabs>
          <w:tab w:val="left" w:pos="-720"/>
        </w:tabs>
        <w:suppressAutoHyphens/>
        <w:rPr>
          <w:rFonts w:ascii="Times New Roman" w:hAnsi="Times New Roman"/>
          <w:szCs w:val="24"/>
        </w:rPr>
      </w:pPr>
    </w:p>
    <w:p w:rsidR="003376AA" w:rsidRDefault="003376AA" w14:paraId="1F6A9DFE" w14:textId="7EDE419A">
      <w:pPr>
        <w:tabs>
          <w:tab w:val="left" w:pos="-720"/>
        </w:tabs>
        <w:suppressAutoHyphens/>
        <w:rPr>
          <w:rFonts w:ascii="Times New Roman" w:hAnsi="Times New Roman"/>
          <w:szCs w:val="24"/>
        </w:rPr>
      </w:pPr>
      <w:r w:rsidRPr="00E023FF">
        <w:rPr>
          <w:rFonts w:ascii="Times New Roman" w:hAnsi="Times New Roman"/>
          <w:szCs w:val="24"/>
        </w:rPr>
        <w:tab/>
      </w:r>
      <w:r w:rsidR="00AB414D">
        <w:rPr>
          <w:rFonts w:ascii="Times New Roman" w:hAnsi="Times New Roman"/>
          <w:szCs w:val="24"/>
        </w:rPr>
        <w:t xml:space="preserve"> </w:t>
      </w:r>
      <w:r w:rsidR="00AB414D">
        <w:rPr>
          <w:rFonts w:ascii="Times New Roman" w:hAnsi="Times New Roman"/>
          <w:szCs w:val="24"/>
        </w:rPr>
        <w:t>The Commission published a 60-day notice in the Federal Register to solicit public comment (87 Federal Register 25228 (April 28, 2022)).  The Commission did not receive any relevant comments.</w:t>
      </w:r>
    </w:p>
    <w:p w:rsidRPr="00E023FF" w:rsidR="00CC20B2" w:rsidRDefault="00CC20B2" w14:paraId="2F879C2B" w14:textId="77777777">
      <w:pPr>
        <w:tabs>
          <w:tab w:val="left" w:pos="-720"/>
        </w:tabs>
        <w:suppressAutoHyphens/>
        <w:rPr>
          <w:rFonts w:ascii="Times New Roman" w:hAnsi="Times New Roman"/>
          <w:szCs w:val="24"/>
        </w:rPr>
      </w:pPr>
      <w:bookmarkStart w:name="_GoBack" w:id="3"/>
      <w:bookmarkEnd w:id="3"/>
    </w:p>
    <w:p w:rsidRPr="00E023FF" w:rsidR="002D133A" w:rsidRDefault="002D133A" w14:paraId="583BD8F6" w14:textId="77777777">
      <w:pPr>
        <w:tabs>
          <w:tab w:val="left" w:pos="-720"/>
          <w:tab w:val="left" w:pos="0"/>
        </w:tabs>
        <w:suppressAutoHyphens/>
        <w:ind w:left="720" w:hanging="720"/>
        <w:rPr>
          <w:rFonts w:ascii="Times New Roman" w:hAnsi="Times New Roman"/>
          <w:szCs w:val="24"/>
        </w:rPr>
      </w:pPr>
      <w:r w:rsidRPr="00CB4F92">
        <w:rPr>
          <w:rFonts w:ascii="Times New Roman" w:hAnsi="Times New Roman"/>
          <w:b/>
          <w:szCs w:val="24"/>
        </w:rPr>
        <w:t>9.</w:t>
      </w:r>
      <w:r w:rsidRPr="00CB4F92">
        <w:rPr>
          <w:rFonts w:ascii="Times New Roman" w:hAnsi="Times New Roman"/>
          <w:b/>
          <w:szCs w:val="24"/>
        </w:rPr>
        <w:tab/>
      </w:r>
      <w:r w:rsidRPr="00CB4F92">
        <w:rPr>
          <w:rFonts w:ascii="Times New Roman" w:hAnsi="Times New Roman"/>
          <w:b/>
          <w:szCs w:val="24"/>
          <w:u w:val="single"/>
        </w:rPr>
        <w:t>Explain any decision to provide any payment or gift to respondents, other than remuneration of contractors or grantees</w:t>
      </w:r>
      <w:r w:rsidRPr="00E023FF">
        <w:rPr>
          <w:rFonts w:ascii="Times New Roman" w:hAnsi="Times New Roman"/>
          <w:szCs w:val="24"/>
        </w:rPr>
        <w:t>.</w:t>
      </w:r>
    </w:p>
    <w:p w:rsidRPr="00E023FF" w:rsidR="00794D70" w:rsidRDefault="00794D70" w14:paraId="0AFF3E58" w14:textId="77777777">
      <w:pPr>
        <w:tabs>
          <w:tab w:val="left" w:pos="-720"/>
          <w:tab w:val="left" w:pos="0"/>
        </w:tabs>
        <w:suppressAutoHyphens/>
        <w:ind w:left="720" w:hanging="720"/>
        <w:rPr>
          <w:rFonts w:ascii="Times New Roman" w:hAnsi="Times New Roman"/>
          <w:szCs w:val="24"/>
        </w:rPr>
      </w:pPr>
    </w:p>
    <w:p w:rsidRPr="00E023FF" w:rsidR="002D133A" w:rsidP="00997149" w:rsidRDefault="00473A52" w14:paraId="7D077BCC" w14:textId="0DFB96B7">
      <w:pPr>
        <w:tabs>
          <w:tab w:val="left" w:pos="-720"/>
          <w:tab w:val="left" w:pos="0"/>
        </w:tabs>
        <w:suppressAutoHyphens/>
        <w:rPr>
          <w:rFonts w:ascii="Times New Roman" w:hAnsi="Times New Roman"/>
          <w:szCs w:val="24"/>
        </w:rPr>
      </w:pPr>
      <w:r>
        <w:rPr>
          <w:rFonts w:ascii="Times New Roman" w:hAnsi="Times New Roman"/>
          <w:szCs w:val="24"/>
        </w:rPr>
        <w:tab/>
      </w:r>
      <w:r w:rsidRPr="00997149" w:rsidR="00997149">
        <w:rPr>
          <w:rFonts w:ascii="Times New Roman" w:hAnsi="Times New Roman"/>
          <w:szCs w:val="24"/>
        </w:rPr>
        <w:t xml:space="preserve">Not applicable. </w:t>
      </w:r>
    </w:p>
    <w:p w:rsidRPr="00E023FF" w:rsidR="002D133A" w:rsidRDefault="002D133A" w14:paraId="23254C67" w14:textId="77777777">
      <w:pPr>
        <w:tabs>
          <w:tab w:val="left" w:pos="-720"/>
        </w:tabs>
        <w:suppressAutoHyphens/>
        <w:rPr>
          <w:rFonts w:ascii="Times New Roman" w:hAnsi="Times New Roman"/>
          <w:szCs w:val="24"/>
        </w:rPr>
      </w:pPr>
      <w:r w:rsidRPr="00E023FF">
        <w:rPr>
          <w:rFonts w:ascii="Times New Roman" w:hAnsi="Times New Roman"/>
          <w:szCs w:val="24"/>
        </w:rPr>
        <w:t xml:space="preserve">  </w:t>
      </w:r>
    </w:p>
    <w:p w:rsidRPr="00CB4F92" w:rsidR="002D133A" w:rsidRDefault="002D133A" w14:paraId="68F0D8AB" w14:textId="77777777">
      <w:pPr>
        <w:tabs>
          <w:tab w:val="left" w:pos="-720"/>
          <w:tab w:val="left" w:pos="0"/>
        </w:tabs>
        <w:suppressAutoHyphens/>
        <w:ind w:left="720" w:hanging="720"/>
        <w:rPr>
          <w:rFonts w:ascii="Times New Roman" w:hAnsi="Times New Roman"/>
          <w:b/>
          <w:szCs w:val="24"/>
        </w:rPr>
      </w:pPr>
      <w:r w:rsidRPr="00CB4F92">
        <w:rPr>
          <w:rFonts w:ascii="Times New Roman" w:hAnsi="Times New Roman"/>
          <w:b/>
          <w:szCs w:val="24"/>
        </w:rPr>
        <w:t>10.</w:t>
      </w:r>
      <w:r w:rsidRPr="00CB4F92">
        <w:rPr>
          <w:rFonts w:ascii="Times New Roman" w:hAnsi="Times New Roman"/>
          <w:b/>
          <w:szCs w:val="24"/>
        </w:rPr>
        <w:tab/>
      </w:r>
      <w:r w:rsidRPr="00CB4F92">
        <w:rPr>
          <w:rFonts w:ascii="Times New Roman" w:hAnsi="Times New Roman"/>
          <w:b/>
          <w:szCs w:val="24"/>
          <w:u w:val="single"/>
        </w:rPr>
        <w:t>Describe any assurance of confidentiality provided to respondents and the basis for the assurance in statute, regulations, or agency policy</w:t>
      </w:r>
      <w:r w:rsidRPr="00CB4F92">
        <w:rPr>
          <w:rFonts w:ascii="Times New Roman" w:hAnsi="Times New Roman"/>
          <w:b/>
          <w:szCs w:val="24"/>
        </w:rPr>
        <w:t>.</w:t>
      </w:r>
    </w:p>
    <w:p w:rsidRPr="00E023FF" w:rsidR="00794D70" w:rsidRDefault="00794D70" w14:paraId="7AB4FC5F" w14:textId="77777777">
      <w:pPr>
        <w:tabs>
          <w:tab w:val="left" w:pos="-720"/>
          <w:tab w:val="left" w:pos="0"/>
        </w:tabs>
        <w:suppressAutoHyphens/>
        <w:ind w:left="720" w:hanging="720"/>
        <w:rPr>
          <w:rFonts w:ascii="Times New Roman" w:hAnsi="Times New Roman"/>
          <w:szCs w:val="24"/>
        </w:rPr>
      </w:pPr>
    </w:p>
    <w:p w:rsidR="00CE0751" w:rsidP="00473A52" w:rsidRDefault="00D9088F" w14:paraId="7C0C523C" w14:textId="63AD58B1">
      <w:pPr>
        <w:tabs>
          <w:tab w:val="left" w:pos="-720"/>
          <w:tab w:val="left" w:pos="0"/>
        </w:tabs>
        <w:suppressAutoHyphens/>
        <w:rPr>
          <w:rFonts w:ascii="Times New Roman" w:hAnsi="Times New Roman"/>
          <w:szCs w:val="24"/>
        </w:rPr>
      </w:pPr>
      <w:r>
        <w:rPr>
          <w:rFonts w:ascii="Times New Roman" w:hAnsi="Times New Roman"/>
          <w:szCs w:val="24"/>
        </w:rPr>
        <w:tab/>
      </w:r>
      <w:r w:rsidR="00635B19">
        <w:rPr>
          <w:rFonts w:ascii="Times New Roman" w:hAnsi="Times New Roman"/>
          <w:szCs w:val="24"/>
        </w:rPr>
        <w:t xml:space="preserve"> </w:t>
      </w:r>
      <w:r w:rsidRPr="00A65319" w:rsidR="00A65319">
        <w:rPr>
          <w:rFonts w:ascii="Times New Roman" w:hAnsi="Times New Roman"/>
          <w:szCs w:val="24"/>
        </w:rPr>
        <w:t xml:space="preserve">The Commission does not provide respondents with an assurance of confidentiality beyond that provided by applicable law.  </w:t>
      </w:r>
      <w:r w:rsidR="00A638EA">
        <w:rPr>
          <w:rFonts w:ascii="Times New Roman" w:hAnsi="Times New Roman"/>
          <w:szCs w:val="24"/>
        </w:rPr>
        <w:t>S</w:t>
      </w:r>
      <w:r w:rsidRPr="00A65319" w:rsidR="00A65319">
        <w:rPr>
          <w:rFonts w:ascii="Times New Roman" w:hAnsi="Times New Roman"/>
          <w:szCs w:val="24"/>
        </w:rPr>
        <w:t>ection 8(a)(1) of the CEA strictly prohibits the Commission, unless specifically authorized by the CEA,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CE0751" w:rsidP="00473A52" w:rsidRDefault="00CE0751" w14:paraId="5F0BFB2A" w14:textId="77777777">
      <w:pPr>
        <w:tabs>
          <w:tab w:val="left" w:pos="-720"/>
          <w:tab w:val="left" w:pos="0"/>
        </w:tabs>
        <w:suppressAutoHyphens/>
        <w:rPr>
          <w:rFonts w:ascii="Times New Roman" w:hAnsi="Times New Roman"/>
          <w:szCs w:val="24"/>
        </w:rPr>
      </w:pPr>
    </w:p>
    <w:p w:rsidRPr="00CB4F92" w:rsidR="002D133A" w:rsidRDefault="002D133A" w14:paraId="58F29175" w14:textId="77777777">
      <w:pPr>
        <w:tabs>
          <w:tab w:val="left" w:pos="-720"/>
        </w:tabs>
        <w:suppressAutoHyphens/>
        <w:ind w:left="720" w:hanging="720"/>
        <w:rPr>
          <w:rFonts w:ascii="Times New Roman" w:hAnsi="Times New Roman"/>
          <w:b/>
          <w:szCs w:val="24"/>
        </w:rPr>
      </w:pPr>
      <w:r w:rsidRPr="00CB4F92">
        <w:rPr>
          <w:rFonts w:ascii="Times New Roman" w:hAnsi="Times New Roman"/>
          <w:b/>
          <w:szCs w:val="24"/>
        </w:rPr>
        <w:t>11.</w:t>
      </w:r>
      <w:r w:rsidRPr="00CB4F92">
        <w:rPr>
          <w:rFonts w:ascii="Times New Roman" w:hAnsi="Times New Roman"/>
          <w:b/>
          <w:szCs w:val="24"/>
        </w:rPr>
        <w:tab/>
      </w:r>
      <w:r w:rsidRPr="00CB4F92">
        <w:rPr>
          <w:rFonts w:ascii="Times New Roman" w:hAnsi="Times New Roman"/>
          <w:b/>
          <w:szCs w:val="24"/>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CB4F92">
        <w:rPr>
          <w:rFonts w:ascii="Times New Roman" w:hAnsi="Times New Roman"/>
          <w:b/>
          <w:szCs w:val="24"/>
        </w:rPr>
        <w:t>.</w:t>
      </w:r>
    </w:p>
    <w:p w:rsidRPr="00E023FF" w:rsidR="002D133A" w:rsidRDefault="002D133A" w14:paraId="6CC32CB6" w14:textId="77777777">
      <w:pPr>
        <w:tabs>
          <w:tab w:val="left" w:pos="-720"/>
        </w:tabs>
        <w:suppressAutoHyphens/>
        <w:rPr>
          <w:rFonts w:ascii="Times New Roman" w:hAnsi="Times New Roman"/>
          <w:szCs w:val="24"/>
        </w:rPr>
      </w:pPr>
    </w:p>
    <w:p w:rsidRPr="00E023FF" w:rsidR="004F774D" w:rsidP="00635B19" w:rsidRDefault="00635B19" w14:paraId="169741F3" w14:textId="120DF240">
      <w:pPr>
        <w:tabs>
          <w:tab w:val="left" w:pos="-720"/>
        </w:tabs>
        <w:suppressAutoHyphens/>
        <w:rPr>
          <w:rFonts w:ascii="Times New Roman" w:hAnsi="Times New Roman"/>
          <w:szCs w:val="24"/>
        </w:rPr>
      </w:pPr>
      <w:r>
        <w:rPr>
          <w:rFonts w:ascii="Times New Roman" w:hAnsi="Times New Roman"/>
          <w:szCs w:val="24"/>
        </w:rPr>
        <w:tab/>
      </w:r>
      <w:r w:rsidRPr="00E023FF" w:rsidR="004F774D">
        <w:rPr>
          <w:rFonts w:ascii="Times New Roman" w:hAnsi="Times New Roman"/>
          <w:szCs w:val="24"/>
        </w:rPr>
        <w:t>The regulations covered by this collection do not require the giving of sensitive information, as that term is used in Question 11.</w:t>
      </w:r>
    </w:p>
    <w:p w:rsidRPr="00E023FF" w:rsidR="004F774D" w:rsidRDefault="004F774D" w14:paraId="43C9B642" w14:textId="77777777">
      <w:pPr>
        <w:tabs>
          <w:tab w:val="left" w:pos="-720"/>
        </w:tabs>
        <w:suppressAutoHyphens/>
        <w:rPr>
          <w:rFonts w:ascii="Times New Roman" w:hAnsi="Times New Roman"/>
          <w:szCs w:val="24"/>
        </w:rPr>
      </w:pPr>
    </w:p>
    <w:p w:rsidRPr="001C74BB" w:rsidR="002D133A" w:rsidRDefault="002D133A" w14:paraId="2C61D78C" w14:textId="77777777">
      <w:pPr>
        <w:tabs>
          <w:tab w:val="left" w:pos="-720"/>
          <w:tab w:val="left" w:pos="0"/>
        </w:tabs>
        <w:suppressAutoHyphens/>
        <w:ind w:left="720" w:hanging="720"/>
        <w:rPr>
          <w:rFonts w:ascii="Times New Roman" w:hAnsi="Times New Roman"/>
          <w:b/>
          <w:szCs w:val="24"/>
        </w:rPr>
      </w:pPr>
      <w:r w:rsidRPr="001C74BB">
        <w:rPr>
          <w:rFonts w:ascii="Times New Roman" w:hAnsi="Times New Roman"/>
          <w:b/>
          <w:szCs w:val="24"/>
        </w:rPr>
        <w:t>12.</w:t>
      </w:r>
      <w:r w:rsidRPr="001C74BB">
        <w:rPr>
          <w:rFonts w:ascii="Times New Roman" w:hAnsi="Times New Roman"/>
          <w:b/>
          <w:szCs w:val="24"/>
        </w:rPr>
        <w:tab/>
      </w:r>
      <w:r w:rsidRPr="001C74BB">
        <w:rPr>
          <w:rFonts w:ascii="Times New Roman" w:hAnsi="Times New Roman"/>
          <w:b/>
          <w:szCs w:val="24"/>
          <w:u w:val="single"/>
        </w:rPr>
        <w:t>Provide estimates of the hour burden of the collection of information.  The Statement should</w:t>
      </w:r>
      <w:r w:rsidRPr="001C74BB">
        <w:rPr>
          <w:rFonts w:ascii="Times New Roman" w:hAnsi="Times New Roman"/>
          <w:b/>
          <w:szCs w:val="24"/>
        </w:rPr>
        <w:t>:</w:t>
      </w:r>
    </w:p>
    <w:p w:rsidRPr="00E023FF" w:rsidR="002D133A" w:rsidRDefault="002D133A" w14:paraId="4096D9F8" w14:textId="77777777">
      <w:pPr>
        <w:tabs>
          <w:tab w:val="left" w:pos="-720"/>
        </w:tabs>
        <w:suppressAutoHyphens/>
        <w:rPr>
          <w:rFonts w:ascii="Times New Roman" w:hAnsi="Times New Roman"/>
          <w:szCs w:val="24"/>
        </w:rPr>
      </w:pPr>
    </w:p>
    <w:p w:rsidRPr="001C74BB" w:rsidR="002D133A" w:rsidRDefault="002D133A" w14:paraId="7634DD33" w14:textId="77777777">
      <w:pPr>
        <w:tabs>
          <w:tab w:val="left" w:pos="-720"/>
          <w:tab w:val="left" w:pos="0"/>
          <w:tab w:val="left" w:pos="720"/>
        </w:tabs>
        <w:suppressAutoHyphens/>
        <w:ind w:left="1440" w:hanging="1440"/>
        <w:rPr>
          <w:rFonts w:ascii="Times New Roman" w:hAnsi="Times New Roman"/>
          <w:b/>
          <w:szCs w:val="24"/>
          <w:u w:val="single"/>
        </w:rPr>
      </w:pPr>
      <w:r w:rsidRPr="00E023FF">
        <w:rPr>
          <w:rFonts w:ascii="Times New Roman" w:hAnsi="Times New Roman"/>
          <w:szCs w:val="24"/>
        </w:rPr>
        <w:tab/>
        <w:t>-</w:t>
      </w:r>
      <w:r w:rsidRPr="00E023FF">
        <w:rPr>
          <w:rFonts w:ascii="Times New Roman" w:hAnsi="Times New Roman"/>
          <w:szCs w:val="24"/>
        </w:rPr>
        <w:tab/>
      </w:r>
      <w:r w:rsidRPr="001C74BB">
        <w:rPr>
          <w:rFonts w:ascii="Times New Roman" w:hAnsi="Times New Roman"/>
          <w:b/>
          <w:szCs w:val="24"/>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C74BB" w:rsidR="002D133A" w:rsidRDefault="002D133A" w14:paraId="6516F31F" w14:textId="77777777">
      <w:pPr>
        <w:tabs>
          <w:tab w:val="left" w:pos="-720"/>
        </w:tabs>
        <w:suppressAutoHyphens/>
        <w:rPr>
          <w:rFonts w:ascii="Times New Roman" w:hAnsi="Times New Roman"/>
          <w:b/>
          <w:szCs w:val="24"/>
        </w:rPr>
      </w:pPr>
    </w:p>
    <w:p w:rsidRPr="001C74BB" w:rsidR="002D133A" w:rsidRDefault="002D133A" w14:paraId="3C79E75F" w14:textId="77777777">
      <w:pPr>
        <w:tabs>
          <w:tab w:val="left" w:pos="-720"/>
          <w:tab w:val="left" w:pos="0"/>
          <w:tab w:val="left" w:pos="720"/>
        </w:tabs>
        <w:suppressAutoHyphens/>
        <w:ind w:left="1440" w:hanging="1440"/>
        <w:rPr>
          <w:rFonts w:ascii="Times New Roman" w:hAnsi="Times New Roman"/>
          <w:b/>
          <w:szCs w:val="24"/>
          <w:u w:val="single"/>
        </w:rPr>
      </w:pPr>
      <w:r w:rsidRPr="001C74BB">
        <w:rPr>
          <w:rFonts w:ascii="Times New Roman" w:hAnsi="Times New Roman"/>
          <w:b/>
          <w:szCs w:val="24"/>
        </w:rPr>
        <w:tab/>
        <w:t>-</w:t>
      </w:r>
      <w:r w:rsidRPr="001C74BB">
        <w:rPr>
          <w:rFonts w:ascii="Times New Roman" w:hAnsi="Times New Roman"/>
          <w:b/>
          <w:szCs w:val="24"/>
        </w:rPr>
        <w:tab/>
      </w:r>
      <w:r w:rsidRPr="001C74BB">
        <w:rPr>
          <w:rFonts w:ascii="Times New Roman" w:hAnsi="Times New Roman"/>
          <w:b/>
          <w:szCs w:val="24"/>
          <w:u w:val="single"/>
        </w:rPr>
        <w:t>If the request for approval covers more than one form, provide separate hour burden estimates for each form and aggregate the hour burdens in Item 13 of OMB Form 83-I.</w:t>
      </w:r>
    </w:p>
    <w:p w:rsidRPr="001C74BB" w:rsidR="002D133A" w:rsidRDefault="002D133A" w14:paraId="2BADEBB3" w14:textId="77777777">
      <w:pPr>
        <w:tabs>
          <w:tab w:val="left" w:pos="-720"/>
        </w:tabs>
        <w:suppressAutoHyphens/>
        <w:rPr>
          <w:rFonts w:ascii="Times New Roman" w:hAnsi="Times New Roman"/>
          <w:b/>
          <w:szCs w:val="24"/>
        </w:rPr>
      </w:pPr>
    </w:p>
    <w:p w:rsidRPr="001C74BB" w:rsidR="002D133A" w:rsidRDefault="002D133A" w14:paraId="4A37F0BE" w14:textId="77777777">
      <w:pPr>
        <w:tabs>
          <w:tab w:val="left" w:pos="-720"/>
          <w:tab w:val="left" w:pos="0"/>
          <w:tab w:val="left" w:pos="720"/>
        </w:tabs>
        <w:suppressAutoHyphens/>
        <w:ind w:left="1440" w:hanging="1440"/>
        <w:rPr>
          <w:rFonts w:ascii="Times New Roman" w:hAnsi="Times New Roman"/>
          <w:b/>
          <w:szCs w:val="24"/>
          <w:u w:val="single"/>
        </w:rPr>
      </w:pPr>
      <w:r w:rsidRPr="001C74BB">
        <w:rPr>
          <w:rFonts w:ascii="Times New Roman" w:hAnsi="Times New Roman"/>
          <w:b/>
          <w:szCs w:val="24"/>
        </w:rPr>
        <w:tab/>
        <w:t>-</w:t>
      </w:r>
      <w:r w:rsidRPr="001C74BB">
        <w:rPr>
          <w:rFonts w:ascii="Times New Roman" w:hAnsi="Times New Roman"/>
          <w:b/>
          <w:szCs w:val="24"/>
        </w:rPr>
        <w:tab/>
      </w:r>
      <w:r w:rsidRPr="001C74BB">
        <w:rPr>
          <w:rFonts w:ascii="Times New Roman" w:hAnsi="Times New Roman"/>
          <w:b/>
          <w:szCs w:val="24"/>
          <w:u w:val="single"/>
        </w:rPr>
        <w:t xml:space="preserve">Provide estimates of annualized cost to respondents for the hours burdens for collections of information, identifying and using appropriate wage rate categories.  The cost of contracting </w:t>
      </w:r>
      <w:r w:rsidRPr="001C74BB" w:rsidR="002451D0">
        <w:rPr>
          <w:rFonts w:ascii="Times New Roman" w:hAnsi="Times New Roman"/>
          <w:b/>
          <w:szCs w:val="24"/>
          <w:u w:val="single"/>
        </w:rPr>
        <w:t xml:space="preserve">out </w:t>
      </w:r>
      <w:r w:rsidRPr="001C74BB">
        <w:rPr>
          <w:rFonts w:ascii="Times New Roman" w:hAnsi="Times New Roman"/>
          <w:b/>
          <w:szCs w:val="24"/>
          <w:u w:val="single"/>
        </w:rPr>
        <w:t>or paying outside parties for information collection</w:t>
      </w:r>
      <w:r w:rsidRPr="001C74BB">
        <w:rPr>
          <w:rFonts w:ascii="Times New Roman" w:hAnsi="Times New Roman"/>
          <w:b/>
          <w:szCs w:val="24"/>
        </w:rPr>
        <w:t xml:space="preserve"> </w:t>
      </w:r>
      <w:r w:rsidRPr="001C74BB">
        <w:rPr>
          <w:rFonts w:ascii="Times New Roman" w:hAnsi="Times New Roman"/>
          <w:b/>
          <w:szCs w:val="24"/>
          <w:u w:val="single"/>
        </w:rPr>
        <w:t>activities should not be included here.  Instead, this cost should be included in Item 13.</w:t>
      </w:r>
    </w:p>
    <w:p w:rsidRPr="001C74BB" w:rsidR="00C22D53" w:rsidRDefault="00C22D53" w14:paraId="5F1B8422" w14:textId="77777777">
      <w:pPr>
        <w:tabs>
          <w:tab w:val="left" w:pos="-720"/>
          <w:tab w:val="left" w:pos="0"/>
          <w:tab w:val="left" w:pos="720"/>
        </w:tabs>
        <w:suppressAutoHyphens/>
        <w:ind w:left="1440" w:hanging="1440"/>
        <w:rPr>
          <w:rFonts w:ascii="Times New Roman" w:hAnsi="Times New Roman"/>
          <w:b/>
          <w:szCs w:val="24"/>
          <w:u w:val="single"/>
        </w:rPr>
      </w:pPr>
    </w:p>
    <w:p w:rsidRPr="000B55B6" w:rsidR="003376AA" w:rsidP="00E409B1" w:rsidRDefault="003376AA" w14:paraId="3DA907C2" w14:textId="57E881C7">
      <w:pPr>
        <w:tabs>
          <w:tab w:val="left" w:pos="-720"/>
          <w:tab w:val="left" w:pos="0"/>
          <w:tab w:val="left" w:pos="720"/>
        </w:tabs>
        <w:suppressAutoHyphens/>
        <w:ind w:left="1440" w:hanging="1440"/>
        <w:rPr>
          <w:rFonts w:ascii="Times New Roman" w:hAnsi="Times New Roman"/>
          <w:szCs w:val="24"/>
        </w:rPr>
      </w:pPr>
      <w:r w:rsidRPr="001C74BB">
        <w:rPr>
          <w:rFonts w:ascii="Times New Roman" w:hAnsi="Times New Roman"/>
          <w:b/>
          <w:szCs w:val="24"/>
        </w:rPr>
        <w:tab/>
      </w:r>
      <w:r w:rsidRPr="000B55B6" w:rsidR="00030757">
        <w:rPr>
          <w:rFonts w:ascii="Times New Roman" w:hAnsi="Times New Roman"/>
          <w:i/>
          <w:szCs w:val="24"/>
        </w:rPr>
        <w:t>See</w:t>
      </w:r>
      <w:r w:rsidRPr="000B55B6" w:rsidR="00030757">
        <w:rPr>
          <w:rFonts w:ascii="Times New Roman" w:hAnsi="Times New Roman"/>
          <w:szCs w:val="24"/>
        </w:rPr>
        <w:t xml:space="preserve"> </w:t>
      </w:r>
      <w:r w:rsidR="000B55B6">
        <w:rPr>
          <w:rFonts w:ascii="Times New Roman" w:hAnsi="Times New Roman"/>
          <w:szCs w:val="24"/>
        </w:rPr>
        <w:t>A</w:t>
      </w:r>
      <w:r w:rsidRPr="000B55B6" w:rsidR="00030757">
        <w:rPr>
          <w:rFonts w:ascii="Times New Roman" w:hAnsi="Times New Roman"/>
          <w:szCs w:val="24"/>
        </w:rPr>
        <w:t xml:space="preserve">ttachment A. </w:t>
      </w:r>
    </w:p>
    <w:p w:rsidRPr="001C74BB" w:rsidR="002D133A" w:rsidP="00E409B1" w:rsidRDefault="00D525DA" w14:paraId="189B7D8A" w14:textId="77777777">
      <w:pPr>
        <w:tabs>
          <w:tab w:val="left" w:pos="-720"/>
          <w:tab w:val="left" w:pos="0"/>
          <w:tab w:val="left" w:pos="720"/>
        </w:tabs>
        <w:suppressAutoHyphens/>
        <w:ind w:left="1440" w:hanging="1440"/>
        <w:rPr>
          <w:rFonts w:ascii="Times New Roman" w:hAnsi="Times New Roman"/>
          <w:b/>
          <w:szCs w:val="24"/>
        </w:rPr>
      </w:pPr>
      <w:r w:rsidRPr="001C74BB">
        <w:rPr>
          <w:rFonts w:ascii="Times New Roman" w:hAnsi="Times New Roman"/>
          <w:b/>
          <w:szCs w:val="24"/>
        </w:rPr>
        <w:tab/>
      </w:r>
    </w:p>
    <w:p w:rsidRPr="001C74BB" w:rsidR="002D133A" w:rsidRDefault="002D133A" w14:paraId="202BC55E" w14:textId="77777777">
      <w:pPr>
        <w:tabs>
          <w:tab w:val="left" w:pos="-720"/>
          <w:tab w:val="left" w:pos="0"/>
        </w:tabs>
        <w:suppressAutoHyphens/>
        <w:ind w:left="720" w:hanging="720"/>
        <w:rPr>
          <w:rFonts w:ascii="Times New Roman" w:hAnsi="Times New Roman"/>
          <w:b/>
          <w:szCs w:val="24"/>
        </w:rPr>
      </w:pPr>
      <w:r w:rsidRPr="001C74BB">
        <w:rPr>
          <w:rFonts w:ascii="Times New Roman" w:hAnsi="Times New Roman"/>
          <w:b/>
          <w:szCs w:val="24"/>
        </w:rPr>
        <w:t>13.</w:t>
      </w:r>
      <w:r w:rsidRPr="001C74BB">
        <w:rPr>
          <w:rFonts w:ascii="Times New Roman" w:hAnsi="Times New Roman"/>
          <w:b/>
          <w:szCs w:val="24"/>
        </w:rPr>
        <w:tab/>
      </w:r>
      <w:r w:rsidRPr="001C74BB">
        <w:rPr>
          <w:rFonts w:ascii="Times New Roman" w:hAnsi="Times New Roman"/>
          <w:b/>
          <w:szCs w:val="24"/>
          <w:u w:val="single"/>
        </w:rPr>
        <w:t>Provide an estimate of the total annual cost burden to respondents or recordkeepers resulting f</w:t>
      </w:r>
      <w:r w:rsidRPr="001C74BB" w:rsidR="00F30B08">
        <w:rPr>
          <w:rFonts w:ascii="Times New Roman" w:hAnsi="Times New Roman"/>
          <w:b/>
          <w:szCs w:val="24"/>
          <w:u w:val="single"/>
        </w:rPr>
        <w:t>r</w:t>
      </w:r>
      <w:r w:rsidRPr="001C74BB">
        <w:rPr>
          <w:rFonts w:ascii="Times New Roman" w:hAnsi="Times New Roman"/>
          <w:b/>
          <w:szCs w:val="24"/>
          <w:u w:val="single"/>
        </w:rPr>
        <w:t>om the collection of information.  (Do not include the cost of any hour burden shown in Items 12 and 14)</w:t>
      </w:r>
      <w:r w:rsidRPr="001C74BB">
        <w:rPr>
          <w:rFonts w:ascii="Times New Roman" w:hAnsi="Times New Roman"/>
          <w:b/>
          <w:szCs w:val="24"/>
        </w:rPr>
        <w:t>.</w:t>
      </w:r>
    </w:p>
    <w:p w:rsidRPr="001C74BB" w:rsidR="002D133A" w:rsidRDefault="002D133A" w14:paraId="4A3F5D65" w14:textId="77777777">
      <w:pPr>
        <w:tabs>
          <w:tab w:val="left" w:pos="-720"/>
        </w:tabs>
        <w:suppressAutoHyphens/>
        <w:rPr>
          <w:rFonts w:ascii="Times New Roman" w:hAnsi="Times New Roman"/>
          <w:b/>
          <w:szCs w:val="24"/>
        </w:rPr>
      </w:pPr>
    </w:p>
    <w:p w:rsidRPr="001C74BB" w:rsidR="002D133A" w:rsidRDefault="002D133A" w14:paraId="7BEED902" w14:textId="77777777">
      <w:pPr>
        <w:tabs>
          <w:tab w:val="left" w:pos="-720"/>
          <w:tab w:val="left" w:pos="0"/>
          <w:tab w:val="left" w:pos="720"/>
        </w:tabs>
        <w:suppressAutoHyphens/>
        <w:ind w:left="1440" w:hanging="1440"/>
        <w:rPr>
          <w:rFonts w:ascii="Times New Roman" w:hAnsi="Times New Roman"/>
          <w:b/>
          <w:szCs w:val="24"/>
          <w:u w:val="single"/>
        </w:rPr>
      </w:pPr>
      <w:r w:rsidRPr="001C74BB">
        <w:rPr>
          <w:rFonts w:ascii="Times New Roman" w:hAnsi="Times New Roman"/>
          <w:b/>
          <w:szCs w:val="24"/>
        </w:rPr>
        <w:tab/>
        <w:t>-</w:t>
      </w:r>
      <w:r w:rsidRPr="001C74BB">
        <w:rPr>
          <w:rFonts w:ascii="Times New Roman" w:hAnsi="Times New Roman"/>
          <w:b/>
          <w:szCs w:val="24"/>
        </w:rPr>
        <w:tab/>
      </w:r>
      <w:r w:rsidRPr="001C74BB">
        <w:rPr>
          <w:rFonts w:ascii="Times New Roman" w:hAnsi="Times New Roman"/>
          <w:b/>
          <w:szCs w:val="24"/>
          <w:u w:val="single"/>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C74BB">
        <w:rPr>
          <w:rFonts w:ascii="Times New Roman" w:hAnsi="Times New Roman"/>
          <w:b/>
          <w:szCs w:val="24"/>
          <w:u w:val="single"/>
        </w:rPr>
        <w:t>take into account</w:t>
      </w:r>
      <w:proofErr w:type="gramEnd"/>
      <w:r w:rsidRPr="001C74BB">
        <w:rPr>
          <w:rFonts w:ascii="Times New Roman" w:hAnsi="Times New Roman"/>
          <w:b/>
          <w:szCs w:val="24"/>
          <w:u w:val="single"/>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C74BB" w:rsidR="002D133A" w:rsidRDefault="002D133A" w14:paraId="15082275" w14:textId="77777777">
      <w:pPr>
        <w:tabs>
          <w:tab w:val="left" w:pos="-720"/>
        </w:tabs>
        <w:suppressAutoHyphens/>
        <w:rPr>
          <w:rFonts w:ascii="Times New Roman" w:hAnsi="Times New Roman"/>
          <w:b/>
          <w:szCs w:val="24"/>
        </w:rPr>
      </w:pPr>
    </w:p>
    <w:p w:rsidRPr="001C74BB" w:rsidR="002D133A" w:rsidRDefault="002D133A" w14:paraId="741E9860" w14:textId="77777777">
      <w:pPr>
        <w:tabs>
          <w:tab w:val="left" w:pos="-720"/>
          <w:tab w:val="left" w:pos="0"/>
          <w:tab w:val="left" w:pos="720"/>
        </w:tabs>
        <w:suppressAutoHyphens/>
        <w:ind w:left="1440" w:hanging="1440"/>
        <w:rPr>
          <w:rFonts w:ascii="Times New Roman" w:hAnsi="Times New Roman"/>
          <w:b/>
          <w:szCs w:val="24"/>
          <w:u w:val="single"/>
        </w:rPr>
      </w:pPr>
      <w:r w:rsidRPr="001C74BB">
        <w:rPr>
          <w:rFonts w:ascii="Times New Roman" w:hAnsi="Times New Roman"/>
          <w:b/>
          <w:szCs w:val="24"/>
        </w:rPr>
        <w:lastRenderedPageBreak/>
        <w:tab/>
        <w:t>-</w:t>
      </w:r>
      <w:r w:rsidRPr="001C74BB">
        <w:rPr>
          <w:rFonts w:ascii="Times New Roman" w:hAnsi="Times New Roman"/>
          <w:b/>
          <w:szCs w:val="24"/>
        </w:rPr>
        <w:tab/>
      </w:r>
      <w:r w:rsidRPr="001C74BB">
        <w:rPr>
          <w:rFonts w:ascii="Times New Roman" w:hAnsi="Times New Roman"/>
          <w:b/>
          <w:szCs w:val="24"/>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1C74BB" w:rsidR="002D133A" w:rsidRDefault="002D133A" w14:paraId="54C88BB7" w14:textId="77777777">
      <w:pPr>
        <w:tabs>
          <w:tab w:val="left" w:pos="-720"/>
        </w:tabs>
        <w:suppressAutoHyphens/>
        <w:rPr>
          <w:rFonts w:ascii="Times New Roman" w:hAnsi="Times New Roman"/>
          <w:b/>
          <w:szCs w:val="24"/>
          <w:u w:val="single"/>
        </w:rPr>
      </w:pPr>
    </w:p>
    <w:p w:rsidRPr="001C74BB" w:rsidR="002D133A" w:rsidRDefault="002D133A" w14:paraId="2CA4DA9A" w14:textId="77777777">
      <w:pPr>
        <w:tabs>
          <w:tab w:val="left" w:pos="-720"/>
          <w:tab w:val="left" w:pos="0"/>
          <w:tab w:val="left" w:pos="720"/>
        </w:tabs>
        <w:suppressAutoHyphens/>
        <w:ind w:left="1440" w:hanging="1440"/>
        <w:rPr>
          <w:rFonts w:ascii="Times New Roman" w:hAnsi="Times New Roman"/>
          <w:b/>
          <w:szCs w:val="24"/>
        </w:rPr>
      </w:pPr>
      <w:r w:rsidRPr="001C74BB">
        <w:rPr>
          <w:rFonts w:ascii="Times New Roman" w:hAnsi="Times New Roman"/>
          <w:b/>
          <w:szCs w:val="24"/>
        </w:rPr>
        <w:tab/>
        <w:t>-</w:t>
      </w:r>
      <w:r w:rsidRPr="001C74BB">
        <w:rPr>
          <w:rFonts w:ascii="Times New Roman" w:hAnsi="Times New Roman"/>
          <w:b/>
          <w:szCs w:val="24"/>
        </w:rPr>
        <w:tab/>
      </w:r>
      <w:r w:rsidRPr="001C74BB">
        <w:rPr>
          <w:rFonts w:ascii="Times New Roman" w:hAnsi="Times New Roman"/>
          <w:b/>
          <w:szCs w:val="24"/>
          <w:u w:val="single"/>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1C74BB" w:rsidR="00403637">
        <w:rPr>
          <w:rFonts w:ascii="Times New Roman" w:hAnsi="Times New Roman"/>
          <w:b/>
          <w:szCs w:val="24"/>
          <w:u w:val="single"/>
        </w:rPr>
        <w:t>government</w:t>
      </w:r>
      <w:r w:rsidRPr="001C74BB">
        <w:rPr>
          <w:rFonts w:ascii="Times New Roman" w:hAnsi="Times New Roman"/>
          <w:b/>
          <w:szCs w:val="24"/>
          <w:u w:val="single"/>
        </w:rPr>
        <w:t xml:space="preserve"> or (4) as part of customary and usual business or private practices.</w:t>
      </w:r>
    </w:p>
    <w:p w:rsidRPr="00E023FF" w:rsidR="00E409B1" w:rsidRDefault="00D525DA" w14:paraId="4B6307BB" w14:textId="77777777">
      <w:pPr>
        <w:tabs>
          <w:tab w:val="left" w:pos="-720"/>
          <w:tab w:val="left" w:pos="0"/>
          <w:tab w:val="left" w:pos="720"/>
        </w:tabs>
        <w:suppressAutoHyphens/>
        <w:ind w:left="1440" w:hanging="1440"/>
        <w:rPr>
          <w:rFonts w:ascii="Times New Roman" w:hAnsi="Times New Roman"/>
          <w:szCs w:val="24"/>
        </w:rPr>
      </w:pPr>
      <w:r w:rsidRPr="00E023FF">
        <w:rPr>
          <w:rFonts w:ascii="Times New Roman" w:hAnsi="Times New Roman"/>
          <w:szCs w:val="24"/>
        </w:rPr>
        <w:tab/>
      </w:r>
      <w:r w:rsidRPr="00E023FF">
        <w:rPr>
          <w:rFonts w:ascii="Times New Roman" w:hAnsi="Times New Roman"/>
          <w:szCs w:val="24"/>
        </w:rPr>
        <w:tab/>
      </w:r>
    </w:p>
    <w:p w:rsidR="00B660DC" w:rsidP="00030757" w:rsidRDefault="00E409B1" w14:paraId="2C11C3C4" w14:textId="64B5A944">
      <w:pPr>
        <w:tabs>
          <w:tab w:val="left" w:pos="-720"/>
          <w:tab w:val="left" w:pos="0"/>
          <w:tab w:val="left" w:pos="720"/>
        </w:tabs>
        <w:suppressAutoHyphens/>
        <w:ind w:left="1440" w:hanging="1440"/>
        <w:rPr>
          <w:rFonts w:ascii="Times New Roman" w:hAnsi="Times New Roman"/>
          <w:szCs w:val="24"/>
        </w:rPr>
      </w:pPr>
      <w:r w:rsidRPr="00E023FF">
        <w:rPr>
          <w:rFonts w:ascii="Times New Roman" w:hAnsi="Times New Roman"/>
          <w:szCs w:val="24"/>
        </w:rPr>
        <w:tab/>
      </w:r>
      <w:r w:rsidRPr="00E023FF">
        <w:rPr>
          <w:rFonts w:ascii="Times New Roman" w:hAnsi="Times New Roman"/>
          <w:szCs w:val="24"/>
        </w:rPr>
        <w:tab/>
      </w:r>
    </w:p>
    <w:p w:rsidR="000B55B6" w:rsidP="000B55B6" w:rsidRDefault="000B55B6" w14:paraId="5A2A2041" w14:textId="77777777">
      <w:pPr>
        <w:pStyle w:val="Caption"/>
        <w:ind w:firstLine="720"/>
        <w:rPr>
          <w:rFonts w:ascii="Times New Roman" w:hAnsi="Times New Roman"/>
          <w:szCs w:val="24"/>
        </w:rPr>
      </w:pPr>
      <w:r w:rsidRPr="000B55B6">
        <w:rPr>
          <w:rFonts w:ascii="Times New Roman" w:hAnsi="Times New Roman"/>
          <w:szCs w:val="24"/>
        </w:rPr>
        <w:t>Please see attachment A for the estimated hour burden for the collections of information discussed in this supporting statement.</w:t>
      </w:r>
      <w:r>
        <w:rPr>
          <w:rFonts w:ascii="Times New Roman" w:hAnsi="Times New Roman"/>
          <w:szCs w:val="24"/>
        </w:rPr>
        <w:t xml:space="preserve"> </w:t>
      </w:r>
    </w:p>
    <w:p w:rsidR="000B55B6" w:rsidP="000B55B6" w:rsidRDefault="000B55B6" w14:paraId="14390EBE" w14:textId="77777777">
      <w:pPr>
        <w:pStyle w:val="Caption"/>
        <w:ind w:firstLine="720"/>
        <w:rPr>
          <w:rFonts w:ascii="Times New Roman" w:hAnsi="Times New Roman"/>
          <w:szCs w:val="24"/>
        </w:rPr>
      </w:pPr>
    </w:p>
    <w:p w:rsidR="000B55B6" w:rsidP="000B55B6" w:rsidRDefault="000B55B6" w14:paraId="4622A798" w14:textId="282B8366">
      <w:pPr>
        <w:pStyle w:val="Caption"/>
        <w:ind w:firstLine="720"/>
        <w:rPr>
          <w:rFonts w:ascii="Times New Roman" w:hAnsi="Times New Roman"/>
          <w:szCs w:val="24"/>
        </w:rPr>
      </w:pPr>
      <w:r w:rsidRPr="000B55B6">
        <w:rPr>
          <w:rFonts w:ascii="Times New Roman" w:hAnsi="Times New Roman"/>
          <w:szCs w:val="24"/>
        </w:rPr>
        <w:t>It is expected that DCMs will utilize existing software, information technology, and systems.  Thus, the Commission believes that there will not be additional capital/startup costs or operational/maintenance costs incurred by DCMs.</w:t>
      </w:r>
    </w:p>
    <w:p w:rsidRPr="000B55B6" w:rsidR="000B55B6" w:rsidP="000B55B6" w:rsidRDefault="000B55B6" w14:paraId="5B9F5340" w14:textId="77777777">
      <w:pPr>
        <w:ind w:firstLine="720"/>
      </w:pPr>
    </w:p>
    <w:p w:rsidRPr="00E023FF" w:rsidR="00B660DC" w:rsidRDefault="00B660DC" w14:paraId="5CEAD7F6" w14:textId="77777777">
      <w:pPr>
        <w:tabs>
          <w:tab w:val="left" w:pos="-720"/>
        </w:tabs>
        <w:suppressAutoHyphens/>
        <w:ind w:left="720" w:hanging="720"/>
        <w:rPr>
          <w:rFonts w:ascii="Times New Roman" w:hAnsi="Times New Roman"/>
          <w:szCs w:val="24"/>
        </w:rPr>
      </w:pPr>
    </w:p>
    <w:p w:rsidRPr="000B55B6" w:rsidR="002D133A" w:rsidRDefault="002D133A" w14:paraId="3BEC5170" w14:textId="77777777">
      <w:pPr>
        <w:tabs>
          <w:tab w:val="left" w:pos="-720"/>
        </w:tabs>
        <w:suppressAutoHyphens/>
        <w:ind w:left="720" w:hanging="720"/>
        <w:rPr>
          <w:rFonts w:ascii="Times New Roman" w:hAnsi="Times New Roman"/>
          <w:b/>
          <w:szCs w:val="24"/>
        </w:rPr>
      </w:pPr>
      <w:r w:rsidRPr="000B55B6">
        <w:rPr>
          <w:rFonts w:ascii="Times New Roman" w:hAnsi="Times New Roman"/>
          <w:b/>
          <w:szCs w:val="24"/>
        </w:rPr>
        <w:t>14.</w:t>
      </w:r>
      <w:r w:rsidRPr="000B55B6">
        <w:rPr>
          <w:rFonts w:ascii="Times New Roman" w:hAnsi="Times New Roman"/>
          <w:b/>
          <w:szCs w:val="24"/>
        </w:rPr>
        <w:tab/>
      </w:r>
      <w:r w:rsidRPr="000B55B6">
        <w:rPr>
          <w:rFonts w:ascii="Times New Roman" w:hAnsi="Times New Roman"/>
          <w:b/>
          <w:szCs w:val="24"/>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0B55B6">
        <w:rPr>
          <w:rFonts w:ascii="Times New Roman" w:hAnsi="Times New Roman"/>
          <w:b/>
          <w:szCs w:val="24"/>
        </w:rPr>
        <w:t xml:space="preserve">  </w:t>
      </w:r>
    </w:p>
    <w:p w:rsidR="00060A14" w:rsidP="00060A14" w:rsidRDefault="00060A14" w14:paraId="0CEE2FE0" w14:textId="77777777">
      <w:pPr>
        <w:tabs>
          <w:tab w:val="left" w:pos="-720"/>
        </w:tabs>
        <w:suppressAutoHyphens/>
        <w:rPr>
          <w:rFonts w:ascii="Times New Roman" w:hAnsi="Times New Roman"/>
          <w:szCs w:val="24"/>
        </w:rPr>
      </w:pPr>
    </w:p>
    <w:p w:rsidRPr="00E023FF" w:rsidR="00197193" w:rsidP="00060A14" w:rsidRDefault="00060A14" w14:paraId="4EDC191E" w14:textId="28AF68DC">
      <w:pPr>
        <w:tabs>
          <w:tab w:val="left" w:pos="-720"/>
        </w:tabs>
        <w:suppressAutoHyphens/>
        <w:rPr>
          <w:rFonts w:ascii="Times New Roman" w:hAnsi="Times New Roman"/>
          <w:szCs w:val="24"/>
        </w:rPr>
      </w:pPr>
      <w:r>
        <w:rPr>
          <w:rFonts w:ascii="Times New Roman" w:hAnsi="Times New Roman"/>
          <w:szCs w:val="24"/>
        </w:rPr>
        <w:tab/>
      </w:r>
      <w:r w:rsidRPr="00E023FF" w:rsidR="00197193">
        <w:rPr>
          <w:rFonts w:ascii="Times New Roman" w:hAnsi="Times New Roman"/>
          <w:szCs w:val="24"/>
        </w:rPr>
        <w:t xml:space="preserve">It is not anticipated that the final rule will impose any additional costs to the Federal Government. </w:t>
      </w:r>
    </w:p>
    <w:p w:rsidRPr="00E023FF" w:rsidR="008E6932" w:rsidP="00197193" w:rsidRDefault="008E6932" w14:paraId="6CBC815E" w14:textId="77777777">
      <w:pPr>
        <w:tabs>
          <w:tab w:val="left" w:pos="-720"/>
        </w:tabs>
        <w:suppressAutoHyphens/>
        <w:ind w:left="720" w:hanging="720"/>
        <w:rPr>
          <w:rFonts w:ascii="Times New Roman" w:hAnsi="Times New Roman"/>
          <w:szCs w:val="24"/>
        </w:rPr>
      </w:pPr>
    </w:p>
    <w:p w:rsidRPr="000B55B6" w:rsidR="002D133A" w:rsidRDefault="002D133A" w14:paraId="16BBDB74" w14:textId="77777777">
      <w:pPr>
        <w:tabs>
          <w:tab w:val="left" w:pos="-720"/>
          <w:tab w:val="left" w:pos="0"/>
        </w:tabs>
        <w:suppressAutoHyphens/>
        <w:ind w:left="720" w:hanging="720"/>
        <w:rPr>
          <w:rFonts w:ascii="Times New Roman" w:hAnsi="Times New Roman"/>
          <w:b/>
          <w:szCs w:val="24"/>
        </w:rPr>
      </w:pPr>
      <w:r w:rsidRPr="000B55B6">
        <w:rPr>
          <w:rFonts w:ascii="Times New Roman" w:hAnsi="Times New Roman"/>
          <w:b/>
          <w:szCs w:val="24"/>
        </w:rPr>
        <w:t>15.</w:t>
      </w:r>
      <w:r w:rsidRPr="000B55B6">
        <w:rPr>
          <w:rFonts w:ascii="Times New Roman" w:hAnsi="Times New Roman"/>
          <w:b/>
          <w:szCs w:val="24"/>
        </w:rPr>
        <w:tab/>
      </w:r>
      <w:r w:rsidRPr="000B55B6">
        <w:rPr>
          <w:rFonts w:ascii="Times New Roman" w:hAnsi="Times New Roman"/>
          <w:b/>
          <w:szCs w:val="24"/>
          <w:u w:val="single"/>
        </w:rPr>
        <w:t>Explain the reasons for any program changes or adjustments reported in Items 13 or 14 of the OMB Form 83-I</w:t>
      </w:r>
      <w:r w:rsidRPr="000B55B6">
        <w:rPr>
          <w:rFonts w:ascii="Times New Roman" w:hAnsi="Times New Roman"/>
          <w:b/>
          <w:szCs w:val="24"/>
        </w:rPr>
        <w:t>.</w:t>
      </w:r>
    </w:p>
    <w:p w:rsidR="00054834" w:rsidP="00054834" w:rsidRDefault="00054834" w14:paraId="51313D07" w14:textId="77777777">
      <w:pPr>
        <w:tabs>
          <w:tab w:val="left" w:pos="-720"/>
          <w:tab w:val="left" w:pos="0"/>
        </w:tabs>
        <w:suppressAutoHyphens/>
        <w:rPr>
          <w:rFonts w:ascii="Times New Roman" w:hAnsi="Times New Roman"/>
          <w:szCs w:val="24"/>
        </w:rPr>
      </w:pPr>
    </w:p>
    <w:p w:rsidR="00D377B0" w:rsidP="00054834" w:rsidRDefault="00054834" w14:paraId="5A781D6A" w14:textId="4E62B937">
      <w:pPr>
        <w:tabs>
          <w:tab w:val="left" w:pos="-720"/>
          <w:tab w:val="left" w:pos="0"/>
        </w:tabs>
        <w:suppressAutoHyphens/>
        <w:rPr>
          <w:rFonts w:ascii="Times New Roman" w:hAnsi="Times New Roman"/>
          <w:szCs w:val="24"/>
        </w:rPr>
      </w:pPr>
      <w:r>
        <w:rPr>
          <w:rFonts w:ascii="Times New Roman" w:hAnsi="Times New Roman"/>
          <w:szCs w:val="24"/>
        </w:rPr>
        <w:tab/>
      </w:r>
      <w:r w:rsidR="00D43417">
        <w:rPr>
          <w:rFonts w:ascii="Times New Roman" w:hAnsi="Times New Roman"/>
          <w:szCs w:val="24"/>
        </w:rPr>
        <w:t>For the majority of collections under OMB control number 3038-0052, t</w:t>
      </w:r>
      <w:r w:rsidRPr="00E023FF" w:rsidR="00D43417">
        <w:rPr>
          <w:rFonts w:ascii="Times New Roman" w:hAnsi="Times New Roman"/>
          <w:szCs w:val="24"/>
        </w:rPr>
        <w:t>he Commission notes that the number of registered, active DCMs has increased from 14 to 16.</w:t>
      </w:r>
      <w:r w:rsidRPr="00E023FF" w:rsidR="00D43417">
        <w:rPr>
          <w:rStyle w:val="FootnoteReference"/>
          <w:rFonts w:ascii="Times New Roman" w:hAnsi="Times New Roman"/>
          <w:szCs w:val="24"/>
        </w:rPr>
        <w:footnoteReference w:id="9"/>
      </w:r>
      <w:r w:rsidRPr="00E023FF" w:rsidR="00D43417">
        <w:rPr>
          <w:rFonts w:ascii="Times New Roman" w:hAnsi="Times New Roman"/>
          <w:szCs w:val="24"/>
        </w:rPr>
        <w:t xml:space="preserve">  This increase in </w:t>
      </w:r>
      <w:r w:rsidRPr="00E023FF" w:rsidR="00D43417">
        <w:rPr>
          <w:rFonts w:ascii="Times New Roman" w:hAnsi="Times New Roman"/>
          <w:szCs w:val="24"/>
        </w:rPr>
        <w:lastRenderedPageBreak/>
        <w:t>the number of registered DCMs will increase the total information collection burdens for OMB control number 3038-0052 as noted in Attachment A.</w:t>
      </w:r>
      <w:r w:rsidR="00D43417">
        <w:rPr>
          <w:rStyle w:val="FootnoteReference"/>
          <w:rFonts w:ascii="Times New Roman" w:hAnsi="Times New Roman"/>
          <w:szCs w:val="24"/>
        </w:rPr>
        <w:footnoteReference w:id="10"/>
      </w:r>
    </w:p>
    <w:p w:rsidR="00BE56C0" w:rsidP="00054834" w:rsidRDefault="00BE56C0" w14:paraId="3C6843E7" w14:textId="0701D55B">
      <w:pPr>
        <w:tabs>
          <w:tab w:val="left" w:pos="-720"/>
          <w:tab w:val="left" w:pos="0"/>
        </w:tabs>
        <w:suppressAutoHyphens/>
        <w:rPr>
          <w:rFonts w:ascii="Times New Roman" w:hAnsi="Times New Roman"/>
          <w:szCs w:val="24"/>
        </w:rPr>
      </w:pPr>
    </w:p>
    <w:p w:rsidRPr="00E023FF" w:rsidR="00951CB2" w:rsidP="00054834" w:rsidRDefault="001A1E77" w14:paraId="38E5FA61" w14:textId="5F5A0974">
      <w:pPr>
        <w:tabs>
          <w:tab w:val="left" w:pos="-720"/>
          <w:tab w:val="left" w:pos="0"/>
        </w:tabs>
        <w:suppressAutoHyphens/>
        <w:rPr>
          <w:rFonts w:ascii="Times New Roman" w:hAnsi="Times New Roman"/>
          <w:szCs w:val="24"/>
        </w:rPr>
      </w:pPr>
      <w:r>
        <w:rPr>
          <w:rFonts w:ascii="Times New Roman" w:hAnsi="Times New Roman"/>
          <w:szCs w:val="24"/>
        </w:rPr>
        <w:tab/>
      </w:r>
      <w:r w:rsidR="00BE56C0">
        <w:rPr>
          <w:rFonts w:ascii="Times New Roman" w:hAnsi="Times New Roman"/>
          <w:szCs w:val="24"/>
        </w:rPr>
        <w:t xml:space="preserve">In 2018, the Commission proposed a </w:t>
      </w:r>
      <w:r w:rsidR="00BE56C0">
        <w:rPr>
          <w:rFonts w:ascii="Times New Roman" w:hAnsi="Times New Roman"/>
        </w:rPr>
        <w:t xml:space="preserve">new </w:t>
      </w:r>
      <w:r w:rsidR="004370EE">
        <w:rPr>
          <w:rFonts w:ascii="Times New Roman" w:hAnsi="Times New Roman"/>
        </w:rPr>
        <w:t>made available to trade (“</w:t>
      </w:r>
      <w:r w:rsidR="00BE56C0">
        <w:rPr>
          <w:rFonts w:ascii="Times New Roman" w:hAnsi="Times New Roman"/>
        </w:rPr>
        <w:t>MAT</w:t>
      </w:r>
      <w:r w:rsidR="004370EE">
        <w:rPr>
          <w:rFonts w:ascii="Times New Roman" w:hAnsi="Times New Roman"/>
        </w:rPr>
        <w:t>”)</w:t>
      </w:r>
      <w:r w:rsidR="00BE56C0">
        <w:rPr>
          <w:rFonts w:ascii="Times New Roman" w:hAnsi="Times New Roman"/>
        </w:rPr>
        <w:t xml:space="preserve"> process that would create a new reporting information collection under this OMB control number 3038-0052. This proposed collection was </w:t>
      </w:r>
      <w:r w:rsidR="004370EE">
        <w:rPr>
          <w:rFonts w:ascii="Times New Roman" w:hAnsi="Times New Roman"/>
        </w:rPr>
        <w:t xml:space="preserve">estimated to </w:t>
      </w:r>
      <w:r w:rsidR="00BE56C0">
        <w:rPr>
          <w:rFonts w:ascii="Times New Roman" w:hAnsi="Times New Roman"/>
        </w:rPr>
        <w:t xml:space="preserve">impose an additional 5 annual burden hours per DCM and </w:t>
      </w:r>
      <w:r w:rsidR="004370EE">
        <w:rPr>
          <w:rFonts w:ascii="Times New Roman" w:hAnsi="Times New Roman"/>
        </w:rPr>
        <w:t>was</w:t>
      </w:r>
      <w:r w:rsidR="00BE56C0">
        <w:rPr>
          <w:rFonts w:ascii="Times New Roman" w:hAnsi="Times New Roman"/>
        </w:rPr>
        <w:t xml:space="preserve"> reflected under </w:t>
      </w:r>
      <w:r w:rsidR="004370EE">
        <w:rPr>
          <w:rFonts w:ascii="Times New Roman" w:hAnsi="Times New Roman"/>
        </w:rPr>
        <w:t>a</w:t>
      </w:r>
      <w:r w:rsidR="00BE56C0">
        <w:rPr>
          <w:rFonts w:ascii="Times New Roman" w:hAnsi="Times New Roman"/>
        </w:rPr>
        <w:t xml:space="preserve"> “Part 36 (MAT Process)” line item in </w:t>
      </w:r>
      <w:r w:rsidR="004370EE">
        <w:rPr>
          <w:rFonts w:ascii="Times New Roman" w:hAnsi="Times New Roman"/>
        </w:rPr>
        <w:t xml:space="preserve">a prior </w:t>
      </w:r>
      <w:r w:rsidR="00BE56C0">
        <w:rPr>
          <w:rFonts w:ascii="Times New Roman" w:hAnsi="Times New Roman"/>
        </w:rPr>
        <w:t>Attachment A.</w:t>
      </w:r>
      <w:r w:rsidR="004370EE">
        <w:rPr>
          <w:rFonts w:ascii="Times New Roman" w:hAnsi="Times New Roman"/>
        </w:rPr>
        <w:t xml:space="preserve"> However, the Commission withdrew that proposed changes to the MAT process. As such, the Part 36 (MAT Process) line item and the associated 5 annual burden hours per DCM have been removed from Attachment A.   </w:t>
      </w:r>
    </w:p>
    <w:p w:rsidRPr="00E023FF" w:rsidR="002D133A" w:rsidP="00E409B1" w:rsidRDefault="00D377B0" w14:paraId="4D0D5BAD" w14:textId="77777777">
      <w:pPr>
        <w:tabs>
          <w:tab w:val="left" w:pos="-720"/>
          <w:tab w:val="left" w:pos="0"/>
        </w:tabs>
        <w:suppressAutoHyphens/>
        <w:ind w:left="720" w:hanging="720"/>
        <w:rPr>
          <w:rFonts w:ascii="Times New Roman" w:hAnsi="Times New Roman"/>
          <w:szCs w:val="24"/>
        </w:rPr>
      </w:pPr>
      <w:r w:rsidRPr="00E023FF">
        <w:rPr>
          <w:rFonts w:ascii="Times New Roman" w:hAnsi="Times New Roman"/>
          <w:szCs w:val="24"/>
        </w:rPr>
        <w:tab/>
      </w:r>
      <w:r w:rsidRPr="00E023FF" w:rsidR="000C12E0">
        <w:rPr>
          <w:rFonts w:ascii="Times New Roman" w:hAnsi="Times New Roman"/>
          <w:szCs w:val="24"/>
        </w:rPr>
        <w:tab/>
      </w:r>
    </w:p>
    <w:p w:rsidRPr="00E023FF" w:rsidR="002D133A" w:rsidRDefault="002D133A" w14:paraId="1482D278" w14:textId="77777777">
      <w:pPr>
        <w:tabs>
          <w:tab w:val="left" w:pos="-720"/>
          <w:tab w:val="left" w:pos="0"/>
        </w:tabs>
        <w:suppressAutoHyphens/>
        <w:ind w:left="720" w:hanging="720"/>
        <w:rPr>
          <w:rFonts w:ascii="Times New Roman" w:hAnsi="Times New Roman"/>
          <w:szCs w:val="24"/>
        </w:rPr>
      </w:pPr>
      <w:r w:rsidRPr="00E023FF">
        <w:rPr>
          <w:rFonts w:ascii="Times New Roman" w:hAnsi="Times New Roman"/>
          <w:szCs w:val="24"/>
        </w:rPr>
        <w:t>16.</w:t>
      </w:r>
      <w:r w:rsidRPr="00E023FF">
        <w:rPr>
          <w:rFonts w:ascii="Times New Roman" w:hAnsi="Times New Roman"/>
          <w:szCs w:val="24"/>
        </w:rPr>
        <w:tab/>
      </w:r>
      <w:r w:rsidRPr="00E023FF">
        <w:rPr>
          <w:rFonts w:ascii="Times New Roman" w:hAnsi="Times New Roman"/>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E023FF">
        <w:rPr>
          <w:rFonts w:ascii="Times New Roman" w:hAnsi="Times New Roman"/>
          <w:szCs w:val="24"/>
        </w:rPr>
        <w:t>.</w:t>
      </w:r>
    </w:p>
    <w:p w:rsidRPr="00E023FF" w:rsidR="002D133A" w:rsidRDefault="002D133A" w14:paraId="79D0F82B" w14:textId="77777777">
      <w:pPr>
        <w:tabs>
          <w:tab w:val="left" w:pos="-720"/>
        </w:tabs>
        <w:suppressAutoHyphens/>
        <w:rPr>
          <w:rFonts w:ascii="Times New Roman" w:hAnsi="Times New Roman"/>
          <w:szCs w:val="24"/>
        </w:rPr>
      </w:pPr>
    </w:p>
    <w:p w:rsidRPr="00E023FF" w:rsidR="008E6932" w:rsidRDefault="008E6932" w14:paraId="60CD7AC3" w14:textId="77777777">
      <w:pPr>
        <w:tabs>
          <w:tab w:val="left" w:pos="-720"/>
        </w:tabs>
        <w:suppressAutoHyphens/>
        <w:rPr>
          <w:rFonts w:ascii="Times New Roman" w:hAnsi="Times New Roman"/>
          <w:szCs w:val="24"/>
        </w:rPr>
      </w:pPr>
      <w:r w:rsidRPr="00E023FF">
        <w:rPr>
          <w:rFonts w:ascii="Times New Roman" w:hAnsi="Times New Roman"/>
          <w:szCs w:val="24"/>
        </w:rPr>
        <w:tab/>
        <w:t>This question does not apply.</w:t>
      </w:r>
    </w:p>
    <w:p w:rsidRPr="00E023FF" w:rsidR="008E6932" w:rsidRDefault="008E6932" w14:paraId="45EB6F78" w14:textId="77777777">
      <w:pPr>
        <w:tabs>
          <w:tab w:val="left" w:pos="-720"/>
        </w:tabs>
        <w:suppressAutoHyphens/>
        <w:rPr>
          <w:rFonts w:ascii="Times New Roman" w:hAnsi="Times New Roman"/>
          <w:szCs w:val="24"/>
        </w:rPr>
      </w:pPr>
    </w:p>
    <w:p w:rsidRPr="00E023FF" w:rsidR="002D133A" w:rsidRDefault="002D133A" w14:paraId="74202642" w14:textId="77777777">
      <w:pPr>
        <w:tabs>
          <w:tab w:val="left" w:pos="-720"/>
          <w:tab w:val="left" w:pos="0"/>
        </w:tabs>
        <w:suppressAutoHyphens/>
        <w:ind w:left="720" w:hanging="720"/>
        <w:rPr>
          <w:rFonts w:ascii="Times New Roman" w:hAnsi="Times New Roman"/>
          <w:szCs w:val="24"/>
        </w:rPr>
      </w:pPr>
      <w:r w:rsidRPr="00E023FF">
        <w:rPr>
          <w:rFonts w:ascii="Times New Roman" w:hAnsi="Times New Roman"/>
          <w:szCs w:val="24"/>
        </w:rPr>
        <w:t>17.</w:t>
      </w:r>
      <w:r w:rsidRPr="00E023FF">
        <w:rPr>
          <w:rFonts w:ascii="Times New Roman" w:hAnsi="Times New Roman"/>
          <w:szCs w:val="24"/>
        </w:rPr>
        <w:tab/>
      </w:r>
      <w:r w:rsidRPr="00E023FF">
        <w:rPr>
          <w:rFonts w:ascii="Times New Roman" w:hAnsi="Times New Roman"/>
          <w:szCs w:val="24"/>
          <w:u w:val="single"/>
        </w:rPr>
        <w:t>If seeking approval to not display the expiration date for OMB approval of the information collection, explain the reasons that display would be inappropriate</w:t>
      </w:r>
      <w:r w:rsidRPr="00E023FF">
        <w:rPr>
          <w:rFonts w:ascii="Times New Roman" w:hAnsi="Times New Roman"/>
          <w:szCs w:val="24"/>
        </w:rPr>
        <w:t>.</w:t>
      </w:r>
    </w:p>
    <w:p w:rsidRPr="00E023FF" w:rsidR="008E6932" w:rsidRDefault="008E6932" w14:paraId="10689FC0" w14:textId="77777777">
      <w:pPr>
        <w:tabs>
          <w:tab w:val="left" w:pos="-720"/>
          <w:tab w:val="left" w:pos="0"/>
        </w:tabs>
        <w:suppressAutoHyphens/>
        <w:ind w:left="720" w:hanging="720"/>
        <w:rPr>
          <w:rFonts w:ascii="Times New Roman" w:hAnsi="Times New Roman"/>
          <w:szCs w:val="24"/>
        </w:rPr>
      </w:pPr>
    </w:p>
    <w:p w:rsidRPr="00E023FF" w:rsidR="008E6932" w:rsidRDefault="008E6932" w14:paraId="18C54046" w14:textId="77777777">
      <w:pPr>
        <w:tabs>
          <w:tab w:val="left" w:pos="-720"/>
          <w:tab w:val="left" w:pos="0"/>
        </w:tabs>
        <w:suppressAutoHyphens/>
        <w:ind w:left="720" w:hanging="720"/>
        <w:rPr>
          <w:rFonts w:ascii="Times New Roman" w:hAnsi="Times New Roman"/>
          <w:szCs w:val="24"/>
        </w:rPr>
      </w:pPr>
      <w:r w:rsidRPr="00E023FF">
        <w:rPr>
          <w:rFonts w:ascii="Times New Roman" w:hAnsi="Times New Roman"/>
          <w:szCs w:val="24"/>
        </w:rPr>
        <w:tab/>
        <w:t>This question does not apply.</w:t>
      </w:r>
    </w:p>
    <w:p w:rsidRPr="00E023FF" w:rsidR="002D133A" w:rsidRDefault="002D133A" w14:paraId="623F87C2" w14:textId="77777777">
      <w:pPr>
        <w:tabs>
          <w:tab w:val="left" w:pos="-720"/>
        </w:tabs>
        <w:suppressAutoHyphens/>
        <w:rPr>
          <w:rFonts w:ascii="Times New Roman" w:hAnsi="Times New Roman"/>
          <w:szCs w:val="24"/>
        </w:rPr>
      </w:pPr>
    </w:p>
    <w:p w:rsidRPr="00E023FF" w:rsidR="002D133A" w:rsidRDefault="002D133A" w14:paraId="3A47FE82" w14:textId="77777777">
      <w:pPr>
        <w:tabs>
          <w:tab w:val="left" w:pos="-720"/>
          <w:tab w:val="left" w:pos="0"/>
        </w:tabs>
        <w:suppressAutoHyphens/>
        <w:ind w:left="720" w:hanging="720"/>
        <w:rPr>
          <w:rFonts w:ascii="Times New Roman" w:hAnsi="Times New Roman"/>
          <w:szCs w:val="24"/>
        </w:rPr>
      </w:pPr>
      <w:r w:rsidRPr="00E023FF">
        <w:rPr>
          <w:rFonts w:ascii="Times New Roman" w:hAnsi="Times New Roman"/>
          <w:szCs w:val="24"/>
        </w:rPr>
        <w:t>18.</w:t>
      </w:r>
      <w:r w:rsidRPr="00E023FF">
        <w:rPr>
          <w:rFonts w:ascii="Times New Roman" w:hAnsi="Times New Roman"/>
          <w:szCs w:val="24"/>
        </w:rPr>
        <w:tab/>
      </w:r>
      <w:r w:rsidRPr="00E023FF">
        <w:rPr>
          <w:rFonts w:ascii="Times New Roman" w:hAnsi="Times New Roman"/>
          <w:szCs w:val="24"/>
          <w:u w:val="single"/>
        </w:rPr>
        <w:t>Explain each exception to the certification statement identified in Item 19, "Certification for Paperwork Reduction Act Submissions," of OMB Form 83-I</w:t>
      </w:r>
      <w:r w:rsidRPr="00E023FF">
        <w:rPr>
          <w:rFonts w:ascii="Times New Roman" w:hAnsi="Times New Roman"/>
          <w:szCs w:val="24"/>
        </w:rPr>
        <w:t>.</w:t>
      </w:r>
    </w:p>
    <w:p w:rsidRPr="00E023FF" w:rsidR="008E6932" w:rsidRDefault="008E6932" w14:paraId="76FBA3AE" w14:textId="77777777">
      <w:pPr>
        <w:tabs>
          <w:tab w:val="left" w:pos="-720"/>
          <w:tab w:val="left" w:pos="0"/>
        </w:tabs>
        <w:suppressAutoHyphens/>
        <w:ind w:left="720" w:hanging="720"/>
        <w:rPr>
          <w:rFonts w:ascii="Times New Roman" w:hAnsi="Times New Roman"/>
          <w:szCs w:val="24"/>
        </w:rPr>
      </w:pPr>
    </w:p>
    <w:p w:rsidRPr="00E023FF" w:rsidR="00DC1F75" w:rsidP="00DC1F75" w:rsidRDefault="00DC1F75" w14:paraId="2EC33DFA" w14:textId="77777777">
      <w:pPr>
        <w:tabs>
          <w:tab w:val="left" w:pos="-720"/>
          <w:tab w:val="left" w:pos="0"/>
        </w:tabs>
        <w:suppressAutoHyphens/>
        <w:ind w:left="720" w:hanging="720"/>
        <w:rPr>
          <w:rFonts w:ascii="Times New Roman" w:hAnsi="Times New Roman"/>
          <w:szCs w:val="24"/>
        </w:rPr>
        <w:sectPr w:rsidRPr="00E023FF" w:rsidR="00DC1F75" w:rsidSect="00A37A5F">
          <w:headerReference w:type="default" r:id="rId11"/>
          <w:footerReference w:type="default" r:id="rId12"/>
          <w:endnotePr>
            <w:numFmt w:val="decimal"/>
          </w:endnotePr>
          <w:type w:val="continuous"/>
          <w:pgSz w:w="12240" w:h="15840"/>
          <w:pgMar w:top="1440" w:right="1440" w:bottom="1440" w:left="1440" w:header="1350" w:footer="1440" w:gutter="0"/>
          <w:pgNumType w:start="1"/>
          <w:cols w:space="720"/>
          <w:noEndnote/>
        </w:sectPr>
      </w:pPr>
      <w:r w:rsidRPr="00E023FF">
        <w:rPr>
          <w:rFonts w:ascii="Times New Roman" w:hAnsi="Times New Roman"/>
          <w:szCs w:val="24"/>
        </w:rPr>
        <w:tab/>
        <w:t>No exceptions exist.</w:t>
      </w:r>
    </w:p>
    <w:p w:rsidRPr="002451D0" w:rsidR="00CB452E" w:rsidP="004D4DE2" w:rsidRDefault="00CB452E" w14:paraId="132D6BBA" w14:textId="77777777">
      <w:pPr>
        <w:tabs>
          <w:tab w:val="left" w:pos="-720"/>
        </w:tabs>
        <w:suppressAutoHyphens/>
        <w:jc w:val="center"/>
        <w:rPr>
          <w:rFonts w:ascii="Times New Roman" w:hAnsi="Times New Roman"/>
          <w:b/>
        </w:rPr>
      </w:pPr>
    </w:p>
    <w:p w:rsidRPr="007053F2" w:rsidR="007053F2" w:rsidP="007053F2" w:rsidRDefault="007053F2" w14:paraId="508A721F" w14:textId="77777777">
      <w:pPr>
        <w:tabs>
          <w:tab w:val="center" w:pos="4680"/>
        </w:tabs>
        <w:suppressAutoHyphens/>
        <w:jc w:val="center"/>
        <w:rPr>
          <w:rFonts w:ascii="Times New Roman" w:hAnsi="Times New Roman"/>
          <w:szCs w:val="24"/>
        </w:rPr>
      </w:pPr>
      <w:r w:rsidRPr="007053F2">
        <w:rPr>
          <w:rFonts w:ascii="Times New Roman" w:hAnsi="Times New Roman"/>
          <w:szCs w:val="24"/>
        </w:rPr>
        <w:t>Core Principles and Other Requirements for Designated Contract Markets</w:t>
      </w:r>
    </w:p>
    <w:p w:rsidRPr="00E023FF" w:rsidR="007053F2" w:rsidP="007053F2" w:rsidRDefault="007053F2" w14:paraId="6A48E7E6" w14:textId="77777777">
      <w:pPr>
        <w:tabs>
          <w:tab w:val="center" w:pos="4680"/>
        </w:tabs>
        <w:suppressAutoHyphens/>
        <w:jc w:val="center"/>
        <w:rPr>
          <w:rFonts w:ascii="Times New Roman" w:hAnsi="Times New Roman"/>
          <w:szCs w:val="24"/>
        </w:rPr>
      </w:pPr>
      <w:r w:rsidRPr="00E023FF">
        <w:rPr>
          <w:rFonts w:ascii="Times New Roman" w:hAnsi="Times New Roman"/>
          <w:szCs w:val="24"/>
        </w:rPr>
        <w:t>OMB CONTROL NUMBER 3038-0052</w:t>
      </w:r>
    </w:p>
    <w:p w:rsidR="00581FF6" w:rsidP="00581FF6" w:rsidRDefault="00581FF6" w14:paraId="09F55E31" w14:textId="77777777">
      <w:pPr>
        <w:tabs>
          <w:tab w:val="left" w:pos="-720"/>
        </w:tabs>
        <w:suppressAutoHyphens/>
        <w:rPr>
          <w:rFonts w:ascii="Times New Roman" w:hAnsi="Times New Roman"/>
        </w:rPr>
      </w:pPr>
    </w:p>
    <w:p w:rsidR="00581FF6" w:rsidP="00333BB7" w:rsidRDefault="00581FF6" w14:paraId="341097EF" w14:textId="1E126E68">
      <w:pPr>
        <w:tabs>
          <w:tab w:val="left" w:pos="-720"/>
        </w:tabs>
        <w:suppressAutoHyphens/>
        <w:rPr>
          <w:rFonts w:ascii="Times New Roman" w:hAnsi="Times New Roman"/>
        </w:rPr>
      </w:pPr>
      <w:r>
        <w:rPr>
          <w:rFonts w:ascii="Times New Roman" w:hAnsi="Times New Roman"/>
        </w:rPr>
        <w:tab/>
        <w:t>Attachment A includes tables listing the individual information collection estimates and related burdens for both respondent DCMs and applicants for DCM registration.</w:t>
      </w:r>
    </w:p>
    <w:p w:rsidR="00581FF6" w:rsidP="00581FF6" w:rsidRDefault="00581FF6" w14:paraId="7BA1770D" w14:textId="77777777">
      <w:pPr>
        <w:tabs>
          <w:tab w:val="left" w:pos="-720"/>
          <w:tab w:val="left" w:pos="0"/>
        </w:tabs>
        <w:suppressAutoHyphens/>
        <w:rPr>
          <w:rFonts w:ascii="Times New Roman" w:hAnsi="Times New Roman"/>
        </w:rPr>
      </w:pPr>
    </w:p>
    <w:p w:rsidRPr="000B55B6" w:rsidR="00581FF6" w:rsidP="00581FF6" w:rsidRDefault="00581FF6" w14:paraId="7C6115A5" w14:textId="77777777">
      <w:pPr>
        <w:keepNext/>
        <w:keepLines/>
        <w:jc w:val="center"/>
        <w:rPr>
          <w:rFonts w:asciiTheme="minorHAnsi" w:hAnsiTheme="minorHAnsi" w:cstheme="minorHAnsi"/>
          <w:b/>
          <w:sz w:val="20"/>
          <w:u w:val="single"/>
        </w:rPr>
      </w:pPr>
      <w:r w:rsidRPr="000B55B6">
        <w:rPr>
          <w:rFonts w:asciiTheme="minorHAnsi" w:hAnsiTheme="minorHAnsi" w:cstheme="minorHAnsi"/>
          <w:b/>
          <w:sz w:val="20"/>
          <w:u w:val="single"/>
        </w:rPr>
        <w:t>Burdens: Registered DCMs</w:t>
      </w:r>
    </w:p>
    <w:p w:rsidRPr="000B55B6" w:rsidR="00581FF6" w:rsidP="00581FF6" w:rsidRDefault="00581FF6" w14:paraId="338858BF" w14:textId="7AC30673">
      <w:pPr>
        <w:keepNext/>
        <w:keepLines/>
        <w:jc w:val="center"/>
        <w:rPr>
          <w:rFonts w:asciiTheme="minorHAnsi" w:hAnsiTheme="minorHAnsi" w:cstheme="minorHAnsi"/>
          <w:b/>
          <w:sz w:val="20"/>
        </w:rPr>
      </w:pPr>
      <w:r w:rsidRPr="000B55B6">
        <w:rPr>
          <w:rFonts w:asciiTheme="minorHAnsi" w:hAnsiTheme="minorHAnsi" w:cstheme="minorHAnsi"/>
          <w:b/>
          <w:sz w:val="20"/>
        </w:rPr>
        <w:t xml:space="preserve">Recordkeeping Burden Hours and Costs </w:t>
      </w:r>
    </w:p>
    <w:p w:rsidRPr="000B55B6" w:rsidR="000B55B6" w:rsidP="00581FF6" w:rsidRDefault="000B55B6" w14:paraId="26DB6A0E" w14:textId="77777777">
      <w:pPr>
        <w:keepNext/>
        <w:keepLines/>
        <w:jc w:val="center"/>
        <w:rPr>
          <w:rFonts w:asciiTheme="minorHAnsi" w:hAnsiTheme="minorHAnsi" w:cstheme="minorHAnsi"/>
          <w:b/>
          <w:sz w:val="20"/>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351"/>
        <w:gridCol w:w="1205"/>
        <w:gridCol w:w="1132"/>
        <w:gridCol w:w="981"/>
        <w:gridCol w:w="1132"/>
        <w:gridCol w:w="981"/>
        <w:gridCol w:w="1132"/>
        <w:gridCol w:w="1018"/>
        <w:gridCol w:w="840"/>
        <w:gridCol w:w="1018"/>
      </w:tblGrid>
      <w:tr w:rsidRPr="000B55B6" w:rsidR="00FA2D65" w:rsidTr="00C90C55" w14:paraId="0F3CE060" w14:textId="77777777">
        <w:trPr>
          <w:trHeight w:val="1427"/>
        </w:trPr>
        <w:tc>
          <w:tcPr>
            <w:tcW w:w="590"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10C17054"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1.</w:t>
            </w:r>
          </w:p>
          <w:p w:rsidRPr="000B55B6" w:rsidR="00581FF6" w:rsidRDefault="00581FF6" w14:paraId="67FF114B"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Regulation(s)</w:t>
            </w:r>
          </w:p>
        </w:tc>
        <w:tc>
          <w:tcPr>
            <w:tcW w:w="558" w:type="pct"/>
            <w:tcBorders>
              <w:top w:val="single" w:color="000000" w:sz="4" w:space="0"/>
              <w:left w:val="single" w:color="000000" w:sz="4" w:space="0"/>
              <w:bottom w:val="single" w:color="000000" w:sz="4" w:space="0"/>
              <w:right w:val="single" w:color="000000" w:sz="4" w:space="0"/>
            </w:tcBorders>
          </w:tcPr>
          <w:p w:rsidRPr="000B55B6" w:rsidR="00581FF6" w:rsidRDefault="00581FF6" w14:paraId="3F474EBA"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2.</w:t>
            </w:r>
          </w:p>
          <w:p w:rsidRPr="000B55B6" w:rsidR="00581FF6" w:rsidRDefault="00581FF6" w14:paraId="2DA3FF4D"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 xml:space="preserve">Estimated Number of Respondents </w:t>
            </w:r>
          </w:p>
          <w:p w:rsidRPr="000B55B6" w:rsidR="00581FF6" w:rsidRDefault="00581FF6" w14:paraId="0785FCA0" w14:textId="77777777">
            <w:pPr>
              <w:tabs>
                <w:tab w:val="left" w:pos="-720"/>
                <w:tab w:val="left" w:pos="0"/>
              </w:tabs>
              <w:suppressAutoHyphens/>
              <w:jc w:val="center"/>
              <w:rPr>
                <w:rFonts w:asciiTheme="minorHAnsi" w:hAnsiTheme="minorHAnsi" w:cstheme="minorHAnsi"/>
                <w:b/>
                <w:sz w:val="20"/>
              </w:rPr>
            </w:pPr>
          </w:p>
        </w:tc>
        <w:tc>
          <w:tcPr>
            <w:tcW w:w="525"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3A393CD3"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3.</w:t>
            </w:r>
          </w:p>
          <w:p w:rsidRPr="000B55B6" w:rsidR="00581FF6" w:rsidRDefault="00581FF6" w14:paraId="40DF350E"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Estimated Number of Responses</w:t>
            </w:r>
          </w:p>
          <w:p w:rsidRPr="000B55B6" w:rsidR="00581FF6" w:rsidRDefault="00581FF6" w14:paraId="4E034216"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by Each Respondent</w:t>
            </w:r>
          </w:p>
        </w:tc>
        <w:tc>
          <w:tcPr>
            <w:tcW w:w="464"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6E0B2453"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4.</w:t>
            </w:r>
          </w:p>
          <w:p w:rsidRPr="000B55B6" w:rsidR="00581FF6" w:rsidRDefault="00581FF6" w14:paraId="3C7D784B"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Estimated Average Number of Burden Hours per Response</w:t>
            </w:r>
          </w:p>
        </w:tc>
        <w:tc>
          <w:tcPr>
            <w:tcW w:w="525"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347C9DB4"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5.</w:t>
            </w:r>
          </w:p>
          <w:p w:rsidRPr="000B55B6" w:rsidR="00581FF6" w:rsidRDefault="00581FF6" w14:paraId="2BBACEAB" w14:textId="77777777">
            <w:pPr>
              <w:tabs>
                <w:tab w:val="left" w:pos="-720"/>
                <w:tab w:val="left" w:pos="0"/>
              </w:tabs>
              <w:suppressAutoHyphens/>
              <w:jc w:val="center"/>
              <w:rPr>
                <w:rFonts w:asciiTheme="minorHAnsi" w:hAnsiTheme="minorHAnsi" w:cstheme="minorHAnsi"/>
                <w:b/>
                <w:sz w:val="20"/>
              </w:rPr>
            </w:pPr>
            <w:proofErr w:type="gramStart"/>
            <w:r w:rsidRPr="000B55B6">
              <w:rPr>
                <w:rFonts w:asciiTheme="minorHAnsi" w:hAnsiTheme="minorHAnsi" w:cstheme="minorHAnsi"/>
                <w:b/>
                <w:sz w:val="20"/>
              </w:rPr>
              <w:t>Annual  Number</w:t>
            </w:r>
            <w:proofErr w:type="gramEnd"/>
            <w:r w:rsidRPr="000B55B6">
              <w:rPr>
                <w:rFonts w:asciiTheme="minorHAnsi" w:hAnsiTheme="minorHAnsi" w:cstheme="minorHAnsi"/>
                <w:b/>
                <w:sz w:val="20"/>
              </w:rPr>
              <w:t xml:space="preserve"> of Burden Hours per Respondent</w:t>
            </w:r>
          </w:p>
          <w:p w:rsidRPr="000B55B6" w:rsidR="00581FF6" w:rsidRDefault="00581FF6" w14:paraId="38974C84"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(3 x 4)</w:t>
            </w:r>
          </w:p>
        </w:tc>
        <w:tc>
          <w:tcPr>
            <w:tcW w:w="464" w:type="pct"/>
            <w:tcBorders>
              <w:top w:val="single" w:color="000000" w:sz="4" w:space="0"/>
              <w:left w:val="single" w:color="000000" w:sz="4" w:space="0"/>
              <w:bottom w:val="single" w:color="000000" w:sz="4" w:space="0"/>
              <w:right w:val="single" w:color="000000" w:sz="4" w:space="0"/>
            </w:tcBorders>
          </w:tcPr>
          <w:p w:rsidRPr="000B55B6" w:rsidR="00581FF6" w:rsidRDefault="00581FF6" w14:paraId="1F5F27FE"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 xml:space="preserve">6. </w:t>
            </w:r>
          </w:p>
          <w:p w:rsidRPr="000B55B6" w:rsidR="00581FF6" w:rsidRDefault="00581FF6" w14:paraId="208DEC0E"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Estimated Average Burden Hour Cost</w:t>
            </w:r>
          </w:p>
          <w:p w:rsidRPr="000B55B6" w:rsidR="00581FF6" w:rsidRDefault="00581FF6" w14:paraId="7FA59213" w14:textId="77777777">
            <w:pPr>
              <w:tabs>
                <w:tab w:val="left" w:pos="-720"/>
                <w:tab w:val="left" w:pos="0"/>
              </w:tabs>
              <w:suppressAutoHyphens/>
              <w:jc w:val="center"/>
              <w:rPr>
                <w:rFonts w:asciiTheme="minorHAnsi" w:hAnsiTheme="minorHAnsi" w:cstheme="minorHAnsi"/>
                <w:b/>
                <w:sz w:val="20"/>
              </w:rPr>
            </w:pPr>
          </w:p>
        </w:tc>
        <w:tc>
          <w:tcPr>
            <w:tcW w:w="525"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0DE1DD90" w14:textId="77777777">
            <w:pPr>
              <w:jc w:val="center"/>
              <w:rPr>
                <w:rFonts w:asciiTheme="minorHAnsi" w:hAnsiTheme="minorHAnsi" w:cstheme="minorHAnsi"/>
                <w:b/>
                <w:sz w:val="20"/>
              </w:rPr>
            </w:pPr>
            <w:r w:rsidRPr="000B55B6">
              <w:rPr>
                <w:rFonts w:asciiTheme="minorHAnsi" w:hAnsiTheme="minorHAnsi" w:cstheme="minorHAnsi"/>
                <w:b/>
                <w:sz w:val="20"/>
              </w:rPr>
              <w:t>7.</w:t>
            </w:r>
          </w:p>
          <w:p w:rsidRPr="000B55B6" w:rsidR="00581FF6" w:rsidRDefault="00581FF6" w14:paraId="2CFD9E21" w14:textId="77777777">
            <w:pPr>
              <w:jc w:val="center"/>
              <w:rPr>
                <w:rFonts w:asciiTheme="minorHAnsi" w:hAnsiTheme="minorHAnsi" w:cstheme="minorHAnsi"/>
                <w:b/>
                <w:sz w:val="20"/>
              </w:rPr>
            </w:pPr>
            <w:r w:rsidRPr="000B55B6">
              <w:rPr>
                <w:rFonts w:asciiTheme="minorHAnsi" w:hAnsiTheme="minorHAnsi" w:cstheme="minorHAnsi"/>
                <w:b/>
                <w:sz w:val="20"/>
              </w:rPr>
              <w:t>Total Average Hour Burden Cost Per Respondent</w:t>
            </w:r>
          </w:p>
          <w:p w:rsidRPr="000B55B6" w:rsidR="00581FF6" w:rsidRDefault="00581FF6" w14:paraId="18A8100A" w14:textId="77777777">
            <w:pPr>
              <w:jc w:val="center"/>
              <w:rPr>
                <w:rFonts w:asciiTheme="minorHAnsi" w:hAnsiTheme="minorHAnsi" w:cstheme="minorHAnsi"/>
                <w:b/>
                <w:sz w:val="20"/>
              </w:rPr>
            </w:pPr>
            <w:r w:rsidRPr="000B55B6">
              <w:rPr>
                <w:rFonts w:asciiTheme="minorHAnsi" w:hAnsiTheme="minorHAnsi" w:cstheme="minorHAnsi"/>
                <w:b/>
                <w:sz w:val="20"/>
              </w:rPr>
              <w:t>(5 x 6)</w:t>
            </w:r>
          </w:p>
        </w:tc>
        <w:tc>
          <w:tcPr>
            <w:tcW w:w="469"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027BFE04"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8.</w:t>
            </w:r>
          </w:p>
          <w:p w:rsidRPr="000B55B6" w:rsidR="00581FF6" w:rsidRDefault="00581FF6" w14:paraId="69CCA3A3"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Total Annual</w:t>
            </w:r>
          </w:p>
          <w:p w:rsidRPr="000B55B6" w:rsidR="00581FF6" w:rsidRDefault="00581FF6" w14:paraId="6AAE894B"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Responses</w:t>
            </w:r>
          </w:p>
          <w:p w:rsidRPr="000B55B6" w:rsidR="00581FF6" w:rsidRDefault="00581FF6" w14:paraId="44D5F45D"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(2 x 3)</w:t>
            </w:r>
          </w:p>
        </w:tc>
        <w:tc>
          <w:tcPr>
            <w:tcW w:w="399"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5F0C5FC3"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9.</w:t>
            </w:r>
          </w:p>
          <w:p w:rsidRPr="000B55B6" w:rsidR="00581FF6" w:rsidRDefault="00581FF6" w14:paraId="78C29CB8"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 xml:space="preserve">Total </w:t>
            </w:r>
            <w:proofErr w:type="gramStart"/>
            <w:r w:rsidRPr="000B55B6">
              <w:rPr>
                <w:rFonts w:asciiTheme="minorHAnsi" w:hAnsiTheme="minorHAnsi" w:cstheme="minorHAnsi"/>
                <w:b/>
                <w:sz w:val="20"/>
              </w:rPr>
              <w:t>Annual  Number</w:t>
            </w:r>
            <w:proofErr w:type="gramEnd"/>
            <w:r w:rsidRPr="000B55B6">
              <w:rPr>
                <w:rFonts w:asciiTheme="minorHAnsi" w:hAnsiTheme="minorHAnsi" w:cstheme="minorHAnsi"/>
                <w:b/>
                <w:sz w:val="20"/>
              </w:rPr>
              <w:t xml:space="preserve"> of Burden Hours</w:t>
            </w:r>
          </w:p>
          <w:p w:rsidRPr="000B55B6" w:rsidR="00581FF6" w:rsidRDefault="00581FF6" w14:paraId="5D0339BA"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(2 x 5)</w:t>
            </w:r>
          </w:p>
        </w:tc>
        <w:tc>
          <w:tcPr>
            <w:tcW w:w="478"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5FCA6A36"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10.</w:t>
            </w:r>
          </w:p>
          <w:p w:rsidRPr="000B55B6" w:rsidR="00581FF6" w:rsidRDefault="00581FF6" w14:paraId="73598B0E"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Total Annual Burden Hour Cost of All Responses</w:t>
            </w:r>
          </w:p>
          <w:p w:rsidRPr="000B55B6" w:rsidR="00581FF6" w:rsidRDefault="00581FF6" w14:paraId="4D389870"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(2 x 7)</w:t>
            </w:r>
          </w:p>
        </w:tc>
      </w:tr>
      <w:tr w:rsidRPr="000B55B6" w:rsidR="00FA2D65" w:rsidTr="00C90C55" w14:paraId="607E8260" w14:textId="77777777">
        <w:trPr>
          <w:trHeight w:val="1427"/>
        </w:trPr>
        <w:tc>
          <w:tcPr>
            <w:tcW w:w="590"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2D7874A1" w14:textId="77777777">
            <w:pPr>
              <w:tabs>
                <w:tab w:val="left" w:pos="-720"/>
                <w:tab w:val="left" w:pos="0"/>
              </w:tabs>
              <w:suppressAutoHyphens/>
              <w:jc w:val="center"/>
              <w:rPr>
                <w:rFonts w:asciiTheme="minorHAnsi" w:hAnsiTheme="minorHAnsi" w:cstheme="minorHAnsi"/>
                <w:b/>
                <w:sz w:val="20"/>
              </w:rPr>
            </w:pPr>
            <w:bookmarkStart w:name="_Hlk99633984" w:id="4"/>
            <w:r w:rsidRPr="000B55B6">
              <w:rPr>
                <w:rFonts w:asciiTheme="minorHAnsi" w:hAnsiTheme="minorHAnsi" w:cstheme="minorHAnsi"/>
                <w:b/>
                <w:sz w:val="20"/>
              </w:rPr>
              <w:t>Regulatory &amp; Core Principle Compliance</w:t>
            </w:r>
          </w:p>
          <w:p w:rsidRPr="000B55B6" w:rsidR="00581FF6" w:rsidRDefault="00581FF6" w14:paraId="011F0F59" w14:textId="389B0EB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Part 38 (Subparts A-</w:t>
            </w:r>
            <w:r w:rsidRPr="000B55B6">
              <w:rPr>
                <w:rFonts w:asciiTheme="minorHAnsi" w:hAnsiTheme="minorHAnsi" w:cstheme="minorHAnsi"/>
                <w:b/>
                <w:sz w:val="20"/>
              </w:rPr>
              <w:lastRenderedPageBreak/>
              <w:t>W) and related Appendices</w:t>
            </w:r>
            <w:bookmarkEnd w:id="4"/>
          </w:p>
        </w:tc>
        <w:tc>
          <w:tcPr>
            <w:tcW w:w="558" w:type="pct"/>
            <w:tcBorders>
              <w:top w:val="single" w:color="000000" w:sz="4" w:space="0"/>
              <w:left w:val="single" w:color="000000" w:sz="4" w:space="0"/>
              <w:bottom w:val="single" w:color="000000" w:sz="4" w:space="0"/>
              <w:right w:val="single" w:color="000000" w:sz="4" w:space="0"/>
            </w:tcBorders>
          </w:tcPr>
          <w:p w:rsidRPr="000B55B6" w:rsidR="00581FF6" w:rsidRDefault="00581FF6" w14:paraId="1F9C680E" w14:textId="77777777">
            <w:pPr>
              <w:tabs>
                <w:tab w:val="left" w:pos="-720"/>
                <w:tab w:val="left" w:pos="0"/>
              </w:tabs>
              <w:suppressAutoHyphens/>
              <w:jc w:val="center"/>
              <w:rPr>
                <w:rFonts w:asciiTheme="minorHAnsi" w:hAnsiTheme="minorHAnsi" w:cstheme="minorHAnsi"/>
                <w:b/>
                <w:sz w:val="20"/>
              </w:rPr>
            </w:pPr>
          </w:p>
          <w:p w:rsidRPr="000B55B6" w:rsidR="00581FF6" w:rsidRDefault="00581FF6" w14:paraId="4E50A6B2" w14:textId="770E6C62">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1</w:t>
            </w:r>
            <w:r w:rsidRPr="000B55B6" w:rsidR="00EB34A6">
              <w:rPr>
                <w:rFonts w:asciiTheme="minorHAnsi" w:hAnsiTheme="minorHAnsi" w:cstheme="minorHAnsi"/>
                <w:b/>
                <w:sz w:val="20"/>
              </w:rPr>
              <w:t>6</w:t>
            </w:r>
            <w:r w:rsidRPr="000B55B6">
              <w:rPr>
                <w:rStyle w:val="FootnoteReference"/>
                <w:rFonts w:asciiTheme="minorHAnsi" w:hAnsiTheme="minorHAnsi" w:cstheme="minorHAnsi"/>
                <w:b/>
                <w:sz w:val="20"/>
              </w:rPr>
              <w:footnoteReference w:id="11"/>
            </w:r>
          </w:p>
        </w:tc>
        <w:tc>
          <w:tcPr>
            <w:tcW w:w="525" w:type="pct"/>
            <w:tcBorders>
              <w:top w:val="single" w:color="000000" w:sz="4" w:space="0"/>
              <w:left w:val="single" w:color="000000" w:sz="4" w:space="0"/>
              <w:bottom w:val="single" w:color="000000" w:sz="4" w:space="0"/>
              <w:right w:val="single" w:color="000000" w:sz="4" w:space="0"/>
            </w:tcBorders>
          </w:tcPr>
          <w:p w:rsidRPr="000B55B6" w:rsidR="00581FF6" w:rsidRDefault="00581FF6" w14:paraId="0717D631" w14:textId="77777777">
            <w:pPr>
              <w:tabs>
                <w:tab w:val="left" w:pos="-720"/>
                <w:tab w:val="left" w:pos="0"/>
              </w:tabs>
              <w:suppressAutoHyphens/>
              <w:jc w:val="center"/>
              <w:rPr>
                <w:rFonts w:asciiTheme="minorHAnsi" w:hAnsiTheme="minorHAnsi" w:cstheme="minorHAnsi"/>
                <w:b/>
                <w:sz w:val="20"/>
              </w:rPr>
            </w:pPr>
          </w:p>
          <w:p w:rsidRPr="000B55B6" w:rsidR="00581FF6" w:rsidRDefault="00581FF6" w14:paraId="3880D797"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251 (per trade day)</w:t>
            </w:r>
            <w:r w:rsidRPr="000B55B6">
              <w:rPr>
                <w:rStyle w:val="FootnoteReference"/>
                <w:rFonts w:asciiTheme="minorHAnsi" w:hAnsiTheme="minorHAnsi" w:cstheme="minorHAnsi"/>
                <w:b/>
                <w:sz w:val="20"/>
              </w:rPr>
              <w:footnoteReference w:id="12"/>
            </w:r>
          </w:p>
        </w:tc>
        <w:tc>
          <w:tcPr>
            <w:tcW w:w="464" w:type="pct"/>
            <w:tcBorders>
              <w:top w:val="single" w:color="000000" w:sz="4" w:space="0"/>
              <w:left w:val="single" w:color="000000" w:sz="4" w:space="0"/>
              <w:bottom w:val="single" w:color="000000" w:sz="4" w:space="0"/>
              <w:right w:val="single" w:color="000000" w:sz="4" w:space="0"/>
            </w:tcBorders>
          </w:tcPr>
          <w:p w:rsidRPr="000B55B6" w:rsidR="00581FF6" w:rsidRDefault="00581FF6" w14:paraId="41DB81C4" w14:textId="77777777">
            <w:pPr>
              <w:tabs>
                <w:tab w:val="left" w:pos="-720"/>
                <w:tab w:val="left" w:pos="0"/>
              </w:tabs>
              <w:suppressAutoHyphens/>
              <w:jc w:val="center"/>
              <w:rPr>
                <w:rFonts w:asciiTheme="minorHAnsi" w:hAnsiTheme="minorHAnsi" w:cstheme="minorHAnsi"/>
                <w:b/>
                <w:sz w:val="20"/>
              </w:rPr>
            </w:pPr>
          </w:p>
          <w:p w:rsidRPr="000B55B6" w:rsidR="00581FF6" w:rsidRDefault="00581FF6" w14:paraId="1D0E01BD" w14:textId="77777777">
            <w:pPr>
              <w:tabs>
                <w:tab w:val="left" w:pos="-720"/>
                <w:tab w:val="left" w:pos="0"/>
              </w:tabs>
              <w:suppressAutoHyphens/>
              <w:jc w:val="center"/>
              <w:rPr>
                <w:rFonts w:asciiTheme="minorHAnsi" w:hAnsiTheme="minorHAnsi" w:cstheme="minorHAnsi"/>
                <w:b/>
                <w:sz w:val="20"/>
              </w:rPr>
            </w:pPr>
            <w:bookmarkStart w:name="_Hlk99728516" w:id="5"/>
            <w:r w:rsidRPr="000B55B6">
              <w:rPr>
                <w:rFonts w:asciiTheme="minorHAnsi" w:hAnsiTheme="minorHAnsi" w:cstheme="minorHAnsi"/>
                <w:b/>
                <w:sz w:val="20"/>
              </w:rPr>
              <w:t>1.315</w:t>
            </w:r>
            <w:r w:rsidRPr="000B55B6">
              <w:rPr>
                <w:rStyle w:val="FootnoteReference"/>
                <w:rFonts w:asciiTheme="minorHAnsi" w:hAnsiTheme="minorHAnsi" w:cstheme="minorHAnsi"/>
                <w:b/>
                <w:sz w:val="20"/>
              </w:rPr>
              <w:footnoteReference w:id="13"/>
            </w:r>
            <w:bookmarkEnd w:id="5"/>
          </w:p>
        </w:tc>
        <w:tc>
          <w:tcPr>
            <w:tcW w:w="525" w:type="pct"/>
            <w:tcBorders>
              <w:top w:val="single" w:color="000000" w:sz="4" w:space="0"/>
              <w:left w:val="single" w:color="000000" w:sz="4" w:space="0"/>
              <w:bottom w:val="single" w:color="000000" w:sz="4" w:space="0"/>
              <w:right w:val="single" w:color="000000" w:sz="4" w:space="0"/>
            </w:tcBorders>
          </w:tcPr>
          <w:p w:rsidRPr="000B55B6" w:rsidR="00581FF6" w:rsidRDefault="00581FF6" w14:paraId="3D6578B7" w14:textId="77777777">
            <w:pPr>
              <w:tabs>
                <w:tab w:val="left" w:pos="-720"/>
                <w:tab w:val="left" w:pos="0"/>
              </w:tabs>
              <w:suppressAutoHyphens/>
              <w:jc w:val="center"/>
              <w:rPr>
                <w:rFonts w:asciiTheme="minorHAnsi" w:hAnsiTheme="minorHAnsi" w:cstheme="minorHAnsi"/>
                <w:b/>
                <w:sz w:val="20"/>
              </w:rPr>
            </w:pPr>
          </w:p>
          <w:p w:rsidRPr="000B55B6" w:rsidR="00581FF6" w:rsidRDefault="00581FF6" w14:paraId="78D4E223" w14:textId="77777777">
            <w:pPr>
              <w:tabs>
                <w:tab w:val="left" w:pos="-720"/>
                <w:tab w:val="left" w:pos="0"/>
              </w:tabs>
              <w:suppressAutoHyphens/>
              <w:jc w:val="center"/>
              <w:rPr>
                <w:rFonts w:asciiTheme="minorHAnsi" w:hAnsiTheme="minorHAnsi" w:cstheme="minorHAnsi"/>
                <w:b/>
                <w:sz w:val="20"/>
              </w:rPr>
            </w:pPr>
            <w:bookmarkStart w:name="_Hlk99728540" w:id="6"/>
            <w:r w:rsidRPr="000B55B6">
              <w:rPr>
                <w:rFonts w:asciiTheme="minorHAnsi" w:hAnsiTheme="minorHAnsi" w:cstheme="minorHAnsi"/>
                <w:b/>
                <w:sz w:val="20"/>
              </w:rPr>
              <w:t>330</w:t>
            </w:r>
            <w:bookmarkEnd w:id="6"/>
          </w:p>
        </w:tc>
        <w:tc>
          <w:tcPr>
            <w:tcW w:w="464" w:type="pct"/>
            <w:tcBorders>
              <w:top w:val="single" w:color="000000" w:sz="4" w:space="0"/>
              <w:left w:val="single" w:color="000000" w:sz="4" w:space="0"/>
              <w:bottom w:val="single" w:color="000000" w:sz="4" w:space="0"/>
              <w:right w:val="single" w:color="000000" w:sz="4" w:space="0"/>
            </w:tcBorders>
          </w:tcPr>
          <w:p w:rsidRPr="000B55B6" w:rsidR="00581FF6" w:rsidRDefault="00581FF6" w14:paraId="19F45ADE" w14:textId="77777777">
            <w:pPr>
              <w:tabs>
                <w:tab w:val="left" w:pos="-720"/>
                <w:tab w:val="left" w:pos="0"/>
              </w:tabs>
              <w:suppressAutoHyphens/>
              <w:jc w:val="center"/>
              <w:rPr>
                <w:rFonts w:asciiTheme="minorHAnsi" w:hAnsiTheme="minorHAnsi" w:cstheme="minorHAnsi"/>
                <w:b/>
                <w:sz w:val="20"/>
              </w:rPr>
            </w:pPr>
          </w:p>
          <w:p w:rsidRPr="000B55B6" w:rsidR="00581FF6" w:rsidRDefault="00581FF6" w14:paraId="4E4EBDC1" w14:textId="3D9B8C93">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w:t>
            </w:r>
            <w:r w:rsidRPr="000B55B6" w:rsidR="005A1FBF">
              <w:rPr>
                <w:rFonts w:asciiTheme="minorHAnsi" w:hAnsiTheme="minorHAnsi" w:cstheme="minorHAnsi"/>
                <w:b/>
                <w:sz w:val="20"/>
              </w:rPr>
              <w:t>83</w:t>
            </w:r>
            <w:r w:rsidRPr="000B55B6" w:rsidR="00BE1A6D">
              <w:rPr>
                <w:rStyle w:val="FootnoteReference"/>
                <w:rFonts w:asciiTheme="minorHAnsi" w:hAnsiTheme="minorHAnsi" w:cstheme="minorHAnsi"/>
                <w:b/>
                <w:sz w:val="20"/>
              </w:rPr>
              <w:footnoteReference w:id="14"/>
            </w:r>
          </w:p>
        </w:tc>
        <w:tc>
          <w:tcPr>
            <w:tcW w:w="525" w:type="pct"/>
            <w:tcBorders>
              <w:top w:val="single" w:color="000000" w:sz="4" w:space="0"/>
              <w:left w:val="single" w:color="000000" w:sz="4" w:space="0"/>
              <w:bottom w:val="single" w:color="000000" w:sz="4" w:space="0"/>
              <w:right w:val="single" w:color="000000" w:sz="4" w:space="0"/>
            </w:tcBorders>
          </w:tcPr>
          <w:p w:rsidRPr="000B55B6" w:rsidR="00581FF6" w:rsidRDefault="00581FF6" w14:paraId="3DD27D6A" w14:textId="77777777">
            <w:pPr>
              <w:jc w:val="center"/>
              <w:rPr>
                <w:rFonts w:asciiTheme="minorHAnsi" w:hAnsiTheme="minorHAnsi" w:cstheme="minorHAnsi"/>
                <w:b/>
                <w:sz w:val="20"/>
              </w:rPr>
            </w:pPr>
          </w:p>
          <w:p w:rsidRPr="000B55B6" w:rsidR="00581FF6" w:rsidRDefault="00581FF6" w14:paraId="4F221F5A" w14:textId="654FEE1B">
            <w:pPr>
              <w:jc w:val="center"/>
              <w:rPr>
                <w:rFonts w:asciiTheme="minorHAnsi" w:hAnsiTheme="minorHAnsi" w:cstheme="minorHAnsi"/>
                <w:b/>
                <w:sz w:val="20"/>
              </w:rPr>
            </w:pPr>
            <w:r w:rsidRPr="000B55B6">
              <w:rPr>
                <w:rFonts w:asciiTheme="minorHAnsi" w:hAnsiTheme="minorHAnsi" w:cstheme="minorHAnsi"/>
                <w:b/>
                <w:sz w:val="20"/>
              </w:rPr>
              <w:t>$</w:t>
            </w:r>
            <w:r w:rsidRPr="000B55B6" w:rsidR="00EB34A6">
              <w:rPr>
                <w:rFonts w:asciiTheme="minorHAnsi" w:hAnsiTheme="minorHAnsi" w:cstheme="minorHAnsi"/>
                <w:b/>
                <w:sz w:val="20"/>
              </w:rPr>
              <w:t>27,390</w:t>
            </w:r>
          </w:p>
        </w:tc>
        <w:tc>
          <w:tcPr>
            <w:tcW w:w="469" w:type="pct"/>
            <w:tcBorders>
              <w:top w:val="single" w:color="000000" w:sz="4" w:space="0"/>
              <w:left w:val="single" w:color="000000" w:sz="4" w:space="0"/>
              <w:bottom w:val="single" w:color="000000" w:sz="4" w:space="0"/>
              <w:right w:val="single" w:color="000000" w:sz="4" w:space="0"/>
            </w:tcBorders>
          </w:tcPr>
          <w:p w:rsidRPr="000B55B6" w:rsidR="00581FF6" w:rsidRDefault="00581FF6" w14:paraId="6B19A359" w14:textId="77777777">
            <w:pPr>
              <w:tabs>
                <w:tab w:val="left" w:pos="-720"/>
                <w:tab w:val="left" w:pos="0"/>
              </w:tabs>
              <w:suppressAutoHyphens/>
              <w:jc w:val="center"/>
              <w:rPr>
                <w:rFonts w:asciiTheme="minorHAnsi" w:hAnsiTheme="minorHAnsi" w:cstheme="minorHAnsi"/>
                <w:b/>
                <w:sz w:val="20"/>
              </w:rPr>
            </w:pPr>
          </w:p>
          <w:p w:rsidRPr="000B55B6" w:rsidR="00581FF6" w:rsidRDefault="00EB34A6" w14:paraId="519C7D80" w14:textId="29E137B8">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4,016</w:t>
            </w:r>
          </w:p>
        </w:tc>
        <w:tc>
          <w:tcPr>
            <w:tcW w:w="399" w:type="pct"/>
            <w:tcBorders>
              <w:top w:val="single" w:color="000000" w:sz="4" w:space="0"/>
              <w:left w:val="single" w:color="000000" w:sz="4" w:space="0"/>
              <w:bottom w:val="single" w:color="000000" w:sz="4" w:space="0"/>
              <w:right w:val="single" w:color="000000" w:sz="4" w:space="0"/>
            </w:tcBorders>
          </w:tcPr>
          <w:p w:rsidRPr="000B55B6" w:rsidR="00581FF6" w:rsidRDefault="00581FF6" w14:paraId="7B876E30" w14:textId="77777777">
            <w:pPr>
              <w:tabs>
                <w:tab w:val="left" w:pos="-720"/>
                <w:tab w:val="left" w:pos="0"/>
              </w:tabs>
              <w:suppressAutoHyphens/>
              <w:jc w:val="center"/>
              <w:rPr>
                <w:rFonts w:asciiTheme="minorHAnsi" w:hAnsiTheme="minorHAnsi" w:cstheme="minorHAnsi"/>
                <w:b/>
                <w:sz w:val="20"/>
              </w:rPr>
            </w:pPr>
          </w:p>
          <w:p w:rsidRPr="000B55B6" w:rsidR="00581FF6" w:rsidRDefault="00EB34A6" w14:paraId="159B2DB6" w14:textId="30CE2B44">
            <w:pPr>
              <w:tabs>
                <w:tab w:val="left" w:pos="-720"/>
                <w:tab w:val="left" w:pos="0"/>
              </w:tabs>
              <w:suppressAutoHyphens/>
              <w:jc w:val="center"/>
              <w:rPr>
                <w:rFonts w:asciiTheme="minorHAnsi" w:hAnsiTheme="minorHAnsi" w:cstheme="minorHAnsi"/>
                <w:b/>
                <w:sz w:val="20"/>
              </w:rPr>
            </w:pPr>
            <w:bookmarkStart w:name="_Hlk99728638" w:id="7"/>
            <w:r w:rsidRPr="000B55B6">
              <w:rPr>
                <w:rFonts w:asciiTheme="minorHAnsi" w:hAnsiTheme="minorHAnsi" w:cstheme="minorHAnsi"/>
                <w:b/>
                <w:sz w:val="20"/>
              </w:rPr>
              <w:t>5,280</w:t>
            </w:r>
            <w:bookmarkEnd w:id="7"/>
          </w:p>
        </w:tc>
        <w:tc>
          <w:tcPr>
            <w:tcW w:w="478" w:type="pct"/>
            <w:tcBorders>
              <w:top w:val="single" w:color="000000" w:sz="4" w:space="0"/>
              <w:left w:val="single" w:color="000000" w:sz="4" w:space="0"/>
              <w:bottom w:val="single" w:color="000000" w:sz="4" w:space="0"/>
              <w:right w:val="single" w:color="000000" w:sz="4" w:space="0"/>
            </w:tcBorders>
          </w:tcPr>
          <w:p w:rsidRPr="000B55B6" w:rsidR="00581FF6" w:rsidRDefault="00581FF6" w14:paraId="7D3565C5" w14:textId="77777777">
            <w:pPr>
              <w:tabs>
                <w:tab w:val="left" w:pos="-720"/>
                <w:tab w:val="left" w:pos="0"/>
              </w:tabs>
              <w:suppressAutoHyphens/>
              <w:jc w:val="center"/>
              <w:rPr>
                <w:rFonts w:asciiTheme="minorHAnsi" w:hAnsiTheme="minorHAnsi" w:cstheme="minorHAnsi"/>
                <w:b/>
                <w:sz w:val="20"/>
              </w:rPr>
            </w:pPr>
          </w:p>
          <w:p w:rsidRPr="000B55B6" w:rsidR="00581FF6" w:rsidRDefault="00581FF6" w14:paraId="048E41CA" w14:textId="0094F0B2">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w:t>
            </w:r>
            <w:r w:rsidRPr="000B55B6" w:rsidR="00EB34A6">
              <w:rPr>
                <w:rFonts w:asciiTheme="minorHAnsi" w:hAnsiTheme="minorHAnsi" w:cstheme="minorHAnsi"/>
                <w:b/>
                <w:sz w:val="20"/>
              </w:rPr>
              <w:t>438,240</w:t>
            </w:r>
          </w:p>
        </w:tc>
      </w:tr>
      <w:tr w:rsidRPr="000B55B6" w:rsidR="00FA2D65" w:rsidTr="00C90C55" w14:paraId="0FD55F75" w14:textId="77777777">
        <w:trPr>
          <w:trHeight w:val="1427"/>
        </w:trPr>
        <w:tc>
          <w:tcPr>
            <w:tcW w:w="590"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705C8C37" w14:textId="77777777">
            <w:pPr>
              <w:tabs>
                <w:tab w:val="left" w:pos="-720"/>
                <w:tab w:val="left" w:pos="0"/>
              </w:tabs>
              <w:suppressAutoHyphens/>
              <w:jc w:val="center"/>
              <w:rPr>
                <w:rFonts w:asciiTheme="minorHAnsi" w:hAnsiTheme="minorHAnsi" w:cstheme="minorHAnsi"/>
                <w:b/>
                <w:sz w:val="20"/>
              </w:rPr>
            </w:pPr>
            <w:bookmarkStart w:name="_Hlk99634020" w:id="8"/>
            <w:r w:rsidRPr="000B55B6">
              <w:rPr>
                <w:rFonts w:asciiTheme="minorHAnsi" w:hAnsiTheme="minorHAnsi" w:cstheme="minorHAnsi"/>
                <w:b/>
                <w:sz w:val="20"/>
              </w:rPr>
              <w:t>§ 1.52 (Examination Program and Audit of Program)</w:t>
            </w:r>
            <w:bookmarkEnd w:id="8"/>
            <w:r w:rsidRPr="000B55B6">
              <w:rPr>
                <w:rStyle w:val="FootnoteReference"/>
                <w:rFonts w:asciiTheme="minorHAnsi" w:hAnsiTheme="minorHAnsi" w:cstheme="minorHAnsi"/>
                <w:b/>
                <w:sz w:val="20"/>
              </w:rPr>
              <w:footnoteReference w:id="15"/>
            </w:r>
          </w:p>
        </w:tc>
        <w:tc>
          <w:tcPr>
            <w:tcW w:w="558"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297C170A" w14:textId="7A05F598">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1</w:t>
            </w:r>
            <w:r w:rsidRPr="000B55B6" w:rsidR="00EB34A6">
              <w:rPr>
                <w:rFonts w:asciiTheme="minorHAnsi" w:hAnsiTheme="minorHAnsi" w:cstheme="minorHAnsi"/>
                <w:b/>
                <w:sz w:val="20"/>
              </w:rPr>
              <w:t>6</w:t>
            </w:r>
          </w:p>
        </w:tc>
        <w:tc>
          <w:tcPr>
            <w:tcW w:w="525"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188C9441"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1</w:t>
            </w:r>
          </w:p>
        </w:tc>
        <w:tc>
          <w:tcPr>
            <w:tcW w:w="464" w:type="pct"/>
            <w:tcBorders>
              <w:top w:val="single" w:color="000000" w:sz="4" w:space="0"/>
              <w:left w:val="single" w:color="000000" w:sz="4" w:space="0"/>
              <w:bottom w:val="single" w:color="000000" w:sz="4" w:space="0"/>
              <w:right w:val="single" w:color="000000" w:sz="4" w:space="0"/>
            </w:tcBorders>
            <w:hideMark/>
          </w:tcPr>
          <w:p w:rsidRPr="000B55B6" w:rsidR="00581FF6" w:rsidRDefault="003F6FC9" w14:paraId="64204F3D" w14:textId="7CC55541">
            <w:pPr>
              <w:tabs>
                <w:tab w:val="left" w:pos="-720"/>
                <w:tab w:val="left" w:pos="0"/>
              </w:tabs>
              <w:suppressAutoHyphens/>
              <w:jc w:val="center"/>
              <w:rPr>
                <w:rFonts w:asciiTheme="minorHAnsi" w:hAnsiTheme="minorHAnsi" w:cstheme="minorHAnsi"/>
                <w:b/>
                <w:sz w:val="20"/>
              </w:rPr>
            </w:pPr>
            <w:bookmarkStart w:name="_Hlk99728609" w:id="9"/>
            <w:r w:rsidRPr="000B55B6">
              <w:rPr>
                <w:rFonts w:asciiTheme="minorHAnsi" w:hAnsiTheme="minorHAnsi" w:cstheme="minorHAnsi"/>
                <w:b/>
                <w:sz w:val="20"/>
              </w:rPr>
              <w:t>49</w:t>
            </w:r>
            <w:bookmarkEnd w:id="9"/>
          </w:p>
        </w:tc>
        <w:tc>
          <w:tcPr>
            <w:tcW w:w="525" w:type="pct"/>
            <w:tcBorders>
              <w:top w:val="single" w:color="000000" w:sz="4" w:space="0"/>
              <w:left w:val="single" w:color="000000" w:sz="4" w:space="0"/>
              <w:bottom w:val="single" w:color="000000" w:sz="4" w:space="0"/>
              <w:right w:val="single" w:color="000000" w:sz="4" w:space="0"/>
            </w:tcBorders>
            <w:hideMark/>
          </w:tcPr>
          <w:p w:rsidRPr="000B55B6" w:rsidR="00581FF6" w:rsidRDefault="003F6FC9" w14:paraId="468CB7E4" w14:textId="39649E38">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49</w:t>
            </w:r>
          </w:p>
        </w:tc>
        <w:tc>
          <w:tcPr>
            <w:tcW w:w="464"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1F7792C7" w14:textId="1D547FEB">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w:t>
            </w:r>
            <w:r w:rsidRPr="000B55B6" w:rsidR="005A1FBF">
              <w:rPr>
                <w:rFonts w:asciiTheme="minorHAnsi" w:hAnsiTheme="minorHAnsi" w:cstheme="minorHAnsi"/>
                <w:b/>
                <w:sz w:val="20"/>
              </w:rPr>
              <w:t>83</w:t>
            </w:r>
            <w:r w:rsidRPr="000B55B6" w:rsidR="00D0618F">
              <w:rPr>
                <w:rStyle w:val="FootnoteReference"/>
                <w:rFonts w:asciiTheme="minorHAnsi" w:hAnsiTheme="minorHAnsi" w:cstheme="minorHAnsi"/>
                <w:b/>
                <w:sz w:val="20"/>
              </w:rPr>
              <w:footnoteReference w:id="16"/>
            </w:r>
          </w:p>
        </w:tc>
        <w:tc>
          <w:tcPr>
            <w:tcW w:w="525"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494693D1" w14:textId="64168AB5">
            <w:pPr>
              <w:jc w:val="center"/>
              <w:rPr>
                <w:rFonts w:asciiTheme="minorHAnsi" w:hAnsiTheme="minorHAnsi" w:cstheme="minorHAnsi"/>
                <w:b/>
                <w:sz w:val="20"/>
              </w:rPr>
            </w:pPr>
            <w:r w:rsidRPr="000B55B6">
              <w:rPr>
                <w:rFonts w:asciiTheme="minorHAnsi" w:hAnsiTheme="minorHAnsi" w:cstheme="minorHAnsi"/>
                <w:b/>
                <w:sz w:val="20"/>
              </w:rPr>
              <w:t>$</w:t>
            </w:r>
            <w:r w:rsidRPr="000B55B6" w:rsidR="00EB34A6">
              <w:rPr>
                <w:rFonts w:asciiTheme="minorHAnsi" w:hAnsiTheme="minorHAnsi" w:cstheme="minorHAnsi"/>
                <w:b/>
                <w:sz w:val="20"/>
              </w:rPr>
              <w:t>4,</w:t>
            </w:r>
            <w:r w:rsidRPr="000B55B6" w:rsidR="003F6FC9">
              <w:rPr>
                <w:rFonts w:asciiTheme="minorHAnsi" w:hAnsiTheme="minorHAnsi" w:cstheme="minorHAnsi"/>
                <w:b/>
                <w:sz w:val="20"/>
              </w:rPr>
              <w:t>067</w:t>
            </w:r>
          </w:p>
        </w:tc>
        <w:tc>
          <w:tcPr>
            <w:tcW w:w="469"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33A18341" w14:textId="72EEC9E3">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1</w:t>
            </w:r>
            <w:r w:rsidRPr="000B55B6" w:rsidR="00EB34A6">
              <w:rPr>
                <w:rFonts w:asciiTheme="minorHAnsi" w:hAnsiTheme="minorHAnsi" w:cstheme="minorHAnsi"/>
                <w:b/>
                <w:sz w:val="20"/>
              </w:rPr>
              <w:t>6</w:t>
            </w:r>
          </w:p>
        </w:tc>
        <w:tc>
          <w:tcPr>
            <w:tcW w:w="399" w:type="pct"/>
            <w:tcBorders>
              <w:top w:val="single" w:color="000000" w:sz="4" w:space="0"/>
              <w:left w:val="single" w:color="000000" w:sz="4" w:space="0"/>
              <w:bottom w:val="single" w:color="000000" w:sz="4" w:space="0"/>
              <w:right w:val="single" w:color="000000" w:sz="4" w:space="0"/>
            </w:tcBorders>
            <w:hideMark/>
          </w:tcPr>
          <w:p w:rsidRPr="000B55B6" w:rsidR="00581FF6" w:rsidRDefault="003F6FC9" w14:paraId="563535A5" w14:textId="74C976A8">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784</w:t>
            </w:r>
          </w:p>
        </w:tc>
        <w:tc>
          <w:tcPr>
            <w:tcW w:w="478"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5257DD65" w14:textId="3C2C456F">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w:t>
            </w:r>
            <w:r w:rsidRPr="000B55B6" w:rsidR="00EB34A6">
              <w:rPr>
                <w:rFonts w:asciiTheme="minorHAnsi" w:hAnsiTheme="minorHAnsi" w:cstheme="minorHAnsi"/>
                <w:b/>
                <w:sz w:val="20"/>
              </w:rPr>
              <w:t>6</w:t>
            </w:r>
            <w:r w:rsidRPr="000B55B6" w:rsidR="003F6FC9">
              <w:rPr>
                <w:rFonts w:asciiTheme="minorHAnsi" w:hAnsiTheme="minorHAnsi" w:cstheme="minorHAnsi"/>
                <w:b/>
                <w:sz w:val="20"/>
              </w:rPr>
              <w:t>5,072</w:t>
            </w:r>
          </w:p>
        </w:tc>
      </w:tr>
      <w:tr w:rsidRPr="000B55B6" w:rsidR="00FA2D65" w:rsidTr="00C90C55" w14:paraId="27C2CED4" w14:textId="77777777">
        <w:trPr>
          <w:trHeight w:val="1427"/>
        </w:trPr>
        <w:tc>
          <w:tcPr>
            <w:tcW w:w="590" w:type="pct"/>
            <w:tcBorders>
              <w:top w:val="single" w:color="000000" w:sz="4" w:space="0"/>
              <w:left w:val="single" w:color="000000" w:sz="4" w:space="0"/>
              <w:bottom w:val="single" w:color="000000" w:sz="4" w:space="0"/>
              <w:right w:val="single" w:color="000000" w:sz="4" w:space="0"/>
            </w:tcBorders>
            <w:vAlign w:val="center"/>
          </w:tcPr>
          <w:p w:rsidRPr="000B55B6" w:rsidR="00C90C55" w:rsidP="00C90C55" w:rsidRDefault="00C90C55" w14:paraId="625CED23" w14:textId="6B5692E8">
            <w:pPr>
              <w:tabs>
                <w:tab w:val="left" w:pos="-720"/>
                <w:tab w:val="left" w:pos="0"/>
              </w:tabs>
              <w:suppressAutoHyphens/>
              <w:jc w:val="center"/>
              <w:rPr>
                <w:rFonts w:asciiTheme="minorHAnsi" w:hAnsiTheme="minorHAnsi" w:cstheme="minorHAnsi"/>
                <w:b/>
                <w:sz w:val="20"/>
              </w:rPr>
            </w:pPr>
            <w:bookmarkStart w:name="_Hlk99728956" w:id="10"/>
            <w:r w:rsidRPr="000B55B6">
              <w:rPr>
                <w:rFonts w:asciiTheme="minorHAnsi" w:hAnsiTheme="minorHAnsi" w:cstheme="minorHAnsi"/>
                <w:b/>
                <w:sz w:val="20"/>
              </w:rPr>
              <w:t>38.950 and 38.951</w:t>
            </w:r>
            <w:r w:rsidRPr="000B55B6" w:rsidR="004649C0">
              <w:rPr>
                <w:rFonts w:asciiTheme="minorHAnsi" w:hAnsiTheme="minorHAnsi" w:cstheme="minorHAnsi"/>
                <w:b/>
                <w:sz w:val="20"/>
              </w:rPr>
              <w:t xml:space="preserve"> Recordkeeping related to compliance with 38.251(g)</w:t>
            </w:r>
            <w:bookmarkEnd w:id="10"/>
            <w:r w:rsidRPr="000B55B6" w:rsidR="004649C0">
              <w:rPr>
                <w:rStyle w:val="FootnoteReference"/>
                <w:rFonts w:asciiTheme="minorHAnsi" w:hAnsiTheme="minorHAnsi" w:cstheme="minorHAnsi"/>
                <w:b/>
                <w:sz w:val="20"/>
              </w:rPr>
              <w:footnoteReference w:id="17"/>
            </w:r>
          </w:p>
        </w:tc>
        <w:tc>
          <w:tcPr>
            <w:tcW w:w="558" w:type="pct"/>
            <w:tcBorders>
              <w:top w:val="single" w:color="000000" w:sz="4" w:space="0"/>
              <w:left w:val="single" w:color="000000" w:sz="4" w:space="0"/>
              <w:bottom w:val="single" w:color="000000" w:sz="4" w:space="0"/>
              <w:right w:val="single" w:color="000000" w:sz="4" w:space="0"/>
            </w:tcBorders>
            <w:vAlign w:val="center"/>
          </w:tcPr>
          <w:p w:rsidRPr="000B55B6" w:rsidR="00C90C55" w:rsidP="00C90C55" w:rsidRDefault="00C90C55" w14:paraId="22023AB3" w14:textId="2845BC39">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1</w:t>
            </w:r>
            <w:r w:rsidRPr="000B55B6" w:rsidR="000C7580">
              <w:rPr>
                <w:rFonts w:asciiTheme="minorHAnsi" w:hAnsiTheme="minorHAnsi" w:cstheme="minorHAnsi"/>
                <w:b/>
                <w:sz w:val="20"/>
              </w:rPr>
              <w:t>6</w:t>
            </w:r>
            <w:r w:rsidRPr="000B55B6" w:rsidR="00333BB7">
              <w:rPr>
                <w:rStyle w:val="FootnoteReference"/>
                <w:rFonts w:asciiTheme="minorHAnsi" w:hAnsiTheme="minorHAnsi" w:cstheme="minorHAnsi"/>
                <w:b/>
                <w:sz w:val="20"/>
              </w:rPr>
              <w:footnoteReference w:id="18"/>
            </w:r>
          </w:p>
        </w:tc>
        <w:tc>
          <w:tcPr>
            <w:tcW w:w="525" w:type="pct"/>
            <w:tcBorders>
              <w:top w:val="single" w:color="000000" w:sz="4" w:space="0"/>
              <w:left w:val="single" w:color="000000" w:sz="4" w:space="0"/>
              <w:bottom w:val="single" w:color="000000" w:sz="4" w:space="0"/>
              <w:right w:val="single" w:color="000000" w:sz="4" w:space="0"/>
            </w:tcBorders>
            <w:vAlign w:val="center"/>
          </w:tcPr>
          <w:p w:rsidRPr="000B55B6" w:rsidR="00C90C55" w:rsidP="00C90C55" w:rsidRDefault="00B077E5" w14:paraId="4A92967B" w14:textId="27168634">
            <w:pPr>
              <w:tabs>
                <w:tab w:val="left" w:pos="-720"/>
                <w:tab w:val="left" w:pos="0"/>
              </w:tabs>
              <w:suppressAutoHyphens/>
              <w:jc w:val="center"/>
              <w:rPr>
                <w:rFonts w:asciiTheme="minorHAnsi" w:hAnsiTheme="minorHAnsi" w:cstheme="minorHAnsi"/>
                <w:b/>
                <w:sz w:val="20"/>
              </w:rPr>
            </w:pPr>
            <w:r>
              <w:rPr>
                <w:rFonts w:asciiTheme="minorHAnsi" w:hAnsiTheme="minorHAnsi" w:cstheme="minorHAnsi"/>
                <w:b/>
                <w:sz w:val="20"/>
              </w:rPr>
              <w:t>12.5</w:t>
            </w:r>
            <w:r w:rsidR="008E2584">
              <w:rPr>
                <w:rStyle w:val="FootnoteReference"/>
                <w:rFonts w:asciiTheme="minorHAnsi" w:hAnsiTheme="minorHAnsi" w:cstheme="minorHAnsi"/>
                <w:b/>
                <w:sz w:val="20"/>
              </w:rPr>
              <w:footnoteReference w:id="19"/>
            </w:r>
          </w:p>
        </w:tc>
        <w:tc>
          <w:tcPr>
            <w:tcW w:w="464" w:type="pct"/>
            <w:tcBorders>
              <w:top w:val="single" w:color="000000" w:sz="4" w:space="0"/>
              <w:left w:val="single" w:color="000000" w:sz="4" w:space="0"/>
              <w:bottom w:val="single" w:color="000000" w:sz="4" w:space="0"/>
              <w:right w:val="single" w:color="000000" w:sz="4" w:space="0"/>
            </w:tcBorders>
            <w:vAlign w:val="center"/>
          </w:tcPr>
          <w:p w:rsidRPr="000B55B6" w:rsidR="00C90C55" w:rsidP="00C90C55" w:rsidRDefault="00C90C55" w14:paraId="74A3C206" w14:textId="6F492594">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2</w:t>
            </w:r>
          </w:p>
        </w:tc>
        <w:tc>
          <w:tcPr>
            <w:tcW w:w="525" w:type="pct"/>
            <w:tcBorders>
              <w:top w:val="single" w:color="000000" w:sz="4" w:space="0"/>
              <w:left w:val="single" w:color="000000" w:sz="4" w:space="0"/>
              <w:bottom w:val="single" w:color="000000" w:sz="4" w:space="0"/>
              <w:right w:val="single" w:color="000000" w:sz="4" w:space="0"/>
            </w:tcBorders>
            <w:vAlign w:val="center"/>
          </w:tcPr>
          <w:p w:rsidRPr="000B55B6" w:rsidR="00C90C55" w:rsidP="00C90C55" w:rsidRDefault="00B077E5" w14:paraId="49575C1C" w14:textId="26273236">
            <w:pPr>
              <w:tabs>
                <w:tab w:val="left" w:pos="-720"/>
                <w:tab w:val="left" w:pos="0"/>
              </w:tabs>
              <w:suppressAutoHyphens/>
              <w:jc w:val="center"/>
              <w:rPr>
                <w:rFonts w:asciiTheme="minorHAnsi" w:hAnsiTheme="minorHAnsi" w:cstheme="minorHAnsi"/>
                <w:b/>
                <w:sz w:val="20"/>
              </w:rPr>
            </w:pPr>
            <w:r>
              <w:rPr>
                <w:rFonts w:asciiTheme="minorHAnsi" w:hAnsiTheme="minorHAnsi" w:cstheme="minorHAnsi"/>
                <w:b/>
                <w:sz w:val="20"/>
              </w:rPr>
              <w:t>25</w:t>
            </w:r>
          </w:p>
        </w:tc>
        <w:tc>
          <w:tcPr>
            <w:tcW w:w="464" w:type="pct"/>
            <w:tcBorders>
              <w:top w:val="single" w:color="000000" w:sz="4" w:space="0"/>
              <w:left w:val="single" w:color="000000" w:sz="4" w:space="0"/>
              <w:bottom w:val="single" w:color="000000" w:sz="4" w:space="0"/>
              <w:right w:val="single" w:color="000000" w:sz="4" w:space="0"/>
            </w:tcBorders>
            <w:vAlign w:val="center"/>
          </w:tcPr>
          <w:p w:rsidRPr="000B55B6" w:rsidR="00C90C55" w:rsidP="00C90C55" w:rsidRDefault="00C90C55" w14:paraId="377588CC" w14:textId="3AAF8199">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w:t>
            </w:r>
            <w:r w:rsidRPr="000B55B6" w:rsidR="000C7580">
              <w:rPr>
                <w:rFonts w:asciiTheme="minorHAnsi" w:hAnsiTheme="minorHAnsi" w:cstheme="minorHAnsi"/>
                <w:b/>
                <w:sz w:val="20"/>
              </w:rPr>
              <w:t>84.97</w:t>
            </w:r>
            <w:r w:rsidRPr="000B55B6" w:rsidR="00D0618F">
              <w:rPr>
                <w:rStyle w:val="FootnoteReference"/>
                <w:rFonts w:asciiTheme="minorHAnsi" w:hAnsiTheme="minorHAnsi" w:cstheme="minorHAnsi"/>
                <w:b/>
                <w:sz w:val="20"/>
              </w:rPr>
              <w:footnoteReference w:id="20"/>
            </w:r>
          </w:p>
        </w:tc>
        <w:tc>
          <w:tcPr>
            <w:tcW w:w="525" w:type="pct"/>
            <w:tcBorders>
              <w:top w:val="single" w:color="000000" w:sz="4" w:space="0"/>
              <w:left w:val="single" w:color="000000" w:sz="4" w:space="0"/>
              <w:bottom w:val="single" w:color="000000" w:sz="4" w:space="0"/>
              <w:right w:val="single" w:color="000000" w:sz="4" w:space="0"/>
            </w:tcBorders>
            <w:vAlign w:val="center"/>
          </w:tcPr>
          <w:p w:rsidRPr="000B55B6" w:rsidR="00C90C55" w:rsidP="00C90C55" w:rsidRDefault="00FA2D65" w14:paraId="330DBFCB" w14:textId="2A54F941">
            <w:pPr>
              <w:jc w:val="center"/>
              <w:rPr>
                <w:rFonts w:asciiTheme="minorHAnsi" w:hAnsiTheme="minorHAnsi" w:cstheme="minorHAnsi"/>
                <w:b/>
                <w:sz w:val="20"/>
              </w:rPr>
            </w:pPr>
            <w:r>
              <w:rPr>
                <w:rFonts w:asciiTheme="minorHAnsi" w:hAnsiTheme="minorHAnsi" w:cstheme="minorHAnsi"/>
                <w:b/>
                <w:sz w:val="20"/>
              </w:rPr>
              <w:t>$</w:t>
            </w:r>
            <w:r w:rsidR="00F61F25">
              <w:rPr>
                <w:rFonts w:asciiTheme="minorHAnsi" w:hAnsiTheme="minorHAnsi" w:cstheme="minorHAnsi"/>
                <w:b/>
                <w:sz w:val="20"/>
              </w:rPr>
              <w:t>2,124.25</w:t>
            </w:r>
          </w:p>
        </w:tc>
        <w:tc>
          <w:tcPr>
            <w:tcW w:w="469" w:type="pct"/>
            <w:tcBorders>
              <w:top w:val="single" w:color="000000" w:sz="4" w:space="0"/>
              <w:left w:val="single" w:color="000000" w:sz="4" w:space="0"/>
              <w:bottom w:val="single" w:color="000000" w:sz="4" w:space="0"/>
              <w:right w:val="single" w:color="000000" w:sz="4" w:space="0"/>
            </w:tcBorders>
            <w:vAlign w:val="center"/>
          </w:tcPr>
          <w:p w:rsidRPr="000B55B6" w:rsidR="00C90C55" w:rsidP="00C90C55" w:rsidRDefault="008C5B6E" w14:paraId="3183A5BD" w14:textId="2EDB4979">
            <w:pPr>
              <w:tabs>
                <w:tab w:val="left" w:pos="-720"/>
                <w:tab w:val="left" w:pos="0"/>
              </w:tabs>
              <w:suppressAutoHyphens/>
              <w:jc w:val="center"/>
              <w:rPr>
                <w:rFonts w:asciiTheme="minorHAnsi" w:hAnsiTheme="minorHAnsi" w:cstheme="minorHAnsi"/>
                <w:b/>
                <w:sz w:val="20"/>
              </w:rPr>
            </w:pPr>
            <w:r>
              <w:rPr>
                <w:rFonts w:asciiTheme="minorHAnsi" w:hAnsiTheme="minorHAnsi" w:cstheme="minorHAnsi"/>
                <w:b/>
                <w:sz w:val="20"/>
              </w:rPr>
              <w:t>200</w:t>
            </w:r>
          </w:p>
        </w:tc>
        <w:tc>
          <w:tcPr>
            <w:tcW w:w="399" w:type="pct"/>
            <w:tcBorders>
              <w:top w:val="single" w:color="000000" w:sz="4" w:space="0"/>
              <w:left w:val="single" w:color="000000" w:sz="4" w:space="0"/>
              <w:bottom w:val="single" w:color="000000" w:sz="4" w:space="0"/>
              <w:right w:val="single" w:color="000000" w:sz="4" w:space="0"/>
            </w:tcBorders>
            <w:vAlign w:val="center"/>
          </w:tcPr>
          <w:p w:rsidRPr="000B55B6" w:rsidR="00C90C55" w:rsidP="00C90C55" w:rsidRDefault="00B077E5" w14:paraId="227A1915" w14:textId="2D46D5DF">
            <w:pPr>
              <w:tabs>
                <w:tab w:val="left" w:pos="-720"/>
                <w:tab w:val="left" w:pos="0"/>
              </w:tabs>
              <w:suppressAutoHyphens/>
              <w:jc w:val="center"/>
              <w:rPr>
                <w:rFonts w:asciiTheme="minorHAnsi" w:hAnsiTheme="minorHAnsi" w:cstheme="minorHAnsi"/>
                <w:b/>
                <w:sz w:val="20"/>
              </w:rPr>
            </w:pPr>
            <w:r>
              <w:rPr>
                <w:rFonts w:asciiTheme="minorHAnsi" w:hAnsiTheme="minorHAnsi" w:cstheme="minorHAnsi"/>
                <w:b/>
                <w:sz w:val="20"/>
              </w:rPr>
              <w:t>400</w:t>
            </w:r>
          </w:p>
        </w:tc>
        <w:tc>
          <w:tcPr>
            <w:tcW w:w="478" w:type="pct"/>
            <w:tcBorders>
              <w:top w:val="single" w:color="000000" w:sz="4" w:space="0"/>
              <w:left w:val="single" w:color="000000" w:sz="4" w:space="0"/>
              <w:bottom w:val="single" w:color="000000" w:sz="4" w:space="0"/>
              <w:right w:val="single" w:color="000000" w:sz="4" w:space="0"/>
            </w:tcBorders>
            <w:vAlign w:val="center"/>
          </w:tcPr>
          <w:p w:rsidRPr="000B55B6" w:rsidR="00C90C55" w:rsidP="00C90C55" w:rsidRDefault="00FA2D65" w14:paraId="4120F0CD" w14:textId="4A72A0F5">
            <w:pPr>
              <w:tabs>
                <w:tab w:val="left" w:pos="-720"/>
                <w:tab w:val="left" w:pos="0"/>
              </w:tabs>
              <w:suppressAutoHyphens/>
              <w:jc w:val="center"/>
              <w:rPr>
                <w:rFonts w:asciiTheme="minorHAnsi" w:hAnsiTheme="minorHAnsi" w:cstheme="minorHAnsi"/>
                <w:b/>
                <w:sz w:val="20"/>
              </w:rPr>
            </w:pPr>
            <w:r>
              <w:rPr>
                <w:rFonts w:asciiTheme="minorHAnsi" w:hAnsiTheme="minorHAnsi" w:cstheme="minorHAnsi"/>
                <w:b/>
                <w:sz w:val="20"/>
              </w:rPr>
              <w:t>$33,988</w:t>
            </w:r>
          </w:p>
        </w:tc>
      </w:tr>
    </w:tbl>
    <w:p w:rsidR="00B20E54" w:rsidP="00581FF6" w:rsidRDefault="00B20E54" w14:paraId="5B97A32A" w14:textId="77777777">
      <w:pPr>
        <w:keepNext/>
        <w:keepLines/>
        <w:jc w:val="center"/>
        <w:rPr>
          <w:rFonts w:asciiTheme="minorHAnsi" w:hAnsiTheme="minorHAnsi" w:cstheme="minorHAnsi"/>
          <w:b/>
          <w:sz w:val="20"/>
        </w:rPr>
      </w:pPr>
    </w:p>
    <w:p w:rsidR="00B20E54" w:rsidP="00581FF6" w:rsidRDefault="00B20E54" w14:paraId="42F19C5E" w14:textId="77777777">
      <w:pPr>
        <w:keepNext/>
        <w:keepLines/>
        <w:jc w:val="center"/>
        <w:rPr>
          <w:rFonts w:asciiTheme="minorHAnsi" w:hAnsiTheme="minorHAnsi" w:cstheme="minorHAnsi"/>
          <w:b/>
          <w:sz w:val="20"/>
        </w:rPr>
      </w:pPr>
    </w:p>
    <w:p w:rsidR="00B20E54" w:rsidRDefault="00B20E54" w14:paraId="456980B2" w14:textId="3BC35CDE">
      <w:pPr>
        <w:rPr>
          <w:rFonts w:asciiTheme="minorHAnsi" w:hAnsiTheme="minorHAnsi" w:cstheme="minorHAnsi"/>
          <w:b/>
          <w:sz w:val="20"/>
        </w:rPr>
      </w:pPr>
      <w:r>
        <w:rPr>
          <w:rFonts w:asciiTheme="minorHAnsi" w:hAnsiTheme="minorHAnsi" w:cstheme="minorHAnsi"/>
          <w:b/>
          <w:sz w:val="20"/>
        </w:rPr>
        <w:br w:type="page"/>
      </w:r>
    </w:p>
    <w:p w:rsidRPr="00B20E54" w:rsidR="00581FF6" w:rsidP="00581FF6" w:rsidRDefault="00581FF6" w14:paraId="67E63D69" w14:textId="4A088F2D">
      <w:pPr>
        <w:keepNext/>
        <w:keepLines/>
        <w:jc w:val="center"/>
        <w:rPr>
          <w:rFonts w:ascii="Times New Roman" w:hAnsi="Times New Roman"/>
          <w:b/>
          <w:szCs w:val="24"/>
        </w:rPr>
      </w:pPr>
      <w:r w:rsidRPr="00B20E54">
        <w:rPr>
          <w:rFonts w:ascii="Times New Roman" w:hAnsi="Times New Roman"/>
          <w:b/>
          <w:szCs w:val="24"/>
        </w:rPr>
        <w:lastRenderedPageBreak/>
        <w:t>Reporting Burden Hours and Costs</w:t>
      </w:r>
    </w:p>
    <w:p w:rsidRPr="00B20E54" w:rsidR="00581FF6" w:rsidP="00581FF6" w:rsidRDefault="00581FF6" w14:paraId="06CEE068" w14:textId="77777777">
      <w:pPr>
        <w:tabs>
          <w:tab w:val="left" w:pos="-720"/>
          <w:tab w:val="left" w:pos="0"/>
        </w:tabs>
        <w:suppressAutoHyphens/>
        <w:rPr>
          <w:rFonts w:ascii="Times New Roman" w:hAnsi="Times New Roman"/>
          <w:sz w:val="16"/>
          <w:szCs w:val="16"/>
        </w:rPr>
      </w:pPr>
    </w:p>
    <w:tbl>
      <w:tblPr>
        <w:tblW w:w="4919"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61"/>
        <w:gridCol w:w="1208"/>
        <w:gridCol w:w="1129"/>
        <w:gridCol w:w="1076"/>
        <w:gridCol w:w="1053"/>
        <w:gridCol w:w="1019"/>
        <w:gridCol w:w="1081"/>
        <w:gridCol w:w="724"/>
        <w:gridCol w:w="994"/>
        <w:gridCol w:w="1070"/>
      </w:tblGrid>
      <w:tr w:rsidRPr="00B20E54" w:rsidR="00B20E54" w:rsidTr="00E170C0" w14:paraId="5260BAF6" w14:textId="77777777">
        <w:trPr>
          <w:trHeight w:val="1682"/>
        </w:trPr>
        <w:tc>
          <w:tcPr>
            <w:tcW w:w="594"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4983A18A"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1.</w:t>
            </w:r>
          </w:p>
          <w:p w:rsidRPr="00B20E54" w:rsidR="00581FF6" w:rsidRDefault="00581FF6" w14:paraId="59D907F8"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Regulation(s)</w:t>
            </w:r>
          </w:p>
        </w:tc>
        <w:tc>
          <w:tcPr>
            <w:tcW w:w="569" w:type="pct"/>
            <w:tcBorders>
              <w:top w:val="single" w:color="000000" w:sz="4" w:space="0"/>
              <w:left w:val="single" w:color="000000" w:sz="4" w:space="0"/>
              <w:bottom w:val="single" w:color="000000" w:sz="4" w:space="0"/>
              <w:right w:val="single" w:color="000000" w:sz="4" w:space="0"/>
            </w:tcBorders>
          </w:tcPr>
          <w:p w:rsidRPr="00B20E54" w:rsidR="00581FF6" w:rsidRDefault="00581FF6" w14:paraId="761390F4"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2.</w:t>
            </w:r>
          </w:p>
          <w:p w:rsidRPr="00B20E54" w:rsidR="00581FF6" w:rsidRDefault="00581FF6" w14:paraId="67ACD501"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 xml:space="preserve">Estimated Number of Respondents </w:t>
            </w:r>
          </w:p>
          <w:p w:rsidRPr="00B20E54" w:rsidR="00581FF6" w:rsidRDefault="00581FF6" w14:paraId="6C7464A6" w14:textId="77777777">
            <w:pPr>
              <w:tabs>
                <w:tab w:val="left" w:pos="-720"/>
                <w:tab w:val="left" w:pos="0"/>
              </w:tabs>
              <w:suppressAutoHyphens/>
              <w:jc w:val="center"/>
              <w:rPr>
                <w:rFonts w:ascii="Times New Roman" w:hAnsi="Times New Roman"/>
                <w:b/>
                <w:sz w:val="16"/>
                <w:szCs w:val="16"/>
              </w:rPr>
            </w:pPr>
          </w:p>
        </w:tc>
        <w:tc>
          <w:tcPr>
            <w:tcW w:w="532"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4846139D"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3.</w:t>
            </w:r>
          </w:p>
          <w:p w:rsidRPr="00B20E54" w:rsidR="00581FF6" w:rsidRDefault="00581FF6" w14:paraId="436B49AC"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Estimated Number of Responses</w:t>
            </w:r>
          </w:p>
          <w:p w:rsidRPr="00B20E54" w:rsidR="00581FF6" w:rsidRDefault="00581FF6" w14:paraId="05F62AF2"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by Each Respondent</w:t>
            </w:r>
          </w:p>
        </w:tc>
        <w:tc>
          <w:tcPr>
            <w:tcW w:w="507"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4FDA4920"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4.</w:t>
            </w:r>
          </w:p>
          <w:p w:rsidRPr="00B20E54" w:rsidR="00581FF6" w:rsidRDefault="00581FF6" w14:paraId="043427D8"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Estimated Average Number of Burden Hours per Response</w:t>
            </w:r>
          </w:p>
        </w:tc>
        <w:tc>
          <w:tcPr>
            <w:tcW w:w="496"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5FE94D6D"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5.</w:t>
            </w:r>
          </w:p>
          <w:p w:rsidRPr="00B20E54" w:rsidR="00581FF6" w:rsidRDefault="00581FF6" w14:paraId="144C4523" w14:textId="77777777">
            <w:pPr>
              <w:tabs>
                <w:tab w:val="left" w:pos="-720"/>
                <w:tab w:val="left" w:pos="0"/>
              </w:tabs>
              <w:suppressAutoHyphens/>
              <w:jc w:val="center"/>
              <w:rPr>
                <w:rFonts w:ascii="Times New Roman" w:hAnsi="Times New Roman"/>
                <w:b/>
                <w:sz w:val="16"/>
                <w:szCs w:val="16"/>
              </w:rPr>
            </w:pPr>
            <w:proofErr w:type="gramStart"/>
            <w:r w:rsidRPr="00B20E54">
              <w:rPr>
                <w:rFonts w:ascii="Times New Roman" w:hAnsi="Times New Roman"/>
                <w:b/>
                <w:sz w:val="16"/>
                <w:szCs w:val="16"/>
              </w:rPr>
              <w:t>Annual  Number</w:t>
            </w:r>
            <w:proofErr w:type="gramEnd"/>
            <w:r w:rsidRPr="00B20E54">
              <w:rPr>
                <w:rFonts w:ascii="Times New Roman" w:hAnsi="Times New Roman"/>
                <w:b/>
                <w:sz w:val="16"/>
                <w:szCs w:val="16"/>
              </w:rPr>
              <w:t xml:space="preserve"> of Burden Hours per Respondent</w:t>
            </w:r>
          </w:p>
          <w:p w:rsidRPr="00B20E54" w:rsidR="00581FF6" w:rsidRDefault="00581FF6" w14:paraId="4D0510D4"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(3 x 4)</w:t>
            </w:r>
          </w:p>
        </w:tc>
        <w:tc>
          <w:tcPr>
            <w:tcW w:w="480" w:type="pct"/>
            <w:tcBorders>
              <w:top w:val="single" w:color="000000" w:sz="4" w:space="0"/>
              <w:left w:val="single" w:color="000000" w:sz="4" w:space="0"/>
              <w:bottom w:val="single" w:color="000000" w:sz="4" w:space="0"/>
              <w:right w:val="single" w:color="000000" w:sz="4" w:space="0"/>
            </w:tcBorders>
          </w:tcPr>
          <w:p w:rsidRPr="00B20E54" w:rsidR="00581FF6" w:rsidRDefault="00581FF6" w14:paraId="566368EF"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 xml:space="preserve">6. </w:t>
            </w:r>
          </w:p>
          <w:p w:rsidRPr="00B20E54" w:rsidR="00581FF6" w:rsidRDefault="00581FF6" w14:paraId="3EBD8373"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Estimated Average Burden Hour Cost</w:t>
            </w:r>
          </w:p>
          <w:p w:rsidRPr="00B20E54" w:rsidR="00581FF6" w:rsidRDefault="00581FF6" w14:paraId="07689877" w14:textId="77777777">
            <w:pPr>
              <w:tabs>
                <w:tab w:val="left" w:pos="-720"/>
                <w:tab w:val="left" w:pos="0"/>
              </w:tabs>
              <w:suppressAutoHyphens/>
              <w:jc w:val="center"/>
              <w:rPr>
                <w:rFonts w:ascii="Times New Roman" w:hAnsi="Times New Roman"/>
                <w:b/>
                <w:sz w:val="16"/>
                <w:szCs w:val="16"/>
              </w:rPr>
            </w:pPr>
          </w:p>
        </w:tc>
        <w:tc>
          <w:tcPr>
            <w:tcW w:w="509"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52ADBDDC" w14:textId="77777777">
            <w:pPr>
              <w:jc w:val="center"/>
              <w:rPr>
                <w:rFonts w:ascii="Times New Roman" w:hAnsi="Times New Roman"/>
                <w:b/>
                <w:sz w:val="16"/>
                <w:szCs w:val="16"/>
              </w:rPr>
            </w:pPr>
            <w:r w:rsidRPr="00B20E54">
              <w:rPr>
                <w:rFonts w:ascii="Times New Roman" w:hAnsi="Times New Roman"/>
                <w:b/>
                <w:sz w:val="16"/>
                <w:szCs w:val="16"/>
              </w:rPr>
              <w:t>7.</w:t>
            </w:r>
          </w:p>
          <w:p w:rsidRPr="00B20E54" w:rsidR="00581FF6" w:rsidRDefault="00581FF6" w14:paraId="6E597656" w14:textId="77777777">
            <w:pPr>
              <w:jc w:val="center"/>
              <w:rPr>
                <w:rFonts w:ascii="Times New Roman" w:hAnsi="Times New Roman"/>
                <w:b/>
                <w:sz w:val="16"/>
                <w:szCs w:val="16"/>
              </w:rPr>
            </w:pPr>
            <w:r w:rsidRPr="00B20E54">
              <w:rPr>
                <w:rFonts w:ascii="Times New Roman" w:hAnsi="Times New Roman"/>
                <w:b/>
                <w:sz w:val="16"/>
                <w:szCs w:val="16"/>
              </w:rPr>
              <w:t>Total Average Hour Burden Cost Per Respondent</w:t>
            </w:r>
          </w:p>
          <w:p w:rsidRPr="00B20E54" w:rsidR="00581FF6" w:rsidRDefault="00581FF6" w14:paraId="791DC424" w14:textId="77777777">
            <w:pPr>
              <w:jc w:val="center"/>
              <w:rPr>
                <w:rFonts w:ascii="Times New Roman" w:hAnsi="Times New Roman"/>
                <w:b/>
                <w:sz w:val="16"/>
                <w:szCs w:val="16"/>
              </w:rPr>
            </w:pPr>
            <w:r w:rsidRPr="00B20E54">
              <w:rPr>
                <w:rFonts w:ascii="Times New Roman" w:hAnsi="Times New Roman"/>
                <w:b/>
                <w:sz w:val="16"/>
                <w:szCs w:val="16"/>
              </w:rPr>
              <w:t>(5 x 6)</w:t>
            </w:r>
          </w:p>
        </w:tc>
        <w:tc>
          <w:tcPr>
            <w:tcW w:w="340"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05FA7F82"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8.</w:t>
            </w:r>
          </w:p>
          <w:p w:rsidRPr="00B20E54" w:rsidR="00581FF6" w:rsidRDefault="00581FF6" w14:paraId="75FA5D63"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Total Annual</w:t>
            </w:r>
          </w:p>
          <w:p w:rsidRPr="00B20E54" w:rsidR="00581FF6" w:rsidRDefault="00581FF6" w14:paraId="20DDA3E4"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Responses</w:t>
            </w:r>
          </w:p>
          <w:p w:rsidRPr="00B20E54" w:rsidR="00581FF6" w:rsidRDefault="00581FF6" w14:paraId="71E51E4B"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(2 x 3)</w:t>
            </w:r>
          </w:p>
        </w:tc>
        <w:tc>
          <w:tcPr>
            <w:tcW w:w="468"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7DC8137C"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9.</w:t>
            </w:r>
          </w:p>
          <w:p w:rsidRPr="00B20E54" w:rsidR="00581FF6" w:rsidRDefault="00581FF6" w14:paraId="7FA08024"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 xml:space="preserve">Total </w:t>
            </w:r>
            <w:proofErr w:type="gramStart"/>
            <w:r w:rsidRPr="00B20E54">
              <w:rPr>
                <w:rFonts w:ascii="Times New Roman" w:hAnsi="Times New Roman"/>
                <w:b/>
                <w:sz w:val="16"/>
                <w:szCs w:val="16"/>
              </w:rPr>
              <w:t>Annual  Number</w:t>
            </w:r>
            <w:proofErr w:type="gramEnd"/>
            <w:r w:rsidRPr="00B20E54">
              <w:rPr>
                <w:rFonts w:ascii="Times New Roman" w:hAnsi="Times New Roman"/>
                <w:b/>
                <w:sz w:val="16"/>
                <w:szCs w:val="16"/>
              </w:rPr>
              <w:t xml:space="preserve"> of Burden Hours</w:t>
            </w:r>
          </w:p>
          <w:p w:rsidRPr="00B20E54" w:rsidR="00581FF6" w:rsidRDefault="00581FF6" w14:paraId="4B60EE45"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(2 x 5)</w:t>
            </w:r>
          </w:p>
        </w:tc>
        <w:tc>
          <w:tcPr>
            <w:tcW w:w="505"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60A1BD62"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10.</w:t>
            </w:r>
          </w:p>
          <w:p w:rsidRPr="00B20E54" w:rsidR="00581FF6" w:rsidRDefault="00581FF6" w14:paraId="37EB3D28"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Total Annual Burden Hour Cost of All Responses</w:t>
            </w:r>
          </w:p>
          <w:p w:rsidRPr="00B20E54" w:rsidR="00581FF6" w:rsidRDefault="00581FF6" w14:paraId="5695F83A" w14:textId="7777777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(2 x 7)</w:t>
            </w:r>
          </w:p>
        </w:tc>
      </w:tr>
      <w:tr w:rsidRPr="000B55B6" w:rsidR="00B20E54" w:rsidTr="00E170C0" w14:paraId="339B463E" w14:textId="77777777">
        <w:trPr>
          <w:trHeight w:val="1427"/>
        </w:trPr>
        <w:tc>
          <w:tcPr>
            <w:tcW w:w="594"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63F14CCD" w14:textId="77777777">
            <w:pPr>
              <w:tabs>
                <w:tab w:val="left" w:pos="-720"/>
                <w:tab w:val="left" w:pos="0"/>
              </w:tabs>
              <w:suppressAutoHyphens/>
              <w:jc w:val="center"/>
              <w:rPr>
                <w:rFonts w:ascii="Times New Roman" w:hAnsi="Times New Roman"/>
                <w:b/>
                <w:sz w:val="16"/>
                <w:szCs w:val="16"/>
              </w:rPr>
            </w:pPr>
            <w:bookmarkStart w:name="_Hlk99634140" w:id="11"/>
            <w:r w:rsidRPr="00B20E54">
              <w:rPr>
                <w:rFonts w:ascii="Times New Roman" w:hAnsi="Times New Roman"/>
                <w:b/>
                <w:sz w:val="16"/>
                <w:szCs w:val="16"/>
              </w:rPr>
              <w:t>Core Principle 16 “Conflicts of Interest” and Related Acceptable Practices</w:t>
            </w:r>
          </w:p>
          <w:p w:rsidR="00581FF6" w:rsidRDefault="00581FF6" w14:paraId="1A7AB2CA" w14:textId="024C0C08">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(Annual assessment report)</w:t>
            </w:r>
            <w:bookmarkEnd w:id="11"/>
          </w:p>
          <w:p w:rsidRPr="00B20E54" w:rsidR="00B20E54" w:rsidRDefault="00B20E54" w14:paraId="3B1C41B8" w14:textId="3DFFD427">
            <w:pPr>
              <w:tabs>
                <w:tab w:val="left" w:pos="-720"/>
                <w:tab w:val="left" w:pos="0"/>
              </w:tabs>
              <w:suppressAutoHyphens/>
              <w:jc w:val="center"/>
              <w:rPr>
                <w:rFonts w:ascii="Times New Roman" w:hAnsi="Times New Roman"/>
                <w:b/>
                <w:sz w:val="16"/>
                <w:szCs w:val="16"/>
              </w:rPr>
            </w:pPr>
          </w:p>
        </w:tc>
        <w:tc>
          <w:tcPr>
            <w:tcW w:w="569"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4612033D" w14:textId="2CDC5FF2">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1</w:t>
            </w:r>
            <w:r w:rsidRPr="000B55B6" w:rsidR="00EB34A6">
              <w:rPr>
                <w:rFonts w:asciiTheme="minorHAnsi" w:hAnsiTheme="minorHAnsi" w:cstheme="minorHAnsi"/>
                <w:b/>
                <w:sz w:val="20"/>
              </w:rPr>
              <w:t>6</w:t>
            </w:r>
          </w:p>
        </w:tc>
        <w:tc>
          <w:tcPr>
            <w:tcW w:w="532"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3C131B5E"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1</w:t>
            </w:r>
          </w:p>
        </w:tc>
        <w:tc>
          <w:tcPr>
            <w:tcW w:w="507"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440DC7AE"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70</w:t>
            </w:r>
          </w:p>
        </w:tc>
        <w:tc>
          <w:tcPr>
            <w:tcW w:w="496"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5FB23294"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70</w:t>
            </w:r>
          </w:p>
        </w:tc>
        <w:tc>
          <w:tcPr>
            <w:tcW w:w="480"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524B45D6" w14:textId="46F0B70D">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w:t>
            </w:r>
            <w:r w:rsidRPr="000B55B6" w:rsidR="005A1FBF">
              <w:rPr>
                <w:rFonts w:asciiTheme="minorHAnsi" w:hAnsiTheme="minorHAnsi" w:cstheme="minorHAnsi"/>
                <w:b/>
                <w:sz w:val="20"/>
              </w:rPr>
              <w:t>83</w:t>
            </w:r>
            <w:r w:rsidRPr="000B55B6" w:rsidR="00333BB7">
              <w:rPr>
                <w:rStyle w:val="FootnoteReference"/>
                <w:rFonts w:asciiTheme="minorHAnsi" w:hAnsiTheme="minorHAnsi" w:cstheme="minorHAnsi"/>
                <w:b/>
                <w:sz w:val="20"/>
              </w:rPr>
              <w:footnoteReference w:id="21"/>
            </w:r>
          </w:p>
        </w:tc>
        <w:tc>
          <w:tcPr>
            <w:tcW w:w="508"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2CC2F610" w14:textId="01B4DE8B">
            <w:pPr>
              <w:jc w:val="center"/>
              <w:rPr>
                <w:rFonts w:asciiTheme="minorHAnsi" w:hAnsiTheme="minorHAnsi" w:cstheme="minorHAnsi"/>
                <w:b/>
                <w:sz w:val="20"/>
              </w:rPr>
            </w:pPr>
            <w:r w:rsidRPr="000B55B6">
              <w:rPr>
                <w:rFonts w:asciiTheme="minorHAnsi" w:hAnsiTheme="minorHAnsi" w:cstheme="minorHAnsi"/>
                <w:b/>
                <w:sz w:val="20"/>
              </w:rPr>
              <w:t>$</w:t>
            </w:r>
            <w:r w:rsidRPr="000B55B6" w:rsidR="00EB34A6">
              <w:rPr>
                <w:rFonts w:asciiTheme="minorHAnsi" w:hAnsiTheme="minorHAnsi" w:cstheme="minorHAnsi"/>
                <w:b/>
                <w:sz w:val="20"/>
              </w:rPr>
              <w:t>5,810</w:t>
            </w:r>
          </w:p>
        </w:tc>
        <w:tc>
          <w:tcPr>
            <w:tcW w:w="341"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4E669D0D" w14:textId="6FC8ACD9">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1</w:t>
            </w:r>
            <w:r w:rsidRPr="000B55B6" w:rsidR="00EB34A6">
              <w:rPr>
                <w:rFonts w:asciiTheme="minorHAnsi" w:hAnsiTheme="minorHAnsi" w:cstheme="minorHAnsi"/>
                <w:b/>
                <w:sz w:val="20"/>
              </w:rPr>
              <w:t>6</w:t>
            </w:r>
          </w:p>
        </w:tc>
        <w:tc>
          <w:tcPr>
            <w:tcW w:w="468" w:type="pct"/>
            <w:tcBorders>
              <w:top w:val="single" w:color="000000" w:sz="4" w:space="0"/>
              <w:left w:val="single" w:color="000000" w:sz="4" w:space="0"/>
              <w:bottom w:val="single" w:color="000000" w:sz="4" w:space="0"/>
              <w:right w:val="single" w:color="000000" w:sz="4" w:space="0"/>
            </w:tcBorders>
            <w:hideMark/>
          </w:tcPr>
          <w:p w:rsidRPr="000B55B6" w:rsidR="00581FF6" w:rsidRDefault="00EB34A6" w14:paraId="51A3E260" w14:textId="1697E081">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1,120</w:t>
            </w:r>
          </w:p>
        </w:tc>
        <w:tc>
          <w:tcPr>
            <w:tcW w:w="505"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173050DF" w14:textId="211967BA">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w:t>
            </w:r>
            <w:r w:rsidRPr="000B55B6" w:rsidR="00EB34A6">
              <w:rPr>
                <w:rFonts w:asciiTheme="minorHAnsi" w:hAnsiTheme="minorHAnsi" w:cstheme="minorHAnsi"/>
                <w:b/>
                <w:sz w:val="20"/>
              </w:rPr>
              <w:t>92,960</w:t>
            </w:r>
          </w:p>
        </w:tc>
      </w:tr>
      <w:tr w:rsidRPr="000B55B6" w:rsidR="00B20E54" w:rsidTr="00E170C0" w14:paraId="56CFFE5D" w14:textId="77777777">
        <w:trPr>
          <w:trHeight w:val="989"/>
        </w:trPr>
        <w:tc>
          <w:tcPr>
            <w:tcW w:w="594"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66E27A15" w14:textId="77777777">
            <w:pPr>
              <w:tabs>
                <w:tab w:val="left" w:pos="-720"/>
                <w:tab w:val="left" w:pos="0"/>
              </w:tabs>
              <w:suppressAutoHyphens/>
              <w:jc w:val="center"/>
              <w:rPr>
                <w:rFonts w:ascii="Times New Roman" w:hAnsi="Times New Roman"/>
                <w:b/>
                <w:sz w:val="16"/>
                <w:szCs w:val="16"/>
              </w:rPr>
            </w:pPr>
            <w:bookmarkStart w:name="_Hlk99634196" w:id="12"/>
            <w:r w:rsidRPr="00B20E54">
              <w:rPr>
                <w:rFonts w:ascii="Times New Roman" w:hAnsi="Times New Roman"/>
                <w:b/>
                <w:sz w:val="16"/>
                <w:szCs w:val="16"/>
              </w:rPr>
              <w:t>§38.1101 et al</w:t>
            </w:r>
          </w:p>
          <w:p w:rsidRPr="00B20E54" w:rsidR="00581FF6" w:rsidRDefault="00581FF6" w14:paraId="1972755C" w14:textId="6F58C7B2">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(Quarterly Financial Reports)</w:t>
            </w:r>
            <w:bookmarkEnd w:id="12"/>
          </w:p>
        </w:tc>
        <w:tc>
          <w:tcPr>
            <w:tcW w:w="569"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570D1C51" w14:textId="19B134F6">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1</w:t>
            </w:r>
            <w:r w:rsidRPr="000B55B6" w:rsidR="00EB34A6">
              <w:rPr>
                <w:rFonts w:asciiTheme="minorHAnsi" w:hAnsiTheme="minorHAnsi" w:cstheme="minorHAnsi"/>
                <w:b/>
                <w:sz w:val="20"/>
              </w:rPr>
              <w:t>6</w:t>
            </w:r>
          </w:p>
        </w:tc>
        <w:tc>
          <w:tcPr>
            <w:tcW w:w="532"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2D043DB9"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4</w:t>
            </w:r>
          </w:p>
        </w:tc>
        <w:tc>
          <w:tcPr>
            <w:tcW w:w="507"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16C0A412"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10</w:t>
            </w:r>
          </w:p>
        </w:tc>
        <w:tc>
          <w:tcPr>
            <w:tcW w:w="496"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7763136A"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40</w:t>
            </w:r>
          </w:p>
        </w:tc>
        <w:tc>
          <w:tcPr>
            <w:tcW w:w="480"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2EECB149" w14:textId="238F3CF4">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w:t>
            </w:r>
            <w:r w:rsidRPr="000B55B6" w:rsidR="005A1FBF">
              <w:rPr>
                <w:rFonts w:asciiTheme="minorHAnsi" w:hAnsiTheme="minorHAnsi" w:cstheme="minorHAnsi"/>
                <w:b/>
                <w:sz w:val="20"/>
              </w:rPr>
              <w:t>83</w:t>
            </w:r>
            <w:r w:rsidRPr="000B55B6" w:rsidR="00333BB7">
              <w:rPr>
                <w:rStyle w:val="FootnoteReference"/>
                <w:rFonts w:asciiTheme="minorHAnsi" w:hAnsiTheme="minorHAnsi" w:cstheme="minorHAnsi"/>
                <w:b/>
                <w:sz w:val="20"/>
              </w:rPr>
              <w:footnoteReference w:id="22"/>
            </w:r>
          </w:p>
        </w:tc>
        <w:tc>
          <w:tcPr>
            <w:tcW w:w="508"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495A0706" w14:textId="54D84E92">
            <w:pPr>
              <w:jc w:val="center"/>
              <w:rPr>
                <w:rFonts w:asciiTheme="minorHAnsi" w:hAnsiTheme="minorHAnsi" w:cstheme="minorHAnsi"/>
                <w:b/>
                <w:sz w:val="20"/>
              </w:rPr>
            </w:pPr>
            <w:r w:rsidRPr="000B55B6">
              <w:rPr>
                <w:rFonts w:asciiTheme="minorHAnsi" w:hAnsiTheme="minorHAnsi" w:cstheme="minorHAnsi"/>
                <w:b/>
                <w:sz w:val="20"/>
              </w:rPr>
              <w:t>$</w:t>
            </w:r>
            <w:r w:rsidRPr="000B55B6" w:rsidR="00EB34A6">
              <w:rPr>
                <w:rFonts w:asciiTheme="minorHAnsi" w:hAnsiTheme="minorHAnsi" w:cstheme="minorHAnsi"/>
                <w:b/>
                <w:sz w:val="20"/>
              </w:rPr>
              <w:t>3,320</w:t>
            </w:r>
          </w:p>
        </w:tc>
        <w:tc>
          <w:tcPr>
            <w:tcW w:w="341" w:type="pct"/>
            <w:tcBorders>
              <w:top w:val="single" w:color="000000" w:sz="4" w:space="0"/>
              <w:left w:val="single" w:color="000000" w:sz="4" w:space="0"/>
              <w:bottom w:val="single" w:color="000000" w:sz="4" w:space="0"/>
              <w:right w:val="single" w:color="000000" w:sz="4" w:space="0"/>
            </w:tcBorders>
            <w:hideMark/>
          </w:tcPr>
          <w:p w:rsidRPr="000B55B6" w:rsidR="00581FF6" w:rsidRDefault="00EB34A6" w14:paraId="1DCC524A" w14:textId="2981146A">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64</w:t>
            </w:r>
          </w:p>
        </w:tc>
        <w:tc>
          <w:tcPr>
            <w:tcW w:w="468" w:type="pct"/>
            <w:tcBorders>
              <w:top w:val="single" w:color="000000" w:sz="4" w:space="0"/>
              <w:left w:val="single" w:color="000000" w:sz="4" w:space="0"/>
              <w:bottom w:val="single" w:color="000000" w:sz="4" w:space="0"/>
              <w:right w:val="single" w:color="000000" w:sz="4" w:space="0"/>
            </w:tcBorders>
            <w:hideMark/>
          </w:tcPr>
          <w:p w:rsidRPr="000B55B6" w:rsidR="00581FF6" w:rsidRDefault="00EB34A6" w14:paraId="427DA3F2" w14:textId="0F4D86E0">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640</w:t>
            </w:r>
          </w:p>
        </w:tc>
        <w:tc>
          <w:tcPr>
            <w:tcW w:w="505"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69074431" w14:textId="090131AD">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w:t>
            </w:r>
            <w:r w:rsidRPr="000B55B6" w:rsidR="00EB34A6">
              <w:rPr>
                <w:rFonts w:asciiTheme="minorHAnsi" w:hAnsiTheme="minorHAnsi" w:cstheme="minorHAnsi"/>
                <w:b/>
                <w:sz w:val="20"/>
              </w:rPr>
              <w:t>53,120</w:t>
            </w:r>
          </w:p>
        </w:tc>
      </w:tr>
      <w:tr w:rsidRPr="000B55B6" w:rsidR="00B20E54" w:rsidTr="00E170C0" w14:paraId="76559433" w14:textId="77777777">
        <w:trPr>
          <w:trHeight w:val="1427"/>
        </w:trPr>
        <w:tc>
          <w:tcPr>
            <w:tcW w:w="594"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045E2B94" w14:textId="77777777">
            <w:pPr>
              <w:tabs>
                <w:tab w:val="left" w:pos="-720"/>
                <w:tab w:val="left" w:pos="0"/>
              </w:tabs>
              <w:suppressAutoHyphens/>
              <w:jc w:val="center"/>
              <w:rPr>
                <w:rFonts w:ascii="Times New Roman" w:hAnsi="Times New Roman"/>
                <w:b/>
                <w:sz w:val="16"/>
                <w:szCs w:val="16"/>
              </w:rPr>
            </w:pPr>
            <w:bookmarkStart w:name="_Hlk99634275" w:id="13"/>
            <w:r w:rsidRPr="00B20E54">
              <w:rPr>
                <w:rFonts w:ascii="Times New Roman" w:hAnsi="Times New Roman"/>
                <w:b/>
                <w:sz w:val="16"/>
                <w:szCs w:val="16"/>
              </w:rPr>
              <w:t>§38.1051(n)</w:t>
            </w:r>
          </w:p>
          <w:p w:rsidRPr="00B20E54" w:rsidR="00581FF6" w:rsidRDefault="00581FF6" w14:paraId="2BBA6E8F" w14:textId="159510F7">
            <w:pPr>
              <w:tabs>
                <w:tab w:val="left" w:pos="-720"/>
                <w:tab w:val="left" w:pos="0"/>
              </w:tabs>
              <w:suppressAutoHyphens/>
              <w:jc w:val="center"/>
              <w:rPr>
                <w:rFonts w:ascii="Times New Roman" w:hAnsi="Times New Roman"/>
                <w:b/>
                <w:sz w:val="16"/>
                <w:szCs w:val="16"/>
              </w:rPr>
            </w:pPr>
            <w:r w:rsidRPr="00B20E54">
              <w:rPr>
                <w:rFonts w:ascii="Times New Roman" w:hAnsi="Times New Roman"/>
                <w:b/>
                <w:sz w:val="16"/>
                <w:szCs w:val="16"/>
              </w:rPr>
              <w:t>(Required Production of Annual Trading Volume)</w:t>
            </w:r>
            <w:bookmarkEnd w:id="13"/>
          </w:p>
        </w:tc>
        <w:tc>
          <w:tcPr>
            <w:tcW w:w="569"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2A303AB8" w14:textId="173E3655">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1</w:t>
            </w:r>
            <w:r w:rsidRPr="000B55B6" w:rsidR="00EB34A6">
              <w:rPr>
                <w:rFonts w:asciiTheme="minorHAnsi" w:hAnsiTheme="minorHAnsi" w:cstheme="minorHAnsi"/>
                <w:b/>
                <w:sz w:val="20"/>
              </w:rPr>
              <w:t>6</w:t>
            </w:r>
          </w:p>
        </w:tc>
        <w:tc>
          <w:tcPr>
            <w:tcW w:w="532"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1749655C"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1</w:t>
            </w:r>
          </w:p>
        </w:tc>
        <w:tc>
          <w:tcPr>
            <w:tcW w:w="507"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75C23CF5"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.5</w:t>
            </w:r>
          </w:p>
        </w:tc>
        <w:tc>
          <w:tcPr>
            <w:tcW w:w="496"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37A9683C" w14:textId="77777777">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.5</w:t>
            </w:r>
          </w:p>
        </w:tc>
        <w:tc>
          <w:tcPr>
            <w:tcW w:w="480"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7910888E" w14:textId="006F2601">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w:t>
            </w:r>
            <w:r w:rsidRPr="000B55B6" w:rsidR="00EB34A6">
              <w:rPr>
                <w:rFonts w:asciiTheme="minorHAnsi" w:hAnsiTheme="minorHAnsi" w:cstheme="minorHAnsi"/>
                <w:b/>
                <w:sz w:val="20"/>
              </w:rPr>
              <w:t>83</w:t>
            </w:r>
            <w:r w:rsidRPr="000B55B6" w:rsidR="00333BB7">
              <w:rPr>
                <w:rStyle w:val="FootnoteReference"/>
                <w:rFonts w:asciiTheme="minorHAnsi" w:hAnsiTheme="minorHAnsi" w:cstheme="minorHAnsi"/>
                <w:b/>
                <w:sz w:val="20"/>
              </w:rPr>
              <w:footnoteReference w:id="23"/>
            </w:r>
          </w:p>
        </w:tc>
        <w:tc>
          <w:tcPr>
            <w:tcW w:w="508"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0A53A9B9" w14:textId="48C5D1D8">
            <w:pPr>
              <w:jc w:val="center"/>
              <w:rPr>
                <w:rFonts w:asciiTheme="minorHAnsi" w:hAnsiTheme="minorHAnsi" w:cstheme="minorHAnsi"/>
                <w:b/>
                <w:sz w:val="20"/>
              </w:rPr>
            </w:pPr>
            <w:r w:rsidRPr="000B55B6">
              <w:rPr>
                <w:rFonts w:asciiTheme="minorHAnsi" w:hAnsiTheme="minorHAnsi" w:cstheme="minorHAnsi"/>
                <w:b/>
                <w:sz w:val="20"/>
              </w:rPr>
              <w:t>$</w:t>
            </w:r>
            <w:r w:rsidRPr="000B55B6" w:rsidR="00EB34A6">
              <w:rPr>
                <w:rFonts w:asciiTheme="minorHAnsi" w:hAnsiTheme="minorHAnsi" w:cstheme="minorHAnsi"/>
                <w:b/>
                <w:sz w:val="20"/>
              </w:rPr>
              <w:t>41.5</w:t>
            </w:r>
          </w:p>
        </w:tc>
        <w:tc>
          <w:tcPr>
            <w:tcW w:w="341"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46A2D4AE" w14:textId="4F8DCCB2">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1</w:t>
            </w:r>
            <w:r w:rsidRPr="000B55B6" w:rsidR="00EB34A6">
              <w:rPr>
                <w:rFonts w:asciiTheme="minorHAnsi" w:hAnsiTheme="minorHAnsi" w:cstheme="minorHAnsi"/>
                <w:b/>
                <w:sz w:val="20"/>
              </w:rPr>
              <w:t>6</w:t>
            </w:r>
          </w:p>
        </w:tc>
        <w:tc>
          <w:tcPr>
            <w:tcW w:w="468" w:type="pct"/>
            <w:tcBorders>
              <w:top w:val="single" w:color="000000" w:sz="4" w:space="0"/>
              <w:left w:val="single" w:color="000000" w:sz="4" w:space="0"/>
              <w:bottom w:val="single" w:color="000000" w:sz="4" w:space="0"/>
              <w:right w:val="single" w:color="000000" w:sz="4" w:space="0"/>
            </w:tcBorders>
            <w:hideMark/>
          </w:tcPr>
          <w:p w:rsidRPr="000B55B6" w:rsidR="00581FF6" w:rsidRDefault="00EB34A6" w14:paraId="6FC5F312" w14:textId="32F76204">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8</w:t>
            </w:r>
          </w:p>
        </w:tc>
        <w:tc>
          <w:tcPr>
            <w:tcW w:w="505" w:type="pct"/>
            <w:tcBorders>
              <w:top w:val="single" w:color="000000" w:sz="4" w:space="0"/>
              <w:left w:val="single" w:color="000000" w:sz="4" w:space="0"/>
              <w:bottom w:val="single" w:color="000000" w:sz="4" w:space="0"/>
              <w:right w:val="single" w:color="000000" w:sz="4" w:space="0"/>
            </w:tcBorders>
            <w:hideMark/>
          </w:tcPr>
          <w:p w:rsidRPr="000B55B6" w:rsidR="00581FF6" w:rsidRDefault="00581FF6" w14:paraId="180AEDE8" w14:textId="7AF0BAD6">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w:t>
            </w:r>
            <w:r w:rsidRPr="000B55B6" w:rsidR="00EB34A6">
              <w:rPr>
                <w:rFonts w:asciiTheme="minorHAnsi" w:hAnsiTheme="minorHAnsi" w:cstheme="minorHAnsi"/>
                <w:b/>
                <w:sz w:val="20"/>
              </w:rPr>
              <w:t>664</w:t>
            </w:r>
          </w:p>
        </w:tc>
      </w:tr>
      <w:tr w:rsidRPr="000B55B6" w:rsidR="00B20E54" w:rsidTr="00E170C0" w14:paraId="60A2A79C" w14:textId="77777777">
        <w:trPr>
          <w:trHeight w:val="1427"/>
        </w:trPr>
        <w:tc>
          <w:tcPr>
            <w:tcW w:w="594" w:type="pct"/>
            <w:tcBorders>
              <w:top w:val="single" w:color="000000" w:sz="4" w:space="0"/>
              <w:left w:val="single" w:color="000000" w:sz="4" w:space="0"/>
              <w:bottom w:val="single" w:color="000000" w:sz="4" w:space="0"/>
              <w:right w:val="single" w:color="000000" w:sz="4" w:space="0"/>
            </w:tcBorders>
            <w:vAlign w:val="center"/>
          </w:tcPr>
          <w:p w:rsidRPr="00B20E54" w:rsidR="001B438B" w:rsidP="001B438B" w:rsidRDefault="001B438B" w14:paraId="60DB7710" w14:textId="720852BB">
            <w:pPr>
              <w:tabs>
                <w:tab w:val="left" w:pos="-720"/>
                <w:tab w:val="left" w:pos="0"/>
              </w:tabs>
              <w:suppressAutoHyphens/>
              <w:jc w:val="center"/>
              <w:rPr>
                <w:rFonts w:ascii="Times New Roman" w:hAnsi="Times New Roman"/>
                <w:b/>
                <w:sz w:val="16"/>
                <w:szCs w:val="16"/>
              </w:rPr>
            </w:pPr>
            <w:bookmarkStart w:name="_Hlk99634605" w:id="14"/>
            <w:r w:rsidRPr="00B20E54">
              <w:rPr>
                <w:rFonts w:ascii="Times New Roman" w:hAnsi="Times New Roman"/>
                <w:b/>
                <w:sz w:val="16"/>
                <w:szCs w:val="16"/>
              </w:rPr>
              <w:t>38.251(g)</w:t>
            </w:r>
            <w:bookmarkEnd w:id="14"/>
            <w:r w:rsidRPr="00B20E54" w:rsidR="00D0618F">
              <w:rPr>
                <w:rFonts w:ascii="Times New Roman" w:hAnsi="Times New Roman"/>
                <w:b/>
                <w:sz w:val="16"/>
                <w:szCs w:val="16"/>
              </w:rPr>
              <w:t xml:space="preserve"> (Required Market Disruptions Notifications)</w:t>
            </w:r>
          </w:p>
        </w:tc>
        <w:tc>
          <w:tcPr>
            <w:tcW w:w="569" w:type="pct"/>
            <w:tcBorders>
              <w:top w:val="single" w:color="000000" w:sz="4" w:space="0"/>
              <w:left w:val="single" w:color="000000" w:sz="4" w:space="0"/>
              <w:bottom w:val="single" w:color="000000" w:sz="4" w:space="0"/>
              <w:right w:val="single" w:color="000000" w:sz="4" w:space="0"/>
            </w:tcBorders>
            <w:vAlign w:val="center"/>
          </w:tcPr>
          <w:p w:rsidRPr="000B55B6" w:rsidR="001B438B" w:rsidP="001B438B" w:rsidRDefault="001B438B" w14:paraId="5E739972" w14:textId="394F27F2">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1</w:t>
            </w:r>
            <w:r w:rsidRPr="000B55B6" w:rsidR="003645C4">
              <w:rPr>
                <w:rFonts w:asciiTheme="minorHAnsi" w:hAnsiTheme="minorHAnsi" w:cstheme="minorHAnsi"/>
                <w:b/>
                <w:sz w:val="20"/>
              </w:rPr>
              <w:t>6</w:t>
            </w:r>
            <w:r w:rsidRPr="000B55B6" w:rsidR="00333BB7">
              <w:rPr>
                <w:rStyle w:val="FootnoteReference"/>
                <w:rFonts w:asciiTheme="minorHAnsi" w:hAnsiTheme="minorHAnsi" w:cstheme="minorHAnsi"/>
                <w:b/>
                <w:sz w:val="20"/>
              </w:rPr>
              <w:footnoteReference w:id="24"/>
            </w:r>
          </w:p>
        </w:tc>
        <w:tc>
          <w:tcPr>
            <w:tcW w:w="532" w:type="pct"/>
            <w:tcBorders>
              <w:top w:val="single" w:color="000000" w:sz="4" w:space="0"/>
              <w:left w:val="single" w:color="000000" w:sz="4" w:space="0"/>
              <w:bottom w:val="single" w:color="000000" w:sz="4" w:space="0"/>
              <w:right w:val="single" w:color="000000" w:sz="4" w:space="0"/>
            </w:tcBorders>
            <w:vAlign w:val="center"/>
          </w:tcPr>
          <w:p w:rsidRPr="000B55B6" w:rsidR="001B438B" w:rsidP="001B438B" w:rsidRDefault="003F71FC" w14:paraId="13D29531" w14:textId="2A95A2C2">
            <w:pPr>
              <w:tabs>
                <w:tab w:val="left" w:pos="-720"/>
                <w:tab w:val="left" w:pos="0"/>
              </w:tabs>
              <w:suppressAutoHyphens/>
              <w:jc w:val="center"/>
              <w:rPr>
                <w:rFonts w:asciiTheme="minorHAnsi" w:hAnsiTheme="minorHAnsi" w:cstheme="minorHAnsi"/>
                <w:b/>
                <w:sz w:val="20"/>
              </w:rPr>
            </w:pPr>
            <w:r>
              <w:rPr>
                <w:rFonts w:asciiTheme="minorHAnsi" w:hAnsiTheme="minorHAnsi" w:cstheme="minorHAnsi"/>
                <w:b/>
                <w:sz w:val="20"/>
              </w:rPr>
              <w:t>13.28</w:t>
            </w:r>
            <w:r w:rsidR="00971C63">
              <w:rPr>
                <w:rStyle w:val="FootnoteReference"/>
                <w:rFonts w:asciiTheme="minorHAnsi" w:hAnsiTheme="minorHAnsi" w:cstheme="minorHAnsi"/>
                <w:b/>
                <w:sz w:val="20"/>
              </w:rPr>
              <w:footnoteReference w:id="25"/>
            </w:r>
          </w:p>
        </w:tc>
        <w:tc>
          <w:tcPr>
            <w:tcW w:w="507" w:type="pct"/>
            <w:tcBorders>
              <w:top w:val="single" w:color="000000" w:sz="4" w:space="0"/>
              <w:left w:val="single" w:color="000000" w:sz="4" w:space="0"/>
              <w:bottom w:val="single" w:color="000000" w:sz="4" w:space="0"/>
              <w:right w:val="single" w:color="000000" w:sz="4" w:space="0"/>
            </w:tcBorders>
            <w:vAlign w:val="center"/>
          </w:tcPr>
          <w:p w:rsidRPr="000B55B6" w:rsidR="001B438B" w:rsidP="001B438B" w:rsidRDefault="001B438B" w14:paraId="10B22610" w14:textId="38CEEC01">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5</w:t>
            </w:r>
          </w:p>
        </w:tc>
        <w:tc>
          <w:tcPr>
            <w:tcW w:w="496" w:type="pct"/>
            <w:tcBorders>
              <w:top w:val="single" w:color="000000" w:sz="4" w:space="0"/>
              <w:left w:val="single" w:color="000000" w:sz="4" w:space="0"/>
              <w:bottom w:val="single" w:color="000000" w:sz="4" w:space="0"/>
              <w:right w:val="single" w:color="000000" w:sz="4" w:space="0"/>
            </w:tcBorders>
            <w:vAlign w:val="center"/>
          </w:tcPr>
          <w:p w:rsidRPr="000B55B6" w:rsidR="001B438B" w:rsidP="001B438B" w:rsidRDefault="00BE6E97" w14:paraId="1D6ADC34" w14:textId="4991B874">
            <w:pPr>
              <w:tabs>
                <w:tab w:val="left" w:pos="-720"/>
                <w:tab w:val="left" w:pos="0"/>
              </w:tabs>
              <w:suppressAutoHyphens/>
              <w:jc w:val="center"/>
              <w:rPr>
                <w:rFonts w:asciiTheme="minorHAnsi" w:hAnsiTheme="minorHAnsi" w:cstheme="minorHAnsi"/>
                <w:b/>
                <w:sz w:val="20"/>
              </w:rPr>
            </w:pPr>
            <w:r>
              <w:rPr>
                <w:rFonts w:asciiTheme="minorHAnsi" w:hAnsiTheme="minorHAnsi" w:cstheme="minorHAnsi"/>
                <w:b/>
                <w:sz w:val="20"/>
              </w:rPr>
              <w:t>66.4</w:t>
            </w:r>
          </w:p>
        </w:tc>
        <w:tc>
          <w:tcPr>
            <w:tcW w:w="480" w:type="pct"/>
            <w:tcBorders>
              <w:top w:val="single" w:color="000000" w:sz="4" w:space="0"/>
              <w:left w:val="single" w:color="000000" w:sz="4" w:space="0"/>
              <w:bottom w:val="single" w:color="000000" w:sz="4" w:space="0"/>
              <w:right w:val="single" w:color="000000" w:sz="4" w:space="0"/>
            </w:tcBorders>
            <w:vAlign w:val="center"/>
          </w:tcPr>
          <w:p w:rsidRPr="000B55B6" w:rsidR="001B438B" w:rsidP="001B438B" w:rsidRDefault="001B438B" w14:paraId="278E66B2" w14:textId="55588CCA">
            <w:pPr>
              <w:tabs>
                <w:tab w:val="left" w:pos="-720"/>
                <w:tab w:val="left" w:pos="0"/>
              </w:tabs>
              <w:suppressAutoHyphens/>
              <w:jc w:val="center"/>
              <w:rPr>
                <w:rFonts w:asciiTheme="minorHAnsi" w:hAnsiTheme="minorHAnsi" w:cstheme="minorHAnsi"/>
                <w:b/>
                <w:sz w:val="20"/>
              </w:rPr>
            </w:pPr>
            <w:r w:rsidRPr="000B55B6">
              <w:rPr>
                <w:rFonts w:asciiTheme="minorHAnsi" w:hAnsiTheme="minorHAnsi" w:cstheme="minorHAnsi"/>
                <w:b/>
                <w:sz w:val="20"/>
              </w:rPr>
              <w:t>$</w:t>
            </w:r>
            <w:r w:rsidRPr="000B55B6" w:rsidR="003645C4">
              <w:rPr>
                <w:rFonts w:asciiTheme="minorHAnsi" w:hAnsiTheme="minorHAnsi" w:cstheme="minorHAnsi"/>
                <w:b/>
                <w:sz w:val="20"/>
              </w:rPr>
              <w:t>89</w:t>
            </w:r>
            <w:r w:rsidRPr="000B55B6">
              <w:rPr>
                <w:rFonts w:asciiTheme="minorHAnsi" w:hAnsiTheme="minorHAnsi" w:cstheme="minorHAnsi"/>
                <w:b/>
                <w:sz w:val="20"/>
              </w:rPr>
              <w:t>.</w:t>
            </w:r>
            <w:r w:rsidRPr="000B55B6" w:rsidR="003645C4">
              <w:rPr>
                <w:rFonts w:asciiTheme="minorHAnsi" w:hAnsiTheme="minorHAnsi" w:cstheme="minorHAnsi"/>
                <w:b/>
                <w:sz w:val="20"/>
              </w:rPr>
              <w:t>72</w:t>
            </w:r>
            <w:r w:rsidRPr="000B55B6" w:rsidR="00D0618F">
              <w:rPr>
                <w:rStyle w:val="FootnoteReference"/>
                <w:rFonts w:asciiTheme="minorHAnsi" w:hAnsiTheme="minorHAnsi" w:cstheme="minorHAnsi"/>
                <w:b/>
                <w:sz w:val="20"/>
              </w:rPr>
              <w:footnoteReference w:id="26"/>
            </w:r>
          </w:p>
        </w:tc>
        <w:tc>
          <w:tcPr>
            <w:tcW w:w="508" w:type="pct"/>
            <w:tcBorders>
              <w:top w:val="single" w:color="000000" w:sz="4" w:space="0"/>
              <w:left w:val="single" w:color="000000" w:sz="4" w:space="0"/>
              <w:bottom w:val="single" w:color="000000" w:sz="4" w:space="0"/>
              <w:right w:val="single" w:color="000000" w:sz="4" w:space="0"/>
            </w:tcBorders>
            <w:vAlign w:val="center"/>
          </w:tcPr>
          <w:p w:rsidRPr="000B55B6" w:rsidR="001B438B" w:rsidP="001B438B" w:rsidRDefault="00E170C0" w14:paraId="1D069029" w14:textId="07926DAD">
            <w:pPr>
              <w:jc w:val="center"/>
              <w:rPr>
                <w:rFonts w:asciiTheme="minorHAnsi" w:hAnsiTheme="minorHAnsi" w:cstheme="minorHAnsi"/>
                <w:b/>
                <w:sz w:val="20"/>
              </w:rPr>
            </w:pPr>
            <w:r>
              <w:rPr>
                <w:rFonts w:asciiTheme="minorHAnsi" w:hAnsiTheme="minorHAnsi" w:cstheme="minorHAnsi"/>
                <w:b/>
                <w:sz w:val="20"/>
              </w:rPr>
              <w:t>$5,957.4</w:t>
            </w:r>
            <w:r w:rsidR="00075EA0">
              <w:rPr>
                <w:rFonts w:asciiTheme="minorHAnsi" w:hAnsiTheme="minorHAnsi" w:cstheme="minorHAnsi"/>
                <w:b/>
                <w:sz w:val="20"/>
              </w:rPr>
              <w:t>1</w:t>
            </w:r>
          </w:p>
        </w:tc>
        <w:tc>
          <w:tcPr>
            <w:tcW w:w="341" w:type="pct"/>
            <w:tcBorders>
              <w:top w:val="single" w:color="000000" w:sz="4" w:space="0"/>
              <w:left w:val="single" w:color="000000" w:sz="4" w:space="0"/>
              <w:bottom w:val="single" w:color="000000" w:sz="4" w:space="0"/>
              <w:right w:val="single" w:color="000000" w:sz="4" w:space="0"/>
            </w:tcBorders>
            <w:vAlign w:val="center"/>
          </w:tcPr>
          <w:p w:rsidRPr="000B55B6" w:rsidR="001B438B" w:rsidP="001B438B" w:rsidRDefault="003F71FC" w14:paraId="1FD5320A" w14:textId="6E475994">
            <w:pPr>
              <w:tabs>
                <w:tab w:val="left" w:pos="-720"/>
                <w:tab w:val="left" w:pos="0"/>
              </w:tabs>
              <w:suppressAutoHyphens/>
              <w:jc w:val="center"/>
              <w:rPr>
                <w:rFonts w:asciiTheme="minorHAnsi" w:hAnsiTheme="minorHAnsi" w:cstheme="minorHAnsi"/>
                <w:b/>
                <w:sz w:val="20"/>
              </w:rPr>
            </w:pPr>
            <w:r>
              <w:rPr>
                <w:rFonts w:asciiTheme="minorHAnsi" w:hAnsiTheme="minorHAnsi" w:cstheme="minorHAnsi"/>
                <w:b/>
                <w:sz w:val="20"/>
              </w:rPr>
              <w:t>212.5</w:t>
            </w:r>
            <w:bookmarkStart w:name="_Ref101354032" w:id="15"/>
            <w:r w:rsidRPr="000B55B6" w:rsidR="00D0618F">
              <w:rPr>
                <w:rStyle w:val="FootnoteReference"/>
                <w:rFonts w:asciiTheme="minorHAnsi" w:hAnsiTheme="minorHAnsi" w:cstheme="minorHAnsi"/>
                <w:b/>
                <w:sz w:val="20"/>
              </w:rPr>
              <w:footnoteReference w:id="27"/>
            </w:r>
            <w:bookmarkEnd w:id="15"/>
          </w:p>
        </w:tc>
        <w:tc>
          <w:tcPr>
            <w:tcW w:w="468" w:type="pct"/>
            <w:tcBorders>
              <w:top w:val="single" w:color="000000" w:sz="4" w:space="0"/>
              <w:left w:val="single" w:color="000000" w:sz="4" w:space="0"/>
              <w:bottom w:val="single" w:color="000000" w:sz="4" w:space="0"/>
              <w:right w:val="single" w:color="000000" w:sz="4" w:space="0"/>
            </w:tcBorders>
            <w:vAlign w:val="center"/>
          </w:tcPr>
          <w:p w:rsidRPr="000B55B6" w:rsidR="001B438B" w:rsidP="001B438B" w:rsidRDefault="00BE6E97" w14:paraId="50ED6580" w14:textId="060767CD">
            <w:pPr>
              <w:tabs>
                <w:tab w:val="left" w:pos="-720"/>
                <w:tab w:val="left" w:pos="0"/>
              </w:tabs>
              <w:suppressAutoHyphens/>
              <w:jc w:val="center"/>
              <w:rPr>
                <w:rFonts w:asciiTheme="minorHAnsi" w:hAnsiTheme="minorHAnsi" w:cstheme="minorHAnsi"/>
                <w:b/>
                <w:sz w:val="20"/>
              </w:rPr>
            </w:pPr>
            <w:r>
              <w:rPr>
                <w:rFonts w:asciiTheme="minorHAnsi" w:hAnsiTheme="minorHAnsi" w:cstheme="minorHAnsi"/>
                <w:b/>
                <w:sz w:val="20"/>
              </w:rPr>
              <w:t>1,062.4</w:t>
            </w:r>
            <w:bookmarkStart w:name="_Ref101353730" w:id="16"/>
            <w:r w:rsidRPr="000B55B6" w:rsidR="00D0618F">
              <w:rPr>
                <w:rStyle w:val="FootnoteReference"/>
                <w:rFonts w:asciiTheme="minorHAnsi" w:hAnsiTheme="minorHAnsi" w:cstheme="minorHAnsi"/>
                <w:b/>
                <w:sz w:val="20"/>
              </w:rPr>
              <w:footnoteReference w:id="28"/>
            </w:r>
            <w:bookmarkEnd w:id="16"/>
          </w:p>
        </w:tc>
        <w:tc>
          <w:tcPr>
            <w:tcW w:w="505" w:type="pct"/>
            <w:tcBorders>
              <w:top w:val="single" w:color="000000" w:sz="4" w:space="0"/>
              <w:left w:val="single" w:color="000000" w:sz="4" w:space="0"/>
              <w:bottom w:val="single" w:color="000000" w:sz="4" w:space="0"/>
              <w:right w:val="single" w:color="000000" w:sz="4" w:space="0"/>
            </w:tcBorders>
            <w:vAlign w:val="center"/>
          </w:tcPr>
          <w:p w:rsidRPr="000B55B6" w:rsidR="001B438B" w:rsidP="001B438B" w:rsidRDefault="00075EA0" w14:paraId="3E5BBE5C" w14:textId="2322D372">
            <w:pPr>
              <w:tabs>
                <w:tab w:val="left" w:pos="-720"/>
                <w:tab w:val="left" w:pos="0"/>
              </w:tabs>
              <w:suppressAutoHyphens/>
              <w:jc w:val="center"/>
              <w:rPr>
                <w:rFonts w:asciiTheme="minorHAnsi" w:hAnsiTheme="minorHAnsi" w:cstheme="minorHAnsi"/>
                <w:b/>
                <w:sz w:val="20"/>
              </w:rPr>
            </w:pPr>
            <w:r>
              <w:rPr>
                <w:rFonts w:asciiTheme="minorHAnsi" w:hAnsiTheme="minorHAnsi" w:cstheme="minorHAnsi"/>
                <w:b/>
                <w:sz w:val="20"/>
              </w:rPr>
              <w:t>$95,319</w:t>
            </w:r>
          </w:p>
        </w:tc>
      </w:tr>
    </w:tbl>
    <w:p w:rsidRPr="00B20E54" w:rsidR="00581FF6" w:rsidP="00581FF6" w:rsidRDefault="00581FF6" w14:paraId="0647762B" w14:textId="397826F5">
      <w:pPr>
        <w:keepNext/>
        <w:jc w:val="center"/>
        <w:rPr>
          <w:rFonts w:ascii="Times New Roman" w:hAnsi="Times New Roman"/>
          <w:b/>
          <w:szCs w:val="24"/>
          <w:u w:val="single"/>
        </w:rPr>
      </w:pPr>
      <w:r w:rsidRPr="00B20E54">
        <w:rPr>
          <w:rFonts w:ascii="Times New Roman" w:hAnsi="Times New Roman"/>
          <w:b/>
          <w:szCs w:val="24"/>
          <w:u w:val="single"/>
        </w:rPr>
        <w:lastRenderedPageBreak/>
        <w:t>Burdens: DCM Registration</w:t>
      </w:r>
    </w:p>
    <w:p w:rsidRPr="00B20E54" w:rsidR="00581FF6" w:rsidP="00581FF6" w:rsidRDefault="00581FF6" w14:paraId="7E8D08B7" w14:textId="77777777">
      <w:pPr>
        <w:keepNext/>
        <w:jc w:val="center"/>
        <w:rPr>
          <w:rFonts w:ascii="Times New Roman" w:hAnsi="Times New Roman"/>
          <w:b/>
          <w:szCs w:val="24"/>
        </w:rPr>
      </w:pPr>
      <w:r w:rsidRPr="00B20E54">
        <w:rPr>
          <w:rFonts w:ascii="Times New Roman" w:hAnsi="Times New Roman"/>
          <w:b/>
          <w:szCs w:val="24"/>
        </w:rPr>
        <w:t>Reporting Burden Hours and Costs</w:t>
      </w:r>
      <w:r w:rsidRPr="00B20E54">
        <w:rPr>
          <w:rStyle w:val="FootnoteReference"/>
          <w:rFonts w:ascii="Times New Roman" w:hAnsi="Times New Roman"/>
          <w:b/>
          <w:szCs w:val="24"/>
        </w:rPr>
        <w:footnoteReference w:id="29"/>
      </w:r>
    </w:p>
    <w:p w:rsidRPr="00B20E54" w:rsidR="00581FF6" w:rsidP="00581FF6" w:rsidRDefault="00581FF6" w14:paraId="03943E0F" w14:textId="77777777">
      <w:pPr>
        <w:tabs>
          <w:tab w:val="left" w:pos="-720"/>
          <w:tab w:val="left" w:pos="0"/>
        </w:tabs>
        <w:suppressAutoHyphens/>
        <w:rPr>
          <w:rFonts w:ascii="Times New Roman" w:hAnsi="Times New Roman"/>
          <w:b/>
          <w:sz w:val="18"/>
          <w:szCs w:val="18"/>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246"/>
        <w:gridCol w:w="1197"/>
        <w:gridCol w:w="1127"/>
        <w:gridCol w:w="1066"/>
        <w:gridCol w:w="1127"/>
        <w:gridCol w:w="996"/>
        <w:gridCol w:w="1127"/>
        <w:gridCol w:w="1007"/>
        <w:gridCol w:w="856"/>
        <w:gridCol w:w="1041"/>
      </w:tblGrid>
      <w:tr w:rsidRPr="00B20E54" w:rsidR="00581FF6" w:rsidTr="00B20E54" w14:paraId="331AE135" w14:textId="77777777">
        <w:trPr>
          <w:trHeight w:val="1826"/>
        </w:trPr>
        <w:tc>
          <w:tcPr>
            <w:tcW w:w="571"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691D7660"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1.</w:t>
            </w:r>
          </w:p>
          <w:p w:rsidRPr="00B20E54" w:rsidR="00581FF6" w:rsidRDefault="00581FF6" w14:paraId="2A53322B"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Regulation(s)</w:t>
            </w:r>
          </w:p>
        </w:tc>
        <w:tc>
          <w:tcPr>
            <w:tcW w:w="553" w:type="pct"/>
            <w:tcBorders>
              <w:top w:val="single" w:color="000000" w:sz="4" w:space="0"/>
              <w:left w:val="single" w:color="000000" w:sz="4" w:space="0"/>
              <w:bottom w:val="single" w:color="000000" w:sz="4" w:space="0"/>
              <w:right w:val="single" w:color="000000" w:sz="4" w:space="0"/>
            </w:tcBorders>
          </w:tcPr>
          <w:p w:rsidRPr="00B20E54" w:rsidR="00581FF6" w:rsidRDefault="00581FF6" w14:paraId="54B867AC"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2.</w:t>
            </w:r>
          </w:p>
          <w:p w:rsidRPr="00B20E54" w:rsidR="00581FF6" w:rsidRDefault="00581FF6" w14:paraId="416E1956"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 xml:space="preserve">Estimated Number of Respondents </w:t>
            </w:r>
          </w:p>
          <w:p w:rsidRPr="00B20E54" w:rsidR="00581FF6" w:rsidRDefault="00581FF6" w14:paraId="37CEC8A4" w14:textId="77777777">
            <w:pPr>
              <w:tabs>
                <w:tab w:val="left" w:pos="-720"/>
                <w:tab w:val="left" w:pos="0"/>
              </w:tabs>
              <w:suppressAutoHyphens/>
              <w:jc w:val="center"/>
              <w:rPr>
                <w:rFonts w:ascii="Times New Roman" w:hAnsi="Times New Roman"/>
                <w:b/>
                <w:sz w:val="18"/>
                <w:szCs w:val="18"/>
              </w:rPr>
            </w:pPr>
          </w:p>
        </w:tc>
        <w:tc>
          <w:tcPr>
            <w:tcW w:w="515"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12F41199"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3.</w:t>
            </w:r>
          </w:p>
          <w:p w:rsidRPr="00B20E54" w:rsidR="00581FF6" w:rsidRDefault="00581FF6" w14:paraId="3853E224"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Estimated Number of Responses</w:t>
            </w:r>
          </w:p>
          <w:p w:rsidRPr="00B20E54" w:rsidR="00581FF6" w:rsidRDefault="00581FF6" w14:paraId="05174477"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by Each Respondent</w:t>
            </w:r>
          </w:p>
        </w:tc>
        <w:tc>
          <w:tcPr>
            <w:tcW w:w="514"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68AA4459"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4.</w:t>
            </w:r>
          </w:p>
          <w:p w:rsidRPr="00B20E54" w:rsidR="00581FF6" w:rsidRDefault="00581FF6" w14:paraId="670CF03C"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Estimated Average Number of Burden Hours per Response</w:t>
            </w:r>
          </w:p>
        </w:tc>
        <w:tc>
          <w:tcPr>
            <w:tcW w:w="514"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766908D5"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5.</w:t>
            </w:r>
          </w:p>
          <w:p w:rsidRPr="00B20E54" w:rsidR="00581FF6" w:rsidRDefault="00581FF6" w14:paraId="3684C7D2" w14:textId="77777777">
            <w:pPr>
              <w:tabs>
                <w:tab w:val="left" w:pos="-720"/>
                <w:tab w:val="left" w:pos="0"/>
              </w:tabs>
              <w:suppressAutoHyphens/>
              <w:jc w:val="center"/>
              <w:rPr>
                <w:rFonts w:ascii="Times New Roman" w:hAnsi="Times New Roman"/>
                <w:b/>
                <w:sz w:val="18"/>
                <w:szCs w:val="18"/>
              </w:rPr>
            </w:pPr>
            <w:proofErr w:type="gramStart"/>
            <w:r w:rsidRPr="00B20E54">
              <w:rPr>
                <w:rFonts w:ascii="Times New Roman" w:hAnsi="Times New Roman"/>
                <w:b/>
                <w:sz w:val="18"/>
                <w:szCs w:val="18"/>
              </w:rPr>
              <w:t>Annual  Number</w:t>
            </w:r>
            <w:proofErr w:type="gramEnd"/>
            <w:r w:rsidRPr="00B20E54">
              <w:rPr>
                <w:rFonts w:ascii="Times New Roman" w:hAnsi="Times New Roman"/>
                <w:b/>
                <w:sz w:val="18"/>
                <w:szCs w:val="18"/>
              </w:rPr>
              <w:t xml:space="preserve"> of Burden Hours per Respondent</w:t>
            </w:r>
          </w:p>
          <w:p w:rsidRPr="00B20E54" w:rsidR="00581FF6" w:rsidRDefault="00581FF6" w14:paraId="1EF28142"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(3 x 4)</w:t>
            </w:r>
          </w:p>
        </w:tc>
        <w:tc>
          <w:tcPr>
            <w:tcW w:w="435" w:type="pct"/>
            <w:tcBorders>
              <w:top w:val="single" w:color="000000" w:sz="4" w:space="0"/>
              <w:left w:val="single" w:color="000000" w:sz="4" w:space="0"/>
              <w:bottom w:val="single" w:color="000000" w:sz="4" w:space="0"/>
              <w:right w:val="single" w:color="000000" w:sz="4" w:space="0"/>
            </w:tcBorders>
          </w:tcPr>
          <w:p w:rsidRPr="00B20E54" w:rsidR="00581FF6" w:rsidRDefault="00581FF6" w14:paraId="58557CC5"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 xml:space="preserve">6. </w:t>
            </w:r>
          </w:p>
          <w:p w:rsidRPr="00B20E54" w:rsidR="00581FF6" w:rsidRDefault="00581FF6" w14:paraId="62A06975"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Estimated Average Burden Hour Cost</w:t>
            </w:r>
          </w:p>
          <w:p w:rsidRPr="00B20E54" w:rsidR="00581FF6" w:rsidRDefault="00581FF6" w14:paraId="3EFA89D1" w14:textId="77777777">
            <w:pPr>
              <w:tabs>
                <w:tab w:val="left" w:pos="-720"/>
                <w:tab w:val="left" w:pos="0"/>
              </w:tabs>
              <w:suppressAutoHyphens/>
              <w:jc w:val="center"/>
              <w:rPr>
                <w:rFonts w:ascii="Times New Roman" w:hAnsi="Times New Roman"/>
                <w:b/>
                <w:sz w:val="18"/>
                <w:szCs w:val="18"/>
              </w:rPr>
            </w:pPr>
          </w:p>
        </w:tc>
        <w:tc>
          <w:tcPr>
            <w:tcW w:w="514"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2C85E860" w14:textId="77777777">
            <w:pPr>
              <w:jc w:val="center"/>
              <w:rPr>
                <w:rFonts w:ascii="Times New Roman" w:hAnsi="Times New Roman"/>
                <w:b/>
                <w:sz w:val="18"/>
                <w:szCs w:val="18"/>
              </w:rPr>
            </w:pPr>
            <w:r w:rsidRPr="00B20E54">
              <w:rPr>
                <w:rFonts w:ascii="Times New Roman" w:hAnsi="Times New Roman"/>
                <w:b/>
                <w:sz w:val="18"/>
                <w:szCs w:val="18"/>
              </w:rPr>
              <w:t>7.</w:t>
            </w:r>
          </w:p>
          <w:p w:rsidRPr="00B20E54" w:rsidR="00581FF6" w:rsidRDefault="00581FF6" w14:paraId="28306F5C" w14:textId="77777777">
            <w:pPr>
              <w:jc w:val="center"/>
              <w:rPr>
                <w:rFonts w:ascii="Times New Roman" w:hAnsi="Times New Roman"/>
                <w:b/>
                <w:sz w:val="18"/>
                <w:szCs w:val="18"/>
              </w:rPr>
            </w:pPr>
            <w:r w:rsidRPr="00B20E54">
              <w:rPr>
                <w:rFonts w:ascii="Times New Roman" w:hAnsi="Times New Roman"/>
                <w:b/>
                <w:sz w:val="18"/>
                <w:szCs w:val="18"/>
              </w:rPr>
              <w:t>Total Average Hour Burden Cost Per Respondent</w:t>
            </w:r>
          </w:p>
          <w:p w:rsidRPr="00B20E54" w:rsidR="00581FF6" w:rsidRDefault="00581FF6" w14:paraId="652CF702" w14:textId="77777777">
            <w:pPr>
              <w:jc w:val="center"/>
              <w:rPr>
                <w:rFonts w:ascii="Times New Roman" w:hAnsi="Times New Roman"/>
                <w:b/>
                <w:sz w:val="18"/>
                <w:szCs w:val="18"/>
              </w:rPr>
            </w:pPr>
            <w:r w:rsidRPr="00B20E54">
              <w:rPr>
                <w:rFonts w:ascii="Times New Roman" w:hAnsi="Times New Roman"/>
                <w:b/>
                <w:sz w:val="18"/>
                <w:szCs w:val="18"/>
              </w:rPr>
              <w:t>(5 x 6)</w:t>
            </w:r>
          </w:p>
        </w:tc>
        <w:tc>
          <w:tcPr>
            <w:tcW w:w="475"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090CF8B9"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8.</w:t>
            </w:r>
          </w:p>
          <w:p w:rsidRPr="00B20E54" w:rsidR="00581FF6" w:rsidRDefault="00581FF6" w14:paraId="51AE8163"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Total Annual</w:t>
            </w:r>
          </w:p>
          <w:p w:rsidRPr="00B20E54" w:rsidR="00581FF6" w:rsidRDefault="00581FF6" w14:paraId="2EA684F0"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Responses</w:t>
            </w:r>
          </w:p>
          <w:p w:rsidRPr="00B20E54" w:rsidR="00581FF6" w:rsidRDefault="00581FF6" w14:paraId="4546BA16"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(2 x 3)</w:t>
            </w:r>
          </w:p>
        </w:tc>
        <w:tc>
          <w:tcPr>
            <w:tcW w:w="392"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455DC219"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9.</w:t>
            </w:r>
          </w:p>
          <w:p w:rsidRPr="00B20E54" w:rsidR="00581FF6" w:rsidRDefault="00581FF6" w14:paraId="38EC0655"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 xml:space="preserve">Total </w:t>
            </w:r>
            <w:proofErr w:type="gramStart"/>
            <w:r w:rsidRPr="00B20E54">
              <w:rPr>
                <w:rFonts w:ascii="Times New Roman" w:hAnsi="Times New Roman"/>
                <w:b/>
                <w:sz w:val="18"/>
                <w:szCs w:val="18"/>
              </w:rPr>
              <w:t>Annual  Number</w:t>
            </w:r>
            <w:proofErr w:type="gramEnd"/>
            <w:r w:rsidRPr="00B20E54">
              <w:rPr>
                <w:rFonts w:ascii="Times New Roman" w:hAnsi="Times New Roman"/>
                <w:b/>
                <w:sz w:val="18"/>
                <w:szCs w:val="18"/>
              </w:rPr>
              <w:t xml:space="preserve"> of Burden Hours</w:t>
            </w:r>
          </w:p>
          <w:p w:rsidRPr="00B20E54" w:rsidR="00581FF6" w:rsidRDefault="00581FF6" w14:paraId="51BBCF22"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(2 x 5)</w:t>
            </w:r>
          </w:p>
        </w:tc>
        <w:tc>
          <w:tcPr>
            <w:tcW w:w="514"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2D06268A"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10.</w:t>
            </w:r>
          </w:p>
          <w:p w:rsidRPr="00B20E54" w:rsidR="00581FF6" w:rsidRDefault="00581FF6" w14:paraId="60015825"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Total Annual Burden Hour Cost of All Responses</w:t>
            </w:r>
          </w:p>
          <w:p w:rsidRPr="00B20E54" w:rsidR="00581FF6" w:rsidRDefault="00581FF6" w14:paraId="2E9F5F61"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(2 x 7)</w:t>
            </w:r>
          </w:p>
        </w:tc>
      </w:tr>
      <w:tr w:rsidRPr="00B20E54" w:rsidR="00581FF6" w:rsidTr="00581FF6" w14:paraId="34075FEE" w14:textId="77777777">
        <w:trPr>
          <w:trHeight w:val="1427"/>
        </w:trPr>
        <w:tc>
          <w:tcPr>
            <w:tcW w:w="571"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293E8758" w14:textId="77777777">
            <w:pPr>
              <w:tabs>
                <w:tab w:val="left" w:pos="-720"/>
                <w:tab w:val="left" w:pos="0"/>
              </w:tabs>
              <w:suppressAutoHyphens/>
              <w:jc w:val="center"/>
              <w:rPr>
                <w:rFonts w:ascii="Times New Roman" w:hAnsi="Times New Roman"/>
                <w:b/>
                <w:sz w:val="18"/>
                <w:szCs w:val="18"/>
              </w:rPr>
            </w:pPr>
            <w:bookmarkStart w:name="_Hlk99634335" w:id="17"/>
            <w:r w:rsidRPr="00B20E54">
              <w:rPr>
                <w:rFonts w:ascii="Times New Roman" w:hAnsi="Times New Roman"/>
                <w:b/>
                <w:sz w:val="18"/>
                <w:szCs w:val="18"/>
              </w:rPr>
              <w:t>§ 38.3 and Form DCM</w:t>
            </w:r>
          </w:p>
          <w:p w:rsidRPr="00B20E54" w:rsidR="00581FF6" w:rsidRDefault="00581FF6" w14:paraId="5EDB13AF" w14:textId="4D24AAA3">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(DCM Registration)</w:t>
            </w:r>
            <w:bookmarkEnd w:id="17"/>
          </w:p>
        </w:tc>
        <w:tc>
          <w:tcPr>
            <w:tcW w:w="553"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158EFCD0"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4</w:t>
            </w:r>
          </w:p>
        </w:tc>
        <w:tc>
          <w:tcPr>
            <w:tcW w:w="515"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2985820B"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1</w:t>
            </w:r>
            <w:r w:rsidRPr="00B20E54">
              <w:rPr>
                <w:rStyle w:val="FootnoteReference"/>
                <w:rFonts w:ascii="Times New Roman" w:hAnsi="Times New Roman"/>
                <w:b/>
                <w:sz w:val="18"/>
                <w:szCs w:val="18"/>
              </w:rPr>
              <w:footnoteReference w:id="30"/>
            </w:r>
          </w:p>
        </w:tc>
        <w:tc>
          <w:tcPr>
            <w:tcW w:w="514"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01DAA89B"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300</w:t>
            </w:r>
          </w:p>
        </w:tc>
        <w:tc>
          <w:tcPr>
            <w:tcW w:w="514"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3C82F629"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300</w:t>
            </w:r>
          </w:p>
        </w:tc>
        <w:tc>
          <w:tcPr>
            <w:tcW w:w="435"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072A510D" w14:textId="5EB99FE9">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w:t>
            </w:r>
            <w:r w:rsidRPr="00B20E54" w:rsidR="005A1FBF">
              <w:rPr>
                <w:rFonts w:ascii="Times New Roman" w:hAnsi="Times New Roman"/>
                <w:b/>
                <w:sz w:val="18"/>
                <w:szCs w:val="18"/>
              </w:rPr>
              <w:t>83</w:t>
            </w:r>
            <w:r w:rsidRPr="00B20E54" w:rsidR="00333BB7">
              <w:rPr>
                <w:rStyle w:val="FootnoteReference"/>
                <w:rFonts w:ascii="Times New Roman" w:hAnsi="Times New Roman"/>
                <w:b/>
                <w:sz w:val="18"/>
                <w:szCs w:val="18"/>
              </w:rPr>
              <w:footnoteReference w:id="31"/>
            </w:r>
          </w:p>
        </w:tc>
        <w:tc>
          <w:tcPr>
            <w:tcW w:w="514"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7D741525" w14:textId="6E974D8D">
            <w:pPr>
              <w:jc w:val="center"/>
              <w:rPr>
                <w:rFonts w:ascii="Times New Roman" w:hAnsi="Times New Roman"/>
                <w:b/>
                <w:sz w:val="18"/>
                <w:szCs w:val="18"/>
              </w:rPr>
            </w:pPr>
            <w:r w:rsidRPr="00B20E54">
              <w:rPr>
                <w:rFonts w:ascii="Times New Roman" w:hAnsi="Times New Roman"/>
                <w:b/>
                <w:sz w:val="18"/>
                <w:szCs w:val="18"/>
              </w:rPr>
              <w:t>$</w:t>
            </w:r>
            <w:r w:rsidRPr="00B20E54" w:rsidR="00EB34A6">
              <w:rPr>
                <w:rFonts w:ascii="Times New Roman" w:hAnsi="Times New Roman"/>
                <w:b/>
                <w:sz w:val="18"/>
                <w:szCs w:val="18"/>
              </w:rPr>
              <w:t>24</w:t>
            </w:r>
            <w:r w:rsidRPr="00B20E54">
              <w:rPr>
                <w:rFonts w:ascii="Times New Roman" w:hAnsi="Times New Roman"/>
                <w:b/>
                <w:sz w:val="18"/>
                <w:szCs w:val="18"/>
              </w:rPr>
              <w:t>,</w:t>
            </w:r>
            <w:r w:rsidRPr="00B20E54" w:rsidR="00EB34A6">
              <w:rPr>
                <w:rFonts w:ascii="Times New Roman" w:hAnsi="Times New Roman"/>
                <w:b/>
                <w:sz w:val="18"/>
                <w:szCs w:val="18"/>
              </w:rPr>
              <w:t>9</w:t>
            </w:r>
            <w:r w:rsidRPr="00B20E54">
              <w:rPr>
                <w:rFonts w:ascii="Times New Roman" w:hAnsi="Times New Roman"/>
                <w:b/>
                <w:sz w:val="18"/>
                <w:szCs w:val="18"/>
              </w:rPr>
              <w:t>00</w:t>
            </w:r>
          </w:p>
        </w:tc>
        <w:tc>
          <w:tcPr>
            <w:tcW w:w="475"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695C19D6"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4</w:t>
            </w:r>
          </w:p>
        </w:tc>
        <w:tc>
          <w:tcPr>
            <w:tcW w:w="392"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0D580814" w14:textId="77777777">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1,200</w:t>
            </w:r>
          </w:p>
        </w:tc>
        <w:tc>
          <w:tcPr>
            <w:tcW w:w="514" w:type="pct"/>
            <w:tcBorders>
              <w:top w:val="single" w:color="000000" w:sz="4" w:space="0"/>
              <w:left w:val="single" w:color="000000" w:sz="4" w:space="0"/>
              <w:bottom w:val="single" w:color="000000" w:sz="4" w:space="0"/>
              <w:right w:val="single" w:color="000000" w:sz="4" w:space="0"/>
            </w:tcBorders>
            <w:hideMark/>
          </w:tcPr>
          <w:p w:rsidRPr="00B20E54" w:rsidR="00581FF6" w:rsidRDefault="00581FF6" w14:paraId="053A98DF" w14:textId="4FBC6C6C">
            <w:pPr>
              <w:tabs>
                <w:tab w:val="left" w:pos="-720"/>
                <w:tab w:val="left" w:pos="0"/>
              </w:tabs>
              <w:suppressAutoHyphens/>
              <w:jc w:val="center"/>
              <w:rPr>
                <w:rFonts w:ascii="Times New Roman" w:hAnsi="Times New Roman"/>
                <w:b/>
                <w:sz w:val="18"/>
                <w:szCs w:val="18"/>
              </w:rPr>
            </w:pPr>
            <w:r w:rsidRPr="00B20E54">
              <w:rPr>
                <w:rFonts w:ascii="Times New Roman" w:hAnsi="Times New Roman"/>
                <w:b/>
                <w:sz w:val="18"/>
                <w:szCs w:val="18"/>
              </w:rPr>
              <w:t>$</w:t>
            </w:r>
            <w:r w:rsidRPr="00B20E54" w:rsidR="00EB34A6">
              <w:rPr>
                <w:rFonts w:ascii="Times New Roman" w:hAnsi="Times New Roman"/>
                <w:b/>
                <w:sz w:val="18"/>
                <w:szCs w:val="18"/>
              </w:rPr>
              <w:t>99</w:t>
            </w:r>
            <w:r w:rsidRPr="00B20E54">
              <w:rPr>
                <w:rFonts w:ascii="Times New Roman" w:hAnsi="Times New Roman"/>
                <w:b/>
                <w:sz w:val="18"/>
                <w:szCs w:val="18"/>
              </w:rPr>
              <w:t>,</w:t>
            </w:r>
            <w:r w:rsidRPr="00B20E54" w:rsidR="00EB34A6">
              <w:rPr>
                <w:rFonts w:ascii="Times New Roman" w:hAnsi="Times New Roman"/>
                <w:b/>
                <w:sz w:val="18"/>
                <w:szCs w:val="18"/>
              </w:rPr>
              <w:t>6</w:t>
            </w:r>
            <w:r w:rsidRPr="00B20E54">
              <w:rPr>
                <w:rFonts w:ascii="Times New Roman" w:hAnsi="Times New Roman"/>
                <w:b/>
                <w:sz w:val="18"/>
                <w:szCs w:val="18"/>
              </w:rPr>
              <w:t>00</w:t>
            </w:r>
          </w:p>
        </w:tc>
      </w:tr>
    </w:tbl>
    <w:p w:rsidRPr="00B20E54" w:rsidR="00152271" w:rsidRDefault="00152271" w14:paraId="771909FA" w14:textId="442257AF">
      <w:pPr>
        <w:rPr>
          <w:rFonts w:ascii="Times New Roman" w:hAnsi="Times New Roman"/>
          <w:b/>
          <w:sz w:val="18"/>
          <w:szCs w:val="18"/>
        </w:rPr>
      </w:pPr>
    </w:p>
    <w:p w:rsidRPr="00B20E54" w:rsidR="00152271" w:rsidP="00BE1A6D" w:rsidRDefault="00152271" w14:paraId="300C3BE9" w14:textId="77777777">
      <w:pPr>
        <w:tabs>
          <w:tab w:val="left" w:pos="-720"/>
          <w:tab w:val="left" w:pos="0"/>
        </w:tabs>
        <w:suppressAutoHyphens/>
        <w:jc w:val="center"/>
        <w:rPr>
          <w:rFonts w:ascii="Times New Roman" w:hAnsi="Times New Roman"/>
          <w:b/>
          <w:sz w:val="18"/>
          <w:szCs w:val="18"/>
        </w:rPr>
      </w:pPr>
    </w:p>
    <w:p w:rsidRPr="00B20E54" w:rsidR="00BE1A6D" w:rsidP="006410EA" w:rsidRDefault="00BE1A6D" w14:paraId="4D328A41" w14:textId="77777777">
      <w:pPr>
        <w:tabs>
          <w:tab w:val="left" w:pos="-720"/>
          <w:tab w:val="left" w:pos="0"/>
        </w:tabs>
        <w:suppressAutoHyphens/>
        <w:jc w:val="center"/>
        <w:rPr>
          <w:rFonts w:ascii="Times New Roman" w:hAnsi="Times New Roman"/>
          <w:b/>
          <w:sz w:val="18"/>
          <w:szCs w:val="18"/>
        </w:rPr>
      </w:pPr>
    </w:p>
    <w:sectPr w:rsidRPr="00B20E54" w:rsidR="00BE1A6D" w:rsidSect="00CB452E">
      <w:headerReference w:type="default" r:id="rId13"/>
      <w:endnotePr>
        <w:numFmt w:val="decimal"/>
      </w:endnotePr>
      <w:pgSz w:w="12240" w:h="15840"/>
      <w:pgMar w:top="720" w:right="720" w:bottom="720" w:left="72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FA1FB" w14:textId="77777777" w:rsidR="004C7C89" w:rsidRDefault="004C7C89">
      <w:pPr>
        <w:spacing w:line="20" w:lineRule="exact"/>
      </w:pPr>
    </w:p>
  </w:endnote>
  <w:endnote w:type="continuationSeparator" w:id="0">
    <w:p w14:paraId="56C4547F" w14:textId="77777777" w:rsidR="004C7C89" w:rsidRDefault="004C7C89">
      <w:r>
        <w:t xml:space="preserve"> </w:t>
      </w:r>
    </w:p>
  </w:endnote>
  <w:endnote w:type="continuationNotice" w:id="1">
    <w:p w14:paraId="6F9076E7" w14:textId="77777777" w:rsidR="004C7C89" w:rsidRDefault="004C7C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0CD9D" w14:textId="77777777" w:rsidR="004C7C89" w:rsidRPr="00E023FF" w:rsidRDefault="004C7C89">
    <w:pPr>
      <w:pStyle w:val="Footer"/>
      <w:jc w:val="center"/>
      <w:rPr>
        <w:rFonts w:ascii="Times New Roman" w:hAnsi="Times New Roman"/>
      </w:rPr>
    </w:pPr>
    <w:r w:rsidRPr="00E023FF">
      <w:rPr>
        <w:rFonts w:ascii="Times New Roman" w:hAnsi="Times New Roman"/>
      </w:rPr>
      <w:fldChar w:fldCharType="begin"/>
    </w:r>
    <w:r w:rsidRPr="00E023FF">
      <w:rPr>
        <w:rFonts w:ascii="Times New Roman" w:hAnsi="Times New Roman"/>
      </w:rPr>
      <w:instrText xml:space="preserve"> PAGE   \* MERGEFORMAT </w:instrText>
    </w:r>
    <w:r w:rsidRPr="00E023FF">
      <w:rPr>
        <w:rFonts w:ascii="Times New Roman" w:hAnsi="Times New Roman"/>
      </w:rPr>
      <w:fldChar w:fldCharType="separate"/>
    </w:r>
    <w:r w:rsidRPr="00E023FF">
      <w:rPr>
        <w:rFonts w:ascii="Times New Roman" w:hAnsi="Times New Roman"/>
        <w:noProof/>
      </w:rPr>
      <w:t>1</w:t>
    </w:r>
    <w:r w:rsidRPr="00E023FF">
      <w:rPr>
        <w:rFonts w:ascii="Times New Roman" w:hAnsi="Times New Roman"/>
        <w:noProof/>
      </w:rPr>
      <w:fldChar w:fldCharType="end"/>
    </w:r>
  </w:p>
  <w:p w14:paraId="638CD90C" w14:textId="77777777" w:rsidR="004C7C89" w:rsidRDefault="004C7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C9529" w14:textId="77777777" w:rsidR="004C7C89" w:rsidRDefault="004C7C89">
      <w:r>
        <w:separator/>
      </w:r>
    </w:p>
  </w:footnote>
  <w:footnote w:type="continuationSeparator" w:id="0">
    <w:p w14:paraId="1D927C0F" w14:textId="77777777" w:rsidR="004C7C89" w:rsidRDefault="004C7C89">
      <w:proofErr w:type="gramStart"/>
      <w:r>
        <w:t>(..</w:t>
      </w:r>
      <w:proofErr w:type="gramEnd"/>
      <w:r>
        <w:t>continued)</w:t>
      </w:r>
    </w:p>
  </w:footnote>
  <w:footnote w:id="1">
    <w:p w14:paraId="3D160D7F" w14:textId="534B894F" w:rsidR="004C7C89" w:rsidRDefault="004C7C89" w:rsidP="00F57A6C">
      <w:pPr>
        <w:pStyle w:val="FootnoteText"/>
        <w:rPr>
          <w:rFonts w:ascii="Times New Roman" w:hAnsi="Times New Roman"/>
          <w:i/>
          <w:sz w:val="20"/>
        </w:rPr>
      </w:pPr>
      <w:r w:rsidRPr="00B50952">
        <w:rPr>
          <w:rStyle w:val="FootnoteReference"/>
          <w:rFonts w:ascii="Times New Roman" w:hAnsi="Times New Roman"/>
          <w:sz w:val="20"/>
        </w:rPr>
        <w:footnoteRef/>
      </w:r>
      <w:r w:rsidRPr="00B50952">
        <w:rPr>
          <w:rFonts w:ascii="Times New Roman" w:hAnsi="Times New Roman"/>
          <w:sz w:val="20"/>
        </w:rPr>
        <w:t xml:space="preserve"> 7 U.S.C. 1 </w:t>
      </w:r>
      <w:r w:rsidRPr="00B50952">
        <w:rPr>
          <w:rFonts w:ascii="Times New Roman" w:hAnsi="Times New Roman"/>
          <w:i/>
          <w:sz w:val="20"/>
        </w:rPr>
        <w:t>et seq.</w:t>
      </w:r>
    </w:p>
    <w:p w14:paraId="13DF7444" w14:textId="77777777" w:rsidR="004C7C89" w:rsidRPr="00B50952" w:rsidRDefault="004C7C89" w:rsidP="00F57A6C">
      <w:pPr>
        <w:pStyle w:val="FootnoteText"/>
        <w:rPr>
          <w:rFonts w:ascii="Times New Roman" w:hAnsi="Times New Roman"/>
          <w:i/>
          <w:sz w:val="20"/>
        </w:rPr>
      </w:pPr>
    </w:p>
  </w:footnote>
  <w:footnote w:id="2">
    <w:p w14:paraId="12109E80" w14:textId="6CB9F544" w:rsidR="004C7C89" w:rsidRDefault="004C7C89" w:rsidP="00F57A6C">
      <w:pPr>
        <w:pStyle w:val="FootnoteText"/>
        <w:rPr>
          <w:rFonts w:ascii="Times New Roman" w:hAnsi="Times New Roman"/>
          <w:sz w:val="20"/>
        </w:rPr>
      </w:pPr>
      <w:r w:rsidRPr="00B50952">
        <w:rPr>
          <w:rStyle w:val="FootnoteReference"/>
          <w:rFonts w:ascii="Times New Roman" w:hAnsi="Times New Roman"/>
          <w:sz w:val="20"/>
        </w:rPr>
        <w:footnoteRef/>
      </w:r>
      <w:r w:rsidRPr="00B50952">
        <w:rPr>
          <w:rFonts w:ascii="Times New Roman" w:hAnsi="Times New Roman"/>
          <w:sz w:val="20"/>
        </w:rPr>
        <w:t xml:space="preserve"> </w:t>
      </w:r>
      <w:r w:rsidRPr="00B50952">
        <w:rPr>
          <w:rFonts w:ascii="Times New Roman" w:hAnsi="Times New Roman"/>
          <w:i/>
          <w:iCs/>
          <w:sz w:val="20"/>
        </w:rPr>
        <w:t xml:space="preserve">See </w:t>
      </w:r>
      <w:r w:rsidRPr="00B50952">
        <w:rPr>
          <w:rFonts w:ascii="Times New Roman" w:hAnsi="Times New Roman"/>
          <w:sz w:val="20"/>
        </w:rPr>
        <w:t xml:space="preserve">Dodd-Frank Wall Street Reform and Consumer Protection Act, Pub. L. 111-203, tit. VII, 124 Stat. 1376 (2010) (codified as amended in various sections of 7 U.S.C.), </w:t>
      </w:r>
      <w:r w:rsidRPr="00B50952">
        <w:rPr>
          <w:rFonts w:ascii="Times New Roman" w:hAnsi="Times New Roman"/>
          <w:i/>
          <w:iCs/>
          <w:sz w:val="20"/>
        </w:rPr>
        <w:t xml:space="preserve">available at </w:t>
      </w:r>
      <w:hyperlink r:id="rId1" w:history="1">
        <w:r w:rsidRPr="00A04987">
          <w:rPr>
            <w:rStyle w:val="Hyperlink"/>
            <w:rFonts w:ascii="Times New Roman" w:hAnsi="Times New Roman"/>
            <w:sz w:val="20"/>
          </w:rPr>
          <w:t>https://www.cftc.gov/sites/default/files/idc/groups/public/@lrfederalregister/documents/file/2013-12242a.pdf</w:t>
        </w:r>
      </w:hyperlink>
      <w:r w:rsidRPr="00B50952">
        <w:rPr>
          <w:rFonts w:ascii="Times New Roman" w:hAnsi="Times New Roman"/>
          <w:sz w:val="20"/>
        </w:rPr>
        <w:t xml:space="preserve">.  </w:t>
      </w:r>
    </w:p>
    <w:p w14:paraId="35031BBA" w14:textId="77777777" w:rsidR="004C7C89" w:rsidRPr="00B50952" w:rsidRDefault="004C7C89" w:rsidP="00F57A6C">
      <w:pPr>
        <w:pStyle w:val="FootnoteText"/>
        <w:rPr>
          <w:rFonts w:ascii="Times New Roman" w:hAnsi="Times New Roman"/>
          <w:sz w:val="20"/>
        </w:rPr>
      </w:pPr>
    </w:p>
  </w:footnote>
  <w:footnote w:id="3">
    <w:p w14:paraId="1689F8A6" w14:textId="1874E7A8" w:rsidR="004C7C89" w:rsidRPr="00D5219B" w:rsidRDefault="004C7C89" w:rsidP="00F57A6C">
      <w:pPr>
        <w:pStyle w:val="FootnoteText"/>
        <w:rPr>
          <w:rFonts w:ascii="Times New Roman" w:hAnsi="Times New Roman"/>
          <w:sz w:val="20"/>
        </w:rPr>
      </w:pPr>
      <w:r w:rsidRPr="00D5219B">
        <w:rPr>
          <w:rStyle w:val="FootnoteReference"/>
          <w:rFonts w:ascii="Times New Roman" w:hAnsi="Times New Roman"/>
          <w:sz w:val="20"/>
        </w:rPr>
        <w:footnoteRef/>
      </w:r>
      <w:r w:rsidRPr="00D5219B">
        <w:rPr>
          <w:rFonts w:ascii="Times New Roman" w:hAnsi="Times New Roman"/>
          <w:sz w:val="20"/>
        </w:rPr>
        <w:t xml:space="preserve"> </w:t>
      </w:r>
      <w:r w:rsidRPr="006B060E">
        <w:rPr>
          <w:rFonts w:ascii="Times New Roman" w:hAnsi="Times New Roman"/>
          <w:sz w:val="20"/>
        </w:rPr>
        <w:t>Section 38.707 specifically references part 9</w:t>
      </w:r>
      <w:r>
        <w:rPr>
          <w:rFonts w:ascii="Times New Roman" w:hAnsi="Times New Roman"/>
          <w:sz w:val="20"/>
        </w:rPr>
        <w:t xml:space="preserve"> of the Commission’s regulations</w:t>
      </w:r>
      <w:r w:rsidRPr="006B060E">
        <w:rPr>
          <w:rFonts w:ascii="Times New Roman" w:hAnsi="Times New Roman"/>
          <w:sz w:val="20"/>
        </w:rPr>
        <w:t>.  Accordingly, the Commission’s previous information collection estimates under part 38 have included compliance with part 9 to the extent applicable to DCMs.  The Commission is referencing DCMs’ compliance obligations with part 9 for the sake of clarity, but this does not represent a new or modified information collection.</w:t>
      </w:r>
    </w:p>
  </w:footnote>
  <w:footnote w:id="4">
    <w:p w14:paraId="41E88BAD" w14:textId="7E7C2300" w:rsidR="004C7C89" w:rsidRDefault="004C7C89">
      <w:pPr>
        <w:pStyle w:val="FootnoteText"/>
        <w:rPr>
          <w:rFonts w:ascii="Times New Roman" w:hAnsi="Times New Roman"/>
          <w:sz w:val="20"/>
        </w:rPr>
      </w:pPr>
      <w:r w:rsidRPr="000B4E52">
        <w:rPr>
          <w:rStyle w:val="FootnoteReference"/>
          <w:rFonts w:ascii="Times New Roman" w:hAnsi="Times New Roman"/>
          <w:sz w:val="20"/>
        </w:rPr>
        <w:footnoteRef/>
      </w:r>
      <w:r w:rsidRPr="000B4E52">
        <w:rPr>
          <w:rStyle w:val="FootnoteReference"/>
          <w:rFonts w:ascii="Times New Roman" w:hAnsi="Times New Roman"/>
          <w:sz w:val="20"/>
          <w:vertAlign w:val="baseline"/>
        </w:rPr>
        <w:t xml:space="preserve"> The Commission note</w:t>
      </w:r>
      <w:r>
        <w:rPr>
          <w:rStyle w:val="FootnoteReference"/>
          <w:rFonts w:ascii="Times New Roman" w:hAnsi="Times New Roman"/>
          <w:sz w:val="20"/>
          <w:vertAlign w:val="baseline"/>
        </w:rPr>
        <w:t>s that it previously revised OMB Control Number 3038-0052 to account for the revised information collection burdens related to regulation 38.251(g). As such, this does not represent a new or modified inf</w:t>
      </w:r>
      <w:r>
        <w:rPr>
          <w:rFonts w:ascii="Times New Roman" w:hAnsi="Times New Roman"/>
          <w:sz w:val="20"/>
        </w:rPr>
        <w:t xml:space="preserve">ormation collection. </w:t>
      </w:r>
    </w:p>
    <w:p w14:paraId="7B57B015" w14:textId="77777777" w:rsidR="004C7C89" w:rsidRPr="000B4E52" w:rsidRDefault="004C7C89">
      <w:pPr>
        <w:pStyle w:val="FootnoteText"/>
        <w:rPr>
          <w:rStyle w:val="FootnoteReference"/>
          <w:rFonts w:ascii="Times New Roman" w:hAnsi="Times New Roman"/>
          <w:sz w:val="20"/>
          <w:vertAlign w:val="baseline"/>
        </w:rPr>
      </w:pPr>
    </w:p>
  </w:footnote>
  <w:footnote w:id="5">
    <w:p w14:paraId="08BC3E07" w14:textId="6E0B03D9" w:rsidR="004C7C89" w:rsidRDefault="004C7C89">
      <w:pPr>
        <w:pStyle w:val="FootnoteText"/>
        <w:rPr>
          <w:rFonts w:ascii="Times New Roman" w:hAnsi="Times New Roman"/>
          <w:sz w:val="20"/>
        </w:rPr>
      </w:pPr>
      <w:r w:rsidRPr="001F63CB">
        <w:rPr>
          <w:rStyle w:val="FootnoteReference"/>
          <w:rFonts w:ascii="Times New Roman" w:hAnsi="Times New Roman"/>
          <w:sz w:val="20"/>
        </w:rPr>
        <w:footnoteRef/>
      </w:r>
      <w:r w:rsidRPr="001F63CB">
        <w:rPr>
          <w:rFonts w:ascii="Times New Roman" w:hAnsi="Times New Roman"/>
          <w:sz w:val="20"/>
        </w:rPr>
        <w:t xml:space="preserve"> </w:t>
      </w:r>
      <w:r w:rsidRPr="000149D7">
        <w:rPr>
          <w:rFonts w:ascii="Times New Roman" w:hAnsi="Times New Roman"/>
          <w:sz w:val="20"/>
        </w:rPr>
        <w:t xml:space="preserve">The Commission notes that § 38.605 incorporates and references § 1.52.  </w:t>
      </w:r>
    </w:p>
    <w:p w14:paraId="379F7D2A" w14:textId="77777777" w:rsidR="004C7C89" w:rsidRPr="001F63CB" w:rsidRDefault="004C7C89">
      <w:pPr>
        <w:pStyle w:val="FootnoteText"/>
        <w:rPr>
          <w:rFonts w:ascii="Times New Roman" w:hAnsi="Times New Roman"/>
          <w:sz w:val="20"/>
        </w:rPr>
      </w:pPr>
    </w:p>
  </w:footnote>
  <w:footnote w:id="6">
    <w:p w14:paraId="38A44C04" w14:textId="7C918C4C" w:rsidR="004C7C89" w:rsidRDefault="004C7C89" w:rsidP="00FD71FB">
      <w:pPr>
        <w:pStyle w:val="FootnoteText"/>
        <w:rPr>
          <w:rFonts w:ascii="Times New Roman" w:hAnsi="Times New Roman"/>
          <w:sz w:val="20"/>
        </w:rPr>
      </w:pPr>
      <w:r w:rsidRPr="001F63CB">
        <w:rPr>
          <w:rStyle w:val="FootnoteReference"/>
          <w:rFonts w:ascii="Times New Roman" w:hAnsi="Times New Roman"/>
          <w:sz w:val="20"/>
        </w:rPr>
        <w:footnoteRef/>
      </w:r>
      <w:r w:rsidRPr="001F63CB">
        <w:rPr>
          <w:rFonts w:ascii="Times New Roman" w:hAnsi="Times New Roman"/>
          <w:sz w:val="20"/>
        </w:rPr>
        <w:t xml:space="preserve"> The Commission notes that previous submissions to OMB have referred to “registered” or “designated” DCMs.  The Commission notes that the terms “registered” and “designated” are used interchangeably and mean the same thing.  Further, as used in this supporting</w:t>
      </w:r>
      <w:r w:rsidRPr="00E023FF">
        <w:rPr>
          <w:rFonts w:ascii="Times New Roman" w:hAnsi="Times New Roman"/>
          <w:sz w:val="20"/>
        </w:rPr>
        <w:t xml:space="preserve"> statement, the Commission’s reference to “registered” or “designated” DCMs refer to active DCMs rather than to “dormant” DCMs.  The Commission notes that as a legal matter, an active DCM may become dormant through inactivity – and therefore would not be subject to any substantive compliance or related PRA information collection obligations – although the dormant DCM would still be legally deemed to be a “registered/designated” DCM.</w:t>
      </w:r>
    </w:p>
    <w:p w14:paraId="76C029DB" w14:textId="77777777" w:rsidR="004C7C89" w:rsidRPr="00E023FF" w:rsidRDefault="004C7C89" w:rsidP="00FD71FB">
      <w:pPr>
        <w:pStyle w:val="FootnoteText"/>
        <w:rPr>
          <w:rFonts w:ascii="Times New Roman" w:hAnsi="Times New Roman"/>
          <w:sz w:val="20"/>
        </w:rPr>
      </w:pPr>
    </w:p>
  </w:footnote>
  <w:footnote w:id="7">
    <w:p w14:paraId="59488BF3" w14:textId="6CC2771F" w:rsidR="004C7C89" w:rsidRPr="00FD71FB" w:rsidRDefault="004C7C89">
      <w:pPr>
        <w:pStyle w:val="FootnoteText"/>
        <w:rPr>
          <w:rFonts w:ascii="Times New Roman" w:hAnsi="Times New Roman"/>
          <w:sz w:val="20"/>
        </w:rPr>
      </w:pPr>
      <w:r w:rsidRPr="00FD71FB">
        <w:rPr>
          <w:rStyle w:val="FootnoteReference"/>
          <w:rFonts w:ascii="Times New Roman" w:hAnsi="Times New Roman"/>
          <w:sz w:val="20"/>
        </w:rPr>
        <w:footnoteRef/>
      </w:r>
      <w:r w:rsidRPr="00FD71FB">
        <w:rPr>
          <w:rFonts w:ascii="Times New Roman" w:hAnsi="Times New Roman"/>
          <w:sz w:val="20"/>
        </w:rPr>
        <w:t xml:space="preserve"> For the collections related to Commission regulation 38.251(g), the Commission notes that the number of   registered, active DCMs has decreased from 17 to 16.</w:t>
      </w:r>
      <w:r>
        <w:rPr>
          <w:rFonts w:ascii="Times New Roman" w:hAnsi="Times New Roman"/>
          <w:sz w:val="20"/>
        </w:rPr>
        <w:t xml:space="preserve"> This decrease is reflected in Attachment A for collections related to Commission regulation 38.251(g). </w:t>
      </w:r>
      <w:r w:rsidRPr="007206CD">
        <w:rPr>
          <w:rFonts w:ascii="Times New Roman" w:hAnsi="Times New Roman"/>
          <w:sz w:val="20"/>
        </w:rPr>
        <w:t>However, the increase in the number of DCMs for the other collections will increase the total information collection burdens for OMB control number 3038-0052.</w:t>
      </w:r>
    </w:p>
  </w:footnote>
  <w:footnote w:id="8">
    <w:p w14:paraId="1204F525" w14:textId="77777777" w:rsidR="004C7C89" w:rsidRPr="00E023FF" w:rsidRDefault="004C7C89">
      <w:pPr>
        <w:pStyle w:val="FootnoteText"/>
        <w:rPr>
          <w:rFonts w:ascii="Times New Roman" w:hAnsi="Times New Roman"/>
          <w:sz w:val="20"/>
        </w:rPr>
      </w:pPr>
      <w:r w:rsidRPr="00E023FF">
        <w:rPr>
          <w:rStyle w:val="FootnoteReference"/>
          <w:rFonts w:ascii="Times New Roman" w:hAnsi="Times New Roman"/>
          <w:sz w:val="20"/>
        </w:rPr>
        <w:footnoteRef/>
      </w:r>
      <w:r w:rsidRPr="00E023FF">
        <w:rPr>
          <w:rFonts w:ascii="Times New Roman" w:hAnsi="Times New Roman"/>
          <w:sz w:val="20"/>
        </w:rPr>
        <w:t xml:space="preserve"> Policy Statement and Establishment of Definitions of “Small Entities” for Purposes of the Regulatory Flexibility Act, 47 FR 18618 (Apr. 30, 1982).</w:t>
      </w:r>
    </w:p>
  </w:footnote>
  <w:footnote w:id="9">
    <w:p w14:paraId="7B2050F9" w14:textId="7A42BE70" w:rsidR="004C7C89" w:rsidRDefault="004C7C89" w:rsidP="00D43417">
      <w:pPr>
        <w:pStyle w:val="FootnoteText"/>
        <w:rPr>
          <w:rFonts w:ascii="Times New Roman" w:hAnsi="Times New Roman"/>
          <w:sz w:val="20"/>
        </w:rPr>
      </w:pPr>
      <w:r w:rsidRPr="001F63CB">
        <w:rPr>
          <w:rStyle w:val="FootnoteReference"/>
          <w:rFonts w:ascii="Times New Roman" w:hAnsi="Times New Roman"/>
          <w:sz w:val="20"/>
        </w:rPr>
        <w:footnoteRef/>
      </w:r>
      <w:r w:rsidRPr="001F63CB">
        <w:rPr>
          <w:rFonts w:ascii="Times New Roman" w:hAnsi="Times New Roman"/>
          <w:sz w:val="20"/>
        </w:rPr>
        <w:t xml:space="preserve"> </w:t>
      </w:r>
      <w:r w:rsidRPr="00D43417">
        <w:rPr>
          <w:rFonts w:ascii="Times New Roman" w:hAnsi="Times New Roman"/>
          <w:i/>
          <w:sz w:val="20"/>
        </w:rPr>
        <w:t>See supra</w:t>
      </w:r>
      <w:r>
        <w:rPr>
          <w:rFonts w:ascii="Times New Roman" w:hAnsi="Times New Roman"/>
          <w:sz w:val="20"/>
        </w:rPr>
        <w:t xml:space="preserve"> note 6.</w:t>
      </w:r>
    </w:p>
    <w:p w14:paraId="6D90C153" w14:textId="77777777" w:rsidR="004C7C89" w:rsidRPr="00E023FF" w:rsidRDefault="004C7C89" w:rsidP="00D43417">
      <w:pPr>
        <w:pStyle w:val="FootnoteText"/>
        <w:rPr>
          <w:rFonts w:ascii="Times New Roman" w:hAnsi="Times New Roman"/>
          <w:sz w:val="20"/>
        </w:rPr>
      </w:pPr>
    </w:p>
  </w:footnote>
  <w:footnote w:id="10">
    <w:p w14:paraId="21CF5413" w14:textId="00C48119" w:rsidR="004C7C89" w:rsidRPr="00FD71FB" w:rsidRDefault="004C7C89" w:rsidP="00D43417">
      <w:pPr>
        <w:pStyle w:val="FootnoteText"/>
        <w:rPr>
          <w:rFonts w:ascii="Times New Roman" w:hAnsi="Times New Roman"/>
          <w:sz w:val="20"/>
        </w:rPr>
      </w:pPr>
      <w:r w:rsidRPr="00FD71FB">
        <w:rPr>
          <w:rStyle w:val="FootnoteReference"/>
          <w:rFonts w:ascii="Times New Roman" w:hAnsi="Times New Roman"/>
          <w:sz w:val="20"/>
        </w:rPr>
        <w:footnoteRef/>
      </w:r>
      <w:r w:rsidRPr="00FD71FB">
        <w:rPr>
          <w:rFonts w:ascii="Times New Roman" w:hAnsi="Times New Roman"/>
          <w:sz w:val="20"/>
        </w:rPr>
        <w:t xml:space="preserve"> </w:t>
      </w:r>
      <w:r>
        <w:rPr>
          <w:rFonts w:ascii="Times New Roman" w:hAnsi="Times New Roman"/>
          <w:sz w:val="20"/>
        </w:rPr>
        <w:t>As noted above, f</w:t>
      </w:r>
      <w:r w:rsidRPr="00FD71FB">
        <w:rPr>
          <w:rFonts w:ascii="Times New Roman" w:hAnsi="Times New Roman"/>
          <w:sz w:val="20"/>
        </w:rPr>
        <w:t>or the collections related to Commission regulation 38.251(g), the Commission notes that the number of registered, active DCMs has decreased from 17 to 16.</w:t>
      </w:r>
      <w:r>
        <w:rPr>
          <w:rFonts w:ascii="Times New Roman" w:hAnsi="Times New Roman"/>
          <w:sz w:val="20"/>
        </w:rPr>
        <w:t xml:space="preserve"> This decrease is reflected in Attachment A for collections related to Commission regulation 38.251(g). </w:t>
      </w:r>
      <w:r w:rsidRPr="007206CD">
        <w:rPr>
          <w:rFonts w:ascii="Times New Roman" w:hAnsi="Times New Roman"/>
          <w:sz w:val="20"/>
        </w:rPr>
        <w:t>However, the increase in the number of DCMs for the other collections will increase the total information collection burdens for OMB control number 3038-0052.</w:t>
      </w:r>
    </w:p>
  </w:footnote>
  <w:footnote w:id="11">
    <w:p w14:paraId="3836B557" w14:textId="65558A0E" w:rsidR="004C7C89" w:rsidRDefault="004C7C89" w:rsidP="00F57A6C">
      <w:pPr>
        <w:pStyle w:val="FootnoteText"/>
        <w:rPr>
          <w:rFonts w:ascii="Times New Roman" w:hAnsi="Times New Roman"/>
          <w:sz w:val="20"/>
        </w:rPr>
      </w:pPr>
      <w:r w:rsidRPr="00F57A6C">
        <w:rPr>
          <w:rStyle w:val="FootnoteReference"/>
          <w:rFonts w:ascii="Times New Roman" w:hAnsi="Times New Roman"/>
          <w:sz w:val="20"/>
        </w:rPr>
        <w:footnoteRef/>
      </w:r>
      <w:r w:rsidRPr="00F57A6C">
        <w:rPr>
          <w:rFonts w:ascii="Times New Roman" w:hAnsi="Times New Roman"/>
          <w:sz w:val="20"/>
        </w:rPr>
        <w:t xml:space="preserve"> As noted above, for the majority of collections </w:t>
      </w:r>
      <w:r>
        <w:rPr>
          <w:rFonts w:ascii="Times New Roman" w:hAnsi="Times New Roman"/>
          <w:sz w:val="20"/>
        </w:rPr>
        <w:t>listed under this control number 3038-0052</w:t>
      </w:r>
      <w:r w:rsidRPr="00F57A6C">
        <w:rPr>
          <w:rFonts w:ascii="Times New Roman" w:hAnsi="Times New Roman"/>
          <w:sz w:val="20"/>
        </w:rPr>
        <w:t xml:space="preserve"> the number of registered DCMs has increased from 14 to 16.</w:t>
      </w:r>
      <w:r>
        <w:rPr>
          <w:rFonts w:ascii="Times New Roman" w:hAnsi="Times New Roman"/>
          <w:sz w:val="20"/>
        </w:rPr>
        <w:t xml:space="preserve">  However, for certain of the collections, the estimate reflects that the number of registered DCMs has decreased from 17 to 16, which the Commission notes where applicable.</w:t>
      </w:r>
    </w:p>
    <w:p w14:paraId="1D9E3380" w14:textId="77777777" w:rsidR="004C7C89" w:rsidRPr="00F57A6C" w:rsidRDefault="004C7C89" w:rsidP="00F57A6C">
      <w:pPr>
        <w:pStyle w:val="FootnoteText"/>
        <w:rPr>
          <w:rFonts w:ascii="Times New Roman" w:hAnsi="Times New Roman"/>
          <w:sz w:val="20"/>
        </w:rPr>
      </w:pPr>
    </w:p>
  </w:footnote>
  <w:footnote w:id="12">
    <w:p w14:paraId="25D7ACFD" w14:textId="592A6501" w:rsidR="004C7C89" w:rsidRDefault="004C7C89" w:rsidP="00F57A6C">
      <w:pPr>
        <w:pStyle w:val="FootnoteText"/>
        <w:rPr>
          <w:rFonts w:ascii="Times New Roman" w:hAnsi="Times New Roman"/>
          <w:i/>
          <w:sz w:val="20"/>
        </w:rPr>
      </w:pPr>
      <w:r w:rsidRPr="00F57A6C">
        <w:rPr>
          <w:rStyle w:val="FootnoteReference"/>
          <w:rFonts w:ascii="Times New Roman" w:hAnsi="Times New Roman"/>
          <w:sz w:val="20"/>
        </w:rPr>
        <w:footnoteRef/>
      </w:r>
      <w:r w:rsidRPr="00F57A6C">
        <w:rPr>
          <w:rFonts w:ascii="Times New Roman" w:hAnsi="Times New Roman"/>
          <w:sz w:val="20"/>
        </w:rPr>
        <w:t xml:space="preserve"> The Commission reached an estimate of approximately 251 trading days by assuming a year of [365.25 days] x [5 weekdays] ÷ [7 days in a week] = 260.89 weekdays.  The Commission then subtracted 10 public holidays (based on the Office of Personnel Management’s calendar of public holidays): 260.89 days – 10 public holidays = 250.89 trading days, which the Commission rounds to 251.  The Commission notes that not all DCMs may take all public holidays (</w:t>
      </w:r>
      <w:r w:rsidRPr="00F57A6C">
        <w:rPr>
          <w:rFonts w:ascii="Times New Roman" w:hAnsi="Times New Roman"/>
          <w:i/>
          <w:sz w:val="20"/>
        </w:rPr>
        <w:t>e.g.</w:t>
      </w:r>
      <w:r w:rsidRPr="00F57A6C">
        <w:rPr>
          <w:rFonts w:ascii="Times New Roman" w:hAnsi="Times New Roman"/>
          <w:sz w:val="20"/>
        </w:rPr>
        <w:t>, Veteran’s Day), but a DCM may also offer a non-Federal holiday (</w:t>
      </w:r>
      <w:r w:rsidRPr="00F57A6C">
        <w:rPr>
          <w:rFonts w:ascii="Times New Roman" w:hAnsi="Times New Roman"/>
          <w:i/>
          <w:sz w:val="20"/>
        </w:rPr>
        <w:t>e.g.</w:t>
      </w:r>
      <w:r w:rsidRPr="00F57A6C">
        <w:rPr>
          <w:rFonts w:ascii="Times New Roman" w:hAnsi="Times New Roman"/>
          <w:sz w:val="20"/>
        </w:rPr>
        <w:t xml:space="preserve">, Good Friday).  </w:t>
      </w:r>
      <w:r w:rsidRPr="00F57A6C">
        <w:rPr>
          <w:rFonts w:ascii="Times New Roman" w:hAnsi="Times New Roman"/>
          <w:i/>
          <w:sz w:val="20"/>
        </w:rPr>
        <w:t>See, e.g.</w:t>
      </w:r>
      <w:r w:rsidRPr="00F57A6C">
        <w:rPr>
          <w:rFonts w:ascii="Times New Roman" w:hAnsi="Times New Roman"/>
          <w:sz w:val="20"/>
        </w:rPr>
        <w:t xml:space="preserve">, CME Group, CME Group Holiday Calendar, </w:t>
      </w:r>
      <w:r w:rsidRPr="00F57A6C">
        <w:rPr>
          <w:rFonts w:ascii="Times New Roman" w:hAnsi="Times New Roman"/>
          <w:i/>
          <w:sz w:val="20"/>
        </w:rPr>
        <w:t>available at</w:t>
      </w:r>
      <w:r w:rsidRPr="00F57A6C">
        <w:rPr>
          <w:rFonts w:ascii="Times New Roman" w:hAnsi="Times New Roman"/>
          <w:sz w:val="20"/>
        </w:rPr>
        <w:t xml:space="preserve"> </w:t>
      </w:r>
      <w:hyperlink r:id="rId2" w:history="1">
        <w:r w:rsidRPr="000B55B6">
          <w:rPr>
            <w:rStyle w:val="Hyperlink"/>
            <w:rFonts w:ascii="Times New Roman" w:hAnsi="Times New Roman"/>
            <w:sz w:val="20"/>
          </w:rPr>
          <w:t>https://www.cmegroup.com/tools-information/holiday-calendar.html</w:t>
        </w:r>
      </w:hyperlink>
      <w:r w:rsidRPr="000B55B6">
        <w:rPr>
          <w:rFonts w:ascii="Times New Roman" w:hAnsi="Times New Roman"/>
          <w:sz w:val="20"/>
        </w:rPr>
        <w:t xml:space="preserve"> </w:t>
      </w:r>
      <w:r w:rsidRPr="00F57A6C">
        <w:rPr>
          <w:rFonts w:ascii="Times New Roman" w:hAnsi="Times New Roman"/>
          <w:sz w:val="20"/>
        </w:rPr>
        <w:t xml:space="preserve"> and ICE Futures U.S., 2022 Trading Holiday Calendar, </w:t>
      </w:r>
      <w:r w:rsidRPr="00F57A6C">
        <w:rPr>
          <w:rFonts w:ascii="Times New Roman" w:hAnsi="Times New Roman"/>
          <w:i/>
          <w:sz w:val="20"/>
        </w:rPr>
        <w:t xml:space="preserve">available at  </w:t>
      </w:r>
      <w:hyperlink r:id="rId3" w:history="1">
        <w:r w:rsidRPr="000B55B6">
          <w:rPr>
            <w:rStyle w:val="Hyperlink"/>
            <w:rFonts w:ascii="Times New Roman" w:hAnsi="Times New Roman"/>
            <w:sz w:val="20"/>
          </w:rPr>
          <w:t>https://www.theice.com/publicdocs/futures_us/exchange_notices/ICE_Futures_US_2022_TRADING_HOLIDAY_CALENDAR_20211118.pdf</w:t>
        </w:r>
      </w:hyperlink>
      <w:r w:rsidRPr="00F57A6C">
        <w:rPr>
          <w:rFonts w:ascii="Times New Roman" w:hAnsi="Times New Roman"/>
          <w:i/>
          <w:sz w:val="20"/>
        </w:rPr>
        <w:t>.</w:t>
      </w:r>
    </w:p>
    <w:p w14:paraId="4A71B759" w14:textId="77777777" w:rsidR="004C7C89" w:rsidRPr="00F57A6C" w:rsidRDefault="004C7C89" w:rsidP="00F57A6C">
      <w:pPr>
        <w:pStyle w:val="FootnoteText"/>
        <w:rPr>
          <w:rFonts w:ascii="Times New Roman" w:hAnsi="Times New Roman"/>
          <w:sz w:val="20"/>
        </w:rPr>
      </w:pPr>
    </w:p>
  </w:footnote>
  <w:footnote w:id="13">
    <w:p w14:paraId="5E142C57" w14:textId="07939EF6" w:rsidR="004C7C89" w:rsidRDefault="004C7C89" w:rsidP="00F57A6C">
      <w:pPr>
        <w:pStyle w:val="FootnoteText"/>
        <w:rPr>
          <w:rFonts w:ascii="Times New Roman" w:hAnsi="Times New Roman"/>
          <w:sz w:val="20"/>
        </w:rPr>
      </w:pPr>
      <w:r w:rsidRPr="00F57A6C">
        <w:rPr>
          <w:rFonts w:ascii="Times New Roman" w:hAnsi="Times New Roman"/>
          <w:sz w:val="20"/>
          <w:vertAlign w:val="superscript"/>
        </w:rPr>
        <w:footnoteRef/>
      </w:r>
      <w:r w:rsidRPr="00F57A6C">
        <w:rPr>
          <w:rFonts w:ascii="Times New Roman" w:hAnsi="Times New Roman"/>
          <w:sz w:val="20"/>
          <w:vertAlign w:val="superscript"/>
        </w:rPr>
        <w:t xml:space="preserve"> </w:t>
      </w:r>
      <w:r w:rsidRPr="00F57A6C">
        <w:rPr>
          <w:rFonts w:ascii="Times New Roman" w:hAnsi="Times New Roman"/>
          <w:sz w:val="20"/>
        </w:rPr>
        <w:t>For the sake of consistency, the Commission reached this estimate by first starting with its total annual estimate of 330 burden hours.  Based on the Commission’s estimate of 330 total annual burden hours per DCM, the Commission then divides 330 burden hours by 251 trade days to reach 1.315 burden hours per trade day per DCM.</w:t>
      </w:r>
    </w:p>
    <w:p w14:paraId="4545FDBD" w14:textId="77777777" w:rsidR="004C7C89" w:rsidRPr="00F57A6C" w:rsidRDefault="004C7C89" w:rsidP="00F57A6C">
      <w:pPr>
        <w:pStyle w:val="FootnoteText"/>
        <w:rPr>
          <w:rFonts w:ascii="Times New Roman" w:hAnsi="Times New Roman"/>
          <w:sz w:val="20"/>
        </w:rPr>
      </w:pPr>
    </w:p>
  </w:footnote>
  <w:footnote w:id="14">
    <w:p w14:paraId="48C3F3FE" w14:textId="6C073F41" w:rsidR="004C7C89" w:rsidRPr="00BE1A6D" w:rsidRDefault="004C7C89" w:rsidP="00F57A6C">
      <w:pPr>
        <w:pStyle w:val="FootnoteText"/>
        <w:rPr>
          <w:rFonts w:ascii="Times New Roman" w:hAnsi="Times New Roman"/>
          <w:sz w:val="20"/>
        </w:rPr>
      </w:pPr>
      <w:r w:rsidRPr="00F57A6C">
        <w:rPr>
          <w:rStyle w:val="FootnoteReference"/>
          <w:rFonts w:ascii="Times New Roman" w:hAnsi="Times New Roman"/>
          <w:sz w:val="20"/>
        </w:rPr>
        <w:footnoteRef/>
      </w:r>
      <w:r w:rsidRPr="00F57A6C">
        <w:rPr>
          <w:rFonts w:ascii="Times New Roman" w:hAnsi="Times New Roman"/>
          <w:sz w:val="20"/>
        </w:rPr>
        <w:t xml:space="preserve"> The Commission is providing a blended rate using estimated industry specific wages for consists of ¼ Financial Specialist’s wage, ¼ Lawyer’s wage, ¼ Paralegal’s wage, and ¼ Accountant’s wage multiplied by 1.3 to account for overhead and other benefits.   Per the U.S. Bureau of Labor Statistics, national industry-specific occupational employment and wage estimates with data collected from employers in the securities, commodity contracts, and other financial investments and related activities provides that the mean hourly wage for an Accountant is $51.74, Paralegal is $41.25, Financial Specialist is $60.25, and Lawyer is $102.14.  The average of those wages is $63.845.  </w:t>
      </w:r>
      <w:r w:rsidRPr="00F57A6C">
        <w:rPr>
          <w:rFonts w:ascii="Times New Roman" w:hAnsi="Times New Roman"/>
          <w:i/>
          <w:sz w:val="20"/>
        </w:rPr>
        <w:t>See</w:t>
      </w:r>
      <w:r w:rsidRPr="00F57A6C">
        <w:rPr>
          <w:rFonts w:ascii="Times New Roman" w:hAnsi="Times New Roman"/>
          <w:sz w:val="20"/>
        </w:rPr>
        <w:t xml:space="preserve">, May 2021 National Industry-Specific Occupational Employment and Wage Estimates, NAICS 523000 - Securities, Commodity Contracts, and Other Financial Investments and Related Activities, available at: </w:t>
      </w:r>
      <w:hyperlink r:id="rId4" w:history="1">
        <w:r w:rsidRPr="00F57A6C">
          <w:rPr>
            <w:rStyle w:val="Hyperlink"/>
            <w:rFonts w:ascii="Times New Roman" w:hAnsi="Times New Roman"/>
            <w:sz w:val="20"/>
          </w:rPr>
          <w:t>https://www.bls.gov/oes/current/naics4_523000.htm</w:t>
        </w:r>
      </w:hyperlink>
      <w:r w:rsidRPr="00F57A6C">
        <w:rPr>
          <w:rFonts w:ascii="Times New Roman" w:hAnsi="Times New Roman"/>
          <w:sz w:val="20"/>
        </w:rPr>
        <w:t>.</w:t>
      </w:r>
      <w:r w:rsidRPr="00333BB7">
        <w:rPr>
          <w:rFonts w:ascii="Times New Roman" w:hAnsi="Times New Roman"/>
          <w:sz w:val="20"/>
        </w:rPr>
        <w:t xml:space="preserve">  </w:t>
      </w:r>
    </w:p>
  </w:footnote>
  <w:footnote w:id="15">
    <w:p w14:paraId="46F5FBEB" w14:textId="06CBEC84" w:rsidR="004C7C89" w:rsidRDefault="004C7C89" w:rsidP="001A1E77">
      <w:pPr>
        <w:pStyle w:val="FootnoteText"/>
        <w:rPr>
          <w:rFonts w:ascii="Times New Roman" w:hAnsi="Times New Roman"/>
          <w:sz w:val="20"/>
        </w:rPr>
      </w:pPr>
      <w:r w:rsidRPr="00BE1A6D">
        <w:rPr>
          <w:rStyle w:val="FootnoteReference"/>
          <w:rFonts w:ascii="Times New Roman" w:hAnsi="Times New Roman"/>
          <w:sz w:val="20"/>
        </w:rPr>
        <w:footnoteRef/>
      </w:r>
      <w:r w:rsidRPr="00BE1A6D">
        <w:rPr>
          <w:rFonts w:ascii="Times New Roman" w:hAnsi="Times New Roman"/>
          <w:sz w:val="20"/>
        </w:rPr>
        <w:t xml:space="preserve"> </w:t>
      </w:r>
      <w:r w:rsidRPr="001A1E77">
        <w:rPr>
          <w:rFonts w:ascii="Times New Roman" w:hAnsi="Times New Roman"/>
          <w:i/>
          <w:sz w:val="20"/>
        </w:rPr>
        <w:t>See supra</w:t>
      </w:r>
      <w:r>
        <w:rPr>
          <w:rFonts w:ascii="Times New Roman" w:hAnsi="Times New Roman"/>
          <w:sz w:val="20"/>
        </w:rPr>
        <w:t xml:space="preserve"> note 5. </w:t>
      </w:r>
      <w:r w:rsidRPr="00BE1A6D">
        <w:rPr>
          <w:rFonts w:ascii="Times New Roman" w:hAnsi="Times New Roman"/>
          <w:sz w:val="20"/>
        </w:rPr>
        <w:t xml:space="preserve"> </w:t>
      </w:r>
    </w:p>
    <w:p w14:paraId="583D3182" w14:textId="77777777" w:rsidR="004C7C89" w:rsidRPr="00717D56" w:rsidRDefault="004C7C89" w:rsidP="001A1E77">
      <w:pPr>
        <w:pStyle w:val="FootnoteText"/>
        <w:rPr>
          <w:rFonts w:ascii="Times New Roman" w:hAnsi="Times New Roman"/>
          <w:sz w:val="20"/>
        </w:rPr>
      </w:pPr>
    </w:p>
  </w:footnote>
  <w:footnote w:id="16">
    <w:p w14:paraId="2BFBC318" w14:textId="45F2683B" w:rsidR="004C7C89" w:rsidRDefault="004C7C89">
      <w:pPr>
        <w:pStyle w:val="FootnoteText"/>
        <w:rPr>
          <w:rFonts w:ascii="Times New Roman" w:hAnsi="Times New Roman"/>
          <w:sz w:val="20"/>
        </w:rPr>
      </w:pPr>
      <w:r w:rsidRPr="00717D56">
        <w:rPr>
          <w:rStyle w:val="FootnoteReference"/>
          <w:rFonts w:ascii="Times New Roman" w:hAnsi="Times New Roman"/>
          <w:sz w:val="20"/>
        </w:rPr>
        <w:footnoteRef/>
      </w:r>
      <w:r w:rsidRPr="00717D56">
        <w:rPr>
          <w:rFonts w:ascii="Times New Roman" w:hAnsi="Times New Roman"/>
          <w:sz w:val="20"/>
        </w:rPr>
        <w:t xml:space="preserve"> </w:t>
      </w:r>
      <w:r w:rsidRPr="001A1E77">
        <w:rPr>
          <w:rFonts w:ascii="Times New Roman" w:hAnsi="Times New Roman"/>
          <w:i/>
          <w:sz w:val="20"/>
        </w:rPr>
        <w:t>See supra</w:t>
      </w:r>
      <w:r>
        <w:rPr>
          <w:rFonts w:ascii="Times New Roman" w:hAnsi="Times New Roman"/>
          <w:sz w:val="20"/>
        </w:rPr>
        <w:t xml:space="preserve"> note 14. </w:t>
      </w:r>
    </w:p>
    <w:p w14:paraId="7F9585C8" w14:textId="77777777" w:rsidR="004C7C89" w:rsidRPr="00717D56" w:rsidRDefault="004C7C89">
      <w:pPr>
        <w:pStyle w:val="FootnoteText"/>
        <w:rPr>
          <w:rFonts w:ascii="Times New Roman" w:hAnsi="Times New Roman"/>
          <w:sz w:val="20"/>
        </w:rPr>
      </w:pPr>
    </w:p>
  </w:footnote>
  <w:footnote w:id="17">
    <w:p w14:paraId="734EAE1D" w14:textId="3EA132DA" w:rsidR="004C7C89" w:rsidRDefault="004C7C89" w:rsidP="00C42423">
      <w:pPr>
        <w:pStyle w:val="FootnoteText"/>
        <w:rPr>
          <w:rFonts w:ascii="Times New Roman" w:hAnsi="Times New Roman"/>
          <w:sz w:val="20"/>
        </w:rPr>
      </w:pPr>
      <w:r w:rsidRPr="00717D56">
        <w:rPr>
          <w:rStyle w:val="FootnoteReference"/>
          <w:rFonts w:ascii="Times New Roman" w:hAnsi="Times New Roman"/>
          <w:sz w:val="20"/>
        </w:rPr>
        <w:footnoteRef/>
      </w:r>
      <w:r w:rsidRPr="00717D56">
        <w:rPr>
          <w:rFonts w:ascii="Times New Roman" w:hAnsi="Times New Roman"/>
          <w:sz w:val="20"/>
        </w:rPr>
        <w:t xml:space="preserve"> </w:t>
      </w:r>
      <w:r>
        <w:rPr>
          <w:rFonts w:ascii="Times New Roman" w:hAnsi="Times New Roman"/>
          <w:sz w:val="20"/>
        </w:rPr>
        <w:t xml:space="preserve"> This category was previously labeled as “</w:t>
      </w:r>
      <w:r w:rsidRPr="001A1E77">
        <w:rPr>
          <w:rFonts w:ascii="Times New Roman" w:hAnsi="Times New Roman"/>
          <w:sz w:val="20"/>
        </w:rPr>
        <w:t>38.950 and 38.951</w:t>
      </w:r>
      <w:r>
        <w:rPr>
          <w:rFonts w:ascii="Times New Roman" w:hAnsi="Times New Roman"/>
          <w:sz w:val="20"/>
        </w:rPr>
        <w:t>” in the table of previously estimated hourly burdens below.  The Commission is changing the name for the sake of clarity as this recordkeeping burden is only applicable to compliance with Commission regulation 38.251(g) and not the 38.950 and 38.951 recordkeeping for DCM r</w:t>
      </w:r>
      <w:r w:rsidRPr="00C42423">
        <w:rPr>
          <w:rFonts w:ascii="Times New Roman" w:hAnsi="Times New Roman"/>
          <w:sz w:val="20"/>
        </w:rPr>
        <w:t>egulatory</w:t>
      </w:r>
      <w:r>
        <w:rPr>
          <w:rFonts w:ascii="Times New Roman" w:hAnsi="Times New Roman"/>
          <w:sz w:val="20"/>
        </w:rPr>
        <w:t xml:space="preserve"> and c</w:t>
      </w:r>
      <w:r w:rsidRPr="00C42423">
        <w:rPr>
          <w:rFonts w:ascii="Times New Roman" w:hAnsi="Times New Roman"/>
          <w:sz w:val="20"/>
        </w:rPr>
        <w:t xml:space="preserve">ore </w:t>
      </w:r>
      <w:r>
        <w:rPr>
          <w:rFonts w:ascii="Times New Roman" w:hAnsi="Times New Roman"/>
          <w:sz w:val="20"/>
        </w:rPr>
        <w:t>p</w:t>
      </w:r>
      <w:r w:rsidRPr="00C42423">
        <w:rPr>
          <w:rFonts w:ascii="Times New Roman" w:hAnsi="Times New Roman"/>
          <w:sz w:val="20"/>
        </w:rPr>
        <w:t xml:space="preserve">rinciple </w:t>
      </w:r>
      <w:r>
        <w:rPr>
          <w:rFonts w:ascii="Times New Roman" w:hAnsi="Times New Roman"/>
          <w:sz w:val="20"/>
        </w:rPr>
        <w:t>c</w:t>
      </w:r>
      <w:r w:rsidRPr="00C42423">
        <w:rPr>
          <w:rFonts w:ascii="Times New Roman" w:hAnsi="Times New Roman"/>
          <w:sz w:val="20"/>
        </w:rPr>
        <w:t>omplianc</w:t>
      </w:r>
      <w:r>
        <w:rPr>
          <w:rFonts w:ascii="Times New Roman" w:hAnsi="Times New Roman"/>
          <w:sz w:val="20"/>
        </w:rPr>
        <w:t xml:space="preserve">e, which have been included in </w:t>
      </w:r>
      <w:r w:rsidRPr="001233D8">
        <w:rPr>
          <w:rFonts w:ascii="Times New Roman" w:hAnsi="Times New Roman"/>
          <w:sz w:val="20"/>
        </w:rPr>
        <w:t>the Commission’s previous information collection estimates under</w:t>
      </w:r>
      <w:r>
        <w:rPr>
          <w:rFonts w:ascii="Times New Roman" w:hAnsi="Times New Roman"/>
          <w:sz w:val="20"/>
        </w:rPr>
        <w:t xml:space="preserve"> the line item “</w:t>
      </w:r>
      <w:r w:rsidRPr="00C42423">
        <w:rPr>
          <w:rFonts w:ascii="Times New Roman" w:hAnsi="Times New Roman"/>
          <w:sz w:val="20"/>
        </w:rPr>
        <w:t>Regulatory &amp; Core Principle Compliance</w:t>
      </w:r>
      <w:r>
        <w:rPr>
          <w:rFonts w:ascii="Times New Roman" w:hAnsi="Times New Roman"/>
          <w:sz w:val="20"/>
        </w:rPr>
        <w:t xml:space="preserve"> </w:t>
      </w:r>
      <w:r w:rsidRPr="00C42423">
        <w:rPr>
          <w:rFonts w:ascii="Times New Roman" w:hAnsi="Times New Roman"/>
          <w:sz w:val="20"/>
        </w:rPr>
        <w:t>Part 38 (Subparts A-W) and related Appendices</w:t>
      </w:r>
      <w:r>
        <w:rPr>
          <w:rFonts w:ascii="Times New Roman" w:hAnsi="Times New Roman"/>
          <w:sz w:val="20"/>
        </w:rPr>
        <w:t xml:space="preserve">.”  </w:t>
      </w:r>
    </w:p>
    <w:p w14:paraId="49289AE1" w14:textId="77777777" w:rsidR="004C7C89" w:rsidRPr="00717D56" w:rsidRDefault="004C7C89" w:rsidP="00C42423">
      <w:pPr>
        <w:pStyle w:val="FootnoteText"/>
        <w:rPr>
          <w:rFonts w:ascii="Times New Roman" w:hAnsi="Times New Roman"/>
          <w:sz w:val="20"/>
        </w:rPr>
      </w:pPr>
    </w:p>
  </w:footnote>
  <w:footnote w:id="18">
    <w:p w14:paraId="22A22991" w14:textId="35CA80BB" w:rsidR="004C7C89" w:rsidRDefault="004C7C89">
      <w:pPr>
        <w:pStyle w:val="FootnoteText"/>
        <w:rPr>
          <w:rFonts w:ascii="Times New Roman" w:hAnsi="Times New Roman"/>
          <w:sz w:val="20"/>
        </w:rPr>
      </w:pPr>
      <w:r w:rsidRPr="00717D56">
        <w:rPr>
          <w:rStyle w:val="FootnoteReference"/>
          <w:rFonts w:ascii="Times New Roman" w:hAnsi="Times New Roman"/>
          <w:sz w:val="20"/>
        </w:rPr>
        <w:footnoteRef/>
      </w:r>
      <w:r w:rsidRPr="00717D56">
        <w:rPr>
          <w:rFonts w:ascii="Times New Roman" w:hAnsi="Times New Roman"/>
          <w:sz w:val="20"/>
        </w:rPr>
        <w:t xml:space="preserve"> </w:t>
      </w:r>
      <w:r>
        <w:rPr>
          <w:rFonts w:ascii="Times New Roman" w:hAnsi="Times New Roman"/>
          <w:sz w:val="20"/>
        </w:rPr>
        <w:t xml:space="preserve">Note for this collection, </w:t>
      </w:r>
      <w:r w:rsidRPr="00BE1A6D">
        <w:rPr>
          <w:rFonts w:ascii="Times New Roman" w:hAnsi="Times New Roman"/>
          <w:sz w:val="20"/>
        </w:rPr>
        <w:t xml:space="preserve">the number of registered DCMs has </w:t>
      </w:r>
      <w:r>
        <w:rPr>
          <w:rFonts w:ascii="Times New Roman" w:hAnsi="Times New Roman"/>
          <w:sz w:val="20"/>
        </w:rPr>
        <w:t>dec</w:t>
      </w:r>
      <w:r w:rsidRPr="00BE1A6D">
        <w:rPr>
          <w:rFonts w:ascii="Times New Roman" w:hAnsi="Times New Roman"/>
          <w:sz w:val="20"/>
        </w:rPr>
        <w:t>reased from 1</w:t>
      </w:r>
      <w:r>
        <w:rPr>
          <w:rFonts w:ascii="Times New Roman" w:hAnsi="Times New Roman"/>
          <w:sz w:val="20"/>
        </w:rPr>
        <w:t>7</w:t>
      </w:r>
      <w:r w:rsidRPr="00BE1A6D">
        <w:rPr>
          <w:rFonts w:ascii="Times New Roman" w:hAnsi="Times New Roman"/>
          <w:sz w:val="20"/>
        </w:rPr>
        <w:t xml:space="preserve"> to 16.</w:t>
      </w:r>
    </w:p>
    <w:p w14:paraId="34B95B5A" w14:textId="77777777" w:rsidR="004C7C89" w:rsidRPr="00717D56" w:rsidRDefault="004C7C89">
      <w:pPr>
        <w:pStyle w:val="FootnoteText"/>
        <w:rPr>
          <w:rFonts w:ascii="Times New Roman" w:hAnsi="Times New Roman"/>
          <w:sz w:val="20"/>
        </w:rPr>
      </w:pPr>
    </w:p>
  </w:footnote>
  <w:footnote w:id="19">
    <w:p w14:paraId="69AA7D23" w14:textId="12A1A7AB" w:rsidR="004C7C89" w:rsidRDefault="004C7C89">
      <w:pPr>
        <w:pStyle w:val="FootnoteText"/>
      </w:pPr>
      <w:r>
        <w:rPr>
          <w:rStyle w:val="FootnoteReference"/>
        </w:rPr>
        <w:footnoteRef/>
      </w:r>
      <w:r>
        <w:t xml:space="preserve"> </w:t>
      </w:r>
      <w:r w:rsidRPr="00F57A6C">
        <w:rPr>
          <w:rFonts w:ascii="Times New Roman" w:hAnsi="Times New Roman"/>
          <w:sz w:val="20"/>
        </w:rPr>
        <w:t xml:space="preserve">For the sake of consistency, the Commission reached this estimate by first starting with its total annual estimate of </w:t>
      </w:r>
      <w:r>
        <w:rPr>
          <w:rFonts w:ascii="Times New Roman" w:hAnsi="Times New Roman"/>
          <w:sz w:val="20"/>
        </w:rPr>
        <w:t>25</w:t>
      </w:r>
      <w:r w:rsidRPr="00F57A6C">
        <w:rPr>
          <w:rFonts w:ascii="Times New Roman" w:hAnsi="Times New Roman"/>
          <w:sz w:val="20"/>
        </w:rPr>
        <w:t xml:space="preserve"> burden hours</w:t>
      </w:r>
      <w:r>
        <w:rPr>
          <w:rFonts w:ascii="Times New Roman" w:hAnsi="Times New Roman"/>
          <w:sz w:val="20"/>
        </w:rPr>
        <w:t xml:space="preserve"> per DCMs and 2 total responses on average per DCMs</w:t>
      </w:r>
      <w:r w:rsidRPr="00F57A6C">
        <w:rPr>
          <w:rFonts w:ascii="Times New Roman" w:hAnsi="Times New Roman"/>
          <w:sz w:val="20"/>
        </w:rPr>
        <w:t xml:space="preserve">.  Based on the Commission’s estimate of </w:t>
      </w:r>
      <w:r>
        <w:rPr>
          <w:rFonts w:ascii="Times New Roman" w:hAnsi="Times New Roman"/>
          <w:sz w:val="20"/>
        </w:rPr>
        <w:t>25</w:t>
      </w:r>
      <w:r w:rsidRPr="00F57A6C">
        <w:rPr>
          <w:rFonts w:ascii="Times New Roman" w:hAnsi="Times New Roman"/>
          <w:sz w:val="20"/>
        </w:rPr>
        <w:t xml:space="preserve"> total annual burden hours </w:t>
      </w:r>
      <w:r>
        <w:rPr>
          <w:rFonts w:ascii="Times New Roman" w:hAnsi="Times New Roman"/>
          <w:sz w:val="20"/>
        </w:rPr>
        <w:t>per DCM and 2 total annual responses per DCM</w:t>
      </w:r>
      <w:r w:rsidRPr="00F57A6C">
        <w:rPr>
          <w:rFonts w:ascii="Times New Roman" w:hAnsi="Times New Roman"/>
          <w:sz w:val="20"/>
        </w:rPr>
        <w:t xml:space="preserve">, the Commission then divides </w:t>
      </w:r>
      <w:r>
        <w:rPr>
          <w:rFonts w:ascii="Times New Roman" w:hAnsi="Times New Roman"/>
          <w:sz w:val="20"/>
        </w:rPr>
        <w:t>25</w:t>
      </w:r>
      <w:r w:rsidRPr="00F57A6C">
        <w:rPr>
          <w:rFonts w:ascii="Times New Roman" w:hAnsi="Times New Roman"/>
          <w:sz w:val="20"/>
        </w:rPr>
        <w:t xml:space="preserve"> burden hours by </w:t>
      </w:r>
      <w:r>
        <w:rPr>
          <w:rFonts w:ascii="Times New Roman" w:hAnsi="Times New Roman"/>
          <w:sz w:val="20"/>
        </w:rPr>
        <w:t>2 responses per DCM</w:t>
      </w:r>
      <w:r w:rsidRPr="00F57A6C">
        <w:rPr>
          <w:rFonts w:ascii="Times New Roman" w:hAnsi="Times New Roman"/>
          <w:sz w:val="20"/>
        </w:rPr>
        <w:t xml:space="preserve"> to reach </w:t>
      </w:r>
      <w:r>
        <w:rPr>
          <w:rFonts w:ascii="Times New Roman" w:hAnsi="Times New Roman"/>
          <w:sz w:val="20"/>
        </w:rPr>
        <w:t>12.5</w:t>
      </w:r>
      <w:r w:rsidRPr="00F57A6C">
        <w:rPr>
          <w:rFonts w:ascii="Times New Roman" w:hAnsi="Times New Roman"/>
          <w:sz w:val="20"/>
        </w:rPr>
        <w:t xml:space="preserve"> burden hours per </w:t>
      </w:r>
      <w:r>
        <w:rPr>
          <w:rFonts w:ascii="Times New Roman" w:hAnsi="Times New Roman"/>
          <w:sz w:val="20"/>
        </w:rPr>
        <w:t>response per DCM</w:t>
      </w:r>
      <w:r w:rsidRPr="00F57A6C">
        <w:rPr>
          <w:rFonts w:ascii="Times New Roman" w:hAnsi="Times New Roman"/>
          <w:sz w:val="20"/>
        </w:rPr>
        <w:t>.</w:t>
      </w:r>
    </w:p>
  </w:footnote>
  <w:footnote w:id="20">
    <w:p w14:paraId="49CDD08B" w14:textId="6D12A203" w:rsidR="004C7C89" w:rsidRDefault="004C7C89">
      <w:pPr>
        <w:pStyle w:val="FootnoteText"/>
        <w:rPr>
          <w:rFonts w:ascii="Times New Roman" w:hAnsi="Times New Roman"/>
          <w:sz w:val="20"/>
        </w:rPr>
      </w:pPr>
      <w:r w:rsidRPr="00717D56">
        <w:rPr>
          <w:rStyle w:val="FootnoteReference"/>
          <w:rFonts w:ascii="Times New Roman" w:hAnsi="Times New Roman"/>
          <w:sz w:val="20"/>
        </w:rPr>
        <w:footnoteRef/>
      </w:r>
      <w:r w:rsidRPr="00717D56">
        <w:rPr>
          <w:rFonts w:ascii="Times New Roman" w:hAnsi="Times New Roman"/>
          <w:sz w:val="20"/>
        </w:rPr>
        <w:t xml:space="preserve"> The Commission is providing a rate using estimated industry specific wages for Database and Network Administrators and Architects multiplied by 1.3 to account for overhead and other benefits.  Per the U.S. Bureau of Labor Statistics, national industry-specific occupational employment and wage estimates with data collected from employers in the securities, commodity contracts, and other financial investments and related activities provides that the mean hourly wage for a Database and Network Administrator and Architect is $65.36.  </w:t>
      </w:r>
      <w:r w:rsidRPr="00717D56">
        <w:rPr>
          <w:rFonts w:ascii="Times New Roman" w:hAnsi="Times New Roman"/>
          <w:i/>
          <w:sz w:val="20"/>
        </w:rPr>
        <w:t>See</w:t>
      </w:r>
      <w:r w:rsidRPr="00717D56">
        <w:rPr>
          <w:rFonts w:ascii="Times New Roman" w:hAnsi="Times New Roman"/>
          <w:sz w:val="20"/>
        </w:rPr>
        <w:t xml:space="preserve">, May 2021 National Industry-Specific Occupational Employment and Wage Estimates, NAICS 523000 - Securities, Commodity Contracts, and Other Financial Investments and Related Activities, </w:t>
      </w:r>
      <w:r w:rsidRPr="00B20E54">
        <w:rPr>
          <w:rFonts w:ascii="Times New Roman" w:hAnsi="Times New Roman"/>
          <w:i/>
          <w:sz w:val="20"/>
        </w:rPr>
        <w:t>available at</w:t>
      </w:r>
      <w:r w:rsidRPr="00717D56">
        <w:rPr>
          <w:rFonts w:ascii="Times New Roman" w:hAnsi="Times New Roman"/>
          <w:sz w:val="20"/>
        </w:rPr>
        <w:t xml:space="preserve"> </w:t>
      </w:r>
      <w:hyperlink r:id="rId5" w:history="1">
        <w:r w:rsidRPr="00717D56">
          <w:rPr>
            <w:rStyle w:val="Hyperlink"/>
            <w:rFonts w:ascii="Times New Roman" w:hAnsi="Times New Roman"/>
            <w:sz w:val="20"/>
          </w:rPr>
          <w:t>https://www.bls.gov/oes/current/naics4_523000.htm</w:t>
        </w:r>
      </w:hyperlink>
      <w:r w:rsidRPr="00717D56">
        <w:rPr>
          <w:rFonts w:ascii="Times New Roman" w:hAnsi="Times New Roman"/>
          <w:sz w:val="20"/>
        </w:rPr>
        <w:t xml:space="preserve">.  </w:t>
      </w:r>
    </w:p>
    <w:p w14:paraId="7E547BB2" w14:textId="77777777" w:rsidR="004C7C89" w:rsidRPr="00717D56" w:rsidRDefault="004C7C89">
      <w:pPr>
        <w:pStyle w:val="FootnoteText"/>
        <w:rPr>
          <w:rFonts w:ascii="Times New Roman" w:hAnsi="Times New Roman"/>
          <w:sz w:val="20"/>
        </w:rPr>
      </w:pPr>
    </w:p>
  </w:footnote>
  <w:footnote w:id="21">
    <w:p w14:paraId="461FF3C4" w14:textId="525D0D32" w:rsidR="004C7C89" w:rsidRPr="00717D56" w:rsidRDefault="004C7C89">
      <w:pPr>
        <w:pStyle w:val="FootnoteText"/>
        <w:rPr>
          <w:rFonts w:ascii="Times New Roman" w:hAnsi="Times New Roman"/>
          <w:sz w:val="20"/>
        </w:rPr>
      </w:pPr>
      <w:r w:rsidRPr="00717D56">
        <w:rPr>
          <w:rStyle w:val="FootnoteReference"/>
          <w:rFonts w:ascii="Times New Roman" w:hAnsi="Times New Roman"/>
          <w:sz w:val="20"/>
        </w:rPr>
        <w:footnoteRef/>
      </w:r>
      <w:r w:rsidRPr="00717D56">
        <w:rPr>
          <w:rFonts w:ascii="Times New Roman" w:hAnsi="Times New Roman"/>
          <w:sz w:val="20"/>
        </w:rPr>
        <w:t xml:space="preserve"> </w:t>
      </w:r>
      <w:r w:rsidRPr="001A1E77">
        <w:rPr>
          <w:rFonts w:ascii="Times New Roman" w:hAnsi="Times New Roman"/>
          <w:i/>
          <w:sz w:val="20"/>
        </w:rPr>
        <w:t>See supra</w:t>
      </w:r>
      <w:r>
        <w:rPr>
          <w:rFonts w:ascii="Times New Roman" w:hAnsi="Times New Roman"/>
          <w:sz w:val="20"/>
        </w:rPr>
        <w:t xml:space="preserve"> note 14.</w:t>
      </w:r>
    </w:p>
  </w:footnote>
  <w:footnote w:id="22">
    <w:p w14:paraId="7AB62664" w14:textId="56D025FB" w:rsidR="004C7C89" w:rsidRPr="00333BB7" w:rsidRDefault="004C7C89">
      <w:pPr>
        <w:pStyle w:val="FootnoteText"/>
        <w:rPr>
          <w:rFonts w:ascii="Times New Roman" w:hAnsi="Times New Roman"/>
          <w:sz w:val="20"/>
        </w:rPr>
      </w:pPr>
      <w:r w:rsidRPr="00333BB7">
        <w:rPr>
          <w:rStyle w:val="FootnoteReference"/>
          <w:rFonts w:ascii="Times New Roman" w:hAnsi="Times New Roman"/>
          <w:sz w:val="20"/>
        </w:rPr>
        <w:footnoteRef/>
      </w:r>
      <w:r w:rsidRPr="00333BB7">
        <w:rPr>
          <w:rFonts w:ascii="Times New Roman" w:hAnsi="Times New Roman"/>
          <w:sz w:val="20"/>
        </w:rPr>
        <w:t xml:space="preserve"> </w:t>
      </w:r>
      <w:r w:rsidRPr="001A1E77">
        <w:rPr>
          <w:rFonts w:ascii="Times New Roman" w:hAnsi="Times New Roman"/>
          <w:i/>
          <w:sz w:val="20"/>
        </w:rPr>
        <w:t>See supra</w:t>
      </w:r>
      <w:r>
        <w:rPr>
          <w:rFonts w:ascii="Times New Roman" w:hAnsi="Times New Roman"/>
          <w:sz w:val="20"/>
        </w:rPr>
        <w:t xml:space="preserve"> note 14.</w:t>
      </w:r>
    </w:p>
  </w:footnote>
  <w:footnote w:id="23">
    <w:p w14:paraId="2F302E6D" w14:textId="2F3E9620" w:rsidR="004C7C89" w:rsidRDefault="004C7C89" w:rsidP="00F57A6C">
      <w:pPr>
        <w:pStyle w:val="FootnoteText"/>
        <w:rPr>
          <w:rFonts w:ascii="Times New Roman" w:hAnsi="Times New Roman"/>
          <w:sz w:val="20"/>
        </w:rPr>
      </w:pPr>
      <w:r w:rsidRPr="00F57A6C">
        <w:rPr>
          <w:rStyle w:val="FootnoteReference"/>
          <w:rFonts w:ascii="Times New Roman" w:hAnsi="Times New Roman"/>
          <w:sz w:val="20"/>
        </w:rPr>
        <w:footnoteRef/>
      </w:r>
      <w:r w:rsidRPr="00F57A6C">
        <w:rPr>
          <w:rFonts w:ascii="Times New Roman" w:hAnsi="Times New Roman"/>
          <w:sz w:val="20"/>
        </w:rPr>
        <w:t xml:space="preserve"> </w:t>
      </w:r>
      <w:r w:rsidRPr="001A1E77">
        <w:rPr>
          <w:rFonts w:ascii="Times New Roman" w:hAnsi="Times New Roman"/>
          <w:i/>
          <w:sz w:val="20"/>
        </w:rPr>
        <w:t>See supra</w:t>
      </w:r>
      <w:r>
        <w:rPr>
          <w:rFonts w:ascii="Times New Roman" w:hAnsi="Times New Roman"/>
          <w:sz w:val="20"/>
        </w:rPr>
        <w:t xml:space="preserve"> note 14.</w:t>
      </w:r>
    </w:p>
    <w:p w14:paraId="0F120BF1" w14:textId="77777777" w:rsidR="004C7C89" w:rsidRPr="00F57A6C" w:rsidRDefault="004C7C89" w:rsidP="00F57A6C">
      <w:pPr>
        <w:pStyle w:val="FootnoteText"/>
        <w:rPr>
          <w:rFonts w:ascii="Times New Roman" w:hAnsi="Times New Roman"/>
          <w:sz w:val="20"/>
        </w:rPr>
      </w:pPr>
    </w:p>
  </w:footnote>
  <w:footnote w:id="24">
    <w:p w14:paraId="3A0495E4" w14:textId="4260C683" w:rsidR="004C7C89" w:rsidRDefault="004C7C89" w:rsidP="00F57A6C">
      <w:pPr>
        <w:pStyle w:val="FootnoteText"/>
        <w:rPr>
          <w:rFonts w:ascii="Times New Roman" w:hAnsi="Times New Roman"/>
          <w:sz w:val="20"/>
        </w:rPr>
      </w:pPr>
      <w:r w:rsidRPr="00F57A6C">
        <w:rPr>
          <w:rStyle w:val="FootnoteReference"/>
          <w:rFonts w:ascii="Times New Roman" w:hAnsi="Times New Roman"/>
          <w:sz w:val="20"/>
        </w:rPr>
        <w:footnoteRef/>
      </w:r>
      <w:r w:rsidRPr="00F57A6C">
        <w:rPr>
          <w:rFonts w:ascii="Times New Roman" w:hAnsi="Times New Roman"/>
          <w:sz w:val="20"/>
        </w:rPr>
        <w:t xml:space="preserve"> Note for this requirement, the number of registered DCMs has decreased from 17 to 16.</w:t>
      </w:r>
    </w:p>
    <w:p w14:paraId="15AC5EA4" w14:textId="77777777" w:rsidR="004C7C89" w:rsidRPr="00F57A6C" w:rsidRDefault="004C7C89" w:rsidP="00F57A6C">
      <w:pPr>
        <w:pStyle w:val="FootnoteText"/>
        <w:rPr>
          <w:rFonts w:ascii="Times New Roman" w:hAnsi="Times New Roman"/>
          <w:sz w:val="20"/>
        </w:rPr>
      </w:pPr>
    </w:p>
  </w:footnote>
  <w:footnote w:id="25">
    <w:p w14:paraId="2995C984" w14:textId="2DD99953" w:rsidR="004C7C89" w:rsidRPr="00971C63" w:rsidRDefault="004C7C89">
      <w:pPr>
        <w:pStyle w:val="FootnoteText"/>
      </w:pPr>
      <w:r>
        <w:rPr>
          <w:rStyle w:val="FootnoteReference"/>
        </w:rPr>
        <w:footnoteRef/>
      </w:r>
      <w:r>
        <w:t xml:space="preserve"> </w:t>
      </w:r>
      <w:r w:rsidRPr="00F57A6C">
        <w:rPr>
          <w:rFonts w:ascii="Times New Roman" w:hAnsi="Times New Roman"/>
          <w:sz w:val="20"/>
        </w:rPr>
        <w:t xml:space="preserve">For the sake of consistency, the Commission reached this estimate by first starting with its total annual estimate of </w:t>
      </w:r>
      <w:r>
        <w:rPr>
          <w:rFonts w:ascii="Times New Roman" w:hAnsi="Times New Roman"/>
          <w:sz w:val="20"/>
        </w:rPr>
        <w:t>1,062.50 burden hours for all DCMs</w:t>
      </w:r>
      <w:r w:rsidRPr="00F57A6C">
        <w:rPr>
          <w:rFonts w:ascii="Times New Roman" w:hAnsi="Times New Roman"/>
          <w:sz w:val="20"/>
        </w:rPr>
        <w:t>.</w:t>
      </w:r>
      <w:r>
        <w:rPr>
          <w:rFonts w:ascii="Times New Roman" w:hAnsi="Times New Roman"/>
          <w:sz w:val="20"/>
        </w:rPr>
        <w:t xml:space="preserve">  </w:t>
      </w:r>
      <w:r>
        <w:rPr>
          <w:rFonts w:ascii="Times New Roman" w:hAnsi="Times New Roman"/>
          <w:i/>
          <w:sz w:val="20"/>
        </w:rPr>
        <w:t>See</w:t>
      </w:r>
      <w:r>
        <w:rPr>
          <w:rFonts w:ascii="Times New Roman" w:hAnsi="Times New Roman"/>
          <w:sz w:val="20"/>
        </w:rPr>
        <w:t xml:space="preserve"> note </w:t>
      </w:r>
      <w:r>
        <w:rPr>
          <w:rFonts w:ascii="Times New Roman" w:hAnsi="Times New Roman"/>
          <w:sz w:val="20"/>
        </w:rPr>
        <w:fldChar w:fldCharType="begin"/>
      </w:r>
      <w:r>
        <w:rPr>
          <w:rFonts w:ascii="Times New Roman" w:hAnsi="Times New Roman"/>
          <w:sz w:val="20"/>
        </w:rPr>
        <w:instrText xml:space="preserve"> NOTEREF _Ref101354032 \h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28</w:t>
      </w:r>
      <w:r>
        <w:rPr>
          <w:rFonts w:ascii="Times New Roman" w:hAnsi="Times New Roman"/>
          <w:sz w:val="20"/>
        </w:rPr>
        <w:fldChar w:fldCharType="end"/>
      </w:r>
      <w:r>
        <w:rPr>
          <w:rFonts w:ascii="Times New Roman" w:hAnsi="Times New Roman"/>
          <w:sz w:val="20"/>
        </w:rPr>
        <w:t xml:space="preserve">  below for additional discussion.</w:t>
      </w:r>
    </w:p>
  </w:footnote>
  <w:footnote w:id="26">
    <w:p w14:paraId="5ED4E3FC" w14:textId="10B78542" w:rsidR="004C7C89" w:rsidRDefault="004C7C89" w:rsidP="00F57A6C">
      <w:pPr>
        <w:pStyle w:val="FootnoteText"/>
        <w:rPr>
          <w:rFonts w:ascii="Times New Roman" w:hAnsi="Times New Roman"/>
          <w:sz w:val="20"/>
        </w:rPr>
      </w:pPr>
      <w:r w:rsidRPr="00F57A6C">
        <w:rPr>
          <w:rStyle w:val="FootnoteReference"/>
          <w:rFonts w:ascii="Times New Roman" w:hAnsi="Times New Roman"/>
          <w:sz w:val="20"/>
        </w:rPr>
        <w:footnoteRef/>
      </w:r>
      <w:r w:rsidRPr="00F57A6C">
        <w:rPr>
          <w:rFonts w:ascii="Times New Roman" w:hAnsi="Times New Roman"/>
          <w:sz w:val="20"/>
        </w:rPr>
        <w:t xml:space="preserve"> The Commission is providing a blended rate using estimated industry specific wages for Computer Programmer, Compliance Officer and Lawyers multiplied by 1.3 to account for overhead and other benefits.   Per the U.S. Bureau of Labor Statistics, national industry-specific occupational employment and wage estimates with data collected from employers in the securities, commodity contracts, and other financial investments and related activities provides that the mean hourly wage for a Computer Programmer is $60.32, Compliance Officer is $44.59, and Lawyer is $102.14.  The average of those wages is $69.017.  </w:t>
      </w:r>
      <w:r w:rsidRPr="00DA1DAF">
        <w:rPr>
          <w:rFonts w:ascii="Times New Roman" w:hAnsi="Times New Roman"/>
          <w:i/>
          <w:sz w:val="20"/>
        </w:rPr>
        <w:t>See</w:t>
      </w:r>
      <w:r w:rsidRPr="00F57A6C">
        <w:rPr>
          <w:rFonts w:ascii="Times New Roman" w:hAnsi="Times New Roman"/>
          <w:sz w:val="20"/>
        </w:rPr>
        <w:t xml:space="preserve">, May 2021 National Industry-Specific Occupational Employment and Wage Estimates, NAICS 523000 - Securities, Commodity Contracts, and Other Financial Investments and Related Activities, available at: </w:t>
      </w:r>
      <w:hyperlink r:id="rId6" w:history="1">
        <w:r w:rsidRPr="00F57A6C">
          <w:rPr>
            <w:rStyle w:val="Hyperlink"/>
            <w:rFonts w:ascii="Times New Roman" w:hAnsi="Times New Roman"/>
            <w:sz w:val="20"/>
          </w:rPr>
          <w:t>https://www.bls.gov/oes/current/naics4_523000.htm</w:t>
        </w:r>
      </w:hyperlink>
      <w:r w:rsidRPr="00F57A6C">
        <w:rPr>
          <w:rFonts w:ascii="Times New Roman" w:hAnsi="Times New Roman"/>
          <w:sz w:val="20"/>
        </w:rPr>
        <w:t xml:space="preserve">.  </w:t>
      </w:r>
    </w:p>
    <w:p w14:paraId="6B7FF9FC" w14:textId="77777777" w:rsidR="004C7C89" w:rsidRPr="00F57A6C" w:rsidRDefault="004C7C89" w:rsidP="00F57A6C">
      <w:pPr>
        <w:pStyle w:val="FootnoteText"/>
        <w:rPr>
          <w:rFonts w:ascii="Times New Roman" w:hAnsi="Times New Roman"/>
          <w:sz w:val="20"/>
        </w:rPr>
      </w:pPr>
    </w:p>
  </w:footnote>
  <w:footnote w:id="27">
    <w:p w14:paraId="2B6D5A81" w14:textId="27A61D8D" w:rsidR="004C7C89" w:rsidRDefault="004C7C89" w:rsidP="00F57A6C">
      <w:pPr>
        <w:pStyle w:val="FootnoteText"/>
        <w:rPr>
          <w:rFonts w:ascii="Times New Roman" w:hAnsi="Times New Roman"/>
          <w:sz w:val="20"/>
        </w:rPr>
      </w:pPr>
      <w:r w:rsidRPr="00F57A6C">
        <w:rPr>
          <w:rStyle w:val="FootnoteReference"/>
          <w:rFonts w:ascii="Times New Roman" w:hAnsi="Times New Roman"/>
          <w:sz w:val="20"/>
        </w:rPr>
        <w:footnoteRef/>
      </w:r>
      <w:r w:rsidRPr="00F57A6C">
        <w:rPr>
          <w:rFonts w:ascii="Times New Roman" w:hAnsi="Times New Roman"/>
          <w:sz w:val="20"/>
        </w:rPr>
        <w:t xml:space="preserve"> Based on the annual aggregate range of potential notifications under final §38.251(g) from 0 to 400 for all DCMs, the Commission estimates that the average annual aggregate notifications for all DCMs is 212.50 with the annual average number of notifications per DCM to be 13.28.</w:t>
      </w:r>
    </w:p>
    <w:p w14:paraId="2AC87E5E" w14:textId="77777777" w:rsidR="004C7C89" w:rsidRPr="00F57A6C" w:rsidRDefault="004C7C89" w:rsidP="00F57A6C">
      <w:pPr>
        <w:pStyle w:val="FootnoteText"/>
        <w:rPr>
          <w:rFonts w:ascii="Times New Roman" w:hAnsi="Times New Roman"/>
          <w:sz w:val="20"/>
        </w:rPr>
      </w:pPr>
    </w:p>
  </w:footnote>
  <w:footnote w:id="28">
    <w:p w14:paraId="7F378E79" w14:textId="2BA41DEE" w:rsidR="004C7C89" w:rsidRDefault="004C7C89" w:rsidP="00F57A6C">
      <w:pPr>
        <w:pStyle w:val="FootnoteText"/>
        <w:rPr>
          <w:rFonts w:ascii="Times New Roman" w:hAnsi="Times New Roman"/>
          <w:sz w:val="20"/>
        </w:rPr>
      </w:pPr>
      <w:r w:rsidRPr="00F57A6C">
        <w:rPr>
          <w:rStyle w:val="FootnoteReference"/>
          <w:rFonts w:ascii="Times New Roman" w:hAnsi="Times New Roman"/>
          <w:sz w:val="20"/>
        </w:rPr>
        <w:footnoteRef/>
      </w:r>
      <w:r w:rsidRPr="00F57A6C">
        <w:rPr>
          <w:rFonts w:ascii="Times New Roman" w:hAnsi="Times New Roman"/>
          <w:sz w:val="20"/>
        </w:rPr>
        <w:t xml:space="preserve"> The Commission estimates that the total aggregate annual burden hours for DCMs under final §38.251(g) would be a range between 0 and 2,</w:t>
      </w:r>
      <w:r>
        <w:rPr>
          <w:rFonts w:ascii="Times New Roman" w:hAnsi="Times New Roman"/>
          <w:sz w:val="20"/>
        </w:rPr>
        <w:t>000</w:t>
      </w:r>
      <w:r w:rsidRPr="00F57A6C">
        <w:rPr>
          <w:rFonts w:ascii="Times New Roman" w:hAnsi="Times New Roman"/>
          <w:sz w:val="20"/>
        </w:rPr>
        <w:t xml:space="preserve"> hours based on each DCM incurring between 0 hours (0 x 16 = 0 burden hours) and 2,000 hours (125 x 16 = 2,000 burden hours). Based on these estimates, the Commission has determined that the annual average aggregate burden hours for all DCMs to be 1,062.50 burden hours with an annual average burden hour for each DCM to be 66.406 burden hours</w:t>
      </w:r>
      <w:r>
        <w:rPr>
          <w:rFonts w:ascii="Times New Roman" w:hAnsi="Times New Roman"/>
          <w:sz w:val="20"/>
        </w:rPr>
        <w:t>, which the Commission rounds to 66.4 hours</w:t>
      </w:r>
      <w:r w:rsidRPr="00F57A6C">
        <w:rPr>
          <w:rFonts w:ascii="Times New Roman" w:hAnsi="Times New Roman"/>
          <w:sz w:val="20"/>
        </w:rPr>
        <w:t>.</w:t>
      </w:r>
    </w:p>
    <w:p w14:paraId="11CC9DC0" w14:textId="77777777" w:rsidR="004C7C89" w:rsidRPr="00F57A6C" w:rsidRDefault="004C7C89" w:rsidP="00F57A6C">
      <w:pPr>
        <w:pStyle w:val="FootnoteText"/>
        <w:rPr>
          <w:rFonts w:ascii="Times New Roman" w:hAnsi="Times New Roman"/>
          <w:sz w:val="20"/>
        </w:rPr>
      </w:pPr>
    </w:p>
  </w:footnote>
  <w:footnote w:id="29">
    <w:p w14:paraId="29F648FD" w14:textId="77777777" w:rsidR="004C7C89" w:rsidRPr="00333BB7" w:rsidRDefault="004C7C89" w:rsidP="00F57A6C">
      <w:pPr>
        <w:pStyle w:val="FootnoteText"/>
        <w:rPr>
          <w:rFonts w:ascii="Times New Roman" w:hAnsi="Times New Roman"/>
          <w:sz w:val="20"/>
        </w:rPr>
      </w:pPr>
      <w:r w:rsidRPr="00F57A6C">
        <w:rPr>
          <w:rStyle w:val="FootnoteReference"/>
          <w:rFonts w:ascii="Times New Roman" w:hAnsi="Times New Roman"/>
          <w:sz w:val="20"/>
        </w:rPr>
        <w:footnoteRef/>
      </w:r>
      <w:r w:rsidRPr="00F57A6C">
        <w:rPr>
          <w:rFonts w:ascii="Times New Roman" w:hAnsi="Times New Roman"/>
          <w:sz w:val="20"/>
        </w:rPr>
        <w:t xml:space="preserve"> The Commission has not identified any recordkeeping or third-party disclosure information collections related to DCM registration.</w:t>
      </w:r>
    </w:p>
  </w:footnote>
  <w:footnote w:id="30">
    <w:p w14:paraId="46F3ADEB" w14:textId="77777777" w:rsidR="006410EA" w:rsidRDefault="006410EA" w:rsidP="00F57A6C">
      <w:pPr>
        <w:pStyle w:val="FootnoteText"/>
        <w:rPr>
          <w:rFonts w:ascii="Times New Roman" w:hAnsi="Times New Roman"/>
          <w:sz w:val="20"/>
        </w:rPr>
      </w:pPr>
    </w:p>
    <w:p w14:paraId="72545E89" w14:textId="70E61D01" w:rsidR="004C7C89" w:rsidRDefault="004C7C89" w:rsidP="00F57A6C">
      <w:pPr>
        <w:pStyle w:val="FootnoteText"/>
        <w:rPr>
          <w:rFonts w:ascii="Times New Roman" w:hAnsi="Times New Roman"/>
          <w:sz w:val="20"/>
        </w:rPr>
      </w:pPr>
      <w:r w:rsidRPr="00333BB7">
        <w:rPr>
          <w:rStyle w:val="FootnoteReference"/>
          <w:rFonts w:ascii="Times New Roman" w:hAnsi="Times New Roman"/>
          <w:sz w:val="20"/>
        </w:rPr>
        <w:footnoteRef/>
      </w:r>
      <w:r w:rsidRPr="00333BB7">
        <w:rPr>
          <w:rFonts w:ascii="Times New Roman" w:hAnsi="Times New Roman"/>
          <w:sz w:val="20"/>
        </w:rPr>
        <w:t xml:space="preserve"> For this purpose, the Commission considers the entire DCM application process to constitute a single information collection.</w:t>
      </w:r>
    </w:p>
    <w:p w14:paraId="142348F9" w14:textId="77777777" w:rsidR="004C7C89" w:rsidRPr="00333BB7" w:rsidRDefault="004C7C89" w:rsidP="00F57A6C">
      <w:pPr>
        <w:pStyle w:val="FootnoteText"/>
        <w:rPr>
          <w:rFonts w:ascii="Times New Roman" w:hAnsi="Times New Roman"/>
          <w:sz w:val="20"/>
        </w:rPr>
      </w:pPr>
    </w:p>
  </w:footnote>
  <w:footnote w:id="31">
    <w:p w14:paraId="528AC1D7" w14:textId="0738E9DC" w:rsidR="004C7C89" w:rsidRDefault="004C7C89" w:rsidP="00F57A6C">
      <w:pPr>
        <w:pStyle w:val="FootnoteText"/>
        <w:rPr>
          <w:rFonts w:ascii="Times New Roman" w:hAnsi="Times New Roman"/>
          <w:sz w:val="20"/>
        </w:rPr>
      </w:pPr>
      <w:r w:rsidRPr="00333BB7">
        <w:rPr>
          <w:rStyle w:val="FootnoteReference"/>
          <w:rFonts w:ascii="Times New Roman" w:hAnsi="Times New Roman"/>
          <w:sz w:val="20"/>
        </w:rPr>
        <w:footnoteRef/>
      </w:r>
      <w:r w:rsidRPr="00333BB7">
        <w:rPr>
          <w:rFonts w:ascii="Times New Roman" w:hAnsi="Times New Roman"/>
          <w:sz w:val="20"/>
        </w:rPr>
        <w:t xml:space="preserve"> </w:t>
      </w:r>
      <w:r w:rsidRPr="001A1E77">
        <w:rPr>
          <w:rFonts w:ascii="Times New Roman" w:hAnsi="Times New Roman"/>
          <w:i/>
          <w:sz w:val="20"/>
        </w:rPr>
        <w:t>See supra</w:t>
      </w:r>
      <w:r>
        <w:rPr>
          <w:rFonts w:ascii="Times New Roman" w:hAnsi="Times New Roman"/>
          <w:sz w:val="20"/>
        </w:rPr>
        <w:t xml:space="preserve"> note 14.</w:t>
      </w:r>
    </w:p>
    <w:p w14:paraId="2D7042B0" w14:textId="77777777" w:rsidR="004C7C89" w:rsidRPr="00333BB7" w:rsidRDefault="004C7C89" w:rsidP="00F57A6C">
      <w:pPr>
        <w:pStyle w:val="FootnoteText"/>
        <w:rPr>
          <w:rFonts w:ascii="Times New Roman" w:hAnsi="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12900" w14:textId="77777777" w:rsidR="004C7C89" w:rsidRDefault="004C7C89" w:rsidP="00846BD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F70F4" w14:textId="77777777" w:rsidR="004C7C89" w:rsidRPr="00DC1F75" w:rsidRDefault="004C7C89" w:rsidP="00DC1F75">
    <w:pPr>
      <w:tabs>
        <w:tab w:val="left" w:pos="-720"/>
      </w:tabs>
      <w:suppressAutoHyphens/>
      <w:jc w:val="center"/>
      <w:rPr>
        <w:rFonts w:ascii="Times New Roman" w:hAnsi="Times New Roman"/>
        <w:b/>
      </w:rPr>
    </w:pPr>
    <w:r w:rsidRPr="00F84484">
      <w:rPr>
        <w:rFonts w:ascii="Times New Roman" w:hAnsi="Times New Roman"/>
        <w:b/>
      </w:rPr>
      <w:t>Attachment 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DC1F75">
      <w:rPr>
        <w:rFonts w:ascii="Times New Roman" w:hAnsi="Times New Roman"/>
        <w:b/>
      </w:rPr>
      <w:t>Collection 3038-00</w:t>
    </w:r>
    <w:r>
      <w:rPr>
        <w:rFonts w:ascii="Times New Roman" w:hAnsi="Times New Roman"/>
        <w:b/>
      </w:rPr>
      <w:t>52</w:t>
    </w:r>
  </w:p>
  <w:p w14:paraId="417D0ABF" w14:textId="77777777" w:rsidR="004C7C89" w:rsidRPr="00DC1F75" w:rsidRDefault="004C7C89" w:rsidP="00DC1F75">
    <w:pPr>
      <w:tabs>
        <w:tab w:val="left" w:pos="-720"/>
      </w:tabs>
      <w:suppressAutoHyphens/>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D6A8A"/>
    <w:multiLevelType w:val="hybridMultilevel"/>
    <w:tmpl w:val="0DDAC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A507B51"/>
    <w:multiLevelType w:val="hybridMultilevel"/>
    <w:tmpl w:val="04546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64"/>
    <w:rsid w:val="0001071A"/>
    <w:rsid w:val="000149D7"/>
    <w:rsid w:val="000165B4"/>
    <w:rsid w:val="000221BE"/>
    <w:rsid w:val="0002718F"/>
    <w:rsid w:val="00030757"/>
    <w:rsid w:val="00034A28"/>
    <w:rsid w:val="000351C0"/>
    <w:rsid w:val="00041CCF"/>
    <w:rsid w:val="00043C98"/>
    <w:rsid w:val="00046594"/>
    <w:rsid w:val="00054834"/>
    <w:rsid w:val="00060A14"/>
    <w:rsid w:val="00065F19"/>
    <w:rsid w:val="00070B97"/>
    <w:rsid w:val="0007214E"/>
    <w:rsid w:val="000729F1"/>
    <w:rsid w:val="00075EA0"/>
    <w:rsid w:val="000856B9"/>
    <w:rsid w:val="000906B2"/>
    <w:rsid w:val="00093178"/>
    <w:rsid w:val="00094C5E"/>
    <w:rsid w:val="0009510B"/>
    <w:rsid w:val="000A2C0C"/>
    <w:rsid w:val="000A5DD9"/>
    <w:rsid w:val="000A6197"/>
    <w:rsid w:val="000A773C"/>
    <w:rsid w:val="000A7F3C"/>
    <w:rsid w:val="000B157F"/>
    <w:rsid w:val="000B3C7A"/>
    <w:rsid w:val="000B4E52"/>
    <w:rsid w:val="000B55B6"/>
    <w:rsid w:val="000C071E"/>
    <w:rsid w:val="000C12E0"/>
    <w:rsid w:val="000C68D5"/>
    <w:rsid w:val="000C7580"/>
    <w:rsid w:val="000C7C20"/>
    <w:rsid w:val="000C7CD7"/>
    <w:rsid w:val="000D3BB7"/>
    <w:rsid w:val="000D4B5D"/>
    <w:rsid w:val="000D7284"/>
    <w:rsid w:val="000D7FF0"/>
    <w:rsid w:val="000E3840"/>
    <w:rsid w:val="000E4044"/>
    <w:rsid w:val="000F1718"/>
    <w:rsid w:val="000F3AA2"/>
    <w:rsid w:val="000F4228"/>
    <w:rsid w:val="00101169"/>
    <w:rsid w:val="00102ACA"/>
    <w:rsid w:val="0010528B"/>
    <w:rsid w:val="00110AE5"/>
    <w:rsid w:val="001210E8"/>
    <w:rsid w:val="001233D8"/>
    <w:rsid w:val="00135FAA"/>
    <w:rsid w:val="00141085"/>
    <w:rsid w:val="00152271"/>
    <w:rsid w:val="00155975"/>
    <w:rsid w:val="00160098"/>
    <w:rsid w:val="00172A5A"/>
    <w:rsid w:val="00185E11"/>
    <w:rsid w:val="00187445"/>
    <w:rsid w:val="00194B79"/>
    <w:rsid w:val="00196484"/>
    <w:rsid w:val="00197193"/>
    <w:rsid w:val="001A1E77"/>
    <w:rsid w:val="001A3C49"/>
    <w:rsid w:val="001A5DAC"/>
    <w:rsid w:val="001A6616"/>
    <w:rsid w:val="001B438B"/>
    <w:rsid w:val="001B47FB"/>
    <w:rsid w:val="001B6B83"/>
    <w:rsid w:val="001B7DBE"/>
    <w:rsid w:val="001C1C8D"/>
    <w:rsid w:val="001C2CEE"/>
    <w:rsid w:val="001C3722"/>
    <w:rsid w:val="001C49F6"/>
    <w:rsid w:val="001C63CC"/>
    <w:rsid w:val="001C74BB"/>
    <w:rsid w:val="001D0B9B"/>
    <w:rsid w:val="001D4ECD"/>
    <w:rsid w:val="001E22D1"/>
    <w:rsid w:val="001E533F"/>
    <w:rsid w:val="001F0B27"/>
    <w:rsid w:val="001F42C0"/>
    <w:rsid w:val="001F4491"/>
    <w:rsid w:val="001F47DE"/>
    <w:rsid w:val="001F63CB"/>
    <w:rsid w:val="001F665D"/>
    <w:rsid w:val="00204277"/>
    <w:rsid w:val="00204844"/>
    <w:rsid w:val="00206C6D"/>
    <w:rsid w:val="002148A2"/>
    <w:rsid w:val="0021740F"/>
    <w:rsid w:val="00222121"/>
    <w:rsid w:val="00223BB2"/>
    <w:rsid w:val="0023081A"/>
    <w:rsid w:val="00231278"/>
    <w:rsid w:val="002322F3"/>
    <w:rsid w:val="0023315C"/>
    <w:rsid w:val="00236618"/>
    <w:rsid w:val="00237E45"/>
    <w:rsid w:val="00244E60"/>
    <w:rsid w:val="002451D0"/>
    <w:rsid w:val="00255AB6"/>
    <w:rsid w:val="00260717"/>
    <w:rsid w:val="00265A81"/>
    <w:rsid w:val="00270CCA"/>
    <w:rsid w:val="0027320B"/>
    <w:rsid w:val="0028386A"/>
    <w:rsid w:val="0029388A"/>
    <w:rsid w:val="0029400B"/>
    <w:rsid w:val="002A1C2C"/>
    <w:rsid w:val="002A2489"/>
    <w:rsid w:val="002A25BE"/>
    <w:rsid w:val="002A35BF"/>
    <w:rsid w:val="002A3C36"/>
    <w:rsid w:val="002A6EAD"/>
    <w:rsid w:val="002B0D56"/>
    <w:rsid w:val="002B655F"/>
    <w:rsid w:val="002C31D4"/>
    <w:rsid w:val="002C350C"/>
    <w:rsid w:val="002C6925"/>
    <w:rsid w:val="002D0F64"/>
    <w:rsid w:val="002D133A"/>
    <w:rsid w:val="002D271D"/>
    <w:rsid w:val="002D3259"/>
    <w:rsid w:val="002D4D6F"/>
    <w:rsid w:val="002E3249"/>
    <w:rsid w:val="002E4013"/>
    <w:rsid w:val="002E507C"/>
    <w:rsid w:val="002E6DBA"/>
    <w:rsid w:val="002F140C"/>
    <w:rsid w:val="002F17B9"/>
    <w:rsid w:val="002F43AF"/>
    <w:rsid w:val="00300F81"/>
    <w:rsid w:val="00304F53"/>
    <w:rsid w:val="00307075"/>
    <w:rsid w:val="00325436"/>
    <w:rsid w:val="003262F4"/>
    <w:rsid w:val="00331A5B"/>
    <w:rsid w:val="00333BB7"/>
    <w:rsid w:val="003376AA"/>
    <w:rsid w:val="003449D0"/>
    <w:rsid w:val="003535AF"/>
    <w:rsid w:val="00353E69"/>
    <w:rsid w:val="00357130"/>
    <w:rsid w:val="00357DD4"/>
    <w:rsid w:val="0036331A"/>
    <w:rsid w:val="003645C4"/>
    <w:rsid w:val="00366416"/>
    <w:rsid w:val="00372F77"/>
    <w:rsid w:val="00373201"/>
    <w:rsid w:val="003771C5"/>
    <w:rsid w:val="003835B5"/>
    <w:rsid w:val="0038502E"/>
    <w:rsid w:val="003946A1"/>
    <w:rsid w:val="003979EC"/>
    <w:rsid w:val="003A3696"/>
    <w:rsid w:val="003B6DC4"/>
    <w:rsid w:val="003C1EE4"/>
    <w:rsid w:val="003C761F"/>
    <w:rsid w:val="003D1C9C"/>
    <w:rsid w:val="003D5313"/>
    <w:rsid w:val="003D63EF"/>
    <w:rsid w:val="003F0BA6"/>
    <w:rsid w:val="003F2025"/>
    <w:rsid w:val="003F6FC9"/>
    <w:rsid w:val="003F71FC"/>
    <w:rsid w:val="003F7946"/>
    <w:rsid w:val="00400E84"/>
    <w:rsid w:val="00403637"/>
    <w:rsid w:val="00407099"/>
    <w:rsid w:val="004150E3"/>
    <w:rsid w:val="00424A91"/>
    <w:rsid w:val="004274FC"/>
    <w:rsid w:val="004370EE"/>
    <w:rsid w:val="0044280E"/>
    <w:rsid w:val="004456FB"/>
    <w:rsid w:val="0045131C"/>
    <w:rsid w:val="00451CB4"/>
    <w:rsid w:val="00460629"/>
    <w:rsid w:val="004649C0"/>
    <w:rsid w:val="00464BDB"/>
    <w:rsid w:val="00465557"/>
    <w:rsid w:val="00465A70"/>
    <w:rsid w:val="00470533"/>
    <w:rsid w:val="004710D8"/>
    <w:rsid w:val="00471D74"/>
    <w:rsid w:val="00471E97"/>
    <w:rsid w:val="00472992"/>
    <w:rsid w:val="00473A52"/>
    <w:rsid w:val="00474DD5"/>
    <w:rsid w:val="004773A2"/>
    <w:rsid w:val="00477787"/>
    <w:rsid w:val="0048054D"/>
    <w:rsid w:val="0048097B"/>
    <w:rsid w:val="00491F5F"/>
    <w:rsid w:val="00493D46"/>
    <w:rsid w:val="00495FF6"/>
    <w:rsid w:val="0049660F"/>
    <w:rsid w:val="004A0C2D"/>
    <w:rsid w:val="004A0F8E"/>
    <w:rsid w:val="004A2BC5"/>
    <w:rsid w:val="004A5371"/>
    <w:rsid w:val="004A5BB2"/>
    <w:rsid w:val="004B0B65"/>
    <w:rsid w:val="004B7E5B"/>
    <w:rsid w:val="004C5555"/>
    <w:rsid w:val="004C67B6"/>
    <w:rsid w:val="004C7C89"/>
    <w:rsid w:val="004D4DE2"/>
    <w:rsid w:val="004D6696"/>
    <w:rsid w:val="004D7FC6"/>
    <w:rsid w:val="004E30EB"/>
    <w:rsid w:val="004F06E5"/>
    <w:rsid w:val="004F16E2"/>
    <w:rsid w:val="004F3F6E"/>
    <w:rsid w:val="004F774D"/>
    <w:rsid w:val="00506A7B"/>
    <w:rsid w:val="00506B9A"/>
    <w:rsid w:val="005110B9"/>
    <w:rsid w:val="00511AF8"/>
    <w:rsid w:val="00522DA9"/>
    <w:rsid w:val="005236F4"/>
    <w:rsid w:val="00523B58"/>
    <w:rsid w:val="005270DD"/>
    <w:rsid w:val="005324F6"/>
    <w:rsid w:val="005443C8"/>
    <w:rsid w:val="00546471"/>
    <w:rsid w:val="0055104D"/>
    <w:rsid w:val="005568AB"/>
    <w:rsid w:val="00562429"/>
    <w:rsid w:val="00564C43"/>
    <w:rsid w:val="005651CF"/>
    <w:rsid w:val="005664FA"/>
    <w:rsid w:val="00567E2B"/>
    <w:rsid w:val="005705D1"/>
    <w:rsid w:val="0057064A"/>
    <w:rsid w:val="005706EF"/>
    <w:rsid w:val="0057152B"/>
    <w:rsid w:val="00573864"/>
    <w:rsid w:val="0057413E"/>
    <w:rsid w:val="005755F8"/>
    <w:rsid w:val="00581FF6"/>
    <w:rsid w:val="0058502B"/>
    <w:rsid w:val="005956A4"/>
    <w:rsid w:val="005A1FBF"/>
    <w:rsid w:val="005B3986"/>
    <w:rsid w:val="005B58DD"/>
    <w:rsid w:val="005C49BF"/>
    <w:rsid w:val="005C5C3F"/>
    <w:rsid w:val="005D2567"/>
    <w:rsid w:val="005D5841"/>
    <w:rsid w:val="005D70B7"/>
    <w:rsid w:val="005E0CF1"/>
    <w:rsid w:val="005E1E3D"/>
    <w:rsid w:val="005F2FFA"/>
    <w:rsid w:val="00605951"/>
    <w:rsid w:val="006109F4"/>
    <w:rsid w:val="006138FA"/>
    <w:rsid w:val="006170ED"/>
    <w:rsid w:val="00623843"/>
    <w:rsid w:val="006330FF"/>
    <w:rsid w:val="00633B53"/>
    <w:rsid w:val="00634953"/>
    <w:rsid w:val="00635AFD"/>
    <w:rsid w:val="00635B19"/>
    <w:rsid w:val="00635E72"/>
    <w:rsid w:val="006410EA"/>
    <w:rsid w:val="006441D4"/>
    <w:rsid w:val="006446AC"/>
    <w:rsid w:val="00644EA7"/>
    <w:rsid w:val="00645BF8"/>
    <w:rsid w:val="00655497"/>
    <w:rsid w:val="00660117"/>
    <w:rsid w:val="00661626"/>
    <w:rsid w:val="00662495"/>
    <w:rsid w:val="006638F8"/>
    <w:rsid w:val="00664352"/>
    <w:rsid w:val="00683708"/>
    <w:rsid w:val="006862FF"/>
    <w:rsid w:val="00690089"/>
    <w:rsid w:val="00690529"/>
    <w:rsid w:val="00690F68"/>
    <w:rsid w:val="006A3864"/>
    <w:rsid w:val="006A409A"/>
    <w:rsid w:val="006A7589"/>
    <w:rsid w:val="006B060E"/>
    <w:rsid w:val="006B0D71"/>
    <w:rsid w:val="006B2CA9"/>
    <w:rsid w:val="006C0E6B"/>
    <w:rsid w:val="006C20E2"/>
    <w:rsid w:val="006E00FB"/>
    <w:rsid w:val="006E19BC"/>
    <w:rsid w:val="006E3A83"/>
    <w:rsid w:val="006E3B43"/>
    <w:rsid w:val="006F08EB"/>
    <w:rsid w:val="006F1D77"/>
    <w:rsid w:val="006F230E"/>
    <w:rsid w:val="006F2E8B"/>
    <w:rsid w:val="007009B3"/>
    <w:rsid w:val="007053F2"/>
    <w:rsid w:val="00717A56"/>
    <w:rsid w:val="00717D56"/>
    <w:rsid w:val="007206CD"/>
    <w:rsid w:val="007216B2"/>
    <w:rsid w:val="007313AF"/>
    <w:rsid w:val="007503AD"/>
    <w:rsid w:val="0075158B"/>
    <w:rsid w:val="00754630"/>
    <w:rsid w:val="00754A12"/>
    <w:rsid w:val="00767829"/>
    <w:rsid w:val="00771F4C"/>
    <w:rsid w:val="00785990"/>
    <w:rsid w:val="0079145B"/>
    <w:rsid w:val="00793293"/>
    <w:rsid w:val="00794D70"/>
    <w:rsid w:val="007A0A19"/>
    <w:rsid w:val="007A17FC"/>
    <w:rsid w:val="007A74CD"/>
    <w:rsid w:val="007B0BFB"/>
    <w:rsid w:val="007B0D2E"/>
    <w:rsid w:val="007B38AA"/>
    <w:rsid w:val="007C0D90"/>
    <w:rsid w:val="007C1D44"/>
    <w:rsid w:val="007C3416"/>
    <w:rsid w:val="007C39D9"/>
    <w:rsid w:val="007D7BB0"/>
    <w:rsid w:val="007E12C1"/>
    <w:rsid w:val="007E2CBC"/>
    <w:rsid w:val="007E59E5"/>
    <w:rsid w:val="007F20F9"/>
    <w:rsid w:val="00812E8E"/>
    <w:rsid w:val="00814002"/>
    <w:rsid w:val="00816254"/>
    <w:rsid w:val="00816584"/>
    <w:rsid w:val="008253C6"/>
    <w:rsid w:val="00826E51"/>
    <w:rsid w:val="008332E3"/>
    <w:rsid w:val="00846BDD"/>
    <w:rsid w:val="00850BA2"/>
    <w:rsid w:val="0085555B"/>
    <w:rsid w:val="0085700D"/>
    <w:rsid w:val="00857490"/>
    <w:rsid w:val="00857EA1"/>
    <w:rsid w:val="00866C6A"/>
    <w:rsid w:val="0088169E"/>
    <w:rsid w:val="00881CB7"/>
    <w:rsid w:val="00882ED9"/>
    <w:rsid w:val="00883677"/>
    <w:rsid w:val="008862B1"/>
    <w:rsid w:val="00896D63"/>
    <w:rsid w:val="008A14B9"/>
    <w:rsid w:val="008A199F"/>
    <w:rsid w:val="008A4D94"/>
    <w:rsid w:val="008B2D73"/>
    <w:rsid w:val="008C0FDF"/>
    <w:rsid w:val="008C5B6E"/>
    <w:rsid w:val="008D3E01"/>
    <w:rsid w:val="008D57D9"/>
    <w:rsid w:val="008E00FF"/>
    <w:rsid w:val="008E0C62"/>
    <w:rsid w:val="008E0E00"/>
    <w:rsid w:val="008E2584"/>
    <w:rsid w:val="008E6932"/>
    <w:rsid w:val="008F1C66"/>
    <w:rsid w:val="008F6F79"/>
    <w:rsid w:val="008F799A"/>
    <w:rsid w:val="00902334"/>
    <w:rsid w:val="0090416C"/>
    <w:rsid w:val="009072C5"/>
    <w:rsid w:val="00910ED7"/>
    <w:rsid w:val="0091434A"/>
    <w:rsid w:val="00915156"/>
    <w:rsid w:val="00916069"/>
    <w:rsid w:val="00916DA4"/>
    <w:rsid w:val="00921394"/>
    <w:rsid w:val="00940D47"/>
    <w:rsid w:val="009457A3"/>
    <w:rsid w:val="00946D43"/>
    <w:rsid w:val="00951B43"/>
    <w:rsid w:val="00951CB2"/>
    <w:rsid w:val="009565C9"/>
    <w:rsid w:val="00960497"/>
    <w:rsid w:val="00964EA9"/>
    <w:rsid w:val="00966402"/>
    <w:rsid w:val="00967CA1"/>
    <w:rsid w:val="00971B43"/>
    <w:rsid w:val="00971C63"/>
    <w:rsid w:val="00981B08"/>
    <w:rsid w:val="00983A3F"/>
    <w:rsid w:val="00983A9A"/>
    <w:rsid w:val="0098429E"/>
    <w:rsid w:val="009853CD"/>
    <w:rsid w:val="00986B7F"/>
    <w:rsid w:val="0099003C"/>
    <w:rsid w:val="0099367D"/>
    <w:rsid w:val="00997149"/>
    <w:rsid w:val="009B1375"/>
    <w:rsid w:val="009B5DEB"/>
    <w:rsid w:val="009C2BA6"/>
    <w:rsid w:val="009C3B4D"/>
    <w:rsid w:val="009C4144"/>
    <w:rsid w:val="009C4F33"/>
    <w:rsid w:val="009D22C4"/>
    <w:rsid w:val="009E419F"/>
    <w:rsid w:val="009E63EC"/>
    <w:rsid w:val="009F213B"/>
    <w:rsid w:val="009F659B"/>
    <w:rsid w:val="00A00E90"/>
    <w:rsid w:val="00A1469B"/>
    <w:rsid w:val="00A22008"/>
    <w:rsid w:val="00A2378F"/>
    <w:rsid w:val="00A25109"/>
    <w:rsid w:val="00A275E8"/>
    <w:rsid w:val="00A32493"/>
    <w:rsid w:val="00A37A5F"/>
    <w:rsid w:val="00A405D5"/>
    <w:rsid w:val="00A40930"/>
    <w:rsid w:val="00A5050E"/>
    <w:rsid w:val="00A51412"/>
    <w:rsid w:val="00A525EB"/>
    <w:rsid w:val="00A569B0"/>
    <w:rsid w:val="00A638EA"/>
    <w:rsid w:val="00A65319"/>
    <w:rsid w:val="00A71A55"/>
    <w:rsid w:val="00A81612"/>
    <w:rsid w:val="00A86B27"/>
    <w:rsid w:val="00A976AD"/>
    <w:rsid w:val="00A9775E"/>
    <w:rsid w:val="00AA1525"/>
    <w:rsid w:val="00AA1B7A"/>
    <w:rsid w:val="00AA71A6"/>
    <w:rsid w:val="00AB414D"/>
    <w:rsid w:val="00AB4931"/>
    <w:rsid w:val="00AB6B03"/>
    <w:rsid w:val="00AC1451"/>
    <w:rsid w:val="00AC3609"/>
    <w:rsid w:val="00AD00FE"/>
    <w:rsid w:val="00AD04B4"/>
    <w:rsid w:val="00AD5413"/>
    <w:rsid w:val="00AD674B"/>
    <w:rsid w:val="00AF51B1"/>
    <w:rsid w:val="00B030E3"/>
    <w:rsid w:val="00B064A1"/>
    <w:rsid w:val="00B077E5"/>
    <w:rsid w:val="00B10A55"/>
    <w:rsid w:val="00B1278A"/>
    <w:rsid w:val="00B13305"/>
    <w:rsid w:val="00B134B4"/>
    <w:rsid w:val="00B136C8"/>
    <w:rsid w:val="00B13CE9"/>
    <w:rsid w:val="00B207E5"/>
    <w:rsid w:val="00B20E54"/>
    <w:rsid w:val="00B21470"/>
    <w:rsid w:val="00B2515F"/>
    <w:rsid w:val="00B2590C"/>
    <w:rsid w:val="00B31898"/>
    <w:rsid w:val="00B34B16"/>
    <w:rsid w:val="00B34D7A"/>
    <w:rsid w:val="00B41F50"/>
    <w:rsid w:val="00B46B64"/>
    <w:rsid w:val="00B50952"/>
    <w:rsid w:val="00B556C0"/>
    <w:rsid w:val="00B60E09"/>
    <w:rsid w:val="00B660DC"/>
    <w:rsid w:val="00B77740"/>
    <w:rsid w:val="00B80D7C"/>
    <w:rsid w:val="00B909EA"/>
    <w:rsid w:val="00B938FF"/>
    <w:rsid w:val="00BA449F"/>
    <w:rsid w:val="00BB2ED0"/>
    <w:rsid w:val="00BB3C36"/>
    <w:rsid w:val="00BB54A1"/>
    <w:rsid w:val="00BB664B"/>
    <w:rsid w:val="00BB6C07"/>
    <w:rsid w:val="00BC1E9E"/>
    <w:rsid w:val="00BC39B3"/>
    <w:rsid w:val="00BC598A"/>
    <w:rsid w:val="00BC63E8"/>
    <w:rsid w:val="00BD2A92"/>
    <w:rsid w:val="00BD35CF"/>
    <w:rsid w:val="00BD503F"/>
    <w:rsid w:val="00BD67A6"/>
    <w:rsid w:val="00BD732F"/>
    <w:rsid w:val="00BE1A6D"/>
    <w:rsid w:val="00BE4E93"/>
    <w:rsid w:val="00BE5172"/>
    <w:rsid w:val="00BE56C0"/>
    <w:rsid w:val="00BE6E97"/>
    <w:rsid w:val="00C01400"/>
    <w:rsid w:val="00C04071"/>
    <w:rsid w:val="00C10240"/>
    <w:rsid w:val="00C14F06"/>
    <w:rsid w:val="00C1799A"/>
    <w:rsid w:val="00C22D53"/>
    <w:rsid w:val="00C30C40"/>
    <w:rsid w:val="00C32D72"/>
    <w:rsid w:val="00C33A9E"/>
    <w:rsid w:val="00C33D03"/>
    <w:rsid w:val="00C34AB1"/>
    <w:rsid w:val="00C379CB"/>
    <w:rsid w:val="00C42423"/>
    <w:rsid w:val="00C449F0"/>
    <w:rsid w:val="00C44F1B"/>
    <w:rsid w:val="00C57728"/>
    <w:rsid w:val="00C60F97"/>
    <w:rsid w:val="00C62A31"/>
    <w:rsid w:val="00C63CAF"/>
    <w:rsid w:val="00C67FFE"/>
    <w:rsid w:val="00C722D6"/>
    <w:rsid w:val="00C73E37"/>
    <w:rsid w:val="00C81361"/>
    <w:rsid w:val="00C90C55"/>
    <w:rsid w:val="00C95491"/>
    <w:rsid w:val="00C95D67"/>
    <w:rsid w:val="00C964CD"/>
    <w:rsid w:val="00C96F88"/>
    <w:rsid w:val="00CA3159"/>
    <w:rsid w:val="00CA5E83"/>
    <w:rsid w:val="00CA6FE7"/>
    <w:rsid w:val="00CB27FB"/>
    <w:rsid w:val="00CB452E"/>
    <w:rsid w:val="00CB4F92"/>
    <w:rsid w:val="00CB7B06"/>
    <w:rsid w:val="00CC08B0"/>
    <w:rsid w:val="00CC20B2"/>
    <w:rsid w:val="00CC222E"/>
    <w:rsid w:val="00CC44D9"/>
    <w:rsid w:val="00CD3430"/>
    <w:rsid w:val="00CD431D"/>
    <w:rsid w:val="00CD4E94"/>
    <w:rsid w:val="00CE0751"/>
    <w:rsid w:val="00CE2F67"/>
    <w:rsid w:val="00CE6A58"/>
    <w:rsid w:val="00CF03EF"/>
    <w:rsid w:val="00CF13B9"/>
    <w:rsid w:val="00CF3C92"/>
    <w:rsid w:val="00D043CF"/>
    <w:rsid w:val="00D04978"/>
    <w:rsid w:val="00D0618F"/>
    <w:rsid w:val="00D0705F"/>
    <w:rsid w:val="00D110DE"/>
    <w:rsid w:val="00D14261"/>
    <w:rsid w:val="00D156C0"/>
    <w:rsid w:val="00D17A99"/>
    <w:rsid w:val="00D23BB3"/>
    <w:rsid w:val="00D377B0"/>
    <w:rsid w:val="00D41B9B"/>
    <w:rsid w:val="00D43417"/>
    <w:rsid w:val="00D45F45"/>
    <w:rsid w:val="00D5219B"/>
    <w:rsid w:val="00D525DA"/>
    <w:rsid w:val="00D6266E"/>
    <w:rsid w:val="00D62B7E"/>
    <w:rsid w:val="00D635C6"/>
    <w:rsid w:val="00D67853"/>
    <w:rsid w:val="00D70D0C"/>
    <w:rsid w:val="00D72D09"/>
    <w:rsid w:val="00D733C2"/>
    <w:rsid w:val="00D73FB2"/>
    <w:rsid w:val="00D822F5"/>
    <w:rsid w:val="00D9088F"/>
    <w:rsid w:val="00D97D5A"/>
    <w:rsid w:val="00DA1DAF"/>
    <w:rsid w:val="00DA39E6"/>
    <w:rsid w:val="00DB15E2"/>
    <w:rsid w:val="00DB1D30"/>
    <w:rsid w:val="00DB7916"/>
    <w:rsid w:val="00DB7AE1"/>
    <w:rsid w:val="00DB7F7A"/>
    <w:rsid w:val="00DC17ED"/>
    <w:rsid w:val="00DC1F75"/>
    <w:rsid w:val="00DC3331"/>
    <w:rsid w:val="00DD2A30"/>
    <w:rsid w:val="00DE035E"/>
    <w:rsid w:val="00E00A30"/>
    <w:rsid w:val="00E023FF"/>
    <w:rsid w:val="00E10D6C"/>
    <w:rsid w:val="00E16C0E"/>
    <w:rsid w:val="00E170C0"/>
    <w:rsid w:val="00E27BCC"/>
    <w:rsid w:val="00E33A9B"/>
    <w:rsid w:val="00E409B1"/>
    <w:rsid w:val="00E4192A"/>
    <w:rsid w:val="00E42AEA"/>
    <w:rsid w:val="00E45797"/>
    <w:rsid w:val="00E60360"/>
    <w:rsid w:val="00E631A0"/>
    <w:rsid w:val="00E63554"/>
    <w:rsid w:val="00E6419D"/>
    <w:rsid w:val="00E64D39"/>
    <w:rsid w:val="00E6598A"/>
    <w:rsid w:val="00E6769A"/>
    <w:rsid w:val="00E70736"/>
    <w:rsid w:val="00E72DA3"/>
    <w:rsid w:val="00E74783"/>
    <w:rsid w:val="00E75480"/>
    <w:rsid w:val="00E758A2"/>
    <w:rsid w:val="00E80CB2"/>
    <w:rsid w:val="00E8482C"/>
    <w:rsid w:val="00E90756"/>
    <w:rsid w:val="00E90D88"/>
    <w:rsid w:val="00E93F78"/>
    <w:rsid w:val="00E96E18"/>
    <w:rsid w:val="00EA4A38"/>
    <w:rsid w:val="00EA5320"/>
    <w:rsid w:val="00EB34A6"/>
    <w:rsid w:val="00EB3668"/>
    <w:rsid w:val="00EC0063"/>
    <w:rsid w:val="00EC3A05"/>
    <w:rsid w:val="00EC485A"/>
    <w:rsid w:val="00EC5B8E"/>
    <w:rsid w:val="00ED1239"/>
    <w:rsid w:val="00ED1521"/>
    <w:rsid w:val="00ED2920"/>
    <w:rsid w:val="00ED6C64"/>
    <w:rsid w:val="00EE2F6D"/>
    <w:rsid w:val="00EE5BF9"/>
    <w:rsid w:val="00EF2251"/>
    <w:rsid w:val="00EF6996"/>
    <w:rsid w:val="00F00F78"/>
    <w:rsid w:val="00F0333B"/>
    <w:rsid w:val="00F04BE6"/>
    <w:rsid w:val="00F07558"/>
    <w:rsid w:val="00F10ACE"/>
    <w:rsid w:val="00F11BE8"/>
    <w:rsid w:val="00F22A22"/>
    <w:rsid w:val="00F30B08"/>
    <w:rsid w:val="00F4791C"/>
    <w:rsid w:val="00F54280"/>
    <w:rsid w:val="00F54B10"/>
    <w:rsid w:val="00F55E79"/>
    <w:rsid w:val="00F57A6C"/>
    <w:rsid w:val="00F61F25"/>
    <w:rsid w:val="00F6292B"/>
    <w:rsid w:val="00F74FBE"/>
    <w:rsid w:val="00F76BAA"/>
    <w:rsid w:val="00F772CE"/>
    <w:rsid w:val="00F778E7"/>
    <w:rsid w:val="00F826EA"/>
    <w:rsid w:val="00F84484"/>
    <w:rsid w:val="00F85624"/>
    <w:rsid w:val="00F85CEB"/>
    <w:rsid w:val="00F86E36"/>
    <w:rsid w:val="00F920A2"/>
    <w:rsid w:val="00F9530D"/>
    <w:rsid w:val="00F95BE1"/>
    <w:rsid w:val="00FA2D65"/>
    <w:rsid w:val="00FB17CD"/>
    <w:rsid w:val="00FB1D43"/>
    <w:rsid w:val="00FB1DF5"/>
    <w:rsid w:val="00FB2FBC"/>
    <w:rsid w:val="00FC1B98"/>
    <w:rsid w:val="00FC684C"/>
    <w:rsid w:val="00FC79B8"/>
    <w:rsid w:val="00FD077A"/>
    <w:rsid w:val="00FD2536"/>
    <w:rsid w:val="00FD394B"/>
    <w:rsid w:val="00FD71FB"/>
    <w:rsid w:val="00FD7209"/>
    <w:rsid w:val="00FE2CCA"/>
    <w:rsid w:val="00FE4719"/>
    <w:rsid w:val="00FF2B7F"/>
    <w:rsid w:val="00FF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1DAEEFA"/>
  <w15:chartTrackingRefBased/>
  <w15:docId w15:val="{984E59A7-F684-4572-8897-D5F22ABF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3F2"/>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qFormat/>
  </w:style>
  <w:style w:type="character" w:styleId="FootnoteReference">
    <w:name w:val="footnote reference"/>
    <w:aliases w:val="fr,Style 35,Style 19,Style 16,Style 39,Style 14,12,Style 46,o,Style 13,Style 12,Style 15,Style 17,Style 9,o1,fr1,o2,fr2,o3,fr3,Style 18,(NECG) Footnote Reference,Style 20,Style 7,Style 8,Tory Footnotes,Style 28,Style 11,Nota,Footnote"/>
    <w:uiPriority w:val="99"/>
    <w:qFormat/>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rsid w:val="00A9775E"/>
    <w:rPr>
      <w:rFonts w:ascii="Courier" w:hAnsi="Courier"/>
      <w:sz w:val="24"/>
    </w:rPr>
  </w:style>
  <w:style w:type="table" w:styleId="TableGrid">
    <w:name w:val="Table Grid"/>
    <w:basedOn w:val="TableNormal"/>
    <w:uiPriority w:val="59"/>
    <w:rsid w:val="00644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3BB2"/>
    <w:rPr>
      <w:rFonts w:ascii="Tahoma" w:hAnsi="Tahoma" w:cs="Tahoma"/>
      <w:sz w:val="16"/>
      <w:szCs w:val="16"/>
    </w:rPr>
  </w:style>
  <w:style w:type="character" w:customStyle="1" w:styleId="BalloonTextChar">
    <w:name w:val="Balloon Text Char"/>
    <w:link w:val="BalloonText"/>
    <w:uiPriority w:val="99"/>
    <w:semiHidden/>
    <w:rsid w:val="00223BB2"/>
    <w:rPr>
      <w:rFonts w:ascii="Tahoma" w:hAnsi="Tahoma" w:cs="Tahoma"/>
      <w:sz w:val="16"/>
      <w:szCs w:val="16"/>
    </w:rPr>
  </w:style>
  <w:style w:type="character" w:styleId="CommentReference">
    <w:name w:val="annotation reference"/>
    <w:uiPriority w:val="99"/>
    <w:semiHidden/>
    <w:unhideWhenUsed/>
    <w:rsid w:val="00EE2F6D"/>
    <w:rPr>
      <w:sz w:val="16"/>
      <w:szCs w:val="16"/>
    </w:rPr>
  </w:style>
  <w:style w:type="paragraph" w:styleId="CommentText">
    <w:name w:val="annotation text"/>
    <w:basedOn w:val="Normal"/>
    <w:link w:val="CommentTextChar"/>
    <w:unhideWhenUsed/>
    <w:rsid w:val="00EE2F6D"/>
    <w:rPr>
      <w:sz w:val="20"/>
    </w:rPr>
  </w:style>
  <w:style w:type="character" w:customStyle="1" w:styleId="CommentTextChar">
    <w:name w:val="Comment Text Char"/>
    <w:link w:val="CommentText"/>
    <w:uiPriority w:val="99"/>
    <w:rsid w:val="00EE2F6D"/>
    <w:rPr>
      <w:rFonts w:ascii="Courier" w:hAnsi="Courier"/>
    </w:rPr>
  </w:style>
  <w:style w:type="paragraph" w:styleId="CommentSubject">
    <w:name w:val="annotation subject"/>
    <w:basedOn w:val="CommentText"/>
    <w:next w:val="CommentText"/>
    <w:link w:val="CommentSubjectChar"/>
    <w:uiPriority w:val="99"/>
    <w:semiHidden/>
    <w:unhideWhenUsed/>
    <w:rsid w:val="00EE2F6D"/>
    <w:rPr>
      <w:b/>
      <w:bCs/>
    </w:rPr>
  </w:style>
  <w:style w:type="character" w:customStyle="1" w:styleId="CommentSubjectChar">
    <w:name w:val="Comment Subject Char"/>
    <w:link w:val="CommentSubject"/>
    <w:uiPriority w:val="99"/>
    <w:semiHidden/>
    <w:rsid w:val="00EE2F6D"/>
    <w:rPr>
      <w:rFonts w:ascii="Courier" w:hAnsi="Courier"/>
      <w:b/>
      <w:bCs/>
    </w:rPr>
  </w:style>
  <w:style w:type="paragraph" w:styleId="Header">
    <w:name w:val="header"/>
    <w:basedOn w:val="Normal"/>
    <w:link w:val="HeaderChar"/>
    <w:uiPriority w:val="99"/>
    <w:unhideWhenUsed/>
    <w:rsid w:val="00D45F45"/>
    <w:pPr>
      <w:tabs>
        <w:tab w:val="center" w:pos="4680"/>
        <w:tab w:val="right" w:pos="9360"/>
      </w:tabs>
    </w:pPr>
  </w:style>
  <w:style w:type="character" w:customStyle="1" w:styleId="HeaderChar">
    <w:name w:val="Header Char"/>
    <w:link w:val="Header"/>
    <w:uiPriority w:val="99"/>
    <w:rsid w:val="00D45F45"/>
    <w:rPr>
      <w:rFonts w:ascii="Courier" w:hAnsi="Courier"/>
      <w:sz w:val="24"/>
    </w:rPr>
  </w:style>
  <w:style w:type="paragraph" w:styleId="Footer">
    <w:name w:val="footer"/>
    <w:basedOn w:val="Normal"/>
    <w:link w:val="FooterChar"/>
    <w:uiPriority w:val="99"/>
    <w:unhideWhenUsed/>
    <w:rsid w:val="00D45F45"/>
    <w:pPr>
      <w:tabs>
        <w:tab w:val="center" w:pos="4680"/>
        <w:tab w:val="right" w:pos="9360"/>
      </w:tabs>
    </w:pPr>
  </w:style>
  <w:style w:type="character" w:customStyle="1" w:styleId="FooterChar">
    <w:name w:val="Footer Char"/>
    <w:link w:val="Footer"/>
    <w:uiPriority w:val="99"/>
    <w:rsid w:val="00D45F45"/>
    <w:rPr>
      <w:rFonts w:ascii="Courier" w:hAnsi="Courier"/>
      <w:sz w:val="24"/>
    </w:rPr>
  </w:style>
  <w:style w:type="paragraph" w:styleId="Revision">
    <w:name w:val="Revision"/>
    <w:hidden/>
    <w:uiPriority w:val="99"/>
    <w:semiHidden/>
    <w:rsid w:val="00767829"/>
    <w:rPr>
      <w:rFonts w:ascii="Courier" w:hAnsi="Courier"/>
      <w:sz w:val="24"/>
    </w:rPr>
  </w:style>
  <w:style w:type="character" w:styleId="Hyperlink">
    <w:name w:val="Hyperlink"/>
    <w:uiPriority w:val="99"/>
    <w:unhideWhenUsed/>
    <w:rsid w:val="00581FF6"/>
    <w:rPr>
      <w:color w:val="0000FF"/>
      <w:u w:val="single"/>
    </w:rPr>
  </w:style>
  <w:style w:type="character" w:styleId="FollowedHyperlink">
    <w:name w:val="FollowedHyperlink"/>
    <w:basedOn w:val="DefaultParagraphFont"/>
    <w:uiPriority w:val="99"/>
    <w:semiHidden/>
    <w:unhideWhenUsed/>
    <w:rsid w:val="00E10D6C"/>
    <w:rPr>
      <w:color w:val="954F72" w:themeColor="followedHyperlink"/>
      <w:u w:val="single"/>
    </w:rPr>
  </w:style>
  <w:style w:type="character" w:styleId="UnresolvedMention">
    <w:name w:val="Unresolved Mention"/>
    <w:basedOn w:val="DefaultParagraphFont"/>
    <w:uiPriority w:val="99"/>
    <w:semiHidden/>
    <w:unhideWhenUsed/>
    <w:rsid w:val="007E1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73487">
      <w:bodyDiv w:val="1"/>
      <w:marLeft w:val="0"/>
      <w:marRight w:val="0"/>
      <w:marTop w:val="0"/>
      <w:marBottom w:val="0"/>
      <w:divBdr>
        <w:top w:val="none" w:sz="0" w:space="0" w:color="auto"/>
        <w:left w:val="none" w:sz="0" w:space="0" w:color="auto"/>
        <w:bottom w:val="none" w:sz="0" w:space="0" w:color="auto"/>
        <w:right w:val="none" w:sz="0" w:space="0" w:color="auto"/>
      </w:divBdr>
    </w:div>
    <w:div w:id="425033074">
      <w:bodyDiv w:val="1"/>
      <w:marLeft w:val="0"/>
      <w:marRight w:val="0"/>
      <w:marTop w:val="0"/>
      <w:marBottom w:val="0"/>
      <w:divBdr>
        <w:top w:val="none" w:sz="0" w:space="0" w:color="auto"/>
        <w:left w:val="none" w:sz="0" w:space="0" w:color="auto"/>
        <w:bottom w:val="none" w:sz="0" w:space="0" w:color="auto"/>
        <w:right w:val="none" w:sz="0" w:space="0" w:color="auto"/>
      </w:divBdr>
    </w:div>
    <w:div w:id="556287144">
      <w:bodyDiv w:val="1"/>
      <w:marLeft w:val="0"/>
      <w:marRight w:val="0"/>
      <w:marTop w:val="0"/>
      <w:marBottom w:val="0"/>
      <w:divBdr>
        <w:top w:val="none" w:sz="0" w:space="0" w:color="auto"/>
        <w:left w:val="none" w:sz="0" w:space="0" w:color="auto"/>
        <w:bottom w:val="none" w:sz="0" w:space="0" w:color="auto"/>
        <w:right w:val="none" w:sz="0" w:space="0" w:color="auto"/>
      </w:divBdr>
    </w:div>
    <w:div w:id="1202403733">
      <w:bodyDiv w:val="1"/>
      <w:marLeft w:val="0"/>
      <w:marRight w:val="0"/>
      <w:marTop w:val="0"/>
      <w:marBottom w:val="0"/>
      <w:divBdr>
        <w:top w:val="none" w:sz="0" w:space="0" w:color="auto"/>
        <w:left w:val="none" w:sz="0" w:space="0" w:color="auto"/>
        <w:bottom w:val="none" w:sz="0" w:space="0" w:color="auto"/>
        <w:right w:val="none" w:sz="0" w:space="0" w:color="auto"/>
      </w:divBdr>
    </w:div>
    <w:div w:id="1389843504">
      <w:bodyDiv w:val="1"/>
      <w:marLeft w:val="0"/>
      <w:marRight w:val="0"/>
      <w:marTop w:val="0"/>
      <w:marBottom w:val="0"/>
      <w:divBdr>
        <w:top w:val="none" w:sz="0" w:space="0" w:color="auto"/>
        <w:left w:val="none" w:sz="0" w:space="0" w:color="auto"/>
        <w:bottom w:val="none" w:sz="0" w:space="0" w:color="auto"/>
        <w:right w:val="none" w:sz="0" w:space="0" w:color="auto"/>
      </w:divBdr>
    </w:div>
    <w:div w:id="1779331352">
      <w:bodyDiv w:val="1"/>
      <w:marLeft w:val="0"/>
      <w:marRight w:val="0"/>
      <w:marTop w:val="0"/>
      <w:marBottom w:val="0"/>
      <w:divBdr>
        <w:top w:val="none" w:sz="0" w:space="0" w:color="auto"/>
        <w:left w:val="none" w:sz="0" w:space="0" w:color="auto"/>
        <w:bottom w:val="none" w:sz="0" w:space="0" w:color="auto"/>
        <w:right w:val="none" w:sz="0" w:space="0" w:color="auto"/>
      </w:divBdr>
    </w:div>
    <w:div w:id="19357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heice.com/publicdocs/futures_us/exchange_notices/ICE_Futures_US_2022_TRADING_HOLIDAY_CALENDAR_20211118.pdf" TargetMode="External"/><Relationship Id="rId2" Type="http://schemas.openxmlformats.org/officeDocument/2006/relationships/hyperlink" Target="https://www.cmegroup.com/tools-information/holiday-calendar.html" TargetMode="External"/><Relationship Id="rId1" Type="http://schemas.openxmlformats.org/officeDocument/2006/relationships/hyperlink" Target="https://www.cftc.gov/sites/default/files/idc/groups/public/@lrfederalregister/documents/file/2013-12242a.pdf" TargetMode="External"/><Relationship Id="rId6" Type="http://schemas.openxmlformats.org/officeDocument/2006/relationships/hyperlink" Target="https://www.bls.gov/oes/current/naics4_523000.htm" TargetMode="External"/><Relationship Id="rId5" Type="http://schemas.openxmlformats.org/officeDocument/2006/relationships/hyperlink" Target="https://www.bls.gov/oes/current/naics4_523000.htm" TargetMode="External"/><Relationship Id="rId4" Type="http://schemas.openxmlformats.org/officeDocument/2006/relationships/hyperlink" Target="https://www.bls.gov/oes/current/naics4_523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4B030B4F61904CA190E5A8FEF038DA" ma:contentTypeVersion="" ma:contentTypeDescription="Create a new document." ma:contentTypeScope="" ma:versionID="dd04c81211391ba05fda2323b6c561eb">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1B7C0-14A8-45FF-8AE2-3AEFC152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4039F8-6A50-4401-BB6B-1059C53777B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9E1463B-0C10-40D7-BFAA-729B0C64E772}">
  <ds:schemaRefs>
    <ds:schemaRef ds:uri="http://schemas.microsoft.com/sharepoint/v3/contenttype/forms"/>
  </ds:schemaRefs>
</ds:datastoreItem>
</file>

<file path=customXml/itemProps4.xml><?xml version="1.0" encoding="utf-8"?>
<ds:datastoreItem xmlns:ds="http://schemas.openxmlformats.org/officeDocument/2006/customXml" ds:itemID="{4732BBE4-480C-46A8-90EE-A3178E86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3332</Words>
  <Characters>18790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subject/>
  <dc:creator>cftc</dc:creator>
  <cp:keywords/>
  <cp:lastModifiedBy>Dinh, Thuy B.</cp:lastModifiedBy>
  <cp:revision>3</cp:revision>
  <cp:lastPrinted>2018-04-03T14:48:00Z</cp:lastPrinted>
  <dcterms:created xsi:type="dcterms:W3CDTF">2022-07-01T21:37:00Z</dcterms:created>
  <dcterms:modified xsi:type="dcterms:W3CDTF">2022-07-01T21:39:00Z</dcterms:modified>
</cp:coreProperties>
</file>