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364" w:rsidRDefault="00A87364" w14:paraId="0300AACA" w14:textId="77777777">
      <w:pPr>
        <w:suppressAutoHyphens/>
        <w:jc w:val="center"/>
        <w:rPr>
          <w:rFonts w:ascii="Times New Roman" w:hAnsi="Times New Roman"/>
          <w:b/>
        </w:rPr>
      </w:pPr>
      <w:r>
        <w:rPr>
          <w:rFonts w:ascii="Times New Roman" w:hAnsi="Times New Roman"/>
          <w:b/>
        </w:rPr>
        <w:t>SUPPORTING STATEMENT FOR NEW AND</w:t>
      </w:r>
    </w:p>
    <w:p w:rsidR="00A87364" w:rsidRDefault="00A87364" w14:paraId="4BA4B850" w14:textId="77777777">
      <w:pPr>
        <w:suppressAutoHyphens/>
        <w:spacing w:after="240"/>
        <w:jc w:val="center"/>
        <w:rPr>
          <w:rFonts w:ascii="Times New Roman" w:hAnsi="Times New Roman"/>
          <w:b/>
        </w:rPr>
      </w:pPr>
      <w:r>
        <w:rPr>
          <w:rFonts w:ascii="Times New Roman" w:hAnsi="Times New Roman"/>
          <w:b/>
        </w:rPr>
        <w:t>REVISED INFORMATION COLLECTIONS</w:t>
      </w:r>
    </w:p>
    <w:p w:rsidRPr="00FF38E3" w:rsidR="00A87364" w:rsidRDefault="00A87364" w14:paraId="093F9FFF" w14:textId="77777777">
      <w:pPr>
        <w:suppressAutoHyphens/>
        <w:spacing w:after="240"/>
        <w:jc w:val="center"/>
        <w:rPr>
          <w:rFonts w:ascii="Times New Roman" w:hAnsi="Times New Roman"/>
        </w:rPr>
      </w:pPr>
      <w:bookmarkStart w:name="_Hlk101199174" w:id="0"/>
      <w:r w:rsidRPr="00FF38E3">
        <w:rPr>
          <w:rFonts w:ascii="Times New Roman" w:hAnsi="Times New Roman"/>
        </w:rPr>
        <w:t xml:space="preserve">Annual Report </w:t>
      </w:r>
      <w:r w:rsidRPr="00FF38E3" w:rsidR="00197A34">
        <w:rPr>
          <w:rFonts w:ascii="Times New Roman" w:hAnsi="Times New Roman"/>
        </w:rPr>
        <w:t>for</w:t>
      </w:r>
      <w:r w:rsidRPr="00FF38E3">
        <w:rPr>
          <w:rFonts w:ascii="Times New Roman" w:hAnsi="Times New Roman"/>
        </w:rPr>
        <w:t xml:space="preserve"> Chief Compliance Officer</w:t>
      </w:r>
      <w:r w:rsidRPr="00FF38E3" w:rsidR="00197A34">
        <w:rPr>
          <w:rFonts w:ascii="Times New Roman" w:hAnsi="Times New Roman"/>
        </w:rPr>
        <w:t xml:space="preserve"> of Registrants</w:t>
      </w:r>
    </w:p>
    <w:bookmarkEnd w:id="0"/>
    <w:p w:rsidR="00A87364" w:rsidP="00A87364" w:rsidRDefault="00A87364" w14:paraId="68E9B654" w14:textId="77777777">
      <w:pPr>
        <w:tabs>
          <w:tab w:val="center" w:pos="4680"/>
        </w:tabs>
        <w:suppressAutoHyphens/>
        <w:spacing w:after="240"/>
        <w:jc w:val="center"/>
        <w:rPr>
          <w:rFonts w:ascii="Times New Roman" w:hAnsi="Times New Roman"/>
          <w:b/>
        </w:rPr>
      </w:pPr>
      <w:r>
        <w:rPr>
          <w:rFonts w:ascii="Times New Roman" w:hAnsi="Times New Roman"/>
          <w:b/>
        </w:rPr>
        <w:t>OMB CONTROL NUMBER 3038-0080</w:t>
      </w:r>
    </w:p>
    <w:p w:rsidR="00A87364" w:rsidRDefault="00A87364" w14:paraId="6904934C" w14:textId="77777777">
      <w:pPr>
        <w:pStyle w:val="Heading1"/>
        <w:keepNext w:val="0"/>
        <w:rPr>
          <w:rFonts w:ascii="Times New Roman" w:hAnsi="Times New Roman"/>
          <w:szCs w:val="24"/>
        </w:rPr>
      </w:pPr>
      <w:r>
        <w:rPr>
          <w:rFonts w:ascii="Times New Roman" w:hAnsi="Times New Roman"/>
          <w:szCs w:val="24"/>
        </w:rPr>
        <w:t>Justification</w:t>
      </w:r>
    </w:p>
    <w:p w:rsidR="00A87364" w:rsidRDefault="00A87364" w14:paraId="6F93C231" w14:textId="77777777">
      <w:pPr>
        <w:jc w:val="both"/>
      </w:pPr>
    </w:p>
    <w:p w:rsidR="00A87364" w:rsidRDefault="00A87364" w14:paraId="128DCE1C"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7364" w:rsidRDefault="00A87364" w14:paraId="6528C8D5" w14:textId="77777777">
      <w:pPr>
        <w:pStyle w:val="Default"/>
        <w:jc w:val="both"/>
        <w:rPr>
          <w:rFonts w:ascii="Times New Roman" w:hAnsi="Times New Roman" w:cs="Times New Roman"/>
        </w:rPr>
      </w:pPr>
    </w:p>
    <w:p w:rsidR="00A87364" w:rsidP="002E5D85" w:rsidRDefault="00A87364" w14:paraId="68AD8A37" w14:textId="77777777">
      <w:pPr>
        <w:pStyle w:val="Default"/>
        <w:jc w:val="both"/>
        <w:rPr>
          <w:rFonts w:ascii="Times New Roman" w:hAnsi="Times New Roman" w:cs="Times New Roman"/>
        </w:rPr>
      </w:pPr>
      <w:r>
        <w:rPr>
          <w:rFonts w:ascii="Times New Roman" w:hAnsi="Times New Roman" w:cs="Times New Roman"/>
        </w:rPr>
        <w:t xml:space="preserve">Section 731 of Title VII of the Dodd-Frank Wall Street Reform and Consumer Protection Act (Dodd-Frank Act, Pub L. No. 111-203, 124 Stat. 1376 (2010)) amended the Commodity Exchange Act </w:t>
      </w:r>
      <w:r w:rsidR="002E5D85">
        <w:rPr>
          <w:rFonts w:ascii="Times New Roman" w:hAnsi="Times New Roman" w:cs="Times New Roman"/>
        </w:rPr>
        <w:t xml:space="preserve">(CEA) </w:t>
      </w:r>
      <w:r>
        <w:rPr>
          <w:rFonts w:ascii="Times New Roman" w:hAnsi="Times New Roman" w:cs="Times New Roman"/>
        </w:rPr>
        <w:t xml:space="preserve">to add section 4s(k) (7 U.S.C. 6s(k)) which: (a) requires each swap dealer and major swap participant to designate an individual to serve as the entity’s chief compliance officer; (b) imposes certain duties upon the chief compliance officer, including reviewing the compliance of the swap dealer or major swap participant with the CEA and </w:t>
      </w:r>
      <w:r w:rsidR="001E19C5">
        <w:rPr>
          <w:rFonts w:ascii="Times New Roman" w:hAnsi="Times New Roman" w:cs="Times New Roman"/>
        </w:rPr>
        <w:t xml:space="preserve">relevant </w:t>
      </w:r>
      <w:r>
        <w:rPr>
          <w:rFonts w:ascii="Times New Roman" w:hAnsi="Times New Roman" w:cs="Times New Roman"/>
        </w:rPr>
        <w:t>Commission regulations and establishing procedures for the handling, management, remediation, retesting and closing of noncompliance issues; and (c) requires the chief compliance officer to: (i) annually prepare and sign a report that contains a description of the swap dealer’s or major swap participant’s policies and procedures and its compliance with the CEA and Commission regulations; (ii) certify that the compliance report is accurate and complete; and (iii) file the compliance report with the Commission.  Section 731 also directs the Commission to prescribe rules related to the annual report.</w:t>
      </w:r>
      <w:r w:rsidR="002E5D85">
        <w:rPr>
          <w:rFonts w:ascii="Times New Roman" w:hAnsi="Times New Roman" w:cs="Times New Roman"/>
        </w:rPr>
        <w:t xml:space="preserve">  Similarly, Section 732 of the Dodd-Frank Act amends section 4d of the CEA (7 U.S.C. 6d) to require a futures commission merchant to appoint a chief compliance officer and to authorize the Commission to promulgate regulations setting forth the duties and responsibilities of the chief compliance officer.  The Commission has determined that it is appropriate and consistent with the intent of the Dodd-Frank Act to treat swap dealers, major swap participants</w:t>
      </w:r>
      <w:r w:rsidR="007E48C5">
        <w:rPr>
          <w:rFonts w:ascii="Times New Roman" w:hAnsi="Times New Roman" w:cs="Times New Roman"/>
        </w:rPr>
        <w:t>,</w:t>
      </w:r>
      <w:r w:rsidR="002E5D85">
        <w:rPr>
          <w:rFonts w:ascii="Times New Roman" w:hAnsi="Times New Roman" w:cs="Times New Roman"/>
        </w:rPr>
        <w:t xml:space="preserve"> and futures commission merchants consistently with respect to their chief compliance officer obligations.  </w:t>
      </w:r>
      <w:r>
        <w:rPr>
          <w:rFonts w:ascii="Times New Roman" w:hAnsi="Times New Roman" w:cs="Times New Roman"/>
        </w:rPr>
        <w:t xml:space="preserve"> </w:t>
      </w:r>
    </w:p>
    <w:p w:rsidR="00A87364" w:rsidRDefault="00A87364" w14:paraId="649C3CF7" w14:textId="77777777">
      <w:pPr>
        <w:pStyle w:val="Default"/>
        <w:jc w:val="both"/>
        <w:rPr>
          <w:rFonts w:ascii="Times New Roman" w:hAnsi="Times New Roman" w:cs="Times New Roman"/>
        </w:rPr>
      </w:pPr>
    </w:p>
    <w:p w:rsidR="00A87364" w:rsidRDefault="00A87364" w14:paraId="58DBB987" w14:textId="77777777">
      <w:pPr>
        <w:pStyle w:val="Default"/>
        <w:jc w:val="both"/>
        <w:rPr>
          <w:rFonts w:ascii="Times New Roman" w:hAnsi="Times New Roman" w:cs="Times New Roman"/>
        </w:rPr>
      </w:pPr>
      <w:r>
        <w:rPr>
          <w:rFonts w:ascii="Times New Roman" w:hAnsi="Times New Roman" w:cs="Times New Roman"/>
        </w:rPr>
        <w:t xml:space="preserve">Accordingly, the Commission has </w:t>
      </w:r>
      <w:r w:rsidR="002E5D85">
        <w:rPr>
          <w:rFonts w:ascii="Times New Roman" w:hAnsi="Times New Roman" w:cs="Times New Roman"/>
        </w:rPr>
        <w:t xml:space="preserve">adopted </w:t>
      </w:r>
      <w:r w:rsidR="008076D8">
        <w:rPr>
          <w:rFonts w:ascii="Times New Roman" w:hAnsi="Times New Roman" w:cs="Times New Roman"/>
        </w:rPr>
        <w:t>Regulation</w:t>
      </w:r>
      <w:r w:rsidR="00440F6F">
        <w:rPr>
          <w:rFonts w:ascii="Times New Roman" w:hAnsi="Times New Roman" w:cs="Times New Roman"/>
        </w:rPr>
        <w:t xml:space="preserve"> 3.3,</w:t>
      </w:r>
      <w:r>
        <w:rPr>
          <w:rFonts w:ascii="Times New Roman" w:hAnsi="Times New Roman" w:cs="Times New Roman"/>
        </w:rPr>
        <w:t xml:space="preserve"> requir</w:t>
      </w:r>
      <w:r w:rsidR="00440F6F">
        <w:rPr>
          <w:rFonts w:ascii="Times New Roman" w:hAnsi="Times New Roman" w:cs="Times New Roman"/>
        </w:rPr>
        <w:t>ing</w:t>
      </w:r>
      <w:r>
        <w:rPr>
          <w:rFonts w:ascii="Times New Roman" w:hAnsi="Times New Roman" w:cs="Times New Roman"/>
        </w:rPr>
        <w:t xml:space="preserve"> each swap dealer</w:t>
      </w:r>
      <w:r w:rsidR="002E5D85">
        <w:rPr>
          <w:rFonts w:ascii="Times New Roman" w:hAnsi="Times New Roman" w:cs="Times New Roman"/>
        </w:rPr>
        <w:t>,</w:t>
      </w:r>
      <w:r>
        <w:rPr>
          <w:rFonts w:ascii="Times New Roman" w:hAnsi="Times New Roman" w:cs="Times New Roman"/>
        </w:rPr>
        <w:t xml:space="preserve"> major swap participant</w:t>
      </w:r>
      <w:r w:rsidR="002E5D85">
        <w:rPr>
          <w:rFonts w:ascii="Times New Roman" w:hAnsi="Times New Roman" w:cs="Times New Roman"/>
        </w:rPr>
        <w:t>, and futures commission merchant</w:t>
      </w:r>
      <w:r>
        <w:rPr>
          <w:rFonts w:ascii="Times New Roman" w:hAnsi="Times New Roman" w:cs="Times New Roman"/>
        </w:rPr>
        <w:t xml:space="preserve"> to designate</w:t>
      </w:r>
      <w:r w:rsidR="007E48C5">
        <w:rPr>
          <w:rFonts w:ascii="Times New Roman" w:hAnsi="Times New Roman" w:cs="Times New Roman"/>
        </w:rPr>
        <w:t xml:space="preserve"> (</w:t>
      </w:r>
      <w:r w:rsidR="00CA6889">
        <w:rPr>
          <w:rFonts w:ascii="Times New Roman" w:hAnsi="Times New Roman" w:cs="Times New Roman"/>
        </w:rPr>
        <w:t>by filing a form 8-R</w:t>
      </w:r>
      <w:r w:rsidR="007E48C5">
        <w:rPr>
          <w:rFonts w:ascii="Times New Roman" w:hAnsi="Times New Roman" w:cs="Times New Roman"/>
        </w:rPr>
        <w:t>)</w:t>
      </w:r>
      <w:r>
        <w:rPr>
          <w:rFonts w:ascii="Times New Roman" w:hAnsi="Times New Roman" w:cs="Times New Roman"/>
        </w:rPr>
        <w:t xml:space="preserve"> a chief compliance officer </w:t>
      </w:r>
      <w:r w:rsidR="00CA6889">
        <w:rPr>
          <w:rFonts w:ascii="Times New Roman" w:hAnsi="Times New Roman" w:cs="Times New Roman"/>
        </w:rPr>
        <w:t>who is responsible for developing and administering policies and procedures that fulfill certain duties of the swap dealer, major swap participant</w:t>
      </w:r>
      <w:r w:rsidR="0051779D">
        <w:rPr>
          <w:rFonts w:ascii="Times New Roman" w:hAnsi="Times New Roman" w:cs="Times New Roman"/>
        </w:rPr>
        <w:t>,</w:t>
      </w:r>
      <w:r w:rsidR="00CA6889">
        <w:rPr>
          <w:rFonts w:ascii="Times New Roman" w:hAnsi="Times New Roman" w:cs="Times New Roman"/>
        </w:rPr>
        <w:t xml:space="preserve"> or futures commission merchant and that are reasonably designed to ensure </w:t>
      </w:r>
      <w:r w:rsidR="007E48C5">
        <w:rPr>
          <w:rFonts w:ascii="Times New Roman" w:hAnsi="Times New Roman" w:cs="Times New Roman"/>
        </w:rPr>
        <w:t xml:space="preserve">the </w:t>
      </w:r>
      <w:r w:rsidR="00CA6889">
        <w:rPr>
          <w:rFonts w:ascii="Times New Roman" w:hAnsi="Times New Roman" w:cs="Times New Roman"/>
        </w:rPr>
        <w:t>registrant’</w:t>
      </w:r>
      <w:r w:rsidR="007E48C5">
        <w:rPr>
          <w:rFonts w:ascii="Times New Roman" w:hAnsi="Times New Roman" w:cs="Times New Roman"/>
        </w:rPr>
        <w:t>s</w:t>
      </w:r>
      <w:r w:rsidR="00CA6889">
        <w:rPr>
          <w:rFonts w:ascii="Times New Roman" w:hAnsi="Times New Roman" w:cs="Times New Roman"/>
        </w:rPr>
        <w:t xml:space="preserve"> compliance with the CEA and Commission regulations; </w:t>
      </w:r>
      <w:r>
        <w:rPr>
          <w:rFonts w:ascii="Times New Roman" w:hAnsi="Times New Roman" w:cs="Times New Roman"/>
        </w:rPr>
        <w:t>establish</w:t>
      </w:r>
      <w:r w:rsidR="00CA6889">
        <w:rPr>
          <w:rFonts w:ascii="Times New Roman" w:hAnsi="Times New Roman" w:cs="Times New Roman"/>
        </w:rPr>
        <w:t>ing</w:t>
      </w:r>
      <w:r>
        <w:rPr>
          <w:rFonts w:ascii="Times New Roman" w:hAnsi="Times New Roman" w:cs="Times New Roman"/>
        </w:rPr>
        <w:t xml:space="preserve"> procedures for </w:t>
      </w:r>
      <w:r w:rsidR="002E5D85">
        <w:rPr>
          <w:rFonts w:ascii="Times New Roman" w:hAnsi="Times New Roman" w:cs="Times New Roman"/>
        </w:rPr>
        <w:t xml:space="preserve">the remediation of </w:t>
      </w:r>
      <w:r>
        <w:rPr>
          <w:rFonts w:ascii="Times New Roman" w:hAnsi="Times New Roman" w:cs="Times New Roman"/>
        </w:rPr>
        <w:t>noncompliance</w:t>
      </w:r>
      <w:r w:rsidR="002E5D85">
        <w:rPr>
          <w:rFonts w:ascii="Times New Roman" w:hAnsi="Times New Roman" w:cs="Times New Roman"/>
        </w:rPr>
        <w:t xml:space="preserve"> </w:t>
      </w:r>
      <w:r w:rsidR="00CA6889">
        <w:rPr>
          <w:rFonts w:ascii="Times New Roman" w:hAnsi="Times New Roman" w:cs="Times New Roman"/>
        </w:rPr>
        <w:t xml:space="preserve">issues </w:t>
      </w:r>
      <w:r w:rsidR="002E5D85">
        <w:rPr>
          <w:rFonts w:ascii="Times New Roman" w:hAnsi="Times New Roman" w:cs="Times New Roman"/>
        </w:rPr>
        <w:t>identified by the chief compliance officer</w:t>
      </w:r>
      <w:r>
        <w:rPr>
          <w:rFonts w:ascii="Times New Roman" w:hAnsi="Times New Roman" w:cs="Times New Roman"/>
        </w:rPr>
        <w:t>;</w:t>
      </w:r>
      <w:r w:rsidR="00CA6889">
        <w:rPr>
          <w:rFonts w:ascii="Times New Roman" w:hAnsi="Times New Roman" w:cs="Times New Roman"/>
        </w:rPr>
        <w:t xml:space="preserve"> </w:t>
      </w:r>
      <w:r w:rsidR="002E5D85">
        <w:rPr>
          <w:rFonts w:ascii="Times New Roman" w:hAnsi="Times New Roman" w:cs="Times New Roman"/>
        </w:rPr>
        <w:t>establish</w:t>
      </w:r>
      <w:r w:rsidR="00CA6889">
        <w:rPr>
          <w:rFonts w:ascii="Times New Roman" w:hAnsi="Times New Roman" w:cs="Times New Roman"/>
        </w:rPr>
        <w:t>ing</w:t>
      </w:r>
      <w:r w:rsidR="002E5D85">
        <w:rPr>
          <w:rFonts w:ascii="Times New Roman" w:hAnsi="Times New Roman" w:cs="Times New Roman"/>
        </w:rPr>
        <w:t xml:space="preserve"> procedures for the handling, management response, </w:t>
      </w:r>
      <w:r w:rsidR="007E48C5">
        <w:rPr>
          <w:rFonts w:ascii="Times New Roman" w:hAnsi="Times New Roman" w:cs="Times New Roman"/>
        </w:rPr>
        <w:t>re</w:t>
      </w:r>
      <w:r w:rsidR="002E5D85">
        <w:rPr>
          <w:rFonts w:ascii="Times New Roman" w:hAnsi="Times New Roman" w:cs="Times New Roman"/>
        </w:rPr>
        <w:t>mediation</w:t>
      </w:r>
      <w:r w:rsidR="007E48C5">
        <w:rPr>
          <w:rFonts w:ascii="Times New Roman" w:hAnsi="Times New Roman" w:cs="Times New Roman"/>
        </w:rPr>
        <w:t>,</w:t>
      </w:r>
      <w:r w:rsidR="002E5D85">
        <w:rPr>
          <w:rFonts w:ascii="Times New Roman" w:hAnsi="Times New Roman" w:cs="Times New Roman"/>
        </w:rPr>
        <w:t xml:space="preserve"> retesting and closing of noncompliance issues; </w:t>
      </w:r>
      <w:r>
        <w:rPr>
          <w:rFonts w:ascii="Times New Roman" w:hAnsi="Times New Roman" w:cs="Times New Roman"/>
        </w:rPr>
        <w:t>prepar</w:t>
      </w:r>
      <w:r w:rsidR="007E48C5">
        <w:rPr>
          <w:rFonts w:ascii="Times New Roman" w:hAnsi="Times New Roman" w:cs="Times New Roman"/>
        </w:rPr>
        <w:t>ing</w:t>
      </w:r>
      <w:r>
        <w:rPr>
          <w:rFonts w:ascii="Times New Roman" w:hAnsi="Times New Roman" w:cs="Times New Roman"/>
        </w:rPr>
        <w:t>, sign</w:t>
      </w:r>
      <w:r w:rsidR="007E48C5">
        <w:rPr>
          <w:rFonts w:ascii="Times New Roman" w:hAnsi="Times New Roman" w:cs="Times New Roman"/>
        </w:rPr>
        <w:t>ing</w:t>
      </w:r>
      <w:r>
        <w:rPr>
          <w:rFonts w:ascii="Times New Roman" w:hAnsi="Times New Roman" w:cs="Times New Roman"/>
        </w:rPr>
        <w:t>, certify</w:t>
      </w:r>
      <w:r w:rsidR="007E48C5">
        <w:rPr>
          <w:rFonts w:ascii="Times New Roman" w:hAnsi="Times New Roman" w:cs="Times New Roman"/>
        </w:rPr>
        <w:t>ing</w:t>
      </w:r>
      <w:r>
        <w:rPr>
          <w:rFonts w:ascii="Times New Roman" w:hAnsi="Times New Roman" w:cs="Times New Roman"/>
        </w:rPr>
        <w:t xml:space="preserve"> and fil</w:t>
      </w:r>
      <w:r w:rsidR="007E48C5">
        <w:rPr>
          <w:rFonts w:ascii="Times New Roman" w:hAnsi="Times New Roman" w:cs="Times New Roman"/>
        </w:rPr>
        <w:t>ing</w:t>
      </w:r>
      <w:r>
        <w:rPr>
          <w:rFonts w:ascii="Times New Roman" w:hAnsi="Times New Roman" w:cs="Times New Roman"/>
        </w:rPr>
        <w:t xml:space="preserve"> with the Commission an annual compliance report that contains the information s</w:t>
      </w:r>
      <w:r w:rsidR="002E5D85">
        <w:rPr>
          <w:rFonts w:ascii="Times New Roman" w:hAnsi="Times New Roman" w:cs="Times New Roman"/>
        </w:rPr>
        <w:t xml:space="preserve">pecified </w:t>
      </w:r>
      <w:r>
        <w:rPr>
          <w:rFonts w:ascii="Times New Roman" w:hAnsi="Times New Roman" w:cs="Times New Roman"/>
        </w:rPr>
        <w:t>in the regulation</w:t>
      </w:r>
      <w:r w:rsidR="001E19C5">
        <w:rPr>
          <w:rFonts w:ascii="Times New Roman" w:hAnsi="Times New Roman" w:cs="Times New Roman"/>
        </w:rPr>
        <w:t>s</w:t>
      </w:r>
      <w:r w:rsidR="007E48C5">
        <w:rPr>
          <w:rFonts w:ascii="Times New Roman" w:hAnsi="Times New Roman" w:cs="Times New Roman"/>
        </w:rPr>
        <w:t>;</w:t>
      </w:r>
      <w:r w:rsidR="009B6D66">
        <w:rPr>
          <w:rFonts w:ascii="Times New Roman" w:hAnsi="Times New Roman" w:cs="Times New Roman"/>
        </w:rPr>
        <w:t xml:space="preserve"> amend</w:t>
      </w:r>
      <w:r w:rsidR="007E48C5">
        <w:rPr>
          <w:rFonts w:ascii="Times New Roman" w:hAnsi="Times New Roman" w:cs="Times New Roman"/>
        </w:rPr>
        <w:t>ing</w:t>
      </w:r>
      <w:r w:rsidR="009B6D66">
        <w:rPr>
          <w:rFonts w:ascii="Times New Roman" w:hAnsi="Times New Roman" w:cs="Times New Roman"/>
        </w:rPr>
        <w:t xml:space="preserve"> the annual report if material errors or omissions are identified; and </w:t>
      </w:r>
      <w:r>
        <w:rPr>
          <w:rFonts w:ascii="Times New Roman" w:hAnsi="Times New Roman" w:cs="Times New Roman"/>
        </w:rPr>
        <w:t>maintain</w:t>
      </w:r>
      <w:r w:rsidR="007E48C5">
        <w:rPr>
          <w:rFonts w:ascii="Times New Roman" w:hAnsi="Times New Roman" w:cs="Times New Roman"/>
        </w:rPr>
        <w:t>ing</w:t>
      </w:r>
      <w:r>
        <w:rPr>
          <w:rFonts w:ascii="Times New Roman" w:hAnsi="Times New Roman" w:cs="Times New Roman"/>
        </w:rPr>
        <w:t xml:space="preserve"> records of </w:t>
      </w:r>
      <w:r w:rsidR="001E19C5">
        <w:rPr>
          <w:rFonts w:ascii="Times New Roman" w:hAnsi="Times New Roman" w:cs="Times New Roman"/>
        </w:rPr>
        <w:t xml:space="preserve">the registrant’s </w:t>
      </w:r>
      <w:r>
        <w:rPr>
          <w:rFonts w:ascii="Times New Roman" w:hAnsi="Times New Roman" w:cs="Times New Roman"/>
        </w:rPr>
        <w:t>compliance policies</w:t>
      </w:r>
      <w:r w:rsidR="009B6D66">
        <w:rPr>
          <w:rFonts w:ascii="Times New Roman" w:hAnsi="Times New Roman" w:cs="Times New Roman"/>
        </w:rPr>
        <w:t xml:space="preserve"> and procedures and</w:t>
      </w:r>
      <w:r>
        <w:rPr>
          <w:rFonts w:ascii="Times New Roman" w:hAnsi="Times New Roman" w:cs="Times New Roman"/>
        </w:rPr>
        <w:t xml:space="preserve"> records related to the annual report.</w:t>
      </w:r>
    </w:p>
    <w:p w:rsidR="00A87364" w:rsidRDefault="00A87364" w14:paraId="00695C2B" w14:textId="77777777">
      <w:pPr>
        <w:pStyle w:val="Default"/>
        <w:jc w:val="both"/>
        <w:rPr>
          <w:rFonts w:ascii="Times New Roman" w:hAnsi="Times New Roman" w:cs="Times New Roman"/>
        </w:rPr>
      </w:pPr>
    </w:p>
    <w:p w:rsidR="00F571EE" w:rsidRDefault="00F571EE" w14:paraId="19B827A2" w14:textId="77777777">
      <w:pPr>
        <w:pStyle w:val="Default"/>
        <w:jc w:val="both"/>
        <w:rPr>
          <w:rFonts w:ascii="Times New Roman" w:hAnsi="Times New Roman" w:cs="Times New Roman"/>
        </w:rPr>
      </w:pPr>
    </w:p>
    <w:p w:rsidR="00A87364" w:rsidRDefault="00A87364" w14:paraId="65019537" w14:textId="6D0FFF0B">
      <w:pPr>
        <w:pStyle w:val="Default"/>
        <w:jc w:val="both"/>
        <w:rPr>
          <w:rFonts w:ascii="Times New Roman" w:hAnsi="Times New Roman" w:cs="Times New Roman"/>
        </w:rPr>
      </w:pPr>
      <w:r>
        <w:rPr>
          <w:rFonts w:ascii="Times New Roman" w:hAnsi="Times New Roman" w:cs="Times New Roman"/>
        </w:rPr>
        <w:lastRenderedPageBreak/>
        <w:t>The information collected pursuant to the regulation</w:t>
      </w:r>
      <w:r w:rsidR="001E19C5">
        <w:rPr>
          <w:rFonts w:ascii="Times New Roman" w:hAnsi="Times New Roman" w:cs="Times New Roman"/>
        </w:rPr>
        <w:t>s</w:t>
      </w:r>
      <w:r>
        <w:rPr>
          <w:rFonts w:ascii="Times New Roman" w:hAnsi="Times New Roman" w:cs="Times New Roman"/>
        </w:rPr>
        <w:t xml:space="preserve"> is essential to ensuring that swap dealers, major swap participants</w:t>
      </w:r>
      <w:r w:rsidR="001E19C5">
        <w:rPr>
          <w:rFonts w:ascii="Times New Roman" w:hAnsi="Times New Roman" w:cs="Times New Roman"/>
        </w:rPr>
        <w:t>,</w:t>
      </w:r>
      <w:r>
        <w:rPr>
          <w:rFonts w:ascii="Times New Roman" w:hAnsi="Times New Roman" w:cs="Times New Roman"/>
        </w:rPr>
        <w:t xml:space="preserve"> and futures commission merchants maintain comprehensive policies and procedures that promote compliance with the CEA and Commission regulations. </w:t>
      </w:r>
    </w:p>
    <w:p w:rsidR="00A87364" w:rsidRDefault="00A87364" w14:paraId="08C656A5" w14:textId="77777777">
      <w:pPr>
        <w:pStyle w:val="Default"/>
        <w:jc w:val="both"/>
        <w:rPr>
          <w:rFonts w:ascii="Times New Roman" w:hAnsi="Times New Roman" w:cs="Times New Roman"/>
        </w:rPr>
      </w:pPr>
    </w:p>
    <w:p w:rsidR="00A87364" w:rsidRDefault="00A87364" w14:paraId="3BF6BCE0"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A87364" w:rsidRDefault="00A87364" w14:paraId="03B8BB6A" w14:textId="77777777">
      <w:pPr>
        <w:jc w:val="both"/>
        <w:rPr>
          <w:rFonts w:ascii="Times New Roman" w:hAnsi="Times New Roman"/>
        </w:rPr>
      </w:pPr>
    </w:p>
    <w:p w:rsidR="00A87364" w:rsidRDefault="00A87364" w14:paraId="60FA8369" w14:textId="77777777">
      <w:pPr>
        <w:jc w:val="both"/>
        <w:rPr>
          <w:rFonts w:ascii="Times New Roman" w:hAnsi="Times New Roman"/>
        </w:rPr>
      </w:pPr>
      <w:r>
        <w:rPr>
          <w:rFonts w:ascii="Times New Roman" w:hAnsi="Times New Roman"/>
        </w:rPr>
        <w:t xml:space="preserve">The required information </w:t>
      </w:r>
      <w:r w:rsidR="007E48C5">
        <w:rPr>
          <w:rFonts w:ascii="Times New Roman" w:hAnsi="Times New Roman"/>
        </w:rPr>
        <w:t xml:space="preserve">will </w:t>
      </w:r>
      <w:r>
        <w:rPr>
          <w:rFonts w:ascii="Times New Roman" w:hAnsi="Times New Roman"/>
        </w:rPr>
        <w:t>be used by Commission staff when conducting examination and oversight of swap dealers, major swap participants</w:t>
      </w:r>
      <w:r w:rsidR="001E19C5">
        <w:rPr>
          <w:rFonts w:ascii="Times New Roman" w:hAnsi="Times New Roman"/>
        </w:rPr>
        <w:t>,</w:t>
      </w:r>
      <w:r>
        <w:rPr>
          <w:rFonts w:ascii="Times New Roman" w:hAnsi="Times New Roman"/>
        </w:rPr>
        <w:t xml:space="preserve"> and futures commission merchants for compliance with the CEA and Commission regulations. </w:t>
      </w:r>
      <w:r w:rsidR="008076D8">
        <w:rPr>
          <w:rFonts w:ascii="Times New Roman" w:hAnsi="Times New Roman"/>
        </w:rPr>
        <w:t xml:space="preserve">In particular, the information (i) </w:t>
      </w:r>
      <w:r w:rsidRPr="008076D8" w:rsidR="008076D8">
        <w:rPr>
          <w:rFonts w:ascii="Times New Roman" w:hAnsi="Times New Roman"/>
        </w:rPr>
        <w:t>inform</w:t>
      </w:r>
      <w:r w:rsidR="008076D8">
        <w:rPr>
          <w:rFonts w:ascii="Times New Roman" w:hAnsi="Times New Roman"/>
        </w:rPr>
        <w:t>s</w:t>
      </w:r>
      <w:r w:rsidRPr="008076D8" w:rsidR="008076D8">
        <w:rPr>
          <w:rFonts w:ascii="Times New Roman" w:hAnsi="Times New Roman"/>
        </w:rPr>
        <w:t xml:space="preserve"> the Commission of possible compliance weaknesses, (iii) assist</w:t>
      </w:r>
      <w:r w:rsidR="008076D8">
        <w:rPr>
          <w:rFonts w:ascii="Times New Roman" w:hAnsi="Times New Roman"/>
        </w:rPr>
        <w:t>s</w:t>
      </w:r>
      <w:r w:rsidRPr="008076D8" w:rsidR="008076D8">
        <w:rPr>
          <w:rFonts w:ascii="Times New Roman" w:hAnsi="Times New Roman"/>
        </w:rPr>
        <w:t xml:space="preserve"> the Commission in determining whether the registrant remains in compliance with the CEA and Commission regulations, and (iv) help</w:t>
      </w:r>
      <w:r w:rsidR="008076D8">
        <w:rPr>
          <w:rFonts w:ascii="Times New Roman" w:hAnsi="Times New Roman"/>
        </w:rPr>
        <w:t>s</w:t>
      </w:r>
      <w:r w:rsidRPr="008076D8" w:rsidR="008076D8">
        <w:rPr>
          <w:rFonts w:ascii="Times New Roman" w:hAnsi="Times New Roman"/>
        </w:rPr>
        <w:t xml:space="preserve"> the Commission to assess whether the registrant has mechanisms in place to adequately address compliance problems that could lead to a failure of the registrant.  </w:t>
      </w:r>
    </w:p>
    <w:p w:rsidR="00A87364" w:rsidRDefault="00A87364" w14:paraId="05902BF0" w14:textId="77777777">
      <w:pPr>
        <w:jc w:val="both"/>
        <w:rPr>
          <w:rFonts w:ascii="Times New Roman" w:hAnsi="Times New Roman"/>
        </w:rPr>
      </w:pPr>
    </w:p>
    <w:p w:rsidR="00A87364" w:rsidRDefault="00A87364" w14:paraId="06F25308"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7364" w:rsidRDefault="00A87364" w14:paraId="19682044" w14:textId="77777777">
      <w:pPr>
        <w:tabs>
          <w:tab w:val="left" w:pos="-720"/>
          <w:tab w:val="left" w:pos="0"/>
        </w:tabs>
        <w:spacing w:after="240"/>
        <w:jc w:val="both"/>
        <w:rPr>
          <w:rFonts w:ascii="Times New Roman" w:hAnsi="Times New Roman"/>
        </w:rPr>
      </w:pPr>
      <w:r>
        <w:rPr>
          <w:rFonts w:ascii="Times New Roman" w:hAnsi="Times New Roman"/>
        </w:rPr>
        <w:t xml:space="preserve">The required information </w:t>
      </w:r>
      <w:r w:rsidR="007E48C5">
        <w:rPr>
          <w:rFonts w:ascii="Times New Roman" w:hAnsi="Times New Roman"/>
        </w:rPr>
        <w:t xml:space="preserve">will </w:t>
      </w:r>
      <w:r w:rsidR="00D51052">
        <w:rPr>
          <w:rFonts w:ascii="Times New Roman" w:hAnsi="Times New Roman"/>
        </w:rPr>
        <w:t xml:space="preserve">be </w:t>
      </w:r>
      <w:r>
        <w:rPr>
          <w:rFonts w:ascii="Times New Roman" w:hAnsi="Times New Roman"/>
        </w:rPr>
        <w:t>filed electronically.</w:t>
      </w:r>
    </w:p>
    <w:p w:rsidR="00A87364" w:rsidRDefault="00A87364" w14:paraId="4AAA99AF"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A87364" w:rsidRDefault="00A87364" w14:paraId="0DD6A545" w14:textId="77777777">
      <w:pPr>
        <w:tabs>
          <w:tab w:val="left" w:pos="-720"/>
        </w:tabs>
        <w:spacing w:after="240"/>
        <w:jc w:val="both"/>
        <w:rPr>
          <w:rFonts w:ascii="Times New Roman" w:hAnsi="Times New Roman"/>
        </w:rPr>
      </w:pPr>
      <w:r>
        <w:rPr>
          <w:rFonts w:ascii="Times New Roman" w:hAnsi="Times New Roman"/>
        </w:rPr>
        <w:t>The Commission has attempted to eliminate duplication by:  (a) permitting swap dealers, major swap participants</w:t>
      </w:r>
      <w:r w:rsidR="007E48C5">
        <w:rPr>
          <w:rFonts w:ascii="Times New Roman" w:hAnsi="Times New Roman"/>
        </w:rPr>
        <w:t>,</w:t>
      </w:r>
      <w:r>
        <w:rPr>
          <w:rFonts w:ascii="Times New Roman" w:hAnsi="Times New Roman"/>
        </w:rPr>
        <w:t xml:space="preserve"> and futures commission merchants to incorporate by reference sections of an annual report that has been furnished to the Commission within the current or immediately preceding reporting period, (b) permitting registrants that are dually registered with the Commission and would be required to submit multiple annual reports, to incorporate by reference in the annual report filed in one registration capacity, </w:t>
      </w:r>
      <w:r w:rsidR="007E48C5">
        <w:rPr>
          <w:rFonts w:ascii="Times New Roman" w:hAnsi="Times New Roman"/>
        </w:rPr>
        <w:t>sections of</w:t>
      </w:r>
      <w:r>
        <w:rPr>
          <w:rFonts w:ascii="Times New Roman" w:hAnsi="Times New Roman"/>
        </w:rPr>
        <w:t xml:space="preserve"> </w:t>
      </w:r>
      <w:r w:rsidR="007E48C5">
        <w:rPr>
          <w:rFonts w:ascii="Times New Roman" w:hAnsi="Times New Roman"/>
        </w:rPr>
        <w:t xml:space="preserve">the </w:t>
      </w:r>
      <w:r>
        <w:rPr>
          <w:rFonts w:ascii="Times New Roman" w:hAnsi="Times New Roman"/>
        </w:rPr>
        <w:t>annual report</w:t>
      </w:r>
      <w:r w:rsidR="007E48C5">
        <w:rPr>
          <w:rFonts w:ascii="Times New Roman" w:hAnsi="Times New Roman"/>
        </w:rPr>
        <w:t xml:space="preserve"> furnished within the current or immediately preceding reporting period </w:t>
      </w:r>
      <w:r w:rsidR="009831BE">
        <w:rPr>
          <w:rFonts w:ascii="Times New Roman" w:hAnsi="Times New Roman"/>
        </w:rPr>
        <w:t xml:space="preserve">that was </w:t>
      </w:r>
      <w:r w:rsidR="007E48C5">
        <w:rPr>
          <w:rFonts w:ascii="Times New Roman" w:hAnsi="Times New Roman"/>
        </w:rPr>
        <w:t xml:space="preserve">filed in the other </w:t>
      </w:r>
      <w:r>
        <w:rPr>
          <w:rFonts w:ascii="Times New Roman" w:hAnsi="Times New Roman"/>
        </w:rPr>
        <w:t>registration capacity</w:t>
      </w:r>
      <w:r w:rsidR="00CB0846">
        <w:rPr>
          <w:rFonts w:ascii="Times New Roman" w:hAnsi="Times New Roman"/>
        </w:rPr>
        <w:t xml:space="preserve">, and (c) by permitting registrants that are affiliated with one or more other registrant(s), </w:t>
      </w:r>
      <w:r w:rsidR="00173BD3">
        <w:rPr>
          <w:rFonts w:ascii="Times New Roman" w:hAnsi="Times New Roman"/>
        </w:rPr>
        <w:t>where</w:t>
      </w:r>
      <w:r w:rsidR="00CB0846">
        <w:rPr>
          <w:rFonts w:ascii="Times New Roman" w:hAnsi="Times New Roman"/>
        </w:rPr>
        <w:t xml:space="preserve"> each of the affiliated registrants </w:t>
      </w:r>
      <w:r w:rsidR="00FA5C25">
        <w:rPr>
          <w:rFonts w:ascii="Times New Roman" w:hAnsi="Times New Roman"/>
        </w:rPr>
        <w:t xml:space="preserve"> </w:t>
      </w:r>
      <w:r w:rsidR="00CB0846">
        <w:rPr>
          <w:rFonts w:ascii="Times New Roman" w:hAnsi="Times New Roman"/>
        </w:rPr>
        <w:t xml:space="preserve">must submit an annual report, to incorporate by reference in their annual report sections from an annual report prepared by any of their affiliated registrants furnished within the current or immediately preceding reporting period.  </w:t>
      </w:r>
      <w:r>
        <w:rPr>
          <w:rFonts w:ascii="Times New Roman" w:hAnsi="Times New Roman"/>
        </w:rPr>
        <w:t>.</w:t>
      </w:r>
    </w:p>
    <w:p w:rsidR="00A87364" w:rsidRDefault="00A87364" w14:paraId="7E8F019C" w14:textId="77777777">
      <w:pPr>
        <w:tabs>
          <w:tab w:val="left" w:pos="-720"/>
        </w:tabs>
        <w:spacing w:after="240"/>
        <w:jc w:val="both"/>
        <w:rPr>
          <w:rFonts w:ascii="Times New Roman" w:hAnsi="Times New Roman"/>
        </w:rPr>
      </w:pPr>
      <w:r>
        <w:rPr>
          <w:rFonts w:ascii="Times New Roman" w:hAnsi="Times New Roman"/>
        </w:rPr>
        <w:t xml:space="preserve">The required information is not already collected by the Commission for any other purpose, collected by any other agency, or available for public disclosure through any other source. </w:t>
      </w:r>
    </w:p>
    <w:p w:rsidR="00A87364" w:rsidRDefault="00A87364" w14:paraId="4F3DAAB1" w14:textId="30B1E64B">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 xml:space="preserve">If the collection of information involves small business or other small entities (Item 5 </w:t>
      </w:r>
      <w:bookmarkStart w:name="_GoBack" w:id="1"/>
      <w:bookmarkEnd w:id="1"/>
      <w:r>
        <w:rPr>
          <w:rFonts w:ascii="Times New Roman" w:hAnsi="Times New Roman"/>
          <w:b/>
        </w:rPr>
        <w:t xml:space="preserve">of OMB </w:t>
      </w:r>
      <w:proofErr w:type="gramStart"/>
      <w:r>
        <w:rPr>
          <w:rFonts w:ascii="Times New Roman" w:hAnsi="Times New Roman"/>
          <w:b/>
        </w:rPr>
        <w:t>From</w:t>
      </w:r>
      <w:proofErr w:type="gramEnd"/>
      <w:r>
        <w:rPr>
          <w:rFonts w:ascii="Times New Roman" w:hAnsi="Times New Roman"/>
          <w:b/>
        </w:rPr>
        <w:t xml:space="preserve"> 83-I), describe the methods used to minimize burden.</w:t>
      </w:r>
    </w:p>
    <w:p w:rsidR="00F571EE" w:rsidRDefault="00F571EE" w14:paraId="71D382DA" w14:textId="77777777">
      <w:pPr>
        <w:tabs>
          <w:tab w:val="left" w:pos="-720"/>
        </w:tabs>
        <w:spacing w:after="240"/>
        <w:jc w:val="both"/>
        <w:rPr>
          <w:rFonts w:ascii="Times New Roman" w:hAnsi="Times New Roman"/>
        </w:rPr>
      </w:pPr>
    </w:p>
    <w:p w:rsidR="00A87364" w:rsidRDefault="00A87364" w14:paraId="0BCA2D3C" w14:textId="0232CC47">
      <w:pPr>
        <w:tabs>
          <w:tab w:val="left" w:pos="-720"/>
        </w:tabs>
        <w:spacing w:after="240"/>
        <w:jc w:val="both"/>
        <w:rPr>
          <w:rFonts w:ascii="Times New Roman" w:hAnsi="Times New Roman"/>
        </w:rPr>
      </w:pPr>
      <w:r>
        <w:rPr>
          <w:rFonts w:ascii="Times New Roman" w:hAnsi="Times New Roman"/>
        </w:rPr>
        <w:lastRenderedPageBreak/>
        <w:t xml:space="preserve">The collection of the required information does not involve any small businesses or small entities. </w:t>
      </w:r>
    </w:p>
    <w:p w:rsidR="00A87364" w:rsidRDefault="00A87364" w14:paraId="6635FD9C"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A87364" w:rsidRDefault="00A87364" w14:paraId="404F26F5" w14:textId="77777777">
      <w:pPr>
        <w:pStyle w:val="Default"/>
        <w:jc w:val="both"/>
        <w:rPr>
          <w:rFonts w:ascii="Times New Roman" w:hAnsi="Times New Roman" w:cs="Times New Roman"/>
        </w:rPr>
      </w:pPr>
      <w:r>
        <w:rPr>
          <w:rFonts w:ascii="Times New Roman" w:hAnsi="Times New Roman" w:cs="Times New Roman"/>
        </w:rPr>
        <w:t>The CEA, as amended by the Dodd-Frank Act, expressly requires the chief compliance officers of swap dealers and major swap participants to prepare, sign, certify and file a compliance report on an annual basis in accordance with regulations promulgated by the Commission.  It also requires the Commission to promulgate regulations setting forth the duties and responsibilities of the chief compliance officer of futures commission merchants, which the Commission believes should be consistent with similar obligations imposed upon swap dealers and major swap participants.  Accordingly, a less frequent collection would not comport with the Commission’s obligations under its authorizing statute.  Moreover, an annual report is necessary to ensure that the Commission receives, on a timely basis, the information needed to ensure that swap dealers, major swap participants</w:t>
      </w:r>
      <w:r w:rsidR="001E19C5">
        <w:rPr>
          <w:rFonts w:ascii="Times New Roman" w:hAnsi="Times New Roman" w:cs="Times New Roman"/>
        </w:rPr>
        <w:t>,</w:t>
      </w:r>
      <w:r>
        <w:rPr>
          <w:rFonts w:ascii="Times New Roman" w:hAnsi="Times New Roman" w:cs="Times New Roman"/>
        </w:rPr>
        <w:t xml:space="preserve"> and futures commission merchants </w:t>
      </w:r>
      <w:proofErr w:type="gramStart"/>
      <w:r>
        <w:rPr>
          <w:rFonts w:ascii="Times New Roman" w:hAnsi="Times New Roman" w:cs="Times New Roman"/>
        </w:rPr>
        <w:t>are in compliance with</w:t>
      </w:r>
      <w:proofErr w:type="gramEnd"/>
      <w:r>
        <w:rPr>
          <w:rFonts w:ascii="Times New Roman" w:hAnsi="Times New Roman" w:cs="Times New Roman"/>
        </w:rPr>
        <w:t xml:space="preserve"> the CEA and </w:t>
      </w:r>
      <w:r w:rsidR="009831BE">
        <w:rPr>
          <w:rFonts w:ascii="Times New Roman" w:hAnsi="Times New Roman" w:cs="Times New Roman"/>
        </w:rPr>
        <w:t xml:space="preserve">relevant </w:t>
      </w:r>
      <w:r>
        <w:rPr>
          <w:rFonts w:ascii="Times New Roman" w:hAnsi="Times New Roman" w:cs="Times New Roman"/>
        </w:rPr>
        <w:t>Commission regulations.</w:t>
      </w:r>
    </w:p>
    <w:p w:rsidR="00A87364" w:rsidRDefault="00A87364" w14:paraId="37966450" w14:textId="77777777">
      <w:pPr>
        <w:pStyle w:val="Default"/>
        <w:jc w:val="both"/>
        <w:rPr>
          <w:rFonts w:ascii="Times New Roman" w:hAnsi="Times New Roman" w:cs="Times New Roman"/>
        </w:rPr>
      </w:pPr>
    </w:p>
    <w:p w:rsidR="00A87364" w:rsidRDefault="00A87364" w14:paraId="1F932CB4"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A87364" w:rsidRDefault="00A87364" w14:paraId="6C26AE7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A87364" w:rsidRDefault="00A87364" w14:paraId="2300B49F"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involve obligations that are imposed on an annual basis (</w:t>
      </w:r>
      <w:r>
        <w:rPr>
          <w:rFonts w:ascii="Times New Roman" w:hAnsi="Times New Roman"/>
          <w:i/>
        </w:rPr>
        <w:t>e.g.,</w:t>
      </w:r>
      <w:r>
        <w:rPr>
          <w:rFonts w:ascii="Times New Roman" w:hAnsi="Times New Roman"/>
        </w:rPr>
        <w:t xml:space="preserve"> the preparation and filing of the compliance report) or less than annually (</w:t>
      </w:r>
      <w:r>
        <w:rPr>
          <w:rFonts w:ascii="Times New Roman" w:hAnsi="Times New Roman"/>
          <w:i/>
        </w:rPr>
        <w:t>e.g</w:t>
      </w:r>
      <w:r>
        <w:rPr>
          <w:rFonts w:ascii="Times New Roman" w:hAnsi="Times New Roman"/>
        </w:rPr>
        <w:t>., a Form 8-R need only be filed when the chief compliance officer is designated).  More frequent reporting is required only where the affected registrant subsequently identifies material errors or omissions in a previously filed report.</w:t>
      </w:r>
    </w:p>
    <w:p w:rsidR="00A87364" w:rsidRDefault="00A87364" w14:paraId="6D1E0F0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A87364" w:rsidRDefault="00A87364" w14:paraId="35345704"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A87364" w:rsidRDefault="00A87364" w14:paraId="33FB008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A87364" w:rsidRDefault="00A87364" w14:paraId="3F4F3CB7"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regulations do not require the filing of multiple copies of documents. </w:t>
      </w:r>
    </w:p>
    <w:p w:rsidR="00A87364" w:rsidRDefault="00A87364" w14:paraId="5DD908E1"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A87364" w:rsidRDefault="00A87364" w14:paraId="6A3675C1"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Commission </w:t>
      </w:r>
      <w:r w:rsidR="008076D8">
        <w:rPr>
          <w:rFonts w:ascii="Times New Roman" w:hAnsi="Times New Roman"/>
        </w:rPr>
        <w:t>Regulation</w:t>
      </w:r>
      <w:r>
        <w:rPr>
          <w:rFonts w:ascii="Times New Roman" w:hAnsi="Times New Roman"/>
        </w:rPr>
        <w:t xml:space="preserve"> 1.31 expressly requires that:</w:t>
      </w:r>
    </w:p>
    <w:p w:rsidR="00A87364" w:rsidRDefault="00FA5C25" w14:paraId="46505B08" w14:textId="77777777">
      <w:pPr>
        <w:tabs>
          <w:tab w:val="left" w:pos="-720"/>
          <w:tab w:val="left" w:pos="0"/>
          <w:tab w:val="left" w:pos="720"/>
        </w:tabs>
        <w:spacing w:after="240"/>
        <w:ind w:left="720" w:right="720"/>
        <w:jc w:val="both"/>
        <w:rPr>
          <w:rFonts w:ascii="Times New Roman" w:hAnsi="Times New Roman"/>
        </w:rPr>
      </w:pPr>
      <w:r w:rsidRPr="00FA5C25">
        <w:rPr>
          <w:rFonts w:ascii="Times New Roman" w:hAnsi="Times New Roman"/>
        </w:rPr>
        <w:t xml:space="preserve">Commission Regulation 1.31 expressly requires that books and records required to be kept by the CEA or Commission regulations be retained for certain specified </w:t>
      </w:r>
      <w:r w:rsidRPr="00FA5C25">
        <w:rPr>
          <w:rFonts w:ascii="Times New Roman" w:hAnsi="Times New Roman"/>
        </w:rPr>
        <w:lastRenderedPageBreak/>
        <w:t>periods.  Other than with respect to oral communications and records exclusively created and maintained on paper, the shortest of these periods is five years from the date of creation.</w:t>
      </w:r>
    </w:p>
    <w:p w:rsidR="00A87364" w:rsidRDefault="00A87364" w14:paraId="13C12DA8"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A87364" w:rsidRDefault="00A87364" w14:paraId="75014126"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B37ECF">
        <w:rPr>
          <w:rFonts w:ascii="Times New Roman" w:hAnsi="Times New Roman"/>
        </w:rPr>
        <w:t>s</w:t>
      </w:r>
      <w:r>
        <w:rPr>
          <w:rFonts w:ascii="Times New Roman" w:hAnsi="Times New Roman"/>
        </w:rPr>
        <w:t xml:space="preserve"> do not require nor involve any statistical surveys.</w:t>
      </w:r>
    </w:p>
    <w:p w:rsidR="00A87364" w:rsidRDefault="00A87364" w14:paraId="4C2D34B5"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A87364" w:rsidRDefault="00A87364" w14:paraId="7D4BDECA"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9831BE">
        <w:rPr>
          <w:rFonts w:ascii="Times New Roman" w:hAnsi="Times New Roman"/>
        </w:rPr>
        <w:t>s</w:t>
      </w:r>
      <w:r>
        <w:rPr>
          <w:rFonts w:ascii="Times New Roman" w:hAnsi="Times New Roman"/>
        </w:rPr>
        <w:t xml:space="preserve"> do not require nor involve the use of any statistical data classification.</w:t>
      </w:r>
    </w:p>
    <w:p w:rsidR="00A87364" w:rsidRDefault="00A87364" w14:paraId="62AEDFD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87364" w:rsidRDefault="00A87364" w14:paraId="69CD5F9E"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9831BE">
        <w:rPr>
          <w:rFonts w:ascii="Times New Roman" w:hAnsi="Times New Roman"/>
        </w:rPr>
        <w:t>s</w:t>
      </w:r>
      <w:r>
        <w:rPr>
          <w:rFonts w:ascii="Times New Roman" w:hAnsi="Times New Roman"/>
        </w:rPr>
        <w:t xml:space="preserve"> do not require a pledge of confidentiality.</w:t>
      </w:r>
    </w:p>
    <w:p w:rsidR="00A87364" w:rsidRDefault="00A87364" w14:paraId="06DA128F"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9C0491" w:rsidP="009C0491" w:rsidRDefault="003611EA" w14:paraId="7706A979" w14:textId="77777777">
      <w:pPr>
        <w:tabs>
          <w:tab w:val="left" w:pos="-720"/>
        </w:tabs>
        <w:spacing w:after="240"/>
        <w:jc w:val="both"/>
        <w:rPr>
          <w:rFonts w:ascii="Times New Roman" w:hAnsi="Times New Roman"/>
        </w:rPr>
      </w:pPr>
      <w:r w:rsidRPr="00D320F0">
        <w:rPr>
          <w:rFonts w:ascii="Times New Roman" w:hAnsi="Times New Roman"/>
        </w:rPr>
        <w:t xml:space="preserve">The </w:t>
      </w:r>
      <w:r>
        <w:rPr>
          <w:rFonts w:ascii="Times New Roman" w:hAnsi="Times New Roman"/>
        </w:rPr>
        <w:t>Commission</w:t>
      </w:r>
      <w:r w:rsidRPr="00D320F0">
        <w:rPr>
          <w:rFonts w:ascii="Times New Roman" w:hAnsi="Times New Roman"/>
        </w:rPr>
        <w:t xml:space="preserve"> has procedures to protect the confidentiality of a respondent’s information. These are set forth in </w:t>
      </w:r>
      <w:r>
        <w:rPr>
          <w:rFonts w:ascii="Times New Roman" w:hAnsi="Times New Roman"/>
        </w:rPr>
        <w:t>the Commission’s regulations at part 145 of Title 17 of the Code of Federal Regulations</w:t>
      </w:r>
      <w:r w:rsidR="009C0491">
        <w:rPr>
          <w:rFonts w:ascii="Times New Roman" w:hAnsi="Times New Roman"/>
        </w:rPr>
        <w:t>.</w:t>
      </w:r>
    </w:p>
    <w:p w:rsidR="00A87364" w:rsidRDefault="00A87364" w14:paraId="55A089A2"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proofErr w:type="gramStart"/>
      <w:r>
        <w:rPr>
          <w:rFonts w:ascii="Times New Roman" w:hAnsi="Times New Roman"/>
          <w:b/>
        </w:rPr>
        <w:t>publication</w:t>
      </w:r>
      <w:proofErr w:type="gramEnd"/>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5324" w:rsidP="002807BA" w:rsidRDefault="00A87364" w14:paraId="0ACCDD4D" w14:textId="77777777">
      <w:pPr>
        <w:pStyle w:val="TOC6"/>
        <w:tabs>
          <w:tab w:val="clear" w:pos="9360"/>
          <w:tab w:val="left" w:pos="-720"/>
          <w:tab w:val="left" w:pos="0"/>
        </w:tabs>
        <w:suppressAutoHyphens w:val="0"/>
        <w:spacing w:after="240"/>
        <w:ind w:firstLine="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32416" w:rsidR="00DC161E" w:rsidP="00DC161E" w:rsidRDefault="00DC161E" w14:paraId="70529774" w14:textId="44DCD738">
      <w:pPr>
        <w:pStyle w:val="TOC6"/>
        <w:tabs>
          <w:tab w:val="clear" w:pos="9360"/>
          <w:tab w:val="left" w:pos="-720"/>
          <w:tab w:val="left" w:pos="0"/>
        </w:tabs>
        <w:suppressAutoHyphens w:val="0"/>
        <w:spacing w:after="240"/>
        <w:ind w:left="0" w:firstLine="0"/>
        <w:rPr>
          <w:rFonts w:ascii="Times New Roman" w:hAnsi="Times New Roman"/>
        </w:rPr>
      </w:pPr>
      <w:r>
        <w:rPr>
          <w:rFonts w:ascii="Times New Roman" w:hAnsi="Times New Roman"/>
        </w:rPr>
        <w:t>T</w:t>
      </w:r>
      <w:r w:rsidRPr="00C07D6F">
        <w:rPr>
          <w:rFonts w:ascii="Times New Roman" w:hAnsi="Times New Roman"/>
        </w:rPr>
        <w:t xml:space="preserve">he Commission published a </w:t>
      </w:r>
      <w:r w:rsidRPr="00C07D6F">
        <w:rPr>
          <w:rFonts w:ascii="Times New Roman" w:hAnsi="Times New Roman"/>
          <w:i/>
        </w:rPr>
        <w:t>Notice of Intent to Extend Collection 3038-0</w:t>
      </w:r>
      <w:r>
        <w:rPr>
          <w:rFonts w:ascii="Times New Roman" w:hAnsi="Times New Roman"/>
          <w:i/>
        </w:rPr>
        <w:t>080</w:t>
      </w:r>
      <w:r w:rsidRPr="00C07D6F">
        <w:rPr>
          <w:rFonts w:ascii="Times New Roman" w:hAnsi="Times New Roman"/>
          <w:i/>
        </w:rPr>
        <w:t xml:space="preserve">:  </w:t>
      </w:r>
      <w:r w:rsidRPr="00DC161E">
        <w:rPr>
          <w:rFonts w:ascii="Times New Roman" w:hAnsi="Times New Roman"/>
          <w:i/>
        </w:rPr>
        <w:t>Annual Report for Chief Compliance Officer of Registrants</w:t>
      </w:r>
      <w:r w:rsidRPr="00C07D6F">
        <w:rPr>
          <w:rFonts w:ascii="Times New Roman" w:hAnsi="Times New Roman"/>
        </w:rPr>
        <w:t xml:space="preserve">.  </w:t>
      </w:r>
      <w:r w:rsidRPr="00B64DF8">
        <w:rPr>
          <w:rFonts w:ascii="Times New Roman" w:hAnsi="Times New Roman"/>
          <w:i/>
        </w:rPr>
        <w:t>See</w:t>
      </w:r>
      <w:r w:rsidRPr="00C07D6F">
        <w:rPr>
          <w:rFonts w:ascii="Times New Roman" w:hAnsi="Times New Roman"/>
        </w:rPr>
        <w:t xml:space="preserve"> </w:t>
      </w:r>
      <w:r w:rsidR="00FC6C57">
        <w:rPr>
          <w:rFonts w:ascii="Times New Roman" w:hAnsi="Times New Roman"/>
        </w:rPr>
        <w:t>87</w:t>
      </w:r>
      <w:r>
        <w:rPr>
          <w:rFonts w:ascii="Times New Roman" w:hAnsi="Times New Roman"/>
        </w:rPr>
        <w:t xml:space="preserve"> </w:t>
      </w:r>
      <w:r w:rsidRPr="00C07D6F">
        <w:rPr>
          <w:rFonts w:ascii="Times New Roman" w:hAnsi="Times New Roman"/>
        </w:rPr>
        <w:t xml:space="preserve">FR </w:t>
      </w:r>
      <w:r w:rsidR="00FC6C57">
        <w:rPr>
          <w:rFonts w:ascii="Times New Roman" w:hAnsi="Times New Roman"/>
        </w:rPr>
        <w:t>24535</w:t>
      </w:r>
      <w:r w:rsidRPr="00C07D6F">
        <w:rPr>
          <w:rFonts w:ascii="Times New Roman" w:hAnsi="Times New Roman"/>
        </w:rPr>
        <w:t xml:space="preserve"> (</w:t>
      </w:r>
      <w:r w:rsidR="00FC6C57">
        <w:rPr>
          <w:rFonts w:ascii="Times New Roman" w:hAnsi="Times New Roman"/>
        </w:rPr>
        <w:t>April 26</w:t>
      </w:r>
      <w:r>
        <w:rPr>
          <w:rFonts w:ascii="Times New Roman" w:hAnsi="Times New Roman"/>
        </w:rPr>
        <w:t xml:space="preserve">, </w:t>
      </w:r>
      <w:r w:rsidR="00FC6C57">
        <w:rPr>
          <w:rFonts w:ascii="Times New Roman" w:hAnsi="Times New Roman"/>
        </w:rPr>
        <w:t>2022</w:t>
      </w:r>
      <w:r w:rsidRPr="00C07D6F">
        <w:rPr>
          <w:rFonts w:ascii="Times New Roman" w:hAnsi="Times New Roman"/>
        </w:rPr>
        <w:t xml:space="preserve">).  The notice provided a 60-day period during which the public was invited to comment on the information collection and the burdens imposed by it.  </w:t>
      </w:r>
      <w:r>
        <w:rPr>
          <w:rFonts w:ascii="Times New Roman" w:hAnsi="Times New Roman"/>
        </w:rPr>
        <w:t xml:space="preserve">The Commission did not receive any relevant comments on the 60-day Federal Register notice. </w:t>
      </w:r>
    </w:p>
    <w:p w:rsidR="00440F6F" w:rsidP="00440F6F" w:rsidRDefault="00440F6F" w14:paraId="2B893E18" w14:textId="77777777">
      <w:pPr>
        <w:pStyle w:val="TOC6"/>
        <w:tabs>
          <w:tab w:val="clear" w:pos="9360"/>
          <w:tab w:val="left" w:pos="-720"/>
          <w:tab w:val="left" w:pos="0"/>
        </w:tabs>
        <w:suppressAutoHyphens w:val="0"/>
        <w:spacing w:after="240"/>
        <w:ind w:left="0" w:firstLine="0"/>
        <w:jc w:val="both"/>
        <w:rPr>
          <w:rFonts w:ascii="Times New Roman" w:hAnsi="Times New Roman"/>
          <w:szCs w:val="24"/>
        </w:rPr>
      </w:pPr>
    </w:p>
    <w:p w:rsidR="00A87364" w:rsidRDefault="00A87364" w14:paraId="4B1FE96C" w14:textId="77777777">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87364" w:rsidRDefault="00A87364" w14:paraId="224AB1BF" w14:textId="77777777">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A87364" w:rsidRDefault="00A87364" w14:paraId="2691BA3D"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A87364" w:rsidRDefault="00A87364" w14:paraId="3FA2856F" w14:textId="77777777">
      <w:pPr>
        <w:tabs>
          <w:tab w:val="left" w:pos="-720"/>
        </w:tabs>
        <w:spacing w:after="240"/>
        <w:jc w:val="both"/>
        <w:rPr>
          <w:rFonts w:ascii="Times New Roman" w:hAnsi="Times New Roman"/>
        </w:rPr>
      </w:pPr>
      <w:r>
        <w:rPr>
          <w:rFonts w:ascii="Times New Roman" w:hAnsi="Times New Roman"/>
        </w:rPr>
        <w:t>This question does not apply.   No such decision was made.</w:t>
      </w:r>
    </w:p>
    <w:p w:rsidR="00A87364" w:rsidRDefault="00A87364" w14:paraId="58E5D3E8"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A87364" w:rsidRDefault="003611EA" w14:paraId="03FF4A4B" w14:textId="77777777">
      <w:pPr>
        <w:tabs>
          <w:tab w:val="left" w:pos="-720"/>
          <w:tab w:val="left" w:pos="0"/>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xml:space="preserve">”  The Commission has procedures to protect the confidentiality of a respondent’s </w:t>
      </w:r>
      <w:proofErr w:type="gramStart"/>
      <w:r>
        <w:rPr>
          <w:rFonts w:ascii="Times New Roman" w:hAnsi="Times New Roman"/>
        </w:rPr>
        <w:t>data</w:t>
      </w:r>
      <w:r w:rsidR="00C77104">
        <w:rPr>
          <w:rFonts w:ascii="Times New Roman" w:hAnsi="Times New Roman"/>
        </w:rPr>
        <w:t xml:space="preserve"> </w:t>
      </w:r>
      <w:r>
        <w:rPr>
          <w:rFonts w:ascii="Times New Roman" w:hAnsi="Times New Roman"/>
        </w:rPr>
        <w:t xml:space="preserve"> set</w:t>
      </w:r>
      <w:proofErr w:type="gramEnd"/>
      <w:r>
        <w:rPr>
          <w:rFonts w:ascii="Times New Roman" w:hAnsi="Times New Roman"/>
        </w:rPr>
        <w:t xml:space="preserve"> forth in part 145 of the Code of Federal Regulations.</w:t>
      </w:r>
    </w:p>
    <w:p w:rsidR="00A87364" w:rsidRDefault="00A87364" w14:paraId="73D1DF02"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7364" w:rsidRDefault="00A87364" w14:paraId="55653FAB" w14:textId="77777777">
      <w:pPr>
        <w:tabs>
          <w:tab w:val="left" w:pos="-720"/>
        </w:tabs>
        <w:spacing w:after="240"/>
        <w:jc w:val="both"/>
        <w:rPr>
          <w:rFonts w:ascii="Times New Roman" w:hAnsi="Times New Roman"/>
        </w:rPr>
      </w:pPr>
      <w:r>
        <w:rPr>
          <w:rFonts w:ascii="Times New Roman" w:hAnsi="Times New Roman"/>
        </w:rPr>
        <w:t xml:space="preserve">This question does not apply.  The regulations do not request </w:t>
      </w:r>
      <w:r w:rsidR="00E3480D">
        <w:rPr>
          <w:rFonts w:ascii="Times New Roman" w:hAnsi="Times New Roman"/>
        </w:rPr>
        <w:t>n</w:t>
      </w:r>
      <w:r>
        <w:rPr>
          <w:rFonts w:ascii="Times New Roman" w:hAnsi="Times New Roman"/>
        </w:rPr>
        <w:t>or require the provision of sensitive information, as that term is used in question 11.</w:t>
      </w:r>
    </w:p>
    <w:p w:rsidR="00A87364" w:rsidRDefault="00A87364" w14:paraId="28486B59"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A87364" w:rsidRDefault="00A87364" w14:paraId="7D4B023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7364" w:rsidRDefault="00A87364" w14:paraId="41A09308"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If the request for approval covers more than one form, provide separate hour burden estimates for each form and aggregate the hour burdens in Item 13 of OMB Form 83-I.</w:t>
      </w:r>
    </w:p>
    <w:p w:rsidR="00A87364" w:rsidRDefault="00A87364" w14:paraId="4835636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87364" w:rsidRDefault="00A87364" w14:paraId="43339440" w14:textId="77777777">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rsidR="00A87364" w:rsidRDefault="00A87364" w14:paraId="2CCB44AD" w14:textId="77777777">
      <w:pPr>
        <w:pStyle w:val="PlainText"/>
        <w:jc w:val="both"/>
        <w:rPr>
          <w:rFonts w:ascii="Times New Roman" w:hAnsi="Times New Roman"/>
          <w:color w:val="auto"/>
          <w:sz w:val="24"/>
          <w:szCs w:val="24"/>
        </w:rPr>
      </w:pPr>
    </w:p>
    <w:p w:rsidR="00A87364" w:rsidRDefault="00A87364" w14:paraId="0D166A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Pr>
          <w:rFonts w:ascii="Times New Roman" w:hAnsi="Times New Roman"/>
          <w:szCs w:val="20"/>
        </w:rPr>
        <w:t>As delineated below, the hour burden, per respondent, associated with the regulation</w:t>
      </w:r>
      <w:r w:rsidR="00E3480D">
        <w:rPr>
          <w:rFonts w:ascii="Times New Roman" w:hAnsi="Times New Roman"/>
          <w:szCs w:val="20"/>
        </w:rPr>
        <w:t>s</w:t>
      </w:r>
      <w:r>
        <w:rPr>
          <w:rFonts w:ascii="Times New Roman" w:hAnsi="Times New Roman"/>
          <w:szCs w:val="20"/>
        </w:rPr>
        <w:t xml:space="preserve">, is estimated to </w:t>
      </w:r>
      <w:r w:rsidRPr="00ED40C1">
        <w:rPr>
          <w:rFonts w:ascii="Times New Roman" w:hAnsi="Times New Roman"/>
          <w:szCs w:val="20"/>
        </w:rPr>
        <w:t xml:space="preserve">be </w:t>
      </w:r>
      <w:r w:rsidRPr="00ED40C1" w:rsidR="00ED40C1">
        <w:rPr>
          <w:rFonts w:ascii="Times New Roman" w:hAnsi="Times New Roman"/>
          <w:szCs w:val="20"/>
        </w:rPr>
        <w:t xml:space="preserve">1,006 </w:t>
      </w:r>
      <w:r w:rsidRPr="00ED40C1">
        <w:rPr>
          <w:rFonts w:ascii="Times New Roman" w:hAnsi="Times New Roman"/>
          <w:szCs w:val="20"/>
        </w:rPr>
        <w:t>hours, at a cost of $</w:t>
      </w:r>
      <w:r w:rsidRPr="00ED40C1" w:rsidR="00ED40C1">
        <w:rPr>
          <w:rFonts w:ascii="Times New Roman" w:hAnsi="Times New Roman"/>
          <w:szCs w:val="20"/>
        </w:rPr>
        <w:t xml:space="preserve">100,600 </w:t>
      </w:r>
      <w:r w:rsidRPr="00ED40C1">
        <w:rPr>
          <w:rFonts w:ascii="Times New Roman" w:hAnsi="Times New Roman"/>
          <w:szCs w:val="20"/>
        </w:rPr>
        <w:t>annually</w:t>
      </w:r>
      <w:r>
        <w:rPr>
          <w:rFonts w:ascii="Times New Roman" w:hAnsi="Times New Roman"/>
          <w:szCs w:val="20"/>
        </w:rPr>
        <w:t xml:space="preserve">.  This burden would result from the requirements that the respondent:  (1) prepare and file a Form 8-R designating its chief compliance officer; (2) draft and maintain various policies and procedures; (3) prepare and furnish to the Commission an annual report that </w:t>
      </w:r>
      <w:r w:rsidR="00E3480D">
        <w:rPr>
          <w:rFonts w:ascii="Times New Roman" w:hAnsi="Times New Roman"/>
          <w:szCs w:val="20"/>
        </w:rPr>
        <w:t xml:space="preserve">contains a description of </w:t>
      </w:r>
      <w:r>
        <w:rPr>
          <w:rFonts w:ascii="Times New Roman" w:hAnsi="Times New Roman"/>
          <w:szCs w:val="20"/>
        </w:rPr>
        <w:t xml:space="preserve">the respondent’s </w:t>
      </w:r>
      <w:r w:rsidR="00E3480D">
        <w:rPr>
          <w:rFonts w:ascii="Times New Roman" w:hAnsi="Times New Roman"/>
          <w:szCs w:val="20"/>
        </w:rPr>
        <w:t xml:space="preserve">written policies and procedures; identifies those that are reasonably designed to ensure compliance with the requirements of the </w:t>
      </w:r>
      <w:r>
        <w:rPr>
          <w:rFonts w:ascii="Times New Roman" w:hAnsi="Times New Roman"/>
          <w:szCs w:val="20"/>
        </w:rPr>
        <w:t>CEA</w:t>
      </w:r>
      <w:r w:rsidR="003C6690">
        <w:rPr>
          <w:rFonts w:ascii="Times New Roman" w:hAnsi="Times New Roman"/>
          <w:szCs w:val="20"/>
        </w:rPr>
        <w:t xml:space="preserve"> and relevant Commission regulations and</w:t>
      </w:r>
      <w:r w:rsidR="00E3480D">
        <w:rPr>
          <w:rFonts w:ascii="Times New Roman" w:hAnsi="Times New Roman"/>
          <w:szCs w:val="20"/>
        </w:rPr>
        <w:t xml:space="preserve"> sections 619 and 716 of the Dodd-Frank Act as well material changes made t</w:t>
      </w:r>
      <w:r w:rsidR="003C6690">
        <w:rPr>
          <w:rFonts w:ascii="Times New Roman" w:hAnsi="Times New Roman"/>
          <w:szCs w:val="20"/>
        </w:rPr>
        <w:t xml:space="preserve">o the policies and procedures </w:t>
      </w:r>
      <w:r w:rsidR="00E3480D">
        <w:rPr>
          <w:rFonts w:ascii="Times New Roman" w:hAnsi="Times New Roman"/>
          <w:szCs w:val="20"/>
        </w:rPr>
        <w:t>during the coverage period;</w:t>
      </w:r>
      <w:r>
        <w:rPr>
          <w:rFonts w:ascii="Times New Roman" w:hAnsi="Times New Roman"/>
          <w:szCs w:val="20"/>
        </w:rPr>
        <w:t xml:space="preserve"> </w:t>
      </w:r>
      <w:r w:rsidR="00E3480D">
        <w:rPr>
          <w:rFonts w:ascii="Times New Roman" w:hAnsi="Times New Roman"/>
          <w:szCs w:val="20"/>
        </w:rPr>
        <w:t xml:space="preserve">provides an assessment as to their effectiveness, makes </w:t>
      </w:r>
      <w:r>
        <w:rPr>
          <w:rFonts w:ascii="Times New Roman" w:hAnsi="Times New Roman"/>
          <w:szCs w:val="20"/>
        </w:rPr>
        <w:t>recommendations for improvement</w:t>
      </w:r>
      <w:r w:rsidR="003C6690">
        <w:rPr>
          <w:rFonts w:ascii="Times New Roman" w:hAnsi="Times New Roman"/>
          <w:szCs w:val="20"/>
        </w:rPr>
        <w:t>s</w:t>
      </w:r>
      <w:r w:rsidR="00E3480D">
        <w:rPr>
          <w:rFonts w:ascii="Times New Roman" w:hAnsi="Times New Roman"/>
          <w:szCs w:val="20"/>
        </w:rPr>
        <w:t>;</w:t>
      </w:r>
      <w:r>
        <w:rPr>
          <w:rFonts w:ascii="Times New Roman" w:hAnsi="Times New Roman"/>
          <w:szCs w:val="20"/>
        </w:rPr>
        <w:t xml:space="preserve"> </w:t>
      </w:r>
      <w:r w:rsidR="00E3480D">
        <w:rPr>
          <w:rFonts w:ascii="Times New Roman" w:hAnsi="Times New Roman"/>
          <w:szCs w:val="20"/>
        </w:rPr>
        <w:t>describes the respondent’s compliance resources</w:t>
      </w:r>
      <w:r w:rsidR="00905324">
        <w:rPr>
          <w:rFonts w:ascii="Times New Roman" w:hAnsi="Times New Roman"/>
          <w:szCs w:val="20"/>
        </w:rPr>
        <w:t>,</w:t>
      </w:r>
      <w:r w:rsidR="00E3480D">
        <w:rPr>
          <w:rFonts w:ascii="Times New Roman" w:hAnsi="Times New Roman"/>
          <w:szCs w:val="20"/>
        </w:rPr>
        <w:t xml:space="preserve"> </w:t>
      </w:r>
      <w:r>
        <w:rPr>
          <w:rFonts w:ascii="Times New Roman" w:hAnsi="Times New Roman"/>
          <w:szCs w:val="20"/>
        </w:rPr>
        <w:t>and descri</w:t>
      </w:r>
      <w:r w:rsidR="001D7A5F">
        <w:rPr>
          <w:rFonts w:ascii="Times New Roman" w:hAnsi="Times New Roman"/>
          <w:szCs w:val="20"/>
        </w:rPr>
        <w:t>bes</w:t>
      </w:r>
      <w:r>
        <w:rPr>
          <w:rFonts w:ascii="Times New Roman" w:hAnsi="Times New Roman"/>
          <w:szCs w:val="20"/>
        </w:rPr>
        <w:t xml:space="preserve"> identified</w:t>
      </w:r>
      <w:r w:rsidR="001D7A5F">
        <w:rPr>
          <w:rFonts w:ascii="Times New Roman" w:hAnsi="Times New Roman"/>
          <w:szCs w:val="20"/>
        </w:rPr>
        <w:t xml:space="preserve"> material</w:t>
      </w:r>
      <w:r>
        <w:rPr>
          <w:rFonts w:ascii="Times New Roman" w:hAnsi="Times New Roman"/>
          <w:szCs w:val="20"/>
        </w:rPr>
        <w:t xml:space="preserve"> noncompliance issues</w:t>
      </w:r>
      <w:r w:rsidR="001D7A5F">
        <w:rPr>
          <w:rFonts w:ascii="Times New Roman" w:hAnsi="Times New Roman"/>
          <w:szCs w:val="20"/>
        </w:rPr>
        <w:t xml:space="preserve"> and the</w:t>
      </w:r>
      <w:r w:rsidR="003C6690">
        <w:rPr>
          <w:rFonts w:ascii="Times New Roman" w:hAnsi="Times New Roman"/>
          <w:szCs w:val="20"/>
        </w:rPr>
        <w:t xml:space="preserve"> related</w:t>
      </w:r>
      <w:r w:rsidR="001D7A5F">
        <w:rPr>
          <w:rFonts w:ascii="Times New Roman" w:hAnsi="Times New Roman"/>
          <w:szCs w:val="20"/>
        </w:rPr>
        <w:t xml:space="preserve"> actions taken</w:t>
      </w:r>
      <w:r>
        <w:rPr>
          <w:rFonts w:ascii="Times New Roman" w:hAnsi="Times New Roman"/>
          <w:szCs w:val="20"/>
        </w:rPr>
        <w:t>; (4) amend a previously furnished annual report when material errors or omissions are identified; and (5) maintain records related to respondent’s compliance policies and annual reports.</w:t>
      </w:r>
      <w:r>
        <w:rPr>
          <w:rFonts w:ascii="Times New Roman" w:hAnsi="Times New Roman"/>
          <w:szCs w:val="20"/>
        </w:rPr>
        <w:tab/>
      </w:r>
    </w:p>
    <w:p w:rsidR="00A87364" w:rsidRDefault="00A87364" w14:paraId="2FF240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B2750A" w14:paraId="7B956739" w14:textId="67396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sidRPr="00B2750A">
        <w:rPr>
          <w:rFonts w:ascii="Times New Roman" w:hAnsi="Times New Roman"/>
          <w:szCs w:val="20"/>
        </w:rPr>
        <w:t xml:space="preserve">In light of the </w:t>
      </w:r>
      <w:r w:rsidR="00DD102C">
        <w:rPr>
          <w:rFonts w:ascii="Times New Roman" w:hAnsi="Times New Roman"/>
          <w:szCs w:val="20"/>
        </w:rPr>
        <w:t>current</w:t>
      </w:r>
      <w:r w:rsidRPr="00B2750A">
        <w:rPr>
          <w:rFonts w:ascii="Times New Roman" w:hAnsi="Times New Roman"/>
          <w:szCs w:val="20"/>
        </w:rPr>
        <w:t xml:space="preserve"> number of Commission-registered </w:t>
      </w:r>
      <w:r w:rsidR="00DD102C">
        <w:rPr>
          <w:rFonts w:ascii="Times New Roman" w:hAnsi="Times New Roman"/>
        </w:rPr>
        <w:t>swap dealers, major swap participants, and futures commission merchants</w:t>
      </w:r>
      <w:r>
        <w:rPr>
          <w:rFonts w:ascii="Times New Roman" w:hAnsi="Times New Roman"/>
          <w:szCs w:val="20"/>
        </w:rPr>
        <w:t xml:space="preserve">, </w:t>
      </w:r>
      <w:r w:rsidR="00652F29">
        <w:rPr>
          <w:rFonts w:ascii="Times New Roman" w:hAnsi="Times New Roman"/>
          <w:szCs w:val="20"/>
        </w:rPr>
        <w:t xml:space="preserve">the Commission is adjusting </w:t>
      </w:r>
      <w:r w:rsidR="00A87364">
        <w:rPr>
          <w:rFonts w:ascii="Times New Roman" w:hAnsi="Times New Roman"/>
          <w:szCs w:val="20"/>
        </w:rPr>
        <w:t xml:space="preserve">the total number of respondents </w:t>
      </w:r>
      <w:r w:rsidR="001D7A5F">
        <w:rPr>
          <w:rFonts w:ascii="Times New Roman" w:hAnsi="Times New Roman"/>
          <w:szCs w:val="20"/>
        </w:rPr>
        <w:t>(combined swap dealers, major swap participants</w:t>
      </w:r>
      <w:r>
        <w:rPr>
          <w:rFonts w:ascii="Times New Roman" w:hAnsi="Times New Roman"/>
          <w:szCs w:val="20"/>
        </w:rPr>
        <w:t>,</w:t>
      </w:r>
      <w:r w:rsidR="001D7A5F">
        <w:rPr>
          <w:rFonts w:ascii="Times New Roman" w:hAnsi="Times New Roman"/>
          <w:szCs w:val="20"/>
        </w:rPr>
        <w:t xml:space="preserve"> and futures commission merchants)</w:t>
      </w:r>
      <w:r w:rsidR="00652F29">
        <w:rPr>
          <w:rFonts w:ascii="Times New Roman" w:hAnsi="Times New Roman"/>
          <w:szCs w:val="20"/>
        </w:rPr>
        <w:t>.  The new total number of respondents</w:t>
      </w:r>
      <w:r w:rsidR="001D7A5F">
        <w:rPr>
          <w:rFonts w:ascii="Times New Roman" w:hAnsi="Times New Roman"/>
          <w:szCs w:val="20"/>
        </w:rPr>
        <w:t xml:space="preserve"> </w:t>
      </w:r>
      <w:r w:rsidR="00A87364">
        <w:rPr>
          <w:rFonts w:ascii="Times New Roman" w:hAnsi="Times New Roman"/>
          <w:szCs w:val="20"/>
        </w:rPr>
        <w:t xml:space="preserve">is </w:t>
      </w:r>
      <w:r>
        <w:rPr>
          <w:rFonts w:ascii="Times New Roman" w:hAnsi="Times New Roman"/>
          <w:szCs w:val="20"/>
        </w:rPr>
        <w:t xml:space="preserve">estimated </w:t>
      </w:r>
      <w:r w:rsidR="00A87364">
        <w:rPr>
          <w:rFonts w:ascii="Times New Roman" w:hAnsi="Times New Roman"/>
          <w:szCs w:val="20"/>
        </w:rPr>
        <w:t xml:space="preserve">to be </w:t>
      </w:r>
      <w:r w:rsidR="009E0760">
        <w:rPr>
          <w:rFonts w:ascii="Times New Roman" w:hAnsi="Times New Roman"/>
          <w:szCs w:val="20"/>
        </w:rPr>
        <w:t xml:space="preserve">166 </w:t>
      </w:r>
      <w:r w:rsidR="00A87364">
        <w:rPr>
          <w:rFonts w:ascii="Times New Roman" w:hAnsi="Times New Roman"/>
          <w:szCs w:val="20"/>
        </w:rPr>
        <w:t xml:space="preserve">and the aggregate hour burdens set forth below are based upon that expectation.  The burden hours are not anticipated to vary widely among respondents.  </w:t>
      </w:r>
    </w:p>
    <w:p w:rsidR="00A87364" w:rsidRDefault="00A87364" w14:paraId="2DA5E4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p>
    <w:p w:rsidR="00B2750A" w:rsidP="00B2750A" w:rsidRDefault="00B2750A" w14:paraId="50315BE9" w14:textId="77777777">
      <w:pPr>
        <w:widowControl w:val="0"/>
        <w:jc w:val="both"/>
        <w:rPr>
          <w:rFonts w:ascii="Times New Roman" w:hAnsi="Times New Roman"/>
        </w:rPr>
      </w:pPr>
      <w:r>
        <w:rPr>
          <w:rFonts w:ascii="Times New Roman" w:hAnsi="Times New Roman"/>
        </w:rPr>
        <w:t xml:space="preserve">The annualized costs per affected registrant and in the aggregate were determined using an average salary of $100.00 per hour.  The Commission believes that this is an appropriate salary estimate for purposes of this regulation.  </w:t>
      </w:r>
    </w:p>
    <w:p w:rsidR="00B2750A" w:rsidP="00B2750A" w:rsidRDefault="00B2750A" w14:paraId="109FE77E" w14:textId="77777777">
      <w:pPr>
        <w:jc w:val="both"/>
        <w:rPr>
          <w:rFonts w:ascii="Times New Roman" w:hAnsi="Times New Roman"/>
        </w:rPr>
      </w:pPr>
    </w:p>
    <w:p w:rsidR="00A87364" w:rsidP="00FF38E3" w:rsidRDefault="0080025E" w14:paraId="61808B30" w14:textId="1D555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sidRPr="00495A26">
        <w:rPr>
          <w:rFonts w:ascii="Times New Roman" w:hAnsi="Times New Roman"/>
        </w:rPr>
        <w:t xml:space="preserve">In support of this determination, the Commission notes that the salary estimate is based upon May </w:t>
      </w:r>
      <w:r w:rsidR="00DC161E">
        <w:rPr>
          <w:rFonts w:ascii="Times New Roman" w:hAnsi="Times New Roman"/>
        </w:rPr>
        <w:t>2021</w:t>
      </w:r>
      <w:r w:rsidRPr="003765F9">
        <w:rPr>
          <w:rFonts w:ascii="Times New Roman" w:hAnsi="Times New Roman"/>
        </w:rPr>
        <w:t xml:space="preserve"> Bureau of Labor Statistics’ findings of National Occupation Employment and Wage </w:t>
      </w:r>
      <w:commentRangeStart w:id="2"/>
      <w:r w:rsidRPr="003765F9">
        <w:rPr>
          <w:rFonts w:ascii="Times New Roman" w:hAnsi="Times New Roman"/>
        </w:rPr>
        <w:t>Estimates</w:t>
      </w:r>
      <w:commentRangeEnd w:id="2"/>
      <w:r w:rsidR="00DC161E">
        <w:rPr>
          <w:rStyle w:val="CommentReference"/>
        </w:rPr>
        <w:commentReference w:id="2"/>
      </w:r>
      <w:r w:rsidRPr="003765F9">
        <w:rPr>
          <w:rFonts w:ascii="Times New Roman" w:hAnsi="Times New Roman"/>
        </w:rPr>
        <w:t>, United States</w:t>
      </w:r>
      <w:r w:rsidRPr="000E6DB4">
        <w:rPr>
          <w:rStyle w:val="FootnoteReference"/>
          <w:rFonts w:ascii="Times New Roman" w:hAnsi="Times New Roman"/>
        </w:rPr>
        <w:footnoteReference w:id="1"/>
      </w:r>
      <w:r w:rsidRPr="000E6DB4">
        <w:rPr>
          <w:rFonts w:ascii="Times New Roman" w:hAnsi="Times New Roman"/>
        </w:rPr>
        <w:t>, including the mean hourly wage of an employee under occupation code 23-1011, “Lawyers</w:t>
      </w:r>
      <w:r w:rsidRPr="00495A26">
        <w:rPr>
          <w:rFonts w:ascii="Times New Roman" w:hAnsi="Times New Roman"/>
        </w:rPr>
        <w:t>,” that is employed by the “Securities, Commodity Contracts, and Other Financial Investments and Related Activities Industry,” which is $</w:t>
      </w:r>
      <w:r w:rsidR="00DF301B">
        <w:rPr>
          <w:rFonts w:ascii="Times New Roman" w:hAnsi="Times New Roman"/>
        </w:rPr>
        <w:t>102,14</w:t>
      </w:r>
      <w:r w:rsidRPr="00495A26">
        <w:rPr>
          <w:rFonts w:ascii="Times New Roman" w:hAnsi="Times New Roman"/>
        </w:rPr>
        <w:t>; the mean hourly wage of an employee under occupation code 11-3031, “Financial Managers,” in the same industry, w</w:t>
      </w:r>
      <w:r w:rsidRPr="003765F9">
        <w:rPr>
          <w:rFonts w:ascii="Times New Roman" w:hAnsi="Times New Roman"/>
        </w:rPr>
        <w:t>hich is $</w:t>
      </w:r>
      <w:r w:rsidR="00464933">
        <w:rPr>
          <w:rFonts w:ascii="Times New Roman" w:hAnsi="Times New Roman"/>
        </w:rPr>
        <w:t>98.64</w:t>
      </w:r>
      <w:r w:rsidRPr="003765F9">
        <w:rPr>
          <w:rFonts w:ascii="Times New Roman" w:hAnsi="Times New Roman"/>
        </w:rPr>
        <w:t>; and the mean hourly wage of an employee under occupation code-13-1041, “Compliance Officers” in the same industry, which is $</w:t>
      </w:r>
      <w:r w:rsidR="00464933">
        <w:rPr>
          <w:rFonts w:ascii="Times New Roman" w:hAnsi="Times New Roman"/>
        </w:rPr>
        <w:t>44.59</w:t>
      </w:r>
      <w:r w:rsidRPr="003765F9">
        <w:rPr>
          <w:rFonts w:ascii="Times New Roman" w:hAnsi="Times New Roman"/>
        </w:rPr>
        <w:t xml:space="preserve">.  The Commission also notes that, </w:t>
      </w:r>
      <w:r w:rsidRPr="003765F9">
        <w:rPr>
          <w:rFonts w:ascii="Times New Roman" w:hAnsi="Times New Roman"/>
        </w:rPr>
        <w:lastRenderedPageBreak/>
        <w:t>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w:t>
      </w:r>
      <w:r>
        <w:rPr>
          <w:rFonts w:ascii="Times New Roman" w:hAnsi="Times New Roman"/>
        </w:rPr>
        <w:t xml:space="preserve"> Final Rule</w:t>
      </w:r>
      <w:r w:rsidRPr="00495A26">
        <w:rPr>
          <w:rFonts w:ascii="Times New Roman" w:hAnsi="Times New Roman"/>
        </w:rPr>
        <w:t xml:space="preserve">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sidR="001D7A5F">
        <w:rPr>
          <w:rFonts w:ascii="Times New Roman" w:hAnsi="Times New Roman"/>
          <w:szCs w:val="20"/>
        </w:rPr>
        <w:t xml:space="preserve"> </w:t>
      </w:r>
      <w:r w:rsidR="00A87364">
        <w:rPr>
          <w:rFonts w:ascii="Times New Roman" w:hAnsi="Times New Roman"/>
          <w:szCs w:val="20"/>
        </w:rPr>
        <w:tab/>
      </w:r>
    </w:p>
    <w:p w:rsidR="00A87364" w:rsidRDefault="00A87364" w14:paraId="1B6896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1650E3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Preparation and Filing of Form 8-R.</w:t>
      </w:r>
      <w:r>
        <w:rPr>
          <w:rFonts w:ascii="Times New Roman" w:hAnsi="Times New Roman"/>
          <w:i/>
          <w:szCs w:val="20"/>
          <w:u w:val="single"/>
        </w:rPr>
        <w:t xml:space="preserve"> </w:t>
      </w:r>
      <w:r>
        <w:rPr>
          <w:rFonts w:ascii="Times New Roman" w:hAnsi="Times New Roman"/>
          <w:szCs w:val="20"/>
        </w:rPr>
        <w:t xml:space="preserve">  It is estimated that each respondent would spend 1 hour preparing and filing a Form 8-R designating its chief compliance officer as a principal of the firm.  This generally would be a one-time burden that need be repeated only when a new chief compliance officer is named.</w:t>
      </w:r>
    </w:p>
    <w:p w:rsidR="00A87364" w:rsidRDefault="00A87364" w14:paraId="38277A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p>
    <w:p w:rsidR="00A87364" w:rsidRDefault="00A87364" w14:paraId="5D9196D2" w14:textId="6D6F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respondents:   </w:t>
      </w:r>
      <w:r w:rsidR="009E0760">
        <w:rPr>
          <w:rFonts w:ascii="Times New Roman" w:hAnsi="Times New Roman"/>
          <w:szCs w:val="20"/>
        </w:rPr>
        <w:t xml:space="preserve">166 </w:t>
      </w:r>
      <w:r>
        <w:rPr>
          <w:rFonts w:ascii="Times New Roman" w:hAnsi="Times New Roman"/>
          <w:szCs w:val="20"/>
        </w:rPr>
        <w:t>[total number of affected registrants]</w:t>
      </w:r>
    </w:p>
    <w:p w:rsidR="00A87364" w:rsidRDefault="00A87364" w14:paraId="3553D899" w14:textId="5A8D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number of responses:  </w:t>
      </w:r>
      <w:r w:rsidR="009E0760">
        <w:rPr>
          <w:rFonts w:ascii="Times New Roman" w:hAnsi="Times New Roman"/>
          <w:szCs w:val="20"/>
        </w:rPr>
        <w:t xml:space="preserve">166 </w:t>
      </w:r>
      <w:r>
        <w:rPr>
          <w:rFonts w:ascii="Times New Roman" w:hAnsi="Times New Roman"/>
          <w:szCs w:val="20"/>
        </w:rPr>
        <w:t>[1 per affected registrant]</w:t>
      </w:r>
    </w:p>
    <w:p w:rsidR="00A87364" w:rsidRDefault="00A87364" w14:paraId="6CA925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total burden on respondents:  1 hour per </w:t>
      </w:r>
      <w:r w:rsidR="00905324">
        <w:rPr>
          <w:rFonts w:ascii="Times New Roman" w:hAnsi="Times New Roman"/>
          <w:szCs w:val="20"/>
        </w:rPr>
        <w:t xml:space="preserve">affected </w:t>
      </w:r>
      <w:r>
        <w:rPr>
          <w:rFonts w:ascii="Times New Roman" w:hAnsi="Times New Roman"/>
          <w:szCs w:val="20"/>
        </w:rPr>
        <w:t xml:space="preserve">registrant </w:t>
      </w:r>
    </w:p>
    <w:p w:rsidR="00A87364" w:rsidRDefault="00A87364" w14:paraId="2FFF11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One initial collection and on occasion thereafter</w:t>
      </w:r>
    </w:p>
    <w:p w:rsidR="00A87364" w:rsidRDefault="00A87364" w14:paraId="674C7B4E" w14:textId="1DACD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reporting burden:    </w:t>
      </w:r>
      <w:r w:rsidR="009E0760">
        <w:rPr>
          <w:rFonts w:ascii="Times New Roman" w:hAnsi="Times New Roman"/>
          <w:szCs w:val="20"/>
        </w:rPr>
        <w:t xml:space="preserve">166 </w:t>
      </w:r>
      <w:r>
        <w:rPr>
          <w:rFonts w:ascii="Times New Roman" w:hAnsi="Times New Roman"/>
          <w:szCs w:val="20"/>
        </w:rPr>
        <w:t xml:space="preserve">respondents x 1.0 hours = </w:t>
      </w:r>
      <w:r w:rsidR="009E0760">
        <w:rPr>
          <w:rFonts w:ascii="Times New Roman" w:hAnsi="Times New Roman"/>
          <w:szCs w:val="20"/>
        </w:rPr>
        <w:t xml:space="preserve">166 </w:t>
      </w:r>
      <w:r>
        <w:rPr>
          <w:rFonts w:ascii="Times New Roman" w:hAnsi="Times New Roman"/>
          <w:szCs w:val="20"/>
        </w:rPr>
        <w:t>burden hours</w:t>
      </w:r>
    </w:p>
    <w:p w:rsidR="00A87364" w:rsidRDefault="00A87364" w14:paraId="7C2351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71EA3B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u w:val="single"/>
        </w:rPr>
        <w:t>Drafting and Updating Compliance Policies and Procedures.</w:t>
      </w:r>
      <w:r>
        <w:rPr>
          <w:rFonts w:ascii="Times New Roman" w:hAnsi="Times New Roman"/>
          <w:szCs w:val="20"/>
        </w:rPr>
        <w:t xml:space="preserve">  It is estimated that each respondent would spend </w:t>
      </w:r>
      <w:r w:rsidR="00780388">
        <w:rPr>
          <w:rFonts w:ascii="Times New Roman" w:hAnsi="Times New Roman"/>
          <w:szCs w:val="20"/>
        </w:rPr>
        <w:t>900</w:t>
      </w:r>
      <w:r>
        <w:rPr>
          <w:rFonts w:ascii="Times New Roman" w:hAnsi="Times New Roman"/>
          <w:szCs w:val="20"/>
        </w:rPr>
        <w:t xml:space="preserve"> hours annually in connection with the requirement that its chief compliance officer establish various compliance policies and procedures.  This estimate includes the time needed to review applicable laws and regulations; develop compliance policies and procedures; and consult with respondent’s board of directors or senior officer on compliance policies</w:t>
      </w:r>
      <w:r w:rsidR="00905324">
        <w:rPr>
          <w:rFonts w:ascii="Times New Roman" w:hAnsi="Times New Roman"/>
          <w:szCs w:val="20"/>
        </w:rPr>
        <w:t>.</w:t>
      </w:r>
    </w:p>
    <w:p w:rsidR="00905324" w:rsidRDefault="00905324" w14:paraId="42039D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1FBA521C" w14:textId="09FF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respondents:  </w:t>
      </w:r>
      <w:r w:rsidR="009E0760">
        <w:rPr>
          <w:rFonts w:ascii="Times New Roman" w:hAnsi="Times New Roman"/>
          <w:szCs w:val="20"/>
        </w:rPr>
        <w:t xml:space="preserve">166 </w:t>
      </w:r>
      <w:r>
        <w:rPr>
          <w:rFonts w:ascii="Times New Roman" w:hAnsi="Times New Roman"/>
          <w:szCs w:val="20"/>
        </w:rPr>
        <w:t>[total number of affected registrants]</w:t>
      </w:r>
    </w:p>
    <w:p w:rsidR="00A87364" w:rsidRDefault="00A87364" w14:paraId="49ECBFE8" w14:textId="1BFB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number of responses:   </w:t>
      </w:r>
      <w:r w:rsidR="009E0760">
        <w:rPr>
          <w:rFonts w:ascii="Times New Roman" w:hAnsi="Times New Roman"/>
          <w:szCs w:val="20"/>
        </w:rPr>
        <w:t xml:space="preserve">166 </w:t>
      </w:r>
      <w:r>
        <w:rPr>
          <w:rFonts w:ascii="Times New Roman" w:hAnsi="Times New Roman"/>
          <w:szCs w:val="20"/>
        </w:rPr>
        <w:t>[1 per year per affected registrant]</w:t>
      </w:r>
    </w:p>
    <w:p w:rsidR="00A87364" w:rsidRDefault="00A87364" w14:paraId="1A8B08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annual </w:t>
      </w:r>
      <w:r w:rsidR="00905324">
        <w:rPr>
          <w:rFonts w:ascii="Times New Roman" w:hAnsi="Times New Roman"/>
          <w:szCs w:val="20"/>
        </w:rPr>
        <w:t xml:space="preserve">hour </w:t>
      </w:r>
      <w:r>
        <w:rPr>
          <w:rFonts w:ascii="Times New Roman" w:hAnsi="Times New Roman"/>
          <w:szCs w:val="20"/>
        </w:rPr>
        <w:t xml:space="preserve">burden on respondents:  </w:t>
      </w:r>
      <w:r w:rsidR="00780388">
        <w:rPr>
          <w:rFonts w:ascii="Times New Roman" w:hAnsi="Times New Roman"/>
          <w:szCs w:val="20"/>
        </w:rPr>
        <w:t>900</w:t>
      </w:r>
      <w:r>
        <w:rPr>
          <w:rFonts w:ascii="Times New Roman" w:hAnsi="Times New Roman"/>
          <w:szCs w:val="20"/>
        </w:rPr>
        <w:t xml:space="preserve"> hours</w:t>
      </w:r>
      <w:r w:rsidR="00905324">
        <w:rPr>
          <w:rFonts w:ascii="Times New Roman" w:hAnsi="Times New Roman"/>
          <w:szCs w:val="20"/>
        </w:rPr>
        <w:t xml:space="preserve"> per affected registrant</w:t>
      </w:r>
    </w:p>
    <w:p w:rsidR="00A87364" w:rsidRDefault="00A87364" w14:paraId="62E1C6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Annually</w:t>
      </w:r>
    </w:p>
    <w:p w:rsidR="00A87364" w:rsidRDefault="00A87364" w14:paraId="0A8855D9" w14:textId="7D925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reporting burden:  </w:t>
      </w:r>
      <w:r w:rsidR="009E0760">
        <w:rPr>
          <w:rFonts w:ascii="Times New Roman" w:hAnsi="Times New Roman"/>
          <w:szCs w:val="20"/>
        </w:rPr>
        <w:t xml:space="preserve">166 </w:t>
      </w:r>
      <w:r>
        <w:rPr>
          <w:rFonts w:ascii="Times New Roman" w:hAnsi="Times New Roman"/>
          <w:szCs w:val="20"/>
        </w:rPr>
        <w:t xml:space="preserve">respondents x </w:t>
      </w:r>
      <w:r w:rsidR="00780388">
        <w:rPr>
          <w:rFonts w:ascii="Times New Roman" w:hAnsi="Times New Roman"/>
          <w:szCs w:val="20"/>
        </w:rPr>
        <w:t>900</w:t>
      </w:r>
      <w:r>
        <w:rPr>
          <w:rFonts w:ascii="Times New Roman" w:hAnsi="Times New Roman"/>
          <w:szCs w:val="20"/>
        </w:rPr>
        <w:t xml:space="preserve"> hours = </w:t>
      </w:r>
      <w:r w:rsidR="009E0760">
        <w:rPr>
          <w:rFonts w:ascii="Times New Roman" w:hAnsi="Times New Roman"/>
          <w:szCs w:val="20"/>
        </w:rPr>
        <w:t>149,400</w:t>
      </w:r>
      <w:r w:rsidR="007A1F84">
        <w:rPr>
          <w:rFonts w:ascii="Times New Roman" w:hAnsi="Times New Roman"/>
          <w:szCs w:val="20"/>
        </w:rPr>
        <w:t xml:space="preserve"> </w:t>
      </w:r>
      <w:r>
        <w:rPr>
          <w:rFonts w:ascii="Times New Roman" w:hAnsi="Times New Roman"/>
          <w:szCs w:val="20"/>
        </w:rPr>
        <w:t xml:space="preserve">burden hours </w:t>
      </w:r>
    </w:p>
    <w:p w:rsidR="00A87364" w:rsidRDefault="00A87364" w14:paraId="2B520E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p>
    <w:p w:rsidR="00A87364" w:rsidRDefault="00A87364" w14:paraId="05FB3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u w:val="single"/>
        </w:rPr>
        <w:t>Preparation and Furnishing Annual Report.</w:t>
      </w:r>
      <w:r>
        <w:rPr>
          <w:rFonts w:ascii="Times New Roman" w:hAnsi="Times New Roman"/>
          <w:szCs w:val="20"/>
        </w:rPr>
        <w:t xml:space="preserve">  It is estimated that each respondent will spend an additional </w:t>
      </w:r>
      <w:r w:rsidR="00780388">
        <w:rPr>
          <w:rFonts w:ascii="Times New Roman" w:hAnsi="Times New Roman"/>
          <w:szCs w:val="20"/>
        </w:rPr>
        <w:t xml:space="preserve">80 </w:t>
      </w:r>
      <w:r>
        <w:rPr>
          <w:rFonts w:ascii="Times New Roman" w:hAnsi="Times New Roman"/>
          <w:szCs w:val="20"/>
        </w:rPr>
        <w:t xml:space="preserve">hours drafting and submitting its annual compliance report.  This estimate includes the time needed to collect and analyze the information that underlies the contents of the annual report, to formulate recommendations to existing compliance policies, and to draft the report.  </w:t>
      </w:r>
    </w:p>
    <w:p w:rsidR="00A87364" w:rsidRDefault="00A87364" w14:paraId="107BF0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7DD86455" w14:textId="7355F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respondents:  </w:t>
      </w:r>
      <w:r w:rsidR="009E0760">
        <w:rPr>
          <w:rFonts w:ascii="Times New Roman" w:hAnsi="Times New Roman"/>
          <w:szCs w:val="20"/>
        </w:rPr>
        <w:t xml:space="preserve">166 </w:t>
      </w:r>
      <w:r>
        <w:rPr>
          <w:rFonts w:ascii="Times New Roman" w:hAnsi="Times New Roman"/>
          <w:szCs w:val="20"/>
        </w:rPr>
        <w:t>[total number of affected registrants]</w:t>
      </w:r>
    </w:p>
    <w:p w:rsidR="00A87364" w:rsidRDefault="00A87364" w14:paraId="718E15F3" w14:textId="44099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number of responses:    </w:t>
      </w:r>
      <w:r w:rsidR="009E0760">
        <w:rPr>
          <w:rFonts w:ascii="Times New Roman" w:hAnsi="Times New Roman"/>
          <w:szCs w:val="20"/>
        </w:rPr>
        <w:t xml:space="preserve">166 </w:t>
      </w:r>
      <w:r>
        <w:rPr>
          <w:rFonts w:ascii="Times New Roman" w:hAnsi="Times New Roman"/>
          <w:szCs w:val="20"/>
        </w:rPr>
        <w:t>[1 per year per affected registrant]</w:t>
      </w:r>
    </w:p>
    <w:p w:rsidR="00A87364" w:rsidRDefault="00A87364" w14:paraId="72ECFB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annual </w:t>
      </w:r>
      <w:r w:rsidR="00905324">
        <w:rPr>
          <w:rFonts w:ascii="Times New Roman" w:hAnsi="Times New Roman"/>
          <w:szCs w:val="20"/>
        </w:rPr>
        <w:t xml:space="preserve">hour </w:t>
      </w:r>
      <w:r>
        <w:rPr>
          <w:rFonts w:ascii="Times New Roman" w:hAnsi="Times New Roman"/>
          <w:szCs w:val="20"/>
        </w:rPr>
        <w:t xml:space="preserve">burden on respondents:  </w:t>
      </w:r>
      <w:r w:rsidR="00780388">
        <w:rPr>
          <w:rFonts w:ascii="Times New Roman" w:hAnsi="Times New Roman"/>
          <w:szCs w:val="20"/>
        </w:rPr>
        <w:t>80</w:t>
      </w:r>
      <w:r>
        <w:rPr>
          <w:rFonts w:ascii="Times New Roman" w:hAnsi="Times New Roman"/>
          <w:szCs w:val="20"/>
        </w:rPr>
        <w:t xml:space="preserve"> hours</w:t>
      </w:r>
      <w:r w:rsidR="00905324">
        <w:rPr>
          <w:rFonts w:ascii="Times New Roman" w:hAnsi="Times New Roman"/>
          <w:szCs w:val="20"/>
        </w:rPr>
        <w:t xml:space="preserve"> per affected registrant</w:t>
      </w:r>
    </w:p>
    <w:p w:rsidR="00A87364" w:rsidRDefault="00A87364" w14:paraId="08885A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Annually</w:t>
      </w:r>
    </w:p>
    <w:p w:rsidR="00A87364" w:rsidRDefault="00A87364" w14:paraId="71FE3622" w14:textId="562E9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lastRenderedPageBreak/>
        <w:t xml:space="preserve">Aggregate reporting burden:  </w:t>
      </w:r>
      <w:r w:rsidR="009E0760">
        <w:rPr>
          <w:rFonts w:ascii="Times New Roman" w:hAnsi="Times New Roman"/>
          <w:szCs w:val="20"/>
        </w:rPr>
        <w:t xml:space="preserve">166 </w:t>
      </w:r>
      <w:r>
        <w:rPr>
          <w:rFonts w:ascii="Times New Roman" w:hAnsi="Times New Roman"/>
          <w:szCs w:val="20"/>
        </w:rPr>
        <w:t xml:space="preserve">respondents x </w:t>
      </w:r>
      <w:r w:rsidR="00780388">
        <w:rPr>
          <w:rFonts w:ascii="Times New Roman" w:hAnsi="Times New Roman"/>
          <w:szCs w:val="20"/>
        </w:rPr>
        <w:t>80</w:t>
      </w:r>
      <w:r>
        <w:rPr>
          <w:rFonts w:ascii="Times New Roman" w:hAnsi="Times New Roman"/>
          <w:szCs w:val="20"/>
        </w:rPr>
        <w:t xml:space="preserve"> hours = </w:t>
      </w:r>
      <w:r w:rsidR="009E0760">
        <w:rPr>
          <w:rFonts w:ascii="Times New Roman" w:hAnsi="Times New Roman"/>
          <w:szCs w:val="20"/>
        </w:rPr>
        <w:t>13,280</w:t>
      </w:r>
      <w:r w:rsidR="007A1F84">
        <w:rPr>
          <w:rFonts w:ascii="Times New Roman" w:hAnsi="Times New Roman"/>
          <w:szCs w:val="20"/>
        </w:rPr>
        <w:t xml:space="preserve"> </w:t>
      </w:r>
      <w:r>
        <w:rPr>
          <w:rFonts w:ascii="Times New Roman" w:hAnsi="Times New Roman"/>
          <w:szCs w:val="20"/>
        </w:rPr>
        <w:t>burden hours</w:t>
      </w:r>
    </w:p>
    <w:p w:rsidR="00A87364" w:rsidRDefault="00A87364" w14:paraId="406FAC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173CE8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u w:val="single"/>
        </w:rPr>
        <w:t>Preparation and Furnishing Amended Annual Report.</w:t>
      </w:r>
      <w:r>
        <w:rPr>
          <w:rFonts w:ascii="Times New Roman" w:hAnsi="Times New Roman"/>
          <w:szCs w:val="20"/>
        </w:rPr>
        <w:t xml:space="preserve">  The Commission estimates that a respondent may spend an average of 5 hours annually amending and re-filing an annual report if material errors or omissions are found.  </w:t>
      </w:r>
    </w:p>
    <w:p w:rsidR="00A87364" w:rsidRDefault="00A87364" w14:paraId="16B474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p>
    <w:p w:rsidR="00A87364" w:rsidRDefault="00A87364" w14:paraId="23EBE530" w14:textId="53D9C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respondents:  </w:t>
      </w:r>
      <w:r w:rsidR="009E0760">
        <w:rPr>
          <w:rFonts w:ascii="Times New Roman" w:hAnsi="Times New Roman"/>
          <w:szCs w:val="20"/>
        </w:rPr>
        <w:t xml:space="preserve">166 </w:t>
      </w:r>
      <w:r>
        <w:rPr>
          <w:rFonts w:ascii="Times New Roman" w:hAnsi="Times New Roman"/>
          <w:szCs w:val="20"/>
        </w:rPr>
        <w:t>[total number of affected registrants]</w:t>
      </w:r>
    </w:p>
    <w:p w:rsidR="00A87364" w:rsidRDefault="00A87364" w14:paraId="2BC436F5" w14:textId="6465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number of responses:   </w:t>
      </w:r>
      <w:r w:rsidR="009E0760">
        <w:rPr>
          <w:rFonts w:ascii="Times New Roman" w:hAnsi="Times New Roman"/>
          <w:szCs w:val="20"/>
        </w:rPr>
        <w:t xml:space="preserve">166 </w:t>
      </w:r>
      <w:r>
        <w:rPr>
          <w:rFonts w:ascii="Times New Roman" w:hAnsi="Times New Roman"/>
          <w:szCs w:val="20"/>
        </w:rPr>
        <w:t>[1 or less per year per affected registrant]</w:t>
      </w:r>
    </w:p>
    <w:p w:rsidR="00A87364" w:rsidRDefault="00A87364" w14:paraId="217D2A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annual </w:t>
      </w:r>
      <w:r w:rsidR="00905324">
        <w:rPr>
          <w:rFonts w:ascii="Times New Roman" w:hAnsi="Times New Roman"/>
          <w:szCs w:val="20"/>
        </w:rPr>
        <w:t xml:space="preserve">hour </w:t>
      </w:r>
      <w:r>
        <w:rPr>
          <w:rFonts w:ascii="Times New Roman" w:hAnsi="Times New Roman"/>
          <w:szCs w:val="20"/>
        </w:rPr>
        <w:t>burden on respondents:  5 hours [annual average]</w:t>
      </w:r>
    </w:p>
    <w:p w:rsidR="00A87364" w:rsidRDefault="00A87364" w14:paraId="59D9ED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 [estimates based upon average annual collection burden]</w:t>
      </w:r>
    </w:p>
    <w:p w:rsidR="00A87364" w:rsidRDefault="00A87364" w14:paraId="1874A298" w14:textId="77CDB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reporting burden:  </w:t>
      </w:r>
      <w:r w:rsidR="009E0760">
        <w:rPr>
          <w:rFonts w:ascii="Times New Roman" w:hAnsi="Times New Roman"/>
          <w:szCs w:val="20"/>
        </w:rPr>
        <w:t xml:space="preserve">166 </w:t>
      </w:r>
      <w:r>
        <w:rPr>
          <w:rFonts w:ascii="Times New Roman" w:hAnsi="Times New Roman"/>
          <w:szCs w:val="20"/>
        </w:rPr>
        <w:t xml:space="preserve">respondents x 5 hours = </w:t>
      </w:r>
      <w:r w:rsidR="009E0760">
        <w:rPr>
          <w:rFonts w:ascii="Times New Roman" w:hAnsi="Times New Roman"/>
          <w:szCs w:val="20"/>
        </w:rPr>
        <w:t xml:space="preserve">830 </w:t>
      </w:r>
      <w:r>
        <w:rPr>
          <w:rFonts w:ascii="Times New Roman" w:hAnsi="Times New Roman"/>
          <w:szCs w:val="20"/>
        </w:rPr>
        <w:t>burden hours</w:t>
      </w:r>
    </w:p>
    <w:p w:rsidR="00A87364" w:rsidRDefault="00A87364" w14:paraId="4D8E5A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693158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u w:val="single"/>
        </w:rPr>
        <w:t>Recordkeeping Related to Compliance Policies and Annual Report.</w:t>
      </w:r>
      <w:r>
        <w:rPr>
          <w:rFonts w:ascii="Times New Roman" w:hAnsi="Times New Roman"/>
          <w:szCs w:val="20"/>
        </w:rPr>
        <w:t xml:space="preserve">    Each respondent is expected to spend </w:t>
      </w:r>
      <w:r w:rsidR="00905324">
        <w:rPr>
          <w:rFonts w:ascii="Times New Roman" w:hAnsi="Times New Roman"/>
          <w:szCs w:val="20"/>
        </w:rPr>
        <w:t>2</w:t>
      </w:r>
      <w:r>
        <w:rPr>
          <w:rFonts w:ascii="Times New Roman" w:hAnsi="Times New Roman"/>
          <w:szCs w:val="20"/>
        </w:rPr>
        <w:t>0 hours annually satisfying the record retention requirements of the rule.  This would include the time to be expended maintaining records of the firm’s compliance policies; compiling and indexing records relevant to the annual report; and maintaining reports and other materials furnished to the respondent’s board of directors or senior officer in connection with the review of the report.</w:t>
      </w:r>
    </w:p>
    <w:p w:rsidR="00A87364" w:rsidRDefault="00A87364" w14:paraId="251850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30CA12B1" w14:textId="299FF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respondents:  </w:t>
      </w:r>
      <w:r w:rsidR="009E0760">
        <w:rPr>
          <w:rFonts w:ascii="Times New Roman" w:hAnsi="Times New Roman"/>
          <w:szCs w:val="20"/>
        </w:rPr>
        <w:t xml:space="preserve">166 </w:t>
      </w:r>
      <w:r>
        <w:rPr>
          <w:rFonts w:ascii="Times New Roman" w:hAnsi="Times New Roman"/>
          <w:szCs w:val="20"/>
        </w:rPr>
        <w:t>[total number of registrants]</w:t>
      </w:r>
    </w:p>
    <w:p w:rsidR="00A87364" w:rsidRDefault="00A87364" w14:paraId="533BD96E" w14:textId="7870B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number of responses:   </w:t>
      </w:r>
      <w:r w:rsidR="009E0760">
        <w:rPr>
          <w:rFonts w:ascii="Times New Roman" w:hAnsi="Times New Roman"/>
          <w:szCs w:val="20"/>
        </w:rPr>
        <w:t xml:space="preserve">166 </w:t>
      </w:r>
      <w:r>
        <w:rPr>
          <w:rFonts w:ascii="Times New Roman" w:hAnsi="Times New Roman"/>
          <w:szCs w:val="20"/>
        </w:rPr>
        <w:t>[1 per affected registrants]</w:t>
      </w:r>
    </w:p>
    <w:p w:rsidR="00A87364" w:rsidRDefault="00A87364" w14:paraId="3A1135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Estimated annual </w:t>
      </w:r>
      <w:r w:rsidR="00905324">
        <w:rPr>
          <w:rFonts w:ascii="Times New Roman" w:hAnsi="Times New Roman"/>
          <w:szCs w:val="20"/>
        </w:rPr>
        <w:t xml:space="preserve">hour </w:t>
      </w:r>
      <w:r>
        <w:rPr>
          <w:rFonts w:ascii="Times New Roman" w:hAnsi="Times New Roman"/>
          <w:szCs w:val="20"/>
        </w:rPr>
        <w:t xml:space="preserve">burden on respondents: </w:t>
      </w:r>
      <w:r w:rsidR="00CF5E77">
        <w:rPr>
          <w:rFonts w:ascii="Times New Roman" w:hAnsi="Times New Roman"/>
          <w:szCs w:val="20"/>
        </w:rPr>
        <w:t>20</w:t>
      </w:r>
      <w:r>
        <w:rPr>
          <w:rFonts w:ascii="Times New Roman" w:hAnsi="Times New Roman"/>
          <w:szCs w:val="20"/>
        </w:rPr>
        <w:t xml:space="preserve"> hours</w:t>
      </w:r>
      <w:r w:rsidR="00905324">
        <w:rPr>
          <w:rFonts w:ascii="Times New Roman" w:hAnsi="Times New Roman"/>
          <w:szCs w:val="20"/>
        </w:rPr>
        <w:t xml:space="preserve"> per affected registrant</w:t>
      </w:r>
    </w:p>
    <w:p w:rsidR="00A87364" w:rsidRDefault="00A87364" w14:paraId="4141B9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Frequency of collection:    Annually </w:t>
      </w:r>
    </w:p>
    <w:p w:rsidR="00A87364" w:rsidRDefault="00A87364" w14:paraId="11771117" w14:textId="6316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reporting burden:   </w:t>
      </w:r>
      <w:r w:rsidR="009E0760">
        <w:rPr>
          <w:rFonts w:ascii="Times New Roman" w:hAnsi="Times New Roman"/>
          <w:szCs w:val="20"/>
        </w:rPr>
        <w:t xml:space="preserve">166 </w:t>
      </w:r>
      <w:r>
        <w:rPr>
          <w:rFonts w:ascii="Times New Roman" w:hAnsi="Times New Roman"/>
          <w:szCs w:val="20"/>
        </w:rPr>
        <w:t xml:space="preserve">respondents x </w:t>
      </w:r>
      <w:r w:rsidR="00CF5E77">
        <w:rPr>
          <w:rFonts w:ascii="Times New Roman" w:hAnsi="Times New Roman"/>
          <w:szCs w:val="20"/>
        </w:rPr>
        <w:t>20</w:t>
      </w:r>
      <w:r>
        <w:rPr>
          <w:rFonts w:ascii="Times New Roman" w:hAnsi="Times New Roman"/>
          <w:szCs w:val="20"/>
        </w:rPr>
        <w:t xml:space="preserve"> hours = </w:t>
      </w:r>
      <w:r w:rsidR="009E0760">
        <w:rPr>
          <w:rFonts w:ascii="Times New Roman" w:hAnsi="Times New Roman"/>
          <w:szCs w:val="20"/>
        </w:rPr>
        <w:t>3,320</w:t>
      </w:r>
      <w:r w:rsidR="007A1F84">
        <w:rPr>
          <w:rFonts w:ascii="Times New Roman" w:hAnsi="Times New Roman"/>
          <w:szCs w:val="20"/>
        </w:rPr>
        <w:t xml:space="preserve"> </w:t>
      </w:r>
      <w:r>
        <w:rPr>
          <w:rFonts w:ascii="Times New Roman" w:hAnsi="Times New Roman"/>
          <w:szCs w:val="20"/>
        </w:rPr>
        <w:t>hours</w:t>
      </w:r>
    </w:p>
    <w:p w:rsidR="00A87364" w:rsidRDefault="00A87364" w14:paraId="1FD756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A87364" w:rsidRDefault="00A87364" w14:paraId="2329E033" w14:textId="5C78B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sidRPr="00ED40C1">
        <w:rPr>
          <w:rFonts w:ascii="Times New Roman" w:hAnsi="Times New Roman"/>
          <w:szCs w:val="20"/>
        </w:rPr>
        <w:t xml:space="preserve">Based upon the above, the aggregate cost for all respondents is </w:t>
      </w:r>
      <w:r w:rsidR="009E0760">
        <w:rPr>
          <w:rFonts w:ascii="Times New Roman" w:hAnsi="Times New Roman"/>
          <w:szCs w:val="20"/>
        </w:rPr>
        <w:t>166,996</w:t>
      </w:r>
      <w:r w:rsidRPr="00ED40C1" w:rsidR="008546E4">
        <w:rPr>
          <w:rFonts w:ascii="Times New Roman" w:hAnsi="Times New Roman"/>
          <w:szCs w:val="20"/>
        </w:rPr>
        <w:t xml:space="preserve"> </w:t>
      </w:r>
      <w:r w:rsidRPr="00ED40C1">
        <w:rPr>
          <w:rFonts w:ascii="Times New Roman" w:hAnsi="Times New Roman"/>
          <w:szCs w:val="20"/>
        </w:rPr>
        <w:t>burden hours [</w:t>
      </w:r>
      <w:r w:rsidRPr="00ED40C1" w:rsidR="00ED40C1">
        <w:rPr>
          <w:rFonts w:ascii="Times New Roman" w:hAnsi="Times New Roman"/>
          <w:szCs w:val="20"/>
        </w:rPr>
        <w:t>1006</w:t>
      </w:r>
      <w:r w:rsidRPr="00ED40C1">
        <w:rPr>
          <w:rFonts w:ascii="Times New Roman" w:hAnsi="Times New Roman"/>
          <w:szCs w:val="20"/>
        </w:rPr>
        <w:t xml:space="preserve"> hours x </w:t>
      </w:r>
      <w:r w:rsidR="009E0760">
        <w:rPr>
          <w:rFonts w:ascii="Times New Roman" w:hAnsi="Times New Roman"/>
          <w:szCs w:val="20"/>
        </w:rPr>
        <w:t>166</w:t>
      </w:r>
      <w:r w:rsidRPr="00ED40C1" w:rsidR="009E0760">
        <w:rPr>
          <w:rFonts w:ascii="Times New Roman" w:hAnsi="Times New Roman"/>
          <w:szCs w:val="20"/>
        </w:rPr>
        <w:t xml:space="preserve"> </w:t>
      </w:r>
      <w:r w:rsidRPr="00ED40C1">
        <w:rPr>
          <w:rFonts w:ascii="Times New Roman" w:hAnsi="Times New Roman"/>
          <w:szCs w:val="20"/>
        </w:rPr>
        <w:t>respondents] and $</w:t>
      </w:r>
      <w:r w:rsidR="009E0760">
        <w:rPr>
          <w:rFonts w:ascii="Times New Roman" w:hAnsi="Times New Roman"/>
          <w:szCs w:val="20"/>
        </w:rPr>
        <w:t>16,699,600</w:t>
      </w:r>
      <w:r w:rsidRPr="00ED40C1" w:rsidR="008546E4">
        <w:rPr>
          <w:rFonts w:ascii="Times New Roman" w:hAnsi="Times New Roman"/>
          <w:szCs w:val="20"/>
        </w:rPr>
        <w:t xml:space="preserve"> </w:t>
      </w:r>
      <w:r w:rsidRPr="00ED40C1">
        <w:rPr>
          <w:rFonts w:ascii="Times New Roman" w:hAnsi="Times New Roman"/>
          <w:szCs w:val="20"/>
        </w:rPr>
        <w:t>[</w:t>
      </w:r>
      <w:r w:rsidR="009E0760">
        <w:rPr>
          <w:rFonts w:ascii="Times New Roman" w:hAnsi="Times New Roman"/>
          <w:szCs w:val="20"/>
        </w:rPr>
        <w:t>166,996</w:t>
      </w:r>
      <w:r w:rsidRPr="00ED40C1" w:rsidR="008546E4">
        <w:rPr>
          <w:rFonts w:ascii="Times New Roman" w:hAnsi="Times New Roman"/>
          <w:szCs w:val="20"/>
        </w:rPr>
        <w:t xml:space="preserve"> </w:t>
      </w:r>
      <w:r w:rsidRPr="00ED40C1">
        <w:rPr>
          <w:rFonts w:ascii="Times New Roman" w:hAnsi="Times New Roman"/>
          <w:szCs w:val="20"/>
        </w:rPr>
        <w:t>burden hours x $100 per hour].</w:t>
      </w:r>
    </w:p>
    <w:p w:rsidR="00A87364" w:rsidRDefault="00A87364" w14:paraId="188AC352" w14:textId="77777777">
      <w:pPr>
        <w:pStyle w:val="PlainText"/>
        <w:jc w:val="both"/>
        <w:rPr>
          <w:rFonts w:ascii="Times New Roman" w:hAnsi="Times New Roman"/>
          <w:color w:val="auto"/>
          <w:sz w:val="24"/>
          <w:szCs w:val="24"/>
        </w:rPr>
      </w:pPr>
    </w:p>
    <w:p w:rsidR="00A87364" w:rsidRDefault="00A87364" w14:paraId="1E73DC82"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A87364" w:rsidRDefault="00A87364" w14:paraId="5DDF3826"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87364" w:rsidRDefault="00A87364" w14:paraId="5779EA3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Pr>
          <w:rFonts w:ascii="Times New Roman" w:hAnsi="Times New Roman"/>
          <w:b/>
        </w:rPr>
        <w:lastRenderedPageBreak/>
        <w:t>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87364" w:rsidRDefault="00A87364" w14:paraId="7B1BF73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7364" w:rsidRDefault="00A87364" w14:paraId="7AE880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Pr>
          <w:rFonts w:ascii="Times New Roman" w:hAnsi="Times New Roman"/>
        </w:rPr>
        <w:t xml:space="preserve">The information collection required by the regulations </w:t>
      </w:r>
      <w:r w:rsidR="00905324">
        <w:rPr>
          <w:rFonts w:ascii="Times New Roman" w:hAnsi="Times New Roman"/>
        </w:rPr>
        <w:t>will</w:t>
      </w:r>
      <w:r>
        <w:rPr>
          <w:rFonts w:ascii="Times New Roman" w:hAnsi="Times New Roman"/>
        </w:rPr>
        <w:t xml:space="preserve"> not involve any capital or start-up capital or operations or maintenance costs as the Commission anticipates that swap dealers, major swap participants</w:t>
      </w:r>
      <w:r w:rsidR="008B6D4F">
        <w:rPr>
          <w:rFonts w:ascii="Times New Roman" w:hAnsi="Times New Roman"/>
        </w:rPr>
        <w:t>,</w:t>
      </w:r>
      <w:r>
        <w:rPr>
          <w:rFonts w:ascii="Times New Roman" w:hAnsi="Times New Roman"/>
        </w:rPr>
        <w:t xml:space="preserve"> and futures commission merchants already maintain sufficient</w:t>
      </w:r>
      <w:r>
        <w:rPr>
          <w:rFonts w:ascii="Times New Roman" w:hAnsi="Times New Roman"/>
          <w:szCs w:val="20"/>
        </w:rPr>
        <w:t xml:space="preserve"> compliance personnel and systems for the regulatory reporting and recordkeeping that would be required. </w:t>
      </w:r>
      <w:r>
        <w:rPr>
          <w:rFonts w:ascii="Times New Roman" w:hAnsi="Times New Roman"/>
          <w:szCs w:val="20"/>
        </w:rPr>
        <w:tab/>
      </w:r>
      <w:r>
        <w:rPr>
          <w:rFonts w:ascii="Times New Roman" w:hAnsi="Times New Roman"/>
          <w:szCs w:val="20"/>
        </w:rPr>
        <w:tab/>
      </w:r>
    </w:p>
    <w:p w:rsidR="00A87364" w:rsidRDefault="00A87364" w14:paraId="44A227BE" w14:textId="77777777">
      <w:pPr>
        <w:tabs>
          <w:tab w:val="left" w:pos="-720"/>
        </w:tabs>
        <w:spacing w:after="240"/>
        <w:jc w:val="both"/>
        <w:rPr>
          <w:rFonts w:ascii="Times New Roman" w:hAnsi="Times New Roman"/>
        </w:rPr>
      </w:pPr>
    </w:p>
    <w:p w:rsidR="00A87364" w:rsidRDefault="00A87364" w14:paraId="1BDB73D3"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A87364" w:rsidRDefault="00DC161E" w14:paraId="4CF72A49" w14:textId="6C0930B1">
      <w:pPr>
        <w:tabs>
          <w:tab w:val="left" w:pos="-720"/>
        </w:tabs>
        <w:spacing w:after="240"/>
        <w:jc w:val="both"/>
        <w:rPr>
          <w:rFonts w:ascii="Times New Roman" w:hAnsi="Times New Roman"/>
        </w:rPr>
      </w:pPr>
      <w:r w:rsidRPr="00DC161E">
        <w:rPr>
          <w:rFonts w:ascii="Times New Roman" w:hAnsi="Times New Roman"/>
        </w:rPr>
        <w:t>The collection of information is not expected to impose significant annual costs on the Federal Government</w:t>
      </w:r>
      <w:r w:rsidR="00A87364">
        <w:rPr>
          <w:rFonts w:ascii="Times New Roman" w:hAnsi="Times New Roman"/>
        </w:rPr>
        <w:t xml:space="preserve">. </w:t>
      </w:r>
    </w:p>
    <w:p w:rsidR="00A87364" w:rsidRDefault="00A87364" w14:paraId="411E1B0B"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Pr="00995E31" w:rsidR="00995E31" w:rsidP="00995E31" w:rsidRDefault="00995E31" w14:paraId="3B005DBF" w14:textId="3F71625B">
      <w:pPr>
        <w:tabs>
          <w:tab w:val="left" w:pos="-720"/>
        </w:tabs>
        <w:spacing w:after="240"/>
        <w:jc w:val="both"/>
        <w:rPr>
          <w:rFonts w:ascii="Times New Roman" w:hAnsi="Times New Roman"/>
        </w:rPr>
      </w:pPr>
      <w:r w:rsidRPr="00995E31">
        <w:rPr>
          <w:rFonts w:ascii="Times New Roman" w:hAnsi="Times New Roman"/>
        </w:rPr>
        <w:t xml:space="preserve">In light of the current number of Commission-registered FCMs, SDs, and MSPs, the total number of respondents (combined FCMs, SDs, and MSPs) is being reduced from </w:t>
      </w:r>
      <w:r w:rsidR="006F4391">
        <w:rPr>
          <w:rFonts w:ascii="Times New Roman" w:hAnsi="Times New Roman"/>
        </w:rPr>
        <w:t>171</w:t>
      </w:r>
      <w:r w:rsidRPr="00995E31" w:rsidR="006F4391">
        <w:rPr>
          <w:rFonts w:ascii="Times New Roman" w:hAnsi="Times New Roman"/>
        </w:rPr>
        <w:t xml:space="preserve"> </w:t>
      </w:r>
      <w:r w:rsidRPr="00995E31">
        <w:rPr>
          <w:rFonts w:ascii="Times New Roman" w:hAnsi="Times New Roman"/>
        </w:rPr>
        <w:t xml:space="preserve">to </w:t>
      </w:r>
      <w:commentRangeStart w:id="3"/>
      <w:r w:rsidR="006F4391">
        <w:rPr>
          <w:rFonts w:ascii="Times New Roman" w:hAnsi="Times New Roman"/>
        </w:rPr>
        <w:t>166</w:t>
      </w:r>
      <w:commentRangeEnd w:id="3"/>
      <w:r w:rsidR="00245FB2">
        <w:rPr>
          <w:rStyle w:val="CommentReference"/>
        </w:rPr>
        <w:commentReference w:id="3"/>
      </w:r>
      <w:r w:rsidRPr="00995E31">
        <w:rPr>
          <w:rFonts w:ascii="Times New Roman" w:hAnsi="Times New Roman"/>
        </w:rPr>
        <w:t>.</w:t>
      </w:r>
    </w:p>
    <w:p w:rsidR="00A87364" w:rsidRDefault="000832EF" w14:paraId="18193FAE" w14:textId="77777777">
      <w:pPr>
        <w:tabs>
          <w:tab w:val="left" w:pos="-720"/>
        </w:tabs>
        <w:spacing w:after="240"/>
        <w:jc w:val="both"/>
        <w:rPr>
          <w:rFonts w:ascii="Times New Roman" w:hAnsi="Times New Roman"/>
        </w:rPr>
      </w:pPr>
      <w:r>
        <w:rPr>
          <w:rFonts w:ascii="Times New Roman" w:hAnsi="Times New Roman"/>
        </w:rPr>
        <w:t>.</w:t>
      </w:r>
    </w:p>
    <w:p w:rsidR="00A87364" w:rsidRDefault="00A87364" w14:paraId="1BACC124"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87364" w:rsidRDefault="00A87364" w14:paraId="4D7A4E21" w14:textId="77777777">
      <w:pPr>
        <w:tabs>
          <w:tab w:val="left" w:pos="-720"/>
        </w:tabs>
        <w:spacing w:after="240"/>
        <w:jc w:val="both"/>
        <w:rPr>
          <w:rFonts w:ascii="Times New Roman" w:hAnsi="Times New Roman"/>
        </w:rPr>
      </w:pPr>
      <w:r>
        <w:rPr>
          <w:rFonts w:ascii="Times New Roman" w:hAnsi="Times New Roman"/>
        </w:rPr>
        <w:t>This question does not apply.</w:t>
      </w:r>
    </w:p>
    <w:p w:rsidR="00A87364" w:rsidRDefault="00A87364" w14:paraId="68142FD6"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A87364" w:rsidRDefault="00A87364" w14:paraId="697C1B80" w14:textId="77777777">
      <w:pPr>
        <w:tabs>
          <w:tab w:val="left" w:pos="-720"/>
        </w:tabs>
        <w:spacing w:after="240"/>
        <w:jc w:val="both"/>
        <w:rPr>
          <w:rFonts w:ascii="Times New Roman" w:hAnsi="Times New Roman"/>
        </w:rPr>
      </w:pPr>
      <w:r>
        <w:rPr>
          <w:rFonts w:ascii="Times New Roman" w:hAnsi="Times New Roman"/>
        </w:rPr>
        <w:t>This question does not apply.</w:t>
      </w:r>
    </w:p>
    <w:p w:rsidR="00A87364" w:rsidRDefault="00A87364" w14:paraId="5937F9E1" w14:textId="77777777">
      <w:pPr>
        <w:keepNext/>
        <w:tabs>
          <w:tab w:val="left" w:pos="-720"/>
        </w:tabs>
        <w:spacing w:after="240"/>
        <w:ind w:left="720" w:hanging="720"/>
        <w:jc w:val="both"/>
        <w:rPr>
          <w:rFonts w:ascii="Times New Roman" w:hAnsi="Times New Roman"/>
          <w:b/>
        </w:rPr>
      </w:pPr>
      <w:r>
        <w:rPr>
          <w:rFonts w:ascii="Times New Roman" w:hAnsi="Times New Roman"/>
          <w:b/>
        </w:rPr>
        <w:lastRenderedPageBreak/>
        <w:t>18.</w:t>
      </w:r>
      <w:r>
        <w:rPr>
          <w:rFonts w:ascii="Times New Roman" w:hAnsi="Times New Roman"/>
          <w:b/>
        </w:rPr>
        <w:tab/>
        <w:t>Explain each exception to the certification statement identified in Item 19, "Certification for Paperwork Reduction Act Submissions," of OMB Form 83-I.</w:t>
      </w:r>
    </w:p>
    <w:p w:rsidR="00A87364" w:rsidRDefault="00A87364" w14:paraId="537A1AA8" w14:textId="77777777">
      <w:pPr>
        <w:tabs>
          <w:tab w:val="left" w:pos="-720"/>
        </w:tabs>
        <w:spacing w:after="240"/>
        <w:jc w:val="both"/>
        <w:rPr>
          <w:rFonts w:ascii="Times New Roman" w:hAnsi="Times New Roman"/>
        </w:rPr>
      </w:pPr>
      <w:r>
        <w:rPr>
          <w:rFonts w:ascii="Times New Roman" w:hAnsi="Times New Roman"/>
        </w:rPr>
        <w:t>This question does not apply.</w:t>
      </w:r>
    </w:p>
    <w:p w:rsidR="00A87364" w:rsidRDefault="00A87364" w14:paraId="0E5D8AC8" w14:textId="77777777">
      <w:pPr>
        <w:pStyle w:val="Title"/>
        <w:spacing w:after="240"/>
        <w:rPr>
          <w:sz w:val="24"/>
          <w:szCs w:val="24"/>
        </w:rPr>
      </w:pPr>
      <w:r>
        <w:br w:type="page"/>
      </w:r>
      <w:r>
        <w:rPr>
          <w:sz w:val="24"/>
          <w:szCs w:val="24"/>
        </w:rPr>
        <w:lastRenderedPageBreak/>
        <w:t>Attachment A</w:t>
      </w:r>
    </w:p>
    <w:p w:rsidR="00A87364" w:rsidRDefault="00A87364" w14:paraId="35A1D5C7" w14:textId="77777777">
      <w:pPr>
        <w:pStyle w:val="Title"/>
        <w:spacing w:after="240"/>
        <w:rPr>
          <w:sz w:val="24"/>
          <w:szCs w:val="24"/>
        </w:rPr>
      </w:pPr>
      <w:r>
        <w:rPr>
          <w:sz w:val="24"/>
          <w:szCs w:val="24"/>
        </w:rPr>
        <w:t>Part 3 – Annual Report for Chief Compliance Officer of Registrants</w:t>
      </w:r>
    </w:p>
    <w:p w:rsidR="00A87364" w:rsidRDefault="00A87364" w14:paraId="1C92F2D6" w14:textId="77777777">
      <w:pPr>
        <w:pStyle w:val="Title"/>
        <w:spacing w:after="480"/>
        <w:rPr>
          <w:sz w:val="24"/>
          <w:szCs w:val="24"/>
        </w:rPr>
      </w:pPr>
      <w:r>
        <w:rPr>
          <w:sz w:val="24"/>
          <w:szCs w:val="24"/>
        </w:rPr>
        <w:t>OMB Collection File 3038-</w:t>
      </w:r>
      <w:r w:rsidR="00CF5E77">
        <w:rPr>
          <w:sz w:val="24"/>
          <w:szCs w:val="24"/>
        </w:rPr>
        <w:t>0080</w:t>
      </w:r>
    </w:p>
    <w:p w:rsidR="00A87364" w:rsidRDefault="00A87364" w14:paraId="4C7AB06B" w14:textId="7BD7122C">
      <w:pPr>
        <w:pStyle w:val="Title"/>
        <w:tabs>
          <w:tab w:val="center" w:pos="7200"/>
        </w:tabs>
        <w:spacing w:after="120"/>
        <w:ind w:left="1440"/>
        <w:jc w:val="left"/>
        <w:rPr>
          <w:b w:val="0"/>
          <w:sz w:val="24"/>
          <w:szCs w:val="24"/>
        </w:rPr>
      </w:pPr>
      <w:r>
        <w:rPr>
          <w:b w:val="0"/>
          <w:sz w:val="24"/>
          <w:szCs w:val="24"/>
        </w:rPr>
        <w:t>Number of Respondents</w:t>
      </w:r>
      <w:r>
        <w:rPr>
          <w:b w:val="0"/>
          <w:sz w:val="24"/>
          <w:szCs w:val="24"/>
        </w:rPr>
        <w:tab/>
      </w:r>
      <w:r w:rsidR="008B7643">
        <w:rPr>
          <w:b w:val="0"/>
          <w:sz w:val="24"/>
          <w:szCs w:val="24"/>
        </w:rPr>
        <w:t>166</w:t>
      </w:r>
    </w:p>
    <w:p w:rsidR="00A87364" w:rsidRDefault="00A87364" w14:paraId="19CEC6F3" w14:textId="77777777">
      <w:pPr>
        <w:pStyle w:val="Title"/>
        <w:tabs>
          <w:tab w:val="center" w:pos="7200"/>
        </w:tabs>
        <w:spacing w:after="120"/>
        <w:ind w:left="1440"/>
        <w:jc w:val="left"/>
        <w:rPr>
          <w:b w:val="0"/>
          <w:sz w:val="24"/>
          <w:szCs w:val="24"/>
        </w:rPr>
      </w:pPr>
      <w:r>
        <w:rPr>
          <w:b w:val="0"/>
          <w:sz w:val="24"/>
          <w:szCs w:val="24"/>
        </w:rPr>
        <w:t>Estimated Average Burden Hours Per Respondent</w:t>
      </w:r>
      <w:r>
        <w:rPr>
          <w:b w:val="0"/>
          <w:sz w:val="24"/>
          <w:szCs w:val="24"/>
        </w:rPr>
        <w:tab/>
      </w:r>
      <w:r w:rsidR="00F1126D">
        <w:rPr>
          <w:b w:val="0"/>
          <w:sz w:val="24"/>
          <w:szCs w:val="24"/>
        </w:rPr>
        <w:t xml:space="preserve"> 1006</w:t>
      </w:r>
    </w:p>
    <w:p w:rsidR="00A87364" w:rsidRDefault="00A87364" w14:paraId="2CB31618" w14:textId="77777777">
      <w:pPr>
        <w:pStyle w:val="Title"/>
        <w:tabs>
          <w:tab w:val="center" w:pos="7200"/>
        </w:tabs>
        <w:spacing w:after="120"/>
        <w:ind w:left="1440"/>
        <w:jc w:val="left"/>
        <w:rPr>
          <w:b w:val="0"/>
          <w:sz w:val="24"/>
          <w:szCs w:val="24"/>
        </w:rPr>
      </w:pPr>
      <w:r>
        <w:rPr>
          <w:b w:val="0"/>
          <w:sz w:val="24"/>
          <w:szCs w:val="24"/>
        </w:rPr>
        <w:t>Estimated Annual Cost Per Respondent</w:t>
      </w:r>
      <w:r>
        <w:rPr>
          <w:b w:val="0"/>
          <w:sz w:val="24"/>
          <w:szCs w:val="24"/>
        </w:rPr>
        <w:tab/>
        <w:t>$</w:t>
      </w:r>
      <w:r w:rsidR="00F1126D">
        <w:rPr>
          <w:b w:val="0"/>
          <w:sz w:val="24"/>
          <w:szCs w:val="24"/>
        </w:rPr>
        <w:t>100,600</w:t>
      </w:r>
    </w:p>
    <w:p w:rsidR="00905324" w:rsidRDefault="00A87364" w14:paraId="6D636AF0" w14:textId="4DE3466C">
      <w:pPr>
        <w:pStyle w:val="Title"/>
        <w:tabs>
          <w:tab w:val="center" w:pos="7200"/>
        </w:tabs>
        <w:spacing w:after="120"/>
        <w:ind w:left="1440"/>
        <w:jc w:val="left"/>
        <w:rPr>
          <w:b w:val="0"/>
          <w:sz w:val="24"/>
          <w:szCs w:val="24"/>
        </w:rPr>
      </w:pPr>
      <w:r>
        <w:rPr>
          <w:b w:val="0"/>
          <w:sz w:val="24"/>
          <w:szCs w:val="24"/>
        </w:rPr>
        <w:t>Estimated Aggregate Burden Hours</w:t>
      </w:r>
      <w:r>
        <w:t xml:space="preserve"> </w:t>
      </w:r>
      <w:r>
        <w:tab/>
      </w:r>
      <w:r w:rsidR="00F1126D">
        <w:rPr>
          <w:b w:val="0"/>
          <w:sz w:val="24"/>
          <w:szCs w:val="24"/>
        </w:rPr>
        <w:t xml:space="preserve"> </w:t>
      </w:r>
      <w:r w:rsidR="008B7643">
        <w:rPr>
          <w:b w:val="0"/>
          <w:sz w:val="24"/>
          <w:szCs w:val="24"/>
        </w:rPr>
        <w:t>166,996</w:t>
      </w:r>
    </w:p>
    <w:p w:rsidR="00A87364" w:rsidRDefault="00A87364" w14:paraId="1A0A5953" w14:textId="7B30BD05">
      <w:pPr>
        <w:pStyle w:val="Title"/>
        <w:tabs>
          <w:tab w:val="center" w:pos="7200"/>
        </w:tabs>
        <w:spacing w:after="120"/>
        <w:ind w:left="1440"/>
        <w:jc w:val="left"/>
        <w:rPr>
          <w:b w:val="0"/>
          <w:sz w:val="24"/>
          <w:szCs w:val="24"/>
        </w:rPr>
      </w:pPr>
      <w:r>
        <w:rPr>
          <w:b w:val="0"/>
          <w:sz w:val="24"/>
          <w:szCs w:val="24"/>
        </w:rPr>
        <w:t>Estimated Aggregate Cost</w:t>
      </w:r>
      <w:r>
        <w:rPr>
          <w:b w:val="0"/>
          <w:sz w:val="24"/>
          <w:szCs w:val="24"/>
        </w:rPr>
        <w:tab/>
        <w:t>$</w:t>
      </w:r>
      <w:r w:rsidR="008B7643">
        <w:rPr>
          <w:b w:val="0"/>
          <w:sz w:val="24"/>
          <w:szCs w:val="24"/>
        </w:rPr>
        <w:t>16,699,600</w:t>
      </w:r>
    </w:p>
    <w:p w:rsidR="00A87364" w:rsidRDefault="00A87364" w14:paraId="1A117A6E" w14:textId="77777777">
      <w:pPr>
        <w:pStyle w:val="Title"/>
        <w:tabs>
          <w:tab w:val="center" w:pos="7200"/>
        </w:tabs>
        <w:spacing w:after="120"/>
        <w:ind w:left="1440"/>
        <w:jc w:val="left"/>
        <w:rPr>
          <w:b w:val="0"/>
          <w:sz w:val="24"/>
          <w:szCs w:val="24"/>
        </w:rPr>
      </w:pPr>
      <w:r>
        <w:rPr>
          <w:b w:val="0"/>
          <w:sz w:val="24"/>
          <w:szCs w:val="24"/>
        </w:rPr>
        <w:t>% of Responses Collected Electronically</w:t>
      </w:r>
      <w:r>
        <w:rPr>
          <w:b w:val="0"/>
          <w:sz w:val="24"/>
          <w:szCs w:val="24"/>
        </w:rPr>
        <w:tab/>
        <w:t>100</w:t>
      </w:r>
    </w:p>
    <w:p w:rsidR="00A87364" w:rsidRDefault="00A87364" w14:paraId="2B92870F" w14:textId="77777777">
      <w:pPr>
        <w:pStyle w:val="Title"/>
        <w:tabs>
          <w:tab w:val="center" w:pos="7200"/>
        </w:tabs>
        <w:spacing w:after="480"/>
        <w:ind w:left="1440"/>
        <w:jc w:val="left"/>
        <w:rPr>
          <w:b w:val="0"/>
          <w:sz w:val="24"/>
          <w:szCs w:val="24"/>
        </w:rPr>
      </w:pPr>
      <w:r>
        <w:rPr>
          <w:b w:val="0"/>
          <w:sz w:val="24"/>
          <w:szCs w:val="24"/>
        </w:rPr>
        <w:t>Frequency of Reporting</w:t>
      </w:r>
      <w:r w:rsidR="00396977">
        <w:rPr>
          <w:b w:val="0"/>
          <w:sz w:val="24"/>
          <w:szCs w:val="24"/>
        </w:rPr>
        <w:t>/Recordkeeping</w:t>
      </w:r>
      <w:r>
        <w:rPr>
          <w:b w:val="0"/>
          <w:sz w:val="24"/>
          <w:szCs w:val="24"/>
        </w:rPr>
        <w:tab/>
        <w:t>Annually or on occasion</w:t>
      </w:r>
    </w:p>
    <w:tbl>
      <w:tblPr>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9"/>
        <w:gridCol w:w="1443"/>
        <w:gridCol w:w="1350"/>
        <w:gridCol w:w="1230"/>
        <w:gridCol w:w="1176"/>
        <w:gridCol w:w="1176"/>
        <w:gridCol w:w="1350"/>
      </w:tblGrid>
      <w:tr w:rsidR="00A87364" w14:paraId="7849AA1C" w14:textId="77777777">
        <w:trPr>
          <w:jc w:val="center"/>
        </w:trPr>
        <w:tc>
          <w:tcPr>
            <w:tcW w:w="1669" w:type="dxa"/>
          </w:tcPr>
          <w:p w:rsidR="00A87364" w:rsidRDefault="00A87364" w14:paraId="2F540DA9" w14:textId="77777777">
            <w:pPr>
              <w:jc w:val="center"/>
              <w:rPr>
                <w:rFonts w:ascii="Times New Roman" w:hAnsi="Times New Roman"/>
              </w:rPr>
            </w:pPr>
            <w:r>
              <w:rPr>
                <w:rFonts w:ascii="Times New Roman" w:hAnsi="Times New Roman"/>
              </w:rPr>
              <w:t>Requirement</w:t>
            </w:r>
          </w:p>
        </w:tc>
        <w:tc>
          <w:tcPr>
            <w:tcW w:w="1443" w:type="dxa"/>
          </w:tcPr>
          <w:p w:rsidR="00A87364" w:rsidRDefault="00A87364" w14:paraId="469CE39C" w14:textId="77777777">
            <w:pPr>
              <w:jc w:val="center"/>
              <w:rPr>
                <w:rFonts w:ascii="Times New Roman" w:hAnsi="Times New Roman"/>
              </w:rPr>
            </w:pPr>
            <w:r>
              <w:rPr>
                <w:rFonts w:ascii="Times New Roman" w:hAnsi="Times New Roman"/>
              </w:rPr>
              <w:t>Estimated # of Respondents Per Year</w:t>
            </w:r>
          </w:p>
        </w:tc>
        <w:tc>
          <w:tcPr>
            <w:tcW w:w="1350" w:type="dxa"/>
          </w:tcPr>
          <w:p w:rsidR="00A87364" w:rsidRDefault="00A87364" w14:paraId="0BD4C200" w14:textId="77777777">
            <w:pPr>
              <w:jc w:val="center"/>
              <w:rPr>
                <w:rFonts w:ascii="Times New Roman" w:hAnsi="Times New Roman"/>
              </w:rPr>
            </w:pPr>
            <w:r>
              <w:rPr>
                <w:rFonts w:ascii="Times New Roman" w:hAnsi="Times New Roman"/>
              </w:rPr>
              <w:t>Estimated # of Responses Per Respondent</w:t>
            </w:r>
          </w:p>
          <w:p w:rsidR="00A87364" w:rsidRDefault="00A87364" w14:paraId="7C2323CF" w14:textId="77777777">
            <w:pPr>
              <w:jc w:val="center"/>
              <w:rPr>
                <w:rFonts w:ascii="Times New Roman" w:hAnsi="Times New Roman"/>
              </w:rPr>
            </w:pPr>
          </w:p>
        </w:tc>
        <w:tc>
          <w:tcPr>
            <w:tcW w:w="1230" w:type="dxa"/>
          </w:tcPr>
          <w:p w:rsidR="00A87364" w:rsidRDefault="00A87364" w14:paraId="6B21A3AC" w14:textId="77777777">
            <w:pPr>
              <w:jc w:val="center"/>
              <w:rPr>
                <w:rFonts w:ascii="Times New Roman" w:hAnsi="Times New Roman"/>
              </w:rPr>
            </w:pPr>
            <w:r>
              <w:rPr>
                <w:rFonts w:ascii="Times New Roman" w:hAnsi="Times New Roman"/>
              </w:rPr>
              <w:t>Total #Annual Responses</w:t>
            </w:r>
          </w:p>
        </w:tc>
        <w:tc>
          <w:tcPr>
            <w:tcW w:w="1176" w:type="dxa"/>
          </w:tcPr>
          <w:p w:rsidR="00A87364" w:rsidRDefault="00A87364" w14:paraId="0490F7D9" w14:textId="77777777">
            <w:pPr>
              <w:jc w:val="center"/>
              <w:rPr>
                <w:rFonts w:ascii="Times New Roman" w:hAnsi="Times New Roman"/>
              </w:rPr>
            </w:pPr>
            <w:r>
              <w:rPr>
                <w:rFonts w:ascii="Times New Roman" w:hAnsi="Times New Roman"/>
              </w:rPr>
              <w:t>Estimated Average # of Hours Per Response</w:t>
            </w:r>
          </w:p>
        </w:tc>
        <w:tc>
          <w:tcPr>
            <w:tcW w:w="1176" w:type="dxa"/>
          </w:tcPr>
          <w:p w:rsidR="00A87364" w:rsidRDefault="00A87364" w14:paraId="4880E4C6" w14:textId="77777777">
            <w:pPr>
              <w:jc w:val="center"/>
              <w:rPr>
                <w:rFonts w:ascii="Times New Roman" w:hAnsi="Times New Roman"/>
              </w:rPr>
            </w:pPr>
            <w:r>
              <w:rPr>
                <w:rFonts w:ascii="Times New Roman" w:hAnsi="Times New Roman"/>
              </w:rPr>
              <w:t>Estimated Total # of Hours of Annual Burden in Fiscal Year</w:t>
            </w:r>
          </w:p>
        </w:tc>
        <w:tc>
          <w:tcPr>
            <w:tcW w:w="1350" w:type="dxa"/>
          </w:tcPr>
          <w:p w:rsidR="00A87364" w:rsidRDefault="00A87364" w14:paraId="13D54877" w14:textId="77777777">
            <w:pPr>
              <w:jc w:val="center"/>
              <w:rPr>
                <w:rFonts w:ascii="Times New Roman" w:hAnsi="Times New Roman"/>
              </w:rPr>
            </w:pPr>
            <w:r>
              <w:rPr>
                <w:rFonts w:ascii="Times New Roman" w:hAnsi="Times New Roman"/>
              </w:rPr>
              <w:t>Estimated Annual Cost Per Respondent</w:t>
            </w:r>
          </w:p>
        </w:tc>
      </w:tr>
      <w:tr w:rsidR="00A87364" w14:paraId="31A3205C" w14:textId="77777777">
        <w:trPr>
          <w:jc w:val="center"/>
        </w:trPr>
        <w:tc>
          <w:tcPr>
            <w:tcW w:w="1669" w:type="dxa"/>
          </w:tcPr>
          <w:p w:rsidR="00A87364" w:rsidRDefault="00A87364" w14:paraId="3D0FECCF" w14:textId="77777777">
            <w:pPr>
              <w:rPr>
                <w:rFonts w:ascii="Times New Roman" w:hAnsi="Times New Roman"/>
              </w:rPr>
            </w:pPr>
            <w:r>
              <w:rPr>
                <w:rFonts w:ascii="Times New Roman" w:hAnsi="Times New Roman"/>
              </w:rPr>
              <w:t>Form 8-R</w:t>
            </w:r>
          </w:p>
        </w:tc>
        <w:tc>
          <w:tcPr>
            <w:tcW w:w="1443" w:type="dxa"/>
          </w:tcPr>
          <w:p w:rsidR="00A87364" w:rsidP="008076D8" w:rsidRDefault="008B7643" w14:paraId="26FC85C3" w14:textId="17D06E1E">
            <w:pPr>
              <w:rPr>
                <w:rFonts w:ascii="Times New Roman" w:hAnsi="Times New Roman"/>
              </w:rPr>
            </w:pPr>
            <w:r>
              <w:rPr>
                <w:rFonts w:ascii="Times New Roman" w:hAnsi="Times New Roman"/>
              </w:rPr>
              <w:t>166</w:t>
            </w:r>
          </w:p>
        </w:tc>
        <w:tc>
          <w:tcPr>
            <w:tcW w:w="1350" w:type="dxa"/>
          </w:tcPr>
          <w:p w:rsidR="00A87364" w:rsidRDefault="00A87364" w14:paraId="40A44509" w14:textId="77777777">
            <w:pPr>
              <w:rPr>
                <w:rFonts w:ascii="Times New Roman" w:hAnsi="Times New Roman"/>
              </w:rPr>
            </w:pPr>
            <w:r>
              <w:rPr>
                <w:rFonts w:ascii="Times New Roman" w:hAnsi="Times New Roman"/>
              </w:rPr>
              <w:t>1</w:t>
            </w:r>
          </w:p>
        </w:tc>
        <w:tc>
          <w:tcPr>
            <w:tcW w:w="1230" w:type="dxa"/>
          </w:tcPr>
          <w:p w:rsidR="00A87364" w:rsidP="008076D8" w:rsidRDefault="008B7643" w14:paraId="78F930C6" w14:textId="321D2DC5">
            <w:pPr>
              <w:rPr>
                <w:rFonts w:ascii="Times New Roman" w:hAnsi="Times New Roman"/>
              </w:rPr>
            </w:pPr>
            <w:r>
              <w:rPr>
                <w:rFonts w:ascii="Times New Roman" w:hAnsi="Times New Roman"/>
              </w:rPr>
              <w:t>166</w:t>
            </w:r>
          </w:p>
        </w:tc>
        <w:tc>
          <w:tcPr>
            <w:tcW w:w="1176" w:type="dxa"/>
          </w:tcPr>
          <w:p w:rsidR="00A87364" w:rsidRDefault="00A87364" w14:paraId="0AD11937" w14:textId="77777777">
            <w:pPr>
              <w:rPr>
                <w:rFonts w:ascii="Times New Roman" w:hAnsi="Times New Roman"/>
              </w:rPr>
            </w:pPr>
            <w:r>
              <w:rPr>
                <w:rFonts w:ascii="Times New Roman" w:hAnsi="Times New Roman"/>
              </w:rPr>
              <w:t>1</w:t>
            </w:r>
          </w:p>
        </w:tc>
        <w:tc>
          <w:tcPr>
            <w:tcW w:w="1176" w:type="dxa"/>
          </w:tcPr>
          <w:p w:rsidR="00A87364" w:rsidP="008076D8" w:rsidRDefault="008B7643" w14:paraId="12C0FB12" w14:textId="2471B33D">
            <w:pPr>
              <w:rPr>
                <w:rFonts w:ascii="Times New Roman" w:hAnsi="Times New Roman"/>
              </w:rPr>
            </w:pPr>
            <w:r>
              <w:rPr>
                <w:rFonts w:ascii="Times New Roman" w:hAnsi="Times New Roman"/>
              </w:rPr>
              <w:t>166</w:t>
            </w:r>
          </w:p>
        </w:tc>
        <w:tc>
          <w:tcPr>
            <w:tcW w:w="1350" w:type="dxa"/>
          </w:tcPr>
          <w:p w:rsidR="00A87364" w:rsidP="00CF5E77" w:rsidRDefault="00A87364" w14:paraId="106C9BD6" w14:textId="77777777">
            <w:pPr>
              <w:rPr>
                <w:rFonts w:ascii="Times New Roman" w:hAnsi="Times New Roman"/>
              </w:rPr>
            </w:pPr>
            <w:r>
              <w:rPr>
                <w:rFonts w:ascii="Times New Roman" w:hAnsi="Times New Roman"/>
              </w:rPr>
              <w:t>$100</w:t>
            </w:r>
          </w:p>
        </w:tc>
      </w:tr>
      <w:tr w:rsidR="00A87364" w14:paraId="78EB26E3" w14:textId="77777777">
        <w:trPr>
          <w:jc w:val="center"/>
        </w:trPr>
        <w:tc>
          <w:tcPr>
            <w:tcW w:w="1669" w:type="dxa"/>
          </w:tcPr>
          <w:p w:rsidR="00A87364" w:rsidRDefault="00A87364" w14:paraId="5A1D2510" w14:textId="77777777">
            <w:pPr>
              <w:rPr>
                <w:rFonts w:ascii="Times New Roman" w:hAnsi="Times New Roman"/>
              </w:rPr>
            </w:pPr>
            <w:r>
              <w:rPr>
                <w:rFonts w:ascii="Times New Roman" w:hAnsi="Times New Roman"/>
              </w:rPr>
              <w:t>Drafting Policies and Procedures</w:t>
            </w:r>
          </w:p>
        </w:tc>
        <w:tc>
          <w:tcPr>
            <w:tcW w:w="1443" w:type="dxa"/>
          </w:tcPr>
          <w:p w:rsidR="00A87364" w:rsidP="008076D8" w:rsidRDefault="008B7643" w14:paraId="2B23C722" w14:textId="38F5E861">
            <w:pPr>
              <w:rPr>
                <w:rFonts w:ascii="Times New Roman" w:hAnsi="Times New Roman"/>
              </w:rPr>
            </w:pPr>
            <w:r>
              <w:rPr>
                <w:rFonts w:ascii="Times New Roman" w:hAnsi="Times New Roman"/>
              </w:rPr>
              <w:t>166</w:t>
            </w:r>
          </w:p>
        </w:tc>
        <w:tc>
          <w:tcPr>
            <w:tcW w:w="1350" w:type="dxa"/>
          </w:tcPr>
          <w:p w:rsidR="00A87364" w:rsidRDefault="00A87364" w14:paraId="169B218B" w14:textId="77777777">
            <w:pPr>
              <w:rPr>
                <w:rFonts w:ascii="Times New Roman" w:hAnsi="Times New Roman"/>
              </w:rPr>
            </w:pPr>
            <w:r>
              <w:rPr>
                <w:rFonts w:ascii="Times New Roman" w:hAnsi="Times New Roman"/>
              </w:rPr>
              <w:t>1</w:t>
            </w:r>
          </w:p>
        </w:tc>
        <w:tc>
          <w:tcPr>
            <w:tcW w:w="1230" w:type="dxa"/>
          </w:tcPr>
          <w:p w:rsidR="00A87364" w:rsidP="008076D8" w:rsidRDefault="008B7643" w14:paraId="5862A231" w14:textId="4CE09413">
            <w:pPr>
              <w:rPr>
                <w:rFonts w:ascii="Times New Roman" w:hAnsi="Times New Roman"/>
              </w:rPr>
            </w:pPr>
            <w:r>
              <w:rPr>
                <w:rFonts w:ascii="Times New Roman" w:hAnsi="Times New Roman"/>
              </w:rPr>
              <w:t>166</w:t>
            </w:r>
          </w:p>
        </w:tc>
        <w:tc>
          <w:tcPr>
            <w:tcW w:w="1176" w:type="dxa"/>
          </w:tcPr>
          <w:p w:rsidR="00A87364" w:rsidRDefault="00ED40C1" w14:paraId="5AF523B1" w14:textId="77777777">
            <w:pPr>
              <w:rPr>
                <w:rFonts w:ascii="Times New Roman" w:hAnsi="Times New Roman"/>
              </w:rPr>
            </w:pPr>
            <w:r>
              <w:rPr>
                <w:rFonts w:ascii="Times New Roman" w:hAnsi="Times New Roman"/>
              </w:rPr>
              <w:t>900</w:t>
            </w:r>
          </w:p>
        </w:tc>
        <w:tc>
          <w:tcPr>
            <w:tcW w:w="1176" w:type="dxa"/>
          </w:tcPr>
          <w:p w:rsidR="00A87364" w:rsidP="00F02435" w:rsidRDefault="00B84FBA" w14:paraId="09671ABD" w14:textId="5E9D77A4">
            <w:pPr>
              <w:rPr>
                <w:rFonts w:ascii="Times New Roman" w:hAnsi="Times New Roman"/>
              </w:rPr>
            </w:pPr>
            <w:r>
              <w:rPr>
                <w:rFonts w:ascii="Times New Roman" w:hAnsi="Times New Roman"/>
              </w:rPr>
              <w:t>149,400</w:t>
            </w:r>
          </w:p>
        </w:tc>
        <w:tc>
          <w:tcPr>
            <w:tcW w:w="1350" w:type="dxa"/>
          </w:tcPr>
          <w:p w:rsidR="00A87364" w:rsidP="00CF5E77" w:rsidRDefault="00A87364" w14:paraId="53798B8B" w14:textId="77777777">
            <w:pPr>
              <w:rPr>
                <w:rFonts w:ascii="Times New Roman" w:hAnsi="Times New Roman"/>
              </w:rPr>
            </w:pPr>
            <w:r>
              <w:rPr>
                <w:rFonts w:ascii="Times New Roman" w:hAnsi="Times New Roman"/>
              </w:rPr>
              <w:t>$</w:t>
            </w:r>
            <w:r w:rsidR="00ED40C1">
              <w:rPr>
                <w:rFonts w:ascii="Times New Roman" w:hAnsi="Times New Roman"/>
              </w:rPr>
              <w:t>90,000</w:t>
            </w:r>
          </w:p>
        </w:tc>
      </w:tr>
      <w:tr w:rsidR="00A87364" w14:paraId="2E49E7CE" w14:textId="77777777">
        <w:trPr>
          <w:jc w:val="center"/>
        </w:trPr>
        <w:tc>
          <w:tcPr>
            <w:tcW w:w="1669" w:type="dxa"/>
          </w:tcPr>
          <w:p w:rsidR="00A87364" w:rsidRDefault="00A87364" w14:paraId="703FD909" w14:textId="77777777">
            <w:pPr>
              <w:rPr>
                <w:rFonts w:ascii="Times New Roman" w:hAnsi="Times New Roman"/>
              </w:rPr>
            </w:pPr>
            <w:r>
              <w:rPr>
                <w:rFonts w:ascii="Times New Roman" w:hAnsi="Times New Roman"/>
              </w:rPr>
              <w:t>Annual Report</w:t>
            </w:r>
          </w:p>
        </w:tc>
        <w:tc>
          <w:tcPr>
            <w:tcW w:w="1443" w:type="dxa"/>
          </w:tcPr>
          <w:p w:rsidR="00A87364" w:rsidP="008076D8" w:rsidRDefault="00B84FBA" w14:paraId="5C7610CD" w14:textId="5A03A724">
            <w:pPr>
              <w:rPr>
                <w:rFonts w:ascii="Times New Roman" w:hAnsi="Times New Roman"/>
              </w:rPr>
            </w:pPr>
            <w:r>
              <w:rPr>
                <w:rFonts w:ascii="Times New Roman" w:hAnsi="Times New Roman"/>
              </w:rPr>
              <w:t>166</w:t>
            </w:r>
          </w:p>
        </w:tc>
        <w:tc>
          <w:tcPr>
            <w:tcW w:w="1350" w:type="dxa"/>
          </w:tcPr>
          <w:p w:rsidR="00A87364" w:rsidRDefault="00A87364" w14:paraId="386F5CEB" w14:textId="77777777">
            <w:pPr>
              <w:rPr>
                <w:rFonts w:ascii="Times New Roman" w:hAnsi="Times New Roman"/>
              </w:rPr>
            </w:pPr>
            <w:r>
              <w:rPr>
                <w:rFonts w:ascii="Times New Roman" w:hAnsi="Times New Roman"/>
              </w:rPr>
              <w:t>1</w:t>
            </w:r>
          </w:p>
        </w:tc>
        <w:tc>
          <w:tcPr>
            <w:tcW w:w="1230" w:type="dxa"/>
          </w:tcPr>
          <w:p w:rsidR="00A87364" w:rsidP="008076D8" w:rsidRDefault="00B84FBA" w14:paraId="234C720C" w14:textId="593004BE">
            <w:pPr>
              <w:rPr>
                <w:rFonts w:ascii="Times New Roman" w:hAnsi="Times New Roman"/>
              </w:rPr>
            </w:pPr>
            <w:r>
              <w:rPr>
                <w:rFonts w:ascii="Times New Roman" w:hAnsi="Times New Roman"/>
              </w:rPr>
              <w:t>166</w:t>
            </w:r>
          </w:p>
        </w:tc>
        <w:tc>
          <w:tcPr>
            <w:tcW w:w="1176" w:type="dxa"/>
          </w:tcPr>
          <w:p w:rsidR="00A87364" w:rsidRDefault="00ED40C1" w14:paraId="46C0058F" w14:textId="77777777">
            <w:pPr>
              <w:rPr>
                <w:rFonts w:ascii="Times New Roman" w:hAnsi="Times New Roman"/>
              </w:rPr>
            </w:pPr>
            <w:r>
              <w:rPr>
                <w:rFonts w:ascii="Times New Roman" w:hAnsi="Times New Roman"/>
              </w:rPr>
              <w:t>80</w:t>
            </w:r>
          </w:p>
        </w:tc>
        <w:tc>
          <w:tcPr>
            <w:tcW w:w="1176" w:type="dxa"/>
          </w:tcPr>
          <w:p w:rsidR="00A87364" w:rsidP="00F02435" w:rsidRDefault="00B84FBA" w14:paraId="4FA21890" w14:textId="2232BFBF">
            <w:pPr>
              <w:rPr>
                <w:rFonts w:ascii="Times New Roman" w:hAnsi="Times New Roman"/>
              </w:rPr>
            </w:pPr>
            <w:r>
              <w:rPr>
                <w:rFonts w:ascii="Times New Roman" w:hAnsi="Times New Roman"/>
              </w:rPr>
              <w:t>13,280</w:t>
            </w:r>
          </w:p>
        </w:tc>
        <w:tc>
          <w:tcPr>
            <w:tcW w:w="1350" w:type="dxa"/>
          </w:tcPr>
          <w:p w:rsidR="00A87364" w:rsidP="00CF5E77" w:rsidRDefault="00A87364" w14:paraId="18952F72" w14:textId="77777777">
            <w:pPr>
              <w:rPr>
                <w:rFonts w:ascii="Times New Roman" w:hAnsi="Times New Roman"/>
              </w:rPr>
            </w:pPr>
            <w:r>
              <w:rPr>
                <w:rFonts w:ascii="Times New Roman" w:hAnsi="Times New Roman"/>
              </w:rPr>
              <w:t>$</w:t>
            </w:r>
            <w:r w:rsidR="00ED40C1">
              <w:rPr>
                <w:rFonts w:ascii="Times New Roman" w:hAnsi="Times New Roman"/>
              </w:rPr>
              <w:t>8,000</w:t>
            </w:r>
          </w:p>
        </w:tc>
      </w:tr>
      <w:tr w:rsidR="00A87364" w14:paraId="0BFD28AC" w14:textId="77777777">
        <w:trPr>
          <w:jc w:val="center"/>
        </w:trPr>
        <w:tc>
          <w:tcPr>
            <w:tcW w:w="1669" w:type="dxa"/>
          </w:tcPr>
          <w:p w:rsidR="00A87364" w:rsidRDefault="00A87364" w14:paraId="644E96EF" w14:textId="77777777">
            <w:pPr>
              <w:rPr>
                <w:rFonts w:ascii="Times New Roman" w:hAnsi="Times New Roman"/>
              </w:rPr>
            </w:pPr>
            <w:r>
              <w:rPr>
                <w:rFonts w:ascii="Times New Roman" w:hAnsi="Times New Roman"/>
              </w:rPr>
              <w:t>Amended Report</w:t>
            </w:r>
          </w:p>
        </w:tc>
        <w:tc>
          <w:tcPr>
            <w:tcW w:w="1443" w:type="dxa"/>
          </w:tcPr>
          <w:p w:rsidR="00A87364" w:rsidP="008076D8" w:rsidRDefault="00B84FBA" w14:paraId="36014B81" w14:textId="0FF2CA3F">
            <w:pPr>
              <w:rPr>
                <w:rFonts w:ascii="Times New Roman" w:hAnsi="Times New Roman"/>
              </w:rPr>
            </w:pPr>
            <w:r>
              <w:rPr>
                <w:rFonts w:ascii="Times New Roman" w:hAnsi="Times New Roman"/>
              </w:rPr>
              <w:t>166</w:t>
            </w:r>
          </w:p>
        </w:tc>
        <w:tc>
          <w:tcPr>
            <w:tcW w:w="1350" w:type="dxa"/>
          </w:tcPr>
          <w:p w:rsidR="00A87364" w:rsidRDefault="00A87364" w14:paraId="6ABA774A" w14:textId="77777777">
            <w:pPr>
              <w:rPr>
                <w:rFonts w:ascii="Times New Roman" w:hAnsi="Times New Roman"/>
              </w:rPr>
            </w:pPr>
            <w:r>
              <w:rPr>
                <w:rFonts w:ascii="Times New Roman" w:hAnsi="Times New Roman"/>
              </w:rPr>
              <w:t>1</w:t>
            </w:r>
          </w:p>
        </w:tc>
        <w:tc>
          <w:tcPr>
            <w:tcW w:w="1230" w:type="dxa"/>
          </w:tcPr>
          <w:p w:rsidR="00A87364" w:rsidP="008076D8" w:rsidRDefault="00B84FBA" w14:paraId="0E7F5383" w14:textId="70458DC7">
            <w:pPr>
              <w:rPr>
                <w:rFonts w:ascii="Times New Roman" w:hAnsi="Times New Roman"/>
              </w:rPr>
            </w:pPr>
            <w:r>
              <w:rPr>
                <w:rFonts w:ascii="Times New Roman" w:hAnsi="Times New Roman"/>
              </w:rPr>
              <w:t>166</w:t>
            </w:r>
          </w:p>
        </w:tc>
        <w:tc>
          <w:tcPr>
            <w:tcW w:w="1176" w:type="dxa"/>
          </w:tcPr>
          <w:p w:rsidR="00A87364" w:rsidRDefault="00A87364" w14:paraId="45B38535" w14:textId="77777777">
            <w:pPr>
              <w:rPr>
                <w:rFonts w:ascii="Times New Roman" w:hAnsi="Times New Roman"/>
              </w:rPr>
            </w:pPr>
            <w:r>
              <w:rPr>
                <w:rFonts w:ascii="Times New Roman" w:hAnsi="Times New Roman"/>
              </w:rPr>
              <w:t>5</w:t>
            </w:r>
          </w:p>
        </w:tc>
        <w:tc>
          <w:tcPr>
            <w:tcW w:w="1176" w:type="dxa"/>
          </w:tcPr>
          <w:p w:rsidR="00ED40C1" w:rsidP="008076D8" w:rsidRDefault="00B84FBA" w14:paraId="130A1A13" w14:textId="375D02A8">
            <w:pPr>
              <w:rPr>
                <w:rFonts w:ascii="Times New Roman" w:hAnsi="Times New Roman"/>
              </w:rPr>
            </w:pPr>
            <w:r>
              <w:rPr>
                <w:rFonts w:ascii="Times New Roman" w:hAnsi="Times New Roman"/>
              </w:rPr>
              <w:t>830</w:t>
            </w:r>
          </w:p>
        </w:tc>
        <w:tc>
          <w:tcPr>
            <w:tcW w:w="1350" w:type="dxa"/>
          </w:tcPr>
          <w:p w:rsidR="00A87364" w:rsidP="00CF5E77" w:rsidRDefault="00A87364" w14:paraId="0596F9E3" w14:textId="77777777">
            <w:pPr>
              <w:rPr>
                <w:rFonts w:ascii="Times New Roman" w:hAnsi="Times New Roman"/>
              </w:rPr>
            </w:pPr>
            <w:r>
              <w:rPr>
                <w:rFonts w:ascii="Times New Roman" w:hAnsi="Times New Roman"/>
              </w:rPr>
              <w:t>$500</w:t>
            </w:r>
          </w:p>
        </w:tc>
      </w:tr>
      <w:tr w:rsidR="00A87364" w14:paraId="6D2856CD" w14:textId="77777777">
        <w:trPr>
          <w:jc w:val="center"/>
        </w:trPr>
        <w:tc>
          <w:tcPr>
            <w:tcW w:w="1669" w:type="dxa"/>
          </w:tcPr>
          <w:p w:rsidR="00A87364" w:rsidRDefault="00A87364" w14:paraId="0A0E1299" w14:textId="77777777">
            <w:pPr>
              <w:rPr>
                <w:rFonts w:ascii="Times New Roman" w:hAnsi="Times New Roman"/>
              </w:rPr>
            </w:pPr>
            <w:r>
              <w:rPr>
                <w:rFonts w:ascii="Times New Roman" w:hAnsi="Times New Roman"/>
              </w:rPr>
              <w:t>Recordkeeping</w:t>
            </w:r>
          </w:p>
        </w:tc>
        <w:tc>
          <w:tcPr>
            <w:tcW w:w="1443" w:type="dxa"/>
          </w:tcPr>
          <w:p w:rsidR="00A87364" w:rsidP="008076D8" w:rsidRDefault="00B84FBA" w14:paraId="58EC2F54" w14:textId="063BA826">
            <w:pPr>
              <w:rPr>
                <w:rFonts w:ascii="Times New Roman" w:hAnsi="Times New Roman"/>
              </w:rPr>
            </w:pPr>
            <w:r>
              <w:rPr>
                <w:rFonts w:ascii="Times New Roman" w:hAnsi="Times New Roman"/>
              </w:rPr>
              <w:t>166</w:t>
            </w:r>
          </w:p>
        </w:tc>
        <w:tc>
          <w:tcPr>
            <w:tcW w:w="1350" w:type="dxa"/>
          </w:tcPr>
          <w:p w:rsidR="00A87364" w:rsidRDefault="00A87364" w14:paraId="77E088BF" w14:textId="77777777">
            <w:pPr>
              <w:rPr>
                <w:rFonts w:ascii="Times New Roman" w:hAnsi="Times New Roman"/>
              </w:rPr>
            </w:pPr>
            <w:r>
              <w:rPr>
                <w:rFonts w:ascii="Times New Roman" w:hAnsi="Times New Roman"/>
              </w:rPr>
              <w:t>1</w:t>
            </w:r>
          </w:p>
        </w:tc>
        <w:tc>
          <w:tcPr>
            <w:tcW w:w="1230" w:type="dxa"/>
          </w:tcPr>
          <w:p w:rsidR="00A87364" w:rsidP="008076D8" w:rsidRDefault="00B84FBA" w14:paraId="7BEB026A" w14:textId="39AE675D">
            <w:pPr>
              <w:rPr>
                <w:rFonts w:ascii="Times New Roman" w:hAnsi="Times New Roman"/>
              </w:rPr>
            </w:pPr>
            <w:r>
              <w:rPr>
                <w:rFonts w:ascii="Times New Roman" w:hAnsi="Times New Roman"/>
              </w:rPr>
              <w:t>166</w:t>
            </w:r>
          </w:p>
        </w:tc>
        <w:tc>
          <w:tcPr>
            <w:tcW w:w="1176" w:type="dxa"/>
          </w:tcPr>
          <w:p w:rsidR="00A87364" w:rsidRDefault="00ED40C1" w14:paraId="01C8A69B" w14:textId="77777777">
            <w:pPr>
              <w:rPr>
                <w:rFonts w:ascii="Times New Roman" w:hAnsi="Times New Roman"/>
              </w:rPr>
            </w:pPr>
            <w:r>
              <w:rPr>
                <w:rFonts w:ascii="Times New Roman" w:hAnsi="Times New Roman"/>
              </w:rPr>
              <w:t>20</w:t>
            </w:r>
          </w:p>
        </w:tc>
        <w:tc>
          <w:tcPr>
            <w:tcW w:w="1176" w:type="dxa"/>
          </w:tcPr>
          <w:p w:rsidR="00ED40C1" w:rsidP="008076D8" w:rsidRDefault="00B84FBA" w14:paraId="09AC32CC" w14:textId="4F73D50B">
            <w:pPr>
              <w:rPr>
                <w:rFonts w:ascii="Times New Roman" w:hAnsi="Times New Roman"/>
              </w:rPr>
            </w:pPr>
            <w:r>
              <w:rPr>
                <w:rFonts w:ascii="Times New Roman" w:hAnsi="Times New Roman"/>
              </w:rPr>
              <w:t>3,320</w:t>
            </w:r>
          </w:p>
        </w:tc>
        <w:tc>
          <w:tcPr>
            <w:tcW w:w="1350" w:type="dxa"/>
          </w:tcPr>
          <w:p w:rsidR="00A87364" w:rsidP="00CF5E77" w:rsidRDefault="00A87364" w14:paraId="2E256F37" w14:textId="77777777">
            <w:pPr>
              <w:rPr>
                <w:rFonts w:ascii="Times New Roman" w:hAnsi="Times New Roman"/>
              </w:rPr>
            </w:pPr>
            <w:r>
              <w:rPr>
                <w:rFonts w:ascii="Times New Roman" w:hAnsi="Times New Roman"/>
              </w:rPr>
              <w:t>$</w:t>
            </w:r>
            <w:r w:rsidR="00ED40C1">
              <w:rPr>
                <w:rFonts w:ascii="Times New Roman" w:hAnsi="Times New Roman"/>
              </w:rPr>
              <w:t>2,000</w:t>
            </w:r>
          </w:p>
        </w:tc>
      </w:tr>
      <w:tr w:rsidR="00A87364" w14:paraId="6A990F50" w14:textId="77777777">
        <w:trPr>
          <w:jc w:val="center"/>
        </w:trPr>
        <w:tc>
          <w:tcPr>
            <w:tcW w:w="1669" w:type="dxa"/>
          </w:tcPr>
          <w:p w:rsidR="00A87364" w:rsidRDefault="00A87364" w14:paraId="3F96F284" w14:textId="77777777">
            <w:pPr>
              <w:rPr>
                <w:rFonts w:ascii="Times New Roman" w:hAnsi="Times New Roman"/>
              </w:rPr>
            </w:pPr>
          </w:p>
        </w:tc>
        <w:tc>
          <w:tcPr>
            <w:tcW w:w="1443" w:type="dxa"/>
          </w:tcPr>
          <w:p w:rsidR="00A87364" w:rsidRDefault="00A87364" w14:paraId="1CE293BD" w14:textId="77777777">
            <w:pPr>
              <w:rPr>
                <w:rFonts w:ascii="Times New Roman" w:hAnsi="Times New Roman"/>
              </w:rPr>
            </w:pPr>
          </w:p>
        </w:tc>
        <w:tc>
          <w:tcPr>
            <w:tcW w:w="1350" w:type="dxa"/>
          </w:tcPr>
          <w:p w:rsidR="00A87364" w:rsidRDefault="00A87364" w14:paraId="3B4A6EB6" w14:textId="77777777">
            <w:pPr>
              <w:rPr>
                <w:rFonts w:ascii="Times New Roman" w:hAnsi="Times New Roman"/>
              </w:rPr>
            </w:pPr>
          </w:p>
        </w:tc>
        <w:tc>
          <w:tcPr>
            <w:tcW w:w="1230" w:type="dxa"/>
          </w:tcPr>
          <w:p w:rsidR="00A87364" w:rsidRDefault="00A87364" w14:paraId="318606AC" w14:textId="77777777">
            <w:pPr>
              <w:rPr>
                <w:rFonts w:ascii="Times New Roman" w:hAnsi="Times New Roman"/>
              </w:rPr>
            </w:pPr>
          </w:p>
        </w:tc>
        <w:tc>
          <w:tcPr>
            <w:tcW w:w="1176" w:type="dxa"/>
          </w:tcPr>
          <w:p w:rsidR="00A87364" w:rsidRDefault="00A87364" w14:paraId="7DBAC40E" w14:textId="77777777">
            <w:pPr>
              <w:rPr>
                <w:rFonts w:ascii="Times New Roman" w:hAnsi="Times New Roman"/>
              </w:rPr>
            </w:pPr>
          </w:p>
        </w:tc>
        <w:tc>
          <w:tcPr>
            <w:tcW w:w="1176" w:type="dxa"/>
          </w:tcPr>
          <w:p w:rsidR="00A87364" w:rsidRDefault="00A87364" w14:paraId="0100498C" w14:textId="77777777">
            <w:pPr>
              <w:rPr>
                <w:rFonts w:ascii="Times New Roman" w:hAnsi="Times New Roman"/>
              </w:rPr>
            </w:pPr>
          </w:p>
        </w:tc>
        <w:tc>
          <w:tcPr>
            <w:tcW w:w="1350" w:type="dxa"/>
          </w:tcPr>
          <w:p w:rsidR="00A87364" w:rsidRDefault="00A87364" w14:paraId="0312281A" w14:textId="77777777">
            <w:pPr>
              <w:rPr>
                <w:rFonts w:ascii="Times New Roman" w:hAnsi="Times New Roman"/>
              </w:rPr>
            </w:pPr>
          </w:p>
        </w:tc>
      </w:tr>
      <w:tr w:rsidR="00A87364" w14:paraId="3A72C6B6" w14:textId="77777777">
        <w:trPr>
          <w:jc w:val="center"/>
        </w:trPr>
        <w:tc>
          <w:tcPr>
            <w:tcW w:w="1669" w:type="dxa"/>
          </w:tcPr>
          <w:p w:rsidR="00A87364" w:rsidRDefault="00A87364" w14:paraId="0CED594D" w14:textId="77777777">
            <w:pPr>
              <w:rPr>
                <w:rFonts w:ascii="Times New Roman" w:hAnsi="Times New Roman"/>
              </w:rPr>
            </w:pPr>
            <w:r>
              <w:rPr>
                <w:rFonts w:ascii="Times New Roman" w:hAnsi="Times New Roman"/>
              </w:rPr>
              <w:t>Total</w:t>
            </w:r>
          </w:p>
        </w:tc>
        <w:tc>
          <w:tcPr>
            <w:tcW w:w="1443" w:type="dxa"/>
          </w:tcPr>
          <w:p w:rsidR="00A87364" w:rsidRDefault="00A87364" w14:paraId="0887930D" w14:textId="77777777">
            <w:pPr>
              <w:rPr>
                <w:rFonts w:ascii="Times New Roman" w:hAnsi="Times New Roman"/>
              </w:rPr>
            </w:pPr>
          </w:p>
        </w:tc>
        <w:tc>
          <w:tcPr>
            <w:tcW w:w="1350" w:type="dxa"/>
          </w:tcPr>
          <w:p w:rsidR="00A87364" w:rsidRDefault="00A87364" w14:paraId="5421166A" w14:textId="77777777">
            <w:pPr>
              <w:rPr>
                <w:rFonts w:ascii="Times New Roman" w:hAnsi="Times New Roman"/>
              </w:rPr>
            </w:pPr>
          </w:p>
        </w:tc>
        <w:tc>
          <w:tcPr>
            <w:tcW w:w="1230" w:type="dxa"/>
          </w:tcPr>
          <w:p w:rsidR="00A87364" w:rsidRDefault="00A87364" w14:paraId="1465BF4C" w14:textId="77777777">
            <w:pPr>
              <w:rPr>
                <w:rFonts w:ascii="Times New Roman" w:hAnsi="Times New Roman"/>
              </w:rPr>
            </w:pPr>
          </w:p>
        </w:tc>
        <w:tc>
          <w:tcPr>
            <w:tcW w:w="1176" w:type="dxa"/>
          </w:tcPr>
          <w:p w:rsidR="00A87364" w:rsidRDefault="00ED40C1" w14:paraId="1E687179" w14:textId="77777777">
            <w:pPr>
              <w:rPr>
                <w:rFonts w:ascii="Times New Roman" w:hAnsi="Times New Roman"/>
              </w:rPr>
            </w:pPr>
            <w:r>
              <w:rPr>
                <w:rFonts w:ascii="Times New Roman" w:hAnsi="Times New Roman"/>
              </w:rPr>
              <w:t>1,006</w:t>
            </w:r>
          </w:p>
        </w:tc>
        <w:tc>
          <w:tcPr>
            <w:tcW w:w="1176" w:type="dxa"/>
          </w:tcPr>
          <w:p w:rsidR="00A87364" w:rsidP="008076D8" w:rsidRDefault="00B84FBA" w14:paraId="27D5DE8A" w14:textId="70062ED5">
            <w:pPr>
              <w:rPr>
                <w:rFonts w:ascii="Times New Roman" w:hAnsi="Times New Roman"/>
              </w:rPr>
            </w:pPr>
            <w:r>
              <w:rPr>
                <w:rFonts w:ascii="Times New Roman" w:hAnsi="Times New Roman"/>
              </w:rPr>
              <w:t>166,996</w:t>
            </w:r>
          </w:p>
        </w:tc>
        <w:tc>
          <w:tcPr>
            <w:tcW w:w="1350" w:type="dxa"/>
          </w:tcPr>
          <w:p w:rsidR="00A87364" w:rsidP="00CF5E77" w:rsidRDefault="00A87364" w14:paraId="52C714B8" w14:textId="77777777">
            <w:pPr>
              <w:rPr>
                <w:rFonts w:ascii="Times New Roman" w:hAnsi="Times New Roman"/>
              </w:rPr>
            </w:pPr>
            <w:r>
              <w:rPr>
                <w:rFonts w:ascii="Times New Roman" w:hAnsi="Times New Roman"/>
              </w:rPr>
              <w:t>$</w:t>
            </w:r>
            <w:r w:rsidR="00ED40C1">
              <w:rPr>
                <w:rFonts w:ascii="Times New Roman" w:hAnsi="Times New Roman"/>
              </w:rPr>
              <w:t>100,600</w:t>
            </w:r>
          </w:p>
        </w:tc>
      </w:tr>
    </w:tbl>
    <w:p w:rsidR="00A87364" w:rsidRDefault="00A87364" w14:paraId="603E1539" w14:textId="77777777">
      <w:pPr>
        <w:pStyle w:val="Title"/>
        <w:tabs>
          <w:tab w:val="center" w:pos="7200"/>
        </w:tabs>
        <w:spacing w:after="480"/>
        <w:ind w:left="1440"/>
        <w:jc w:val="left"/>
        <w:rPr>
          <w:b w:val="0"/>
          <w:sz w:val="24"/>
          <w:szCs w:val="24"/>
        </w:rPr>
      </w:pPr>
    </w:p>
    <w:p w:rsidR="00A87364" w:rsidRDefault="00A87364" w14:paraId="48C11522" w14:textId="77777777">
      <w:pPr>
        <w:jc w:val="both"/>
        <w:rPr>
          <w:rFonts w:ascii="Times New Roman" w:hAnsi="Times New Roman"/>
        </w:rPr>
      </w:pPr>
    </w:p>
    <w:sectPr w:rsidR="00A87364" w:rsidSect="00F571EE">
      <w:footerReference w:type="default" r:id="rId1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inh, Thuy B." w:date="2022-04-18T18:34:00Z" w:initials="DTB">
    <w:p w14:paraId="0DC6730C" w14:textId="77777777" w:rsidR="00DC161E" w:rsidRPr="00DC161E" w:rsidRDefault="00DC161E">
      <w:pPr>
        <w:pStyle w:val="CommentText"/>
        <w:rPr>
          <w:b/>
        </w:rPr>
      </w:pPr>
      <w:r>
        <w:rPr>
          <w:rStyle w:val="CommentReference"/>
        </w:rPr>
        <w:annotationRef/>
      </w:r>
      <w:r>
        <w:t xml:space="preserve">Please update to the May 2021 BLS Pay Scale (pub. 3/31/2022), </w:t>
      </w:r>
      <w:r w:rsidRPr="00DC161E">
        <w:t>https://www.bls.gov/oes/current/naics3_523000.htm#23-0000</w:t>
      </w:r>
    </w:p>
  </w:comment>
  <w:comment w:id="3" w:author="Dinh, Thuy B." w:date="2022-04-18T18:38:00Z" w:initials="DTB">
    <w:p w14:paraId="113855E6" w14:textId="77777777" w:rsidR="00245FB2" w:rsidRDefault="00245FB2">
      <w:pPr>
        <w:pStyle w:val="CommentText"/>
      </w:pPr>
      <w:r>
        <w:rPr>
          <w:rStyle w:val="CommentReference"/>
        </w:rPr>
        <w:annotationRef/>
      </w:r>
      <w:r>
        <w:t>I assume – aside from the reduction in # of respondents -- the burden hours per each respondent have remained the same since the last renewal? If so, please include.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C6730C" w15:done="0"/>
  <w15:commentEx w15:paraId="11385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6730C" w16cid:durableId="26082DD1"/>
  <w16cid:commentId w16cid:paraId="113855E6" w16cid:durableId="26082E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B232" w14:textId="77777777" w:rsidR="00193663" w:rsidRDefault="00193663">
      <w:r>
        <w:separator/>
      </w:r>
    </w:p>
  </w:endnote>
  <w:endnote w:type="continuationSeparator" w:id="0">
    <w:p w14:paraId="69900E1D" w14:textId="77777777" w:rsidR="00193663" w:rsidRDefault="0019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FD40" w14:textId="77777777" w:rsidR="00DE10E7" w:rsidRDefault="00DE10E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E170E">
      <w:rPr>
        <w:rFonts w:ascii="Times New Roman" w:hAnsi="Times New Roman"/>
        <w:noProof/>
        <w:sz w:val="20"/>
        <w:szCs w:val="20"/>
      </w:rPr>
      <w:t>11</w:t>
    </w:r>
    <w:r>
      <w:rPr>
        <w:rFonts w:ascii="Times New Roman" w:hAnsi="Times New Roman"/>
        <w:sz w:val="20"/>
        <w:szCs w:val="20"/>
      </w:rPr>
      <w:fldChar w:fldCharType="end"/>
    </w:r>
  </w:p>
  <w:p w14:paraId="217659CB" w14:textId="77777777" w:rsidR="00DE10E7" w:rsidRDefault="00DE1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4CED" w14:textId="77777777" w:rsidR="00193663" w:rsidRDefault="00193663">
      <w:r>
        <w:separator/>
      </w:r>
    </w:p>
  </w:footnote>
  <w:footnote w:type="continuationSeparator" w:id="0">
    <w:p w14:paraId="5DCF5693" w14:textId="77777777" w:rsidR="00193663" w:rsidRDefault="00193663">
      <w:r>
        <w:continuationSeparator/>
      </w:r>
    </w:p>
  </w:footnote>
  <w:footnote w:id="1">
    <w:p w14:paraId="3BA2B53D" w14:textId="7863AE1F" w:rsidR="0080025E" w:rsidRPr="007353C0" w:rsidRDefault="0080025E" w:rsidP="0080025E">
      <w:pPr>
        <w:pStyle w:val="FootnoteText"/>
      </w:pPr>
      <w:r w:rsidRPr="007353C0">
        <w:rPr>
          <w:rStyle w:val="FootnoteReference"/>
        </w:rPr>
        <w:footnoteRef/>
      </w:r>
      <w:r w:rsidRPr="007353C0">
        <w:t xml:space="preserve"> </w:t>
      </w:r>
      <w:r w:rsidRPr="00FF38E3">
        <w:rPr>
          <w:i/>
        </w:rPr>
        <w:t>See</w:t>
      </w:r>
      <w:r w:rsidR="00DC161E">
        <w:rPr>
          <w:i/>
          <w:iCs/>
        </w:rPr>
        <w:t xml:space="preserve"> </w:t>
      </w:r>
      <w:r w:rsidR="00DC161E" w:rsidRPr="00DC161E">
        <w:rPr>
          <w:i/>
          <w:iCs/>
        </w:rPr>
        <w:t>https://www.bls.gov/oes/current/naics3_523000.htm#23-0000</w:t>
      </w:r>
      <w:r w:rsidRPr="00FF38E3">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nh, Thuy B.">
    <w15:presenceInfo w15:providerId="AD" w15:userId="S-1-5-21-96684026-2016433362-395341576-1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F2"/>
    <w:rsid w:val="00064AF4"/>
    <w:rsid w:val="00074964"/>
    <w:rsid w:val="000832EF"/>
    <w:rsid w:val="00093F94"/>
    <w:rsid w:val="000D26F5"/>
    <w:rsid w:val="000E5607"/>
    <w:rsid w:val="001236E2"/>
    <w:rsid w:val="0014737F"/>
    <w:rsid w:val="00152ADE"/>
    <w:rsid w:val="00154C3D"/>
    <w:rsid w:val="00173BD3"/>
    <w:rsid w:val="00193663"/>
    <w:rsid w:val="00197A34"/>
    <w:rsid w:val="001D7A5F"/>
    <w:rsid w:val="001E19C5"/>
    <w:rsid w:val="00203335"/>
    <w:rsid w:val="00245FB2"/>
    <w:rsid w:val="00262A2A"/>
    <w:rsid w:val="002807BA"/>
    <w:rsid w:val="00282541"/>
    <w:rsid w:val="00296CBF"/>
    <w:rsid w:val="002D29C2"/>
    <w:rsid w:val="002E4537"/>
    <w:rsid w:val="002E5D85"/>
    <w:rsid w:val="00321B24"/>
    <w:rsid w:val="00357EE1"/>
    <w:rsid w:val="003611EA"/>
    <w:rsid w:val="00396977"/>
    <w:rsid w:val="003C6690"/>
    <w:rsid w:val="003E1A2D"/>
    <w:rsid w:val="003E4719"/>
    <w:rsid w:val="003F6CDB"/>
    <w:rsid w:val="00402CCA"/>
    <w:rsid w:val="00425DDD"/>
    <w:rsid w:val="0043787E"/>
    <w:rsid w:val="00440F6F"/>
    <w:rsid w:val="00464933"/>
    <w:rsid w:val="004963E6"/>
    <w:rsid w:val="004A24BA"/>
    <w:rsid w:val="0051779D"/>
    <w:rsid w:val="00556917"/>
    <w:rsid w:val="00567435"/>
    <w:rsid w:val="00573F11"/>
    <w:rsid w:val="005B72A1"/>
    <w:rsid w:val="005E170E"/>
    <w:rsid w:val="005E3D1F"/>
    <w:rsid w:val="00652F29"/>
    <w:rsid w:val="00687DF1"/>
    <w:rsid w:val="006926F9"/>
    <w:rsid w:val="006F4391"/>
    <w:rsid w:val="006F664E"/>
    <w:rsid w:val="00733039"/>
    <w:rsid w:val="00741E4A"/>
    <w:rsid w:val="0074474B"/>
    <w:rsid w:val="00780388"/>
    <w:rsid w:val="007A1F84"/>
    <w:rsid w:val="007B30F2"/>
    <w:rsid w:val="007B45DA"/>
    <w:rsid w:val="007B7A76"/>
    <w:rsid w:val="007E2E2B"/>
    <w:rsid w:val="007E48C5"/>
    <w:rsid w:val="0080025E"/>
    <w:rsid w:val="008076D8"/>
    <w:rsid w:val="008546E4"/>
    <w:rsid w:val="0089616B"/>
    <w:rsid w:val="008A4795"/>
    <w:rsid w:val="008B2F7B"/>
    <w:rsid w:val="008B6D4F"/>
    <w:rsid w:val="008B7643"/>
    <w:rsid w:val="008D616A"/>
    <w:rsid w:val="008E4CC9"/>
    <w:rsid w:val="008F7D30"/>
    <w:rsid w:val="00905324"/>
    <w:rsid w:val="009401AB"/>
    <w:rsid w:val="00956691"/>
    <w:rsid w:val="00963FB7"/>
    <w:rsid w:val="009831BE"/>
    <w:rsid w:val="00990550"/>
    <w:rsid w:val="00995E31"/>
    <w:rsid w:val="009B2BE6"/>
    <w:rsid w:val="009B6D66"/>
    <w:rsid w:val="009C0491"/>
    <w:rsid w:val="009E0760"/>
    <w:rsid w:val="009E22A5"/>
    <w:rsid w:val="00A04F47"/>
    <w:rsid w:val="00A13628"/>
    <w:rsid w:val="00A87364"/>
    <w:rsid w:val="00AB3222"/>
    <w:rsid w:val="00AC5301"/>
    <w:rsid w:val="00B2750A"/>
    <w:rsid w:val="00B362A0"/>
    <w:rsid w:val="00B37ECF"/>
    <w:rsid w:val="00B411CF"/>
    <w:rsid w:val="00B46A04"/>
    <w:rsid w:val="00B578C1"/>
    <w:rsid w:val="00B6081B"/>
    <w:rsid w:val="00B84FBA"/>
    <w:rsid w:val="00B97745"/>
    <w:rsid w:val="00BE234D"/>
    <w:rsid w:val="00C570FA"/>
    <w:rsid w:val="00C77104"/>
    <w:rsid w:val="00CA6889"/>
    <w:rsid w:val="00CB0846"/>
    <w:rsid w:val="00CF5E77"/>
    <w:rsid w:val="00D3469B"/>
    <w:rsid w:val="00D46102"/>
    <w:rsid w:val="00D50B28"/>
    <w:rsid w:val="00D51052"/>
    <w:rsid w:val="00DC161E"/>
    <w:rsid w:val="00DD102C"/>
    <w:rsid w:val="00DE10E7"/>
    <w:rsid w:val="00DF301B"/>
    <w:rsid w:val="00E14D45"/>
    <w:rsid w:val="00E3480D"/>
    <w:rsid w:val="00E85557"/>
    <w:rsid w:val="00E9499E"/>
    <w:rsid w:val="00ED40C1"/>
    <w:rsid w:val="00F02435"/>
    <w:rsid w:val="00F1126D"/>
    <w:rsid w:val="00F23430"/>
    <w:rsid w:val="00F571EE"/>
    <w:rsid w:val="00F8716E"/>
    <w:rsid w:val="00FA5C25"/>
    <w:rsid w:val="00FC6C57"/>
    <w:rsid w:val="00FE0C18"/>
    <w:rsid w:val="00FE7F7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C7FEA"/>
  <w15:chartTrackingRefBased/>
  <w15:docId w15:val="{81230EC4-A1F4-4942-A405-308A5EDA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9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uiPriority w:val="99"/>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12,Nota,Footnote symbol,Footnote,Appel note de bas de p,BVI fnr,SUPERS,Footnote Reference Superscript,(Footnote Reference),Footnote reference number,note TESI,EN Footnote Reference,Voetnootverwijzing"/>
    <w:uiPriority w:val="99"/>
    <w:qFormat/>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sid w:val="00FE0C18"/>
    <w:rPr>
      <w:sz w:val="16"/>
      <w:szCs w:val="16"/>
    </w:rPr>
  </w:style>
  <w:style w:type="paragraph" w:styleId="CommentText">
    <w:name w:val="annotation text"/>
    <w:basedOn w:val="Normal"/>
    <w:link w:val="CommentTextChar"/>
    <w:rsid w:val="00FE0C18"/>
    <w:rPr>
      <w:sz w:val="20"/>
      <w:szCs w:val="20"/>
    </w:rPr>
  </w:style>
  <w:style w:type="character" w:customStyle="1" w:styleId="CommentTextChar">
    <w:name w:val="Comment Text Char"/>
    <w:link w:val="CommentText"/>
    <w:rsid w:val="00FE0C18"/>
    <w:rPr>
      <w:rFonts w:ascii="Arial" w:hAnsi="Arial"/>
    </w:rPr>
  </w:style>
  <w:style w:type="paragraph" w:styleId="CommentSubject">
    <w:name w:val="annotation subject"/>
    <w:basedOn w:val="CommentText"/>
    <w:next w:val="CommentText"/>
    <w:link w:val="CommentSubjectChar"/>
    <w:rsid w:val="00FE0C18"/>
    <w:rPr>
      <w:b/>
      <w:bCs/>
    </w:rPr>
  </w:style>
  <w:style w:type="character" w:customStyle="1" w:styleId="CommentSubjectChar">
    <w:name w:val="Comment Subject Char"/>
    <w:link w:val="CommentSubject"/>
    <w:rsid w:val="00FE0C1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6487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34A6-4A1E-43B6-927D-9EBB82BD583C}">
  <ds:schemaRefs>
    <ds:schemaRef ds:uri="http://schemas.microsoft.com/sharepoint/v3/contenttype/forms"/>
  </ds:schemaRefs>
</ds:datastoreItem>
</file>

<file path=customXml/itemProps2.xml><?xml version="1.0" encoding="utf-8"?>
<ds:datastoreItem xmlns:ds="http://schemas.openxmlformats.org/officeDocument/2006/customXml" ds:itemID="{28C7D325-EF7F-4A80-857F-675BCFB55A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66748FC-30D2-4FD1-B97B-90341099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EBC15B-57E7-46BB-9969-D293495F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4050</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3</cp:revision>
  <cp:lastPrinted>2012-02-10T20:51:00Z</cp:lastPrinted>
  <dcterms:created xsi:type="dcterms:W3CDTF">2022-07-01T23:05:00Z</dcterms:created>
  <dcterms:modified xsi:type="dcterms:W3CDTF">2022-07-01T23:07:00Z</dcterms:modified>
</cp:coreProperties>
</file>