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A7432" w14:paraId="7250C5F4" w14:textId="77777777">
      <w:pPr>
        <w:pStyle w:val="Heading2"/>
        <w:shd w:val="clear" w:color="auto" w:fill="FFFFFF" w:themeFill="background1"/>
        <w:tabs>
          <w:tab w:val="left" w:pos="900"/>
        </w:tabs>
        <w:ind w:right="-180"/>
        <w:jc w:val="left"/>
        <w:rPr>
          <w:b w:val="0"/>
        </w:rPr>
      </w:pPr>
    </w:p>
    <w:p w:rsidR="00E50293" w:rsidRPr="008222BD" w:rsidP="008222BD" w14:paraId="7250C5F5" w14:textId="549FDA96">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001B5CA1">
        <w:rPr>
          <w:b w:val="0"/>
        </w:rPr>
        <w:t xml:space="preserve"> Consumer </w:t>
      </w:r>
      <w:r w:rsidR="00643786">
        <w:rPr>
          <w:b w:val="0"/>
        </w:rPr>
        <w:t>F</w:t>
      </w:r>
      <w:r w:rsidR="001B5CA1">
        <w:rPr>
          <w:b w:val="0"/>
        </w:rPr>
        <w:t xml:space="preserve">ocus </w:t>
      </w:r>
      <w:r w:rsidR="00643786">
        <w:rPr>
          <w:b w:val="0"/>
        </w:rPr>
        <w:t>G</w:t>
      </w:r>
      <w:r w:rsidR="001B5CA1">
        <w:rPr>
          <w:b w:val="0"/>
        </w:rPr>
        <w:t xml:space="preserve">roups on </w:t>
      </w:r>
      <w:r w:rsidR="00643786">
        <w:rPr>
          <w:b w:val="0"/>
        </w:rPr>
        <w:t>F</w:t>
      </w:r>
      <w:r w:rsidR="001B5CA1">
        <w:rPr>
          <w:b w:val="0"/>
        </w:rPr>
        <w:t xml:space="preserve">inancial </w:t>
      </w:r>
      <w:r w:rsidR="00643786">
        <w:rPr>
          <w:b w:val="0"/>
        </w:rPr>
        <w:t>T</w:t>
      </w:r>
      <w:r w:rsidR="001B5CA1">
        <w:rPr>
          <w:b w:val="0"/>
        </w:rPr>
        <w:t>opics</w:t>
      </w:r>
    </w:p>
    <w:p w:rsidR="00D825DB" w:rsidRPr="008222BD" w14:paraId="7250C5F7" w14:textId="77777777"/>
    <w:p w:rsidR="001B0AAA" w:rsidRPr="00410F81" w14:paraId="7250C5F8" w14:textId="77777777">
      <w:r w:rsidRPr="008222BD">
        <w:t xml:space="preserve">2. </w:t>
      </w:r>
      <w:r w:rsidRPr="00410F81" w:rsidR="00F15956">
        <w:rPr>
          <w:b/>
        </w:rPr>
        <w:t>PURPOSE</w:t>
      </w:r>
      <w:r w:rsidRPr="008222BD" w:rsidR="00F15956">
        <w:t>:</w:t>
      </w:r>
      <w:r w:rsidRPr="008222BD" w:rsidR="00C14CC4">
        <w:t xml:space="preserve"> </w:t>
      </w:r>
    </w:p>
    <w:p w:rsidR="00390AF8" w:rsidP="006D4FD2" w14:paraId="7E4377E5" w14:textId="029AF6B8">
      <w:pPr>
        <w:autoSpaceDE w:val="0"/>
        <w:autoSpaceDN w:val="0"/>
        <w:adjustRightInd w:val="0"/>
        <w:rPr>
          <w:color w:val="000000"/>
        </w:rPr>
      </w:pPr>
      <w:r>
        <w:rPr>
          <w:color w:val="000000"/>
        </w:rPr>
        <w:t>T</w:t>
      </w:r>
      <w:r w:rsidRPr="00E0426D">
        <w:rPr>
          <w:color w:val="000000"/>
        </w:rPr>
        <w:t xml:space="preserve">he </w:t>
      </w:r>
      <w:r w:rsidR="005672CE">
        <w:rPr>
          <w:color w:val="000000"/>
        </w:rPr>
        <w:t>Consumer Financial Protection Bureau</w:t>
      </w:r>
      <w:r w:rsidRPr="00E0426D">
        <w:rPr>
          <w:color w:val="000000"/>
        </w:rPr>
        <w:t xml:space="preserve"> </w:t>
      </w:r>
      <w:r w:rsidR="006D4FD2">
        <w:rPr>
          <w:color w:val="000000"/>
        </w:rPr>
        <w:t xml:space="preserve">(CFPB) </w:t>
      </w:r>
      <w:r w:rsidRPr="00E0426D">
        <w:rPr>
          <w:color w:val="000000"/>
        </w:rPr>
        <w:t>is conduct</w:t>
      </w:r>
      <w:r w:rsidR="005672CE">
        <w:rPr>
          <w:color w:val="000000"/>
        </w:rPr>
        <w:t>ing</w:t>
      </w:r>
      <w:r w:rsidRPr="00E0426D">
        <w:rPr>
          <w:color w:val="000000"/>
        </w:rPr>
        <w:t xml:space="preserve"> qualitative research to better understand </w:t>
      </w:r>
      <w:r>
        <w:rPr>
          <w:color w:val="000000"/>
        </w:rPr>
        <w:t xml:space="preserve">the knowledge, </w:t>
      </w:r>
      <w:r w:rsidRPr="00E0426D">
        <w:rPr>
          <w:color w:val="000000"/>
        </w:rPr>
        <w:t xml:space="preserve">experiences, and behavior of economically vulnerable consumers related to financial products and services.  Specifically, the goal of this research is to obtain insights into the </w:t>
      </w:r>
      <w:r>
        <w:rPr>
          <w:color w:val="000000"/>
        </w:rPr>
        <w:t xml:space="preserve">knowledge and experiences of </w:t>
      </w:r>
      <w:r w:rsidRPr="00E0426D">
        <w:rPr>
          <w:color w:val="000000"/>
        </w:rPr>
        <w:t xml:space="preserve">consumers </w:t>
      </w:r>
      <w:r>
        <w:rPr>
          <w:color w:val="000000"/>
        </w:rPr>
        <w:t>with three</w:t>
      </w:r>
      <w:r w:rsidRPr="00E0426D">
        <w:rPr>
          <w:color w:val="000000"/>
        </w:rPr>
        <w:t xml:space="preserve"> topic areas:</w:t>
      </w:r>
      <w:r w:rsidR="00753F80">
        <w:rPr>
          <w:color w:val="000000"/>
        </w:rPr>
        <w:t xml:space="preserve"> o</w:t>
      </w:r>
      <w:r w:rsidRPr="00E0426D">
        <w:rPr>
          <w:color w:val="000000"/>
        </w:rPr>
        <w:t>verdraft programs</w:t>
      </w:r>
      <w:r w:rsidR="0070164B">
        <w:rPr>
          <w:color w:val="000000"/>
        </w:rPr>
        <w:t xml:space="preserve"> and checking account access, cr</w:t>
      </w:r>
      <w:r w:rsidRPr="00E0426D">
        <w:rPr>
          <w:color w:val="000000"/>
        </w:rPr>
        <w:t>edit report</w:t>
      </w:r>
      <w:r>
        <w:rPr>
          <w:color w:val="000000"/>
        </w:rPr>
        <w:t>s and scores</w:t>
      </w:r>
      <w:r w:rsidR="008E746E">
        <w:rPr>
          <w:color w:val="000000"/>
        </w:rPr>
        <w:t>, and b</w:t>
      </w:r>
      <w:r>
        <w:rPr>
          <w:color w:val="000000"/>
        </w:rPr>
        <w:t>ackground screening in h</w:t>
      </w:r>
      <w:r w:rsidRPr="00E0426D">
        <w:rPr>
          <w:color w:val="000000"/>
        </w:rPr>
        <w:t xml:space="preserve">ousing and </w:t>
      </w:r>
      <w:r>
        <w:rPr>
          <w:color w:val="000000"/>
        </w:rPr>
        <w:t>employmen</w:t>
      </w:r>
      <w:r w:rsidR="00AD1142">
        <w:rPr>
          <w:color w:val="000000"/>
        </w:rPr>
        <w:t>t. This data collection will use focus groups and one-on-one interviews to understand the exper</w:t>
      </w:r>
      <w:r w:rsidR="00120BE5">
        <w:rPr>
          <w:color w:val="000000"/>
        </w:rPr>
        <w:t>iences of economically</w:t>
      </w:r>
      <w:r w:rsidR="005B6DB4">
        <w:rPr>
          <w:color w:val="000000"/>
        </w:rPr>
        <w:t xml:space="preserve"> vulnerable consumers with </w:t>
      </w:r>
      <w:r w:rsidR="005B051F">
        <w:rPr>
          <w:color w:val="000000"/>
        </w:rPr>
        <w:t>these financial product and services</w:t>
      </w:r>
      <w:r w:rsidR="00320250">
        <w:rPr>
          <w:color w:val="000000"/>
        </w:rPr>
        <w:t>.</w:t>
      </w:r>
      <w:r>
        <w:rPr>
          <w:color w:val="000000"/>
        </w:rPr>
        <w:t xml:space="preserve"> </w:t>
      </w:r>
      <w:r w:rsidR="0049617F">
        <w:rPr>
          <w:color w:val="000000"/>
        </w:rPr>
        <w:t>Additionally, we will seek information on consumer beliefs about the effects of product features and how those beliefs influence consumer financial decision-making.</w:t>
      </w:r>
    </w:p>
    <w:p w:rsidR="00390AF8" w:rsidP="006D4FD2" w14:paraId="3C25D070" w14:textId="77777777">
      <w:pPr>
        <w:autoSpaceDE w:val="0"/>
        <w:autoSpaceDN w:val="0"/>
        <w:adjustRightInd w:val="0"/>
        <w:rPr>
          <w:color w:val="000000"/>
        </w:rPr>
      </w:pPr>
    </w:p>
    <w:p w:rsidR="006D4FD2" w:rsidP="006D4FD2" w14:paraId="4DC6414A" w14:textId="7D5B8C64">
      <w:pPr>
        <w:autoSpaceDE w:val="0"/>
        <w:autoSpaceDN w:val="0"/>
        <w:adjustRightInd w:val="0"/>
        <w:rPr>
          <w:color w:val="000000"/>
        </w:rPr>
      </w:pPr>
      <w:r>
        <w:rPr>
          <w:color w:val="000000"/>
        </w:rPr>
        <w:t xml:space="preserve">The information gathered will help </w:t>
      </w:r>
      <w:bookmarkStart w:id="0" w:name="_Hlk94287094"/>
      <w:r>
        <w:rPr>
          <w:color w:val="000000"/>
        </w:rPr>
        <w:t>inform the CFPB</w:t>
      </w:r>
      <w:r w:rsidR="000B6866">
        <w:rPr>
          <w:color w:val="000000"/>
        </w:rPr>
        <w:t>’</w:t>
      </w:r>
      <w:r w:rsidR="00EF6F37">
        <w:rPr>
          <w:color w:val="000000"/>
        </w:rPr>
        <w:t>s</w:t>
      </w:r>
      <w:r w:rsidR="000B6866">
        <w:rPr>
          <w:color w:val="000000"/>
        </w:rPr>
        <w:t xml:space="preserve"> consumer education efforts </w:t>
      </w:r>
      <w:r w:rsidR="005B6DB4">
        <w:rPr>
          <w:color w:val="000000"/>
        </w:rPr>
        <w:t xml:space="preserve">and future research work </w:t>
      </w:r>
      <w:r w:rsidR="000B6866">
        <w:rPr>
          <w:color w:val="000000"/>
        </w:rPr>
        <w:t>on these</w:t>
      </w:r>
      <w:r w:rsidR="00EF6F37">
        <w:rPr>
          <w:color w:val="000000"/>
        </w:rPr>
        <w:t xml:space="preserve"> financial topics.</w:t>
      </w:r>
      <w:r w:rsidR="000B6866">
        <w:rPr>
          <w:color w:val="000000"/>
        </w:rPr>
        <w:t xml:space="preserve"> </w:t>
      </w:r>
      <w:r>
        <w:rPr>
          <w:color w:val="000000"/>
        </w:rPr>
        <w:t xml:space="preserve"> </w:t>
      </w:r>
    </w:p>
    <w:bookmarkEnd w:id="0"/>
    <w:p w:rsidR="00CC3787" w:rsidRPr="00713D29" w14:paraId="5B1FC57E" w14:textId="77777777"/>
    <w:p w:rsidR="00434E33" w:rsidRPr="00713D29" w:rsidP="00434E33" w14:paraId="7250C5FB"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rsidRPr="00713D29" w14:paraId="7250C5FC" w14:textId="77777777"/>
    <w:p w:rsidR="001A09E0" w14:paraId="7250C5FD" w14:textId="1F6348A8">
      <w:r>
        <w:t xml:space="preserve">The </w:t>
      </w:r>
      <w:r w:rsidR="00390AF8">
        <w:t xml:space="preserve">focus groups and interview participants </w:t>
      </w:r>
      <w:r>
        <w:t>will b</w:t>
      </w:r>
      <w:r w:rsidR="0064286D">
        <w:t xml:space="preserve">e a diverse group of individual consumers who are low to moderate income (defined as incomes </w:t>
      </w:r>
      <w:r w:rsidR="00B15360">
        <w:t>up to</w:t>
      </w:r>
      <w:r w:rsidR="0064286D">
        <w:t xml:space="preserve"> </w:t>
      </w:r>
      <w:r w:rsidR="00E647EA">
        <w:t>$80,000</w:t>
      </w:r>
      <w:r w:rsidR="00B15360">
        <w:t>, depending on family size</w:t>
      </w:r>
      <w:r w:rsidR="00E647EA">
        <w:t xml:space="preserve">).  The consumers will be selected to reflect </w:t>
      </w:r>
      <w:r w:rsidRPr="00101670" w:rsidR="00101670">
        <w:t>a broad breakdown of race/ethnicity, geographic location, age, and education</w:t>
      </w:r>
      <w:r w:rsidR="00101670">
        <w:t xml:space="preserve"> levels</w:t>
      </w:r>
      <w:r w:rsidR="00295147">
        <w:t xml:space="preserve">.  They will also be selected to include people </w:t>
      </w:r>
      <w:r w:rsidR="00612975">
        <w:t>with a</w:t>
      </w:r>
      <w:r w:rsidR="00295147">
        <w:t xml:space="preserve"> </w:t>
      </w:r>
      <w:r w:rsidR="00BE26E4">
        <w:t>range of levels of experience with the specific financial products and service</w:t>
      </w:r>
      <w:r w:rsidR="000B1742">
        <w:t xml:space="preserve">s that are the subject of this data collection.  </w:t>
      </w:r>
      <w:r w:rsidR="00101670">
        <w:t xml:space="preserve">  </w:t>
      </w:r>
    </w:p>
    <w:p w:rsidR="008E746E" w:rsidRPr="00713D29" w14:paraId="7EE193C2" w14:textId="77777777"/>
    <w:p w:rsidR="007353C3" w:rsidRPr="008222BD" w:rsidP="007353C3" w14:paraId="7250C5FE"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77777777">
      <w:pPr>
        <w:pStyle w:val="ListParagraph"/>
        <w:ind w:left="460" w:right="721"/>
      </w:pPr>
      <w:r w:rsidRPr="00410F81">
        <w:tab/>
      </w:r>
      <w:r w:rsidRPr="00410F81">
        <w:tab/>
      </w:r>
      <w:r w:rsidRPr="00713D29">
        <w:t>[  ] Web-based or other forms of Social Media</w:t>
      </w:r>
      <w:r w:rsidRPr="00713D29">
        <w:tab/>
        <w:t xml:space="preserve">[  ] Telephone    </w:t>
      </w:r>
    </w:p>
    <w:p w:rsidR="007353C3" w:rsidRPr="00713D29" w:rsidP="007353C3" w14:paraId="7250C603" w14:textId="77777777">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 Mail</w:t>
      </w:r>
    </w:p>
    <w:p w:rsidR="007353C3" w:rsidRPr="00713D29" w:rsidP="00904A95" w14:paraId="7250C605" w14:textId="20A55871">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003F4502">
        <w:t>X</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3F4502">
        <w:t>X</w:t>
      </w:r>
      <w:r w:rsidRPr="00713D29">
        <w:t>] Other</w:t>
      </w:r>
      <w:r w:rsidRPr="00713D29" w:rsidR="00635087">
        <w:t xml:space="preserve"> (please e</w:t>
      </w:r>
      <w:r w:rsidRPr="00713D29">
        <w:t>xplain</w:t>
      </w:r>
      <w:r w:rsidRPr="00713D29" w:rsidR="00635087">
        <w:t>)</w:t>
      </w:r>
      <w:r w:rsidRPr="00713D29">
        <w:t xml:space="preserve"> _</w:t>
      </w:r>
      <w:r w:rsidR="008E746E">
        <w:t xml:space="preserve">focus groups and </w:t>
      </w:r>
      <w:r w:rsidR="00904A95">
        <w:t xml:space="preserve">one-on-one </w:t>
      </w:r>
      <w:r w:rsidR="008E746E">
        <w:t xml:space="preserve">interviews </w:t>
      </w:r>
      <w:r w:rsidR="005C1704">
        <w:t xml:space="preserve">via </w:t>
      </w:r>
      <w:r w:rsidR="00904A95">
        <w:t>virtual platform</w:t>
      </w:r>
      <w:r w:rsidRPr="00713D29">
        <w:tab/>
      </w: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7CA53F0D">
      <w:pPr>
        <w:pStyle w:val="ListParagraph"/>
        <w:ind w:left="460" w:right="721"/>
      </w:pPr>
      <w:r w:rsidRPr="00713D29">
        <w:tab/>
      </w:r>
      <w:r w:rsidRPr="00713D29">
        <w:tab/>
        <w:t>[</w:t>
      </w:r>
      <w:r w:rsidR="003F4502">
        <w:t>X</w:t>
      </w:r>
      <w:r w:rsidRPr="00713D29">
        <w:t xml:space="preserve">] Yes </w:t>
      </w:r>
      <w:r w:rsidRPr="00713D29" w:rsidR="00635087">
        <w:t xml:space="preserve"> </w:t>
      </w:r>
      <w:r w:rsidRPr="00713D29">
        <w:t xml:space="preserve">[  ] No </w:t>
      </w:r>
      <w:r w:rsidRPr="00713D29" w:rsidR="00635087">
        <w:t xml:space="preserve"> </w:t>
      </w:r>
      <w:r w:rsidRPr="00713D29">
        <w:t>[  ] Not Applicable</w:t>
      </w:r>
    </w:p>
    <w:p w:rsidR="007353C3" w:rsidRPr="00713D29" w:rsidP="007353C3" w14:paraId="7250C609" w14:textId="77777777">
      <w:pPr>
        <w:ind w:right="721"/>
      </w:pPr>
    </w:p>
    <w:p w:rsidR="007353C3" w:rsidRPr="008222BD" w:rsidP="007353C3" w14:paraId="7250C60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4361F746">
      <w:pPr>
        <w:pStyle w:val="ListParagraph"/>
        <w:spacing w:before="72"/>
        <w:ind w:left="460" w:right="-20"/>
        <w:rPr>
          <w:bCs/>
          <w:spacing w:val="-3"/>
        </w:rPr>
      </w:pPr>
      <w:r w:rsidRPr="00713D29">
        <w:rPr>
          <w:bCs/>
          <w:spacing w:val="-3"/>
        </w:rPr>
        <w:t xml:space="preserve">[  ] Yes </w:t>
      </w:r>
      <w:r w:rsidRPr="00713D29" w:rsidR="00635087">
        <w:rPr>
          <w:bCs/>
          <w:spacing w:val="-3"/>
        </w:rPr>
        <w:t xml:space="preserve"> </w:t>
      </w:r>
      <w:r w:rsidRPr="00713D29">
        <w:rPr>
          <w:bCs/>
          <w:spacing w:val="-3"/>
        </w:rPr>
        <w:t xml:space="preserve">[ </w:t>
      </w:r>
      <w:r w:rsidR="00900E40">
        <w:rPr>
          <w:bCs/>
          <w:spacing w:val="-3"/>
        </w:rPr>
        <w:t>x</w:t>
      </w:r>
      <w:r w:rsidRPr="00713D29">
        <w:rPr>
          <w:bCs/>
          <w:spacing w:val="-3"/>
        </w:rPr>
        <w:t xml:space="preserve"> ] No  [  ] </w:t>
      </w:r>
      <w:r w:rsidRPr="00713D29">
        <w:t>Not Applicable</w:t>
      </w:r>
    </w:p>
    <w:p w:rsidR="007353C3" w:rsidRPr="008222BD" w:rsidP="007353C3" w14:paraId="7250C611" w14:textId="77777777">
      <w:pPr>
        <w:pStyle w:val="ListParagraph"/>
        <w:spacing w:before="72"/>
        <w:ind w:left="460" w:right="-20"/>
        <w:rPr>
          <w:bCs/>
          <w:spacing w:val="-3"/>
        </w:rPr>
      </w:pPr>
    </w:p>
    <w:p w:rsidR="007353C3" w:rsidRPr="008222BD" w:rsidP="007353C3" w14:paraId="7250C612" w14:textId="77777777">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7353C3" w:rsidP="007353C3" w14:paraId="7250C613" w14:textId="7C3C87C8">
      <w:pPr>
        <w:pStyle w:val="ListParagraph"/>
        <w:spacing w:before="72"/>
        <w:ind w:left="460" w:right="-20"/>
        <w:rPr>
          <w:bCs/>
          <w:spacing w:val="-3"/>
        </w:rPr>
      </w:pPr>
    </w:p>
    <w:p w:rsidR="008A3C7A" w:rsidRPr="003A40DB" w:rsidP="003A40DB" w14:paraId="0F7A1162" w14:textId="5B830426">
      <w:pPr>
        <w:pStyle w:val="ICFTextwithspace"/>
        <w:spacing w:line="240" w:lineRule="auto"/>
        <w:rPr>
          <w:rFonts w:ascii="Times New Roman" w:hAnsi="Times New Roman" w:cs="Times New Roman"/>
          <w:sz w:val="24"/>
          <w:szCs w:val="24"/>
        </w:rPr>
      </w:pPr>
      <w:r w:rsidRPr="003A40DB">
        <w:rPr>
          <w:rFonts w:ascii="Times New Roman" w:hAnsi="Times New Roman" w:cs="Times New Roman"/>
          <w:sz w:val="24"/>
          <w:szCs w:val="24"/>
        </w:rPr>
        <w:t>The research team will use two main sources to recruit eligible participants: social media sites and</w:t>
      </w:r>
      <w:r w:rsidRPr="003A40DB" w:rsidR="00900E40">
        <w:rPr>
          <w:rFonts w:ascii="Times New Roman" w:hAnsi="Times New Roman" w:cs="Times New Roman"/>
          <w:sz w:val="24"/>
          <w:szCs w:val="24"/>
        </w:rPr>
        <w:t xml:space="preserve"> community-based organizations (</w:t>
      </w:r>
      <w:r w:rsidRPr="003A40DB">
        <w:rPr>
          <w:rFonts w:ascii="Times New Roman" w:hAnsi="Times New Roman" w:cs="Times New Roman"/>
          <w:sz w:val="24"/>
          <w:szCs w:val="24"/>
        </w:rPr>
        <w:t>CBOs</w:t>
      </w:r>
      <w:r w:rsidRPr="003A40DB" w:rsidR="00900E40">
        <w:rPr>
          <w:rFonts w:ascii="Times New Roman" w:hAnsi="Times New Roman" w:cs="Times New Roman"/>
          <w:sz w:val="24"/>
          <w:szCs w:val="24"/>
        </w:rPr>
        <w:t>)</w:t>
      </w:r>
      <w:r w:rsidRPr="003A40DB">
        <w:rPr>
          <w:rFonts w:ascii="Times New Roman" w:hAnsi="Times New Roman" w:cs="Times New Roman"/>
          <w:sz w:val="24"/>
          <w:szCs w:val="24"/>
        </w:rPr>
        <w:t xml:space="preserve"> across the country who work with the populations of interest. </w:t>
      </w:r>
    </w:p>
    <w:p w:rsidR="008A3C7A" w:rsidRPr="003A40DB" w:rsidP="003A40DB" w14:paraId="58F988F5" w14:textId="77777777">
      <w:pPr>
        <w:pStyle w:val="ICFTextwithspace"/>
        <w:numPr>
          <w:ilvl w:val="0"/>
          <w:numId w:val="36"/>
        </w:numPr>
        <w:spacing w:line="240" w:lineRule="auto"/>
        <w:rPr>
          <w:rFonts w:ascii="Times New Roman" w:hAnsi="Times New Roman" w:cs="Times New Roman"/>
          <w:sz w:val="24"/>
          <w:szCs w:val="24"/>
        </w:rPr>
      </w:pPr>
      <w:r w:rsidRPr="003A40DB">
        <w:rPr>
          <w:rFonts w:ascii="Times New Roman" w:hAnsi="Times New Roman" w:cs="Times New Roman"/>
          <w:bCs/>
          <w:sz w:val="24"/>
          <w:szCs w:val="24"/>
        </w:rPr>
        <w:t>Social media platforms</w:t>
      </w:r>
      <w:r w:rsidRPr="003A40DB">
        <w:rPr>
          <w:rFonts w:ascii="Times New Roman" w:hAnsi="Times New Roman" w:cs="Times New Roman"/>
          <w:sz w:val="24"/>
          <w:szCs w:val="24"/>
        </w:rPr>
        <w:t xml:space="preserve"> such as Facebook and Instagram have expansive reach and can target ads based on location, demographic and information in users’ profiles. We anticipate casting a wide net with targeted ads and funneling interested individuals to our screener survey.</w:t>
      </w:r>
    </w:p>
    <w:p w:rsidR="003A40DB" w:rsidRPr="00B40E97" w:rsidP="003A40DB" w14:paraId="64647897" w14:textId="0C81C9EC">
      <w:pPr>
        <w:pStyle w:val="ICFTextwithspace"/>
        <w:numPr>
          <w:ilvl w:val="0"/>
          <w:numId w:val="36"/>
        </w:numPr>
        <w:spacing w:line="240" w:lineRule="auto"/>
        <w:rPr>
          <w:rFonts w:ascii="Times New Roman" w:hAnsi="Times New Roman" w:cs="Times New Roman"/>
          <w:sz w:val="24"/>
          <w:szCs w:val="24"/>
        </w:rPr>
      </w:pPr>
      <w:r w:rsidRPr="003A40DB">
        <w:rPr>
          <w:rFonts w:ascii="Times New Roman" w:hAnsi="Times New Roman" w:cs="Times New Roman"/>
          <w:sz w:val="24"/>
          <w:szCs w:val="24"/>
        </w:rPr>
        <w:t xml:space="preserve">Working with CBOs allows for a more targeted approach. </w:t>
      </w:r>
      <w:r w:rsidRPr="003A40DB" w:rsidR="00900E40">
        <w:rPr>
          <w:rFonts w:ascii="Times New Roman" w:hAnsi="Times New Roman" w:cs="Times New Roman"/>
          <w:sz w:val="24"/>
          <w:szCs w:val="24"/>
        </w:rPr>
        <w:t xml:space="preserve">The </w:t>
      </w:r>
      <w:r w:rsidRPr="003A40DB" w:rsidR="00EB7EC9">
        <w:rPr>
          <w:rFonts w:ascii="Times New Roman" w:hAnsi="Times New Roman" w:cs="Times New Roman"/>
          <w:sz w:val="24"/>
          <w:szCs w:val="24"/>
        </w:rPr>
        <w:t>contractor has</w:t>
      </w:r>
      <w:r w:rsidRPr="003A40DB">
        <w:rPr>
          <w:rFonts w:ascii="Times New Roman" w:hAnsi="Times New Roman" w:cs="Times New Roman"/>
          <w:sz w:val="24"/>
          <w:szCs w:val="24"/>
        </w:rPr>
        <w:t xml:space="preserve"> close relationships with CBOs including Community Action Agencies (CAAs) and direct service providers such as United Way and Salvation Army</w:t>
      </w:r>
      <w:r w:rsidRPr="003A40DB">
        <w:rPr>
          <w:rFonts w:ascii="Times New Roman" w:hAnsi="Times New Roman" w:cs="Times New Roman"/>
          <w:sz w:val="24"/>
          <w:szCs w:val="24"/>
        </w:rPr>
        <w:t xml:space="preserve"> who work with economically vulnerable consumers</w:t>
      </w:r>
      <w:r w:rsidRPr="003A40DB">
        <w:rPr>
          <w:rFonts w:ascii="Times New Roman" w:hAnsi="Times New Roman" w:cs="Times New Roman"/>
          <w:sz w:val="24"/>
          <w:szCs w:val="24"/>
        </w:rPr>
        <w:t xml:space="preserve">. </w:t>
      </w:r>
      <w:r w:rsidRPr="003A40DB" w:rsidR="00EB7EC9">
        <w:rPr>
          <w:rFonts w:ascii="Times New Roman" w:hAnsi="Times New Roman" w:cs="Times New Roman"/>
          <w:sz w:val="24"/>
          <w:szCs w:val="24"/>
        </w:rPr>
        <w:t xml:space="preserve">The contractor </w:t>
      </w:r>
      <w:r w:rsidRPr="003A40DB">
        <w:rPr>
          <w:rFonts w:ascii="Times New Roman" w:hAnsi="Times New Roman" w:cs="Times New Roman"/>
          <w:sz w:val="24"/>
          <w:szCs w:val="24"/>
        </w:rPr>
        <w:t xml:space="preserve">will </w:t>
      </w:r>
      <w:r w:rsidRPr="003A40DB" w:rsidR="006947B8">
        <w:rPr>
          <w:rFonts w:ascii="Times New Roman" w:hAnsi="Times New Roman" w:cs="Times New Roman"/>
          <w:sz w:val="24"/>
          <w:szCs w:val="24"/>
        </w:rPr>
        <w:t xml:space="preserve">work with CBOs to recruit </w:t>
      </w:r>
      <w:r w:rsidRPr="003A40DB">
        <w:rPr>
          <w:rFonts w:ascii="Times New Roman" w:hAnsi="Times New Roman" w:cs="Times New Roman"/>
          <w:sz w:val="24"/>
          <w:szCs w:val="24"/>
        </w:rPr>
        <w:t xml:space="preserve">consumers to participate in the focus groups and interviews.  </w:t>
      </w:r>
      <w:r w:rsidRPr="003A40DB" w:rsidR="006947B8">
        <w:rPr>
          <w:rFonts w:ascii="Times New Roman" w:hAnsi="Times New Roman" w:cs="Times New Roman"/>
          <w:sz w:val="24"/>
          <w:szCs w:val="24"/>
        </w:rPr>
        <w:t xml:space="preserve"> </w:t>
      </w:r>
    </w:p>
    <w:p w:rsidR="008A3C7A" w:rsidRPr="003A40DB" w:rsidP="003A40DB" w14:paraId="22CE010C" w14:textId="7EC032C6">
      <w:pPr>
        <w:pStyle w:val="ICFTextwithspace"/>
        <w:spacing w:line="240" w:lineRule="auto"/>
        <w:rPr>
          <w:rFonts w:ascii="Times New Roman" w:hAnsi="Times New Roman" w:cs="Times New Roman"/>
          <w:sz w:val="24"/>
          <w:szCs w:val="24"/>
        </w:rPr>
      </w:pPr>
      <w:r>
        <w:rPr>
          <w:rFonts w:ascii="Times New Roman" w:hAnsi="Times New Roman" w:cs="Times New Roman"/>
          <w:bCs/>
          <w:spacing w:val="-3"/>
          <w:sz w:val="24"/>
          <w:szCs w:val="24"/>
        </w:rPr>
        <w:t>In recruiting participants, w</w:t>
      </w:r>
      <w:r w:rsidR="00B40E97">
        <w:rPr>
          <w:rFonts w:ascii="Times New Roman" w:hAnsi="Times New Roman" w:cs="Times New Roman"/>
          <w:bCs/>
          <w:spacing w:val="-3"/>
          <w:sz w:val="24"/>
          <w:szCs w:val="24"/>
        </w:rPr>
        <w:t xml:space="preserve">e will use a </w:t>
      </w:r>
      <w:r w:rsidRPr="003A40DB" w:rsidR="00531210">
        <w:rPr>
          <w:rFonts w:ascii="Times New Roman" w:hAnsi="Times New Roman" w:cs="Times New Roman"/>
          <w:bCs/>
          <w:spacing w:val="-3"/>
          <w:sz w:val="24"/>
          <w:szCs w:val="24"/>
        </w:rPr>
        <w:t xml:space="preserve">screening </w:t>
      </w:r>
      <w:r w:rsidR="00B40E97">
        <w:rPr>
          <w:rFonts w:ascii="Times New Roman" w:hAnsi="Times New Roman" w:cs="Times New Roman"/>
          <w:bCs/>
          <w:spacing w:val="-3"/>
          <w:sz w:val="24"/>
          <w:szCs w:val="24"/>
        </w:rPr>
        <w:t>data collection instrument (included as an attachment).</w:t>
      </w:r>
    </w:p>
    <w:p w:rsidR="008A3C7A" w:rsidRPr="003F4502" w:rsidP="003F4502" w14:paraId="300D7624" w14:textId="77777777">
      <w:pPr>
        <w:spacing w:before="72"/>
        <w:ind w:right="-20"/>
        <w:rPr>
          <w:bCs/>
          <w:spacing w:val="-3"/>
        </w:rPr>
      </w:pPr>
    </w:p>
    <w:p w:rsidR="008C4E6C" w:rsidRPr="00410F81" w:rsidP="008C4E6C" w14:paraId="7250C614" w14:textId="77777777">
      <w:pPr>
        <w:pStyle w:val="ListParagraph"/>
        <w:numPr>
          <w:ilvl w:val="0"/>
          <w:numId w:val="25"/>
        </w:numPr>
        <w:rPr>
          <w:caps/>
        </w:rPr>
      </w:pPr>
      <w:r w:rsidRPr="00AB78E0">
        <w:rPr>
          <w:b/>
          <w:caps/>
        </w:rPr>
        <w:t>Information Collection Procedures</w:t>
      </w:r>
      <w:r w:rsidR="00815E90">
        <w:rPr>
          <w:caps/>
        </w:rPr>
        <w:t>:</w:t>
      </w:r>
    </w:p>
    <w:p w:rsidR="008C4E6C" w:rsidRPr="008222BD" w:rsidP="008C4E6C" w14:paraId="7250C615" w14:textId="77777777">
      <w:pPr>
        <w:pStyle w:val="ListParagraph"/>
      </w:pPr>
      <w:r w:rsidRPr="00713D29">
        <w:t>Please summarize the procedures that will be used to collect data from respondents.</w:t>
      </w:r>
    </w:p>
    <w:p w:rsidR="008C4E6C" w:rsidP="008C4E6C" w14:paraId="7250C616" w14:textId="41FFC887">
      <w:pPr>
        <w:pStyle w:val="ListParagraph"/>
      </w:pPr>
    </w:p>
    <w:p w:rsidR="00C030CA" w:rsidRPr="00B95954" w:rsidP="00B95954" w14:paraId="612DBDFC" w14:textId="52581971">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The research team will use the </w:t>
      </w:r>
      <w:r w:rsidRPr="00B95954">
        <w:rPr>
          <w:rFonts w:ascii="Times New Roman" w:hAnsi="Times New Roman" w:cs="Times New Roman"/>
          <w:sz w:val="24"/>
          <w:szCs w:val="24"/>
        </w:rPr>
        <w:t xml:space="preserve">video conference platform </w:t>
      </w:r>
      <w:r w:rsidRPr="00B95954">
        <w:rPr>
          <w:rFonts w:ascii="Times New Roman" w:hAnsi="Times New Roman" w:cs="Times New Roman"/>
          <w:sz w:val="24"/>
          <w:szCs w:val="24"/>
        </w:rPr>
        <w:t>Microsoft Teams</w:t>
      </w:r>
      <w:r w:rsidRPr="00B95954" w:rsidR="00B95954">
        <w:rPr>
          <w:rFonts w:ascii="Times New Roman" w:hAnsi="Times New Roman" w:cs="Times New Roman"/>
          <w:sz w:val="24"/>
          <w:szCs w:val="24"/>
        </w:rPr>
        <w:t xml:space="preserve"> </w:t>
      </w:r>
      <w:r w:rsidRPr="00B95954">
        <w:rPr>
          <w:rFonts w:ascii="Times New Roman" w:hAnsi="Times New Roman" w:cs="Times New Roman"/>
          <w:sz w:val="24"/>
          <w:szCs w:val="24"/>
        </w:rPr>
        <w:t>for the focus groups and interviews</w:t>
      </w:r>
      <w:r w:rsidRPr="00B95954" w:rsidR="00B95954">
        <w:rPr>
          <w:rFonts w:ascii="Times New Roman" w:hAnsi="Times New Roman" w:cs="Times New Roman"/>
          <w:sz w:val="24"/>
          <w:szCs w:val="24"/>
        </w:rPr>
        <w:t>. R</w:t>
      </w:r>
      <w:r w:rsidRPr="00B95954">
        <w:rPr>
          <w:rFonts w:ascii="Times New Roman" w:hAnsi="Times New Roman" w:cs="Times New Roman"/>
          <w:sz w:val="24"/>
          <w:szCs w:val="24"/>
        </w:rPr>
        <w:t xml:space="preserve">ecruitment materials will be very clear about the technology requirement up front and the instructions for joining the call. Respondents should not have to download anything to access the interview. </w:t>
      </w:r>
    </w:p>
    <w:p w:rsidR="00C030CA" w:rsidRPr="00B95954" w:rsidP="00B95954" w14:paraId="32DE4D6E" w14:textId="77777777">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All sessions will be audio-recorded so transcripts can be created. Participants will be provided with an informed consent document as part of the invitation materials that lays out the expectations for the interview as well as their rights as a participant.</w:t>
      </w:r>
    </w:p>
    <w:p w:rsidR="00C030CA" w:rsidRPr="00B95954" w:rsidP="00B95954" w14:paraId="154D497C" w14:textId="26EC2840">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We </w:t>
      </w:r>
      <w:r w:rsidRPr="00B95954" w:rsidR="00B95954">
        <w:rPr>
          <w:rFonts w:ascii="Times New Roman" w:hAnsi="Times New Roman" w:cs="Times New Roman"/>
          <w:sz w:val="24"/>
          <w:szCs w:val="24"/>
        </w:rPr>
        <w:t>will</w:t>
      </w:r>
      <w:r w:rsidRPr="00B95954">
        <w:rPr>
          <w:rFonts w:ascii="Times New Roman" w:hAnsi="Times New Roman" w:cs="Times New Roman"/>
          <w:sz w:val="24"/>
          <w:szCs w:val="24"/>
        </w:rPr>
        <w:t xml:space="preserve"> encourage video to be on for the sessions, but if the participant does not wish to use video, we will not require it. If a recruit does not show for an IDI, the interviewer or recruiter will attempt to contact them via phone or email after 5 minutes. If unsuccessful, we will attempt to reschedule with them (depending on eligibility for other sessions). </w:t>
      </w:r>
    </w:p>
    <w:p w:rsidR="00C030CA" w:rsidRPr="00B95954" w:rsidP="00B95954" w14:paraId="5108C953" w14:textId="77777777">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During the session introduction, respondents will be reminded of their rights, any ground rules and be asked to mute their lines when not speaking. </w:t>
      </w:r>
    </w:p>
    <w:p w:rsidR="00C030CA" w:rsidRPr="00B95954" w:rsidP="00B95954" w14:paraId="59206698" w14:textId="4CD0F857">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The focus groups will last 60-90 minutes while the semi-structured interviews will last approximately 45 minutes. </w:t>
      </w:r>
    </w:p>
    <w:p w:rsidR="00C030CA" w:rsidRPr="008222BD" w:rsidP="008C4E6C" w14:paraId="101A9E3D" w14:textId="77777777">
      <w:pPr>
        <w:pStyle w:val="ListParagraph"/>
      </w:pPr>
    </w:p>
    <w:p w:rsidR="007353C3" w:rsidRPr="00410F81" w:rsidP="007353C3" w14:paraId="7250C617"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7250C618" w14:textId="77777777">
      <w:pPr>
        <w:spacing w:before="12" w:line="260" w:lineRule="exact"/>
      </w:pPr>
    </w:p>
    <w:p w:rsidR="007353C3" w:rsidRPr="00713D29" w:rsidP="007353C3" w14:paraId="7250C619" w14:textId="20CE3EE2">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EF254D">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007353C3" w:rsidRPr="008222BD" w:rsidP="007353C3" w14:paraId="7250C61A" w14:textId="77777777">
      <w:pPr>
        <w:spacing w:before="16" w:line="260" w:lineRule="exact"/>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340CD99A">
      <w:pPr>
        <w:widowControl w:val="0"/>
        <w:ind w:right="-20" w:firstLine="720"/>
      </w:pPr>
      <w:r w:rsidRPr="00713D29">
        <w:t>[</w:t>
      </w:r>
      <w:r w:rsidR="00EF254D">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602C8D36">
      <w:pPr>
        <w:ind w:left="220" w:right="-20" w:firstLine="500"/>
      </w:pPr>
      <w:r w:rsidRPr="00410F81">
        <w:t>[</w:t>
      </w:r>
      <w:r w:rsidR="00EF254D">
        <w:t>X</w:t>
      </w:r>
      <w:r w:rsidRPr="00713D29">
        <w:t>]</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8635FB" w:rsidP="00671686" w14:paraId="7250C622" w14:textId="0B7E72EE">
      <w:pPr>
        <w:ind w:left="220" w:right="-20" w:firstLine="500"/>
      </w:pPr>
      <w:r>
        <w:t>Title: __</w:t>
      </w:r>
      <w:r w:rsidRPr="0016681A" w:rsidR="0016681A">
        <w:t xml:space="preserve"> </w:t>
      </w:r>
      <w:r w:rsidRPr="000B47B0" w:rsidR="0016681A">
        <w:t>CFPB.021 – CFPB Consumer Education and Engagement Records</w:t>
      </w:r>
      <w:r w:rsidR="0016681A">
        <w:t xml:space="preserve"> </w:t>
      </w:r>
      <w:r>
        <w:t>_</w:t>
      </w:r>
    </w:p>
    <w:p w:rsidR="00671686" w:rsidRPr="00713D29" w:rsidP="00671686" w14:paraId="7250C623" w14:textId="2721A233">
      <w:pPr>
        <w:ind w:left="220" w:right="-20" w:firstLine="500"/>
      </w:pPr>
      <w:r>
        <w:t xml:space="preserve">__ </w:t>
      </w:r>
      <w:r w:rsidR="00366E3D">
        <w:t xml:space="preserve">85 FR </w:t>
      </w:r>
      <w:r w:rsidRPr="00215655" w:rsidR="00366E3D">
        <w:t>3662</w:t>
      </w:r>
      <w:r>
        <w:t xml:space="preserve"> </w:t>
      </w:r>
      <w:r w:rsidRPr="00713D29" w:rsidR="000702CE">
        <w:t>_________</w:t>
      </w:r>
      <w:r w:rsidRPr="00713D29">
        <w:t>_______________.</w:t>
      </w:r>
    </w:p>
    <w:p w:rsidR="00D6490E" w:rsidRPr="00713D29" w:rsidP="007353C3" w14:paraId="7250C624" w14:textId="77777777">
      <w:pPr>
        <w:ind w:left="220" w:right="-20" w:firstLine="500"/>
      </w:pPr>
    </w:p>
    <w:p w:rsidR="007353C3" w:rsidP="00D6490E" w14:paraId="7250C625" w14:textId="51E09CA2">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0016681A" w:rsidRPr="008222BD" w:rsidP="0016681A" w14:paraId="52FD0ECF" w14:textId="77777777">
      <w:pPr>
        <w:pStyle w:val="ListParagraph"/>
        <w:spacing w:before="1" w:line="280" w:lineRule="exact"/>
        <w:ind w:left="820"/>
      </w:pPr>
      <w:r w:rsidRPr="004D0916">
        <w:t>https://files.consumerfinance.gov/f/201409_cfpb_consumer-education_pia.pdf</w:t>
      </w:r>
    </w:p>
    <w:p w:rsidR="007353C3" w:rsidRPr="008222BD" w:rsidP="007353C3" w14:paraId="7250C626" w14:textId="77777777">
      <w:pPr>
        <w:spacing w:before="1" w:line="280" w:lineRule="exact"/>
      </w:pPr>
    </w:p>
    <w:p w:rsidR="007353C3" w:rsidRPr="00410F81" w:rsidP="007353C3" w14:paraId="7250C627"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007353C3" w:rsidRPr="008222BD" w:rsidP="007353C3" w14:paraId="7250C628" w14:textId="77777777">
      <w:pPr>
        <w:spacing w:before="11" w:line="260" w:lineRule="exact"/>
      </w:pPr>
    </w:p>
    <w:p w:rsidR="007353C3" w:rsidRPr="00713D29" w:rsidP="007353C3" w14:paraId="7250C629" w14:textId="07D17BFD">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EF254D">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629B47EF">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w:t>
      </w:r>
      <w:r w:rsidR="009174CF">
        <w:t>100</w:t>
      </w:r>
      <w:r w:rsidRPr="00410F81">
        <w:t>________.</w:t>
      </w:r>
    </w:p>
    <w:p w:rsidR="007353C3" w:rsidP="007353C3" w14:paraId="7250C62C" w14:textId="61F83B18">
      <w:pPr>
        <w:pStyle w:val="ListParagraph"/>
      </w:pPr>
    </w:p>
    <w:p w:rsidR="003D7B30" w:rsidP="003D7B30" w14:paraId="4A5C20FD" w14:textId="1C21E916">
      <w:r w:rsidRPr="009B2D15">
        <w:t>After the interview</w:t>
      </w:r>
      <w:r w:rsidRPr="009B2D15" w:rsidR="009330D8">
        <w:t xml:space="preserve"> or focus group</w:t>
      </w:r>
      <w:r w:rsidRPr="009B2D15">
        <w:t>, participants will receive their incentive in the form of a $100 Amazon gi</w:t>
      </w:r>
      <w:r w:rsidRPr="009B2D15" w:rsidR="009330D8">
        <w:t>ft card</w:t>
      </w:r>
      <w:r w:rsidRPr="009B2D15">
        <w:t xml:space="preserve"> within 2 business days. </w:t>
      </w:r>
      <w:r w:rsidRPr="009B2D15" w:rsidR="009330D8">
        <w:t xml:space="preserve"> </w:t>
      </w:r>
      <w:r>
        <w:t>Focus groups and in-depth interviews require a more significant investment from the individual research participant, relative to other forms of data collection. Quite simply, it takes time and effort to participate in a focus group or</w:t>
      </w:r>
      <w:r w:rsidR="0078752D">
        <w:t xml:space="preserve"> interview</w:t>
      </w:r>
      <w:r>
        <w:t>. As a result, there has long been a tradition to provide a suitable incentive for participation.</w:t>
      </w:r>
      <w:r>
        <w:rPr>
          <w:rStyle w:val="FootnoteReference"/>
        </w:rPr>
        <w:footnoteReference w:id="2"/>
      </w:r>
      <w:r>
        <w:t xml:space="preserve"> </w:t>
      </w:r>
    </w:p>
    <w:p w:rsidR="0078752D" w:rsidP="003D7B30" w14:paraId="5BF7AD75" w14:textId="77777777"/>
    <w:p w:rsidR="003D7B30" w:rsidP="003D7B30" w14:paraId="4B6A5BF5" w14:textId="716F70CF">
      <w:r>
        <w:t xml:space="preserve">Our target respondents are hard-to-reach populations, which may make the recruitment challenging. For example, our eligibility criteria for certain sessions includes having experienced a very specific set of events. The incentive serves as a motivational stimulus for participants to attend the session, be on time, and generally take the research seriously. The specific amount proposed is based both on </w:t>
      </w:r>
      <w:r w:rsidR="0078752D">
        <w:t>our contractor’s</w:t>
      </w:r>
      <w:r>
        <w:t xml:space="preserve"> prior experience conducting qualitative interviews with members of the general population, as well as feedback from our interaction with professional focus group hosting facilities. </w:t>
      </w:r>
    </w:p>
    <w:p w:rsidR="0078752D" w:rsidP="003D7B30" w14:paraId="1E3AE9F9" w14:textId="77777777"/>
    <w:p w:rsidR="003D7B30" w:rsidP="003D7B30" w14:paraId="4A569BDF" w14:textId="65292DFA">
      <w:r>
        <w:t xml:space="preserve">We are proposing the same incentive for both </w:t>
      </w:r>
      <w:r w:rsidR="00E749FF">
        <w:t>f</w:t>
      </w:r>
      <w:r>
        <w:t xml:space="preserve">ocus </w:t>
      </w:r>
      <w:r w:rsidR="00E749FF">
        <w:t>g</w:t>
      </w:r>
      <w:r>
        <w:t xml:space="preserve">roups and </w:t>
      </w:r>
      <w:r w:rsidR="00E749FF">
        <w:t>interviews</w:t>
      </w:r>
      <w:r>
        <w:t xml:space="preserve"> because both require effort from participants: while the focus group sessions are longer, the</w:t>
      </w:r>
      <w:r w:rsidR="00E749FF">
        <w:t xml:space="preserve"> interviews</w:t>
      </w:r>
      <w:r>
        <w:t xml:space="preserve"> involve continuous, more “intensive” personal participation. </w:t>
      </w:r>
    </w:p>
    <w:p w:rsidR="003D7B30" w:rsidP="003D7B30" w14:paraId="079226E2" w14:textId="77777777"/>
    <w:p w:rsidR="003D7B30" w:rsidP="003D7B30" w14:paraId="77A699FE" w14:textId="146390A3">
      <w:r>
        <w:t>The research team wants to ensure that we are able to reach a diverse group of participants. While the sessions will be held remotely and participants will not need to travel, they will still need to schedule time on their calendar. For some individuals from low-income backgrounds who may have more unpredictable schedules, it may be an added challenge. They may have to arrange childcare coverage, put off meal planning, or even take time from their paid work to participate. Providing the incentive allows the participant to “protect” the time slot on their calendar from any other requests for their time.</w:t>
      </w:r>
      <w:r>
        <w:rPr>
          <w:rStyle w:val="FootnoteReference"/>
        </w:rPr>
        <w:footnoteReference w:id="3"/>
      </w:r>
      <w:r>
        <w:t xml:space="preserve"> </w:t>
      </w:r>
    </w:p>
    <w:p w:rsidR="003D7B30" w:rsidP="003D7B30" w14:paraId="4AB0720A" w14:textId="77777777"/>
    <w:p w:rsidR="003D7B30" w:rsidP="003D7B30" w14:paraId="4D6E9943" w14:textId="57DDE71C">
      <w:r>
        <w:t xml:space="preserve">While cash is often provided to qualitative research participants, we believe an Amazon </w:t>
      </w:r>
      <w:r w:rsidR="000A7D3A">
        <w:t xml:space="preserve">online </w:t>
      </w:r>
      <w:r>
        <w:t>gift</w:t>
      </w:r>
      <w:r w:rsidR="000A7D3A">
        <w:t xml:space="preserve"> card</w:t>
      </w:r>
      <w:r>
        <w:t xml:space="preserve"> is equivalent to cash in terms of participant convenience, given the breadth of the Amazon marketplace. Importantly, Amazon gift</w:t>
      </w:r>
      <w:r w:rsidR="000A7D3A">
        <w:t xml:space="preserve"> cards</w:t>
      </w:r>
      <w:r>
        <w:t xml:space="preserve"> also can be shared virtually, allow for easy tracking, and never expire.</w:t>
      </w:r>
    </w:p>
    <w:p w:rsidR="00DE7836" w:rsidRPr="00713D29" w:rsidP="003D7B30" w14:paraId="49630714" w14:textId="26FA8013">
      <w:pPr>
        <w:pStyle w:val="ICFTextwithspace"/>
      </w:pPr>
    </w:p>
    <w:p w:rsidR="00F8707B" w:rsidRPr="00410F81" w:rsidP="00091326" w14:paraId="7250C62D" w14:textId="77777777">
      <w:pPr>
        <w:pStyle w:val="ListParagraph"/>
        <w:numPr>
          <w:ilvl w:val="0"/>
          <w:numId w:val="25"/>
        </w:numPr>
      </w:pPr>
      <w:r w:rsidRPr="00410F81">
        <w:rPr>
          <w:b/>
          <w:caps/>
        </w:rPr>
        <w:t>Assurances of Confidentiality</w:t>
      </w:r>
      <w:r w:rsidRPr="008222BD">
        <w:t>:</w:t>
      </w:r>
    </w:p>
    <w:p w:rsidR="008C4E6C" w:rsidRPr="00713D29" w:rsidP="008C4E6C" w14:paraId="7250C62E" w14:textId="77777777"/>
    <w:p w:rsidR="00F8707B" w:rsidRPr="00713D29" w:rsidP="008C4E6C" w14:paraId="7250C62F" w14:textId="25D3DE39">
      <w:pPr>
        <w:pStyle w:val="ListParagraph"/>
        <w:numPr>
          <w:ilvl w:val="0"/>
          <w:numId w:val="28"/>
        </w:numPr>
      </w:pPr>
      <w:r w:rsidRPr="00713D29">
        <w:t>Will a pledge of confidentiality be made to respondents? [  ] Yes  [</w:t>
      </w:r>
      <w:r w:rsidR="00EF254D">
        <w:t>X</w:t>
      </w:r>
      <w:r w:rsidRPr="00713D29">
        <w:t>] No</w:t>
      </w:r>
    </w:p>
    <w:p w:rsidR="00F8707B" w:rsidRPr="00713D29" w:rsidP="00F8707B" w14:paraId="7250C630" w14:textId="77777777">
      <w:pPr>
        <w:pStyle w:val="ListParagraph"/>
        <w:ind w:left="360"/>
      </w:pPr>
    </w:p>
    <w:p w:rsidR="00F8707B" w:rsidRPr="00713D29"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F8707B" w:rsidRPr="00713D29" w:rsidP="00F8707B" w14:paraId="7250C632" w14:textId="77777777"/>
    <w:p w:rsidR="00F8707B" w:rsidRPr="008222BD" w:rsidP="008C4E6C" w14:paraId="7250C633" w14:textId="77777777">
      <w:pPr>
        <w:pStyle w:val="ListParagraph"/>
        <w:numPr>
          <w:ilvl w:val="0"/>
          <w:numId w:val="25"/>
        </w:numPr>
      </w:pPr>
      <w:r w:rsidRPr="00AB78E0">
        <w:rPr>
          <w:b/>
        </w:rPr>
        <w:t>JUSTIFICATION OF SENSITIVE QUESTIONS (if applicable)</w:t>
      </w:r>
      <w:r w:rsidRPr="008222BD">
        <w:t>:</w:t>
      </w:r>
    </w:p>
    <w:p w:rsidR="00F8707B" w:rsidP="00F8707B" w14:paraId="7250C634" w14:textId="4B5F9A4E"/>
    <w:p w:rsidR="00B73A21" w:rsidP="00F8707B" w14:paraId="2DAF8073" w14:textId="4D6A8C5F">
      <w:r>
        <w:t>Some of the questio</w:t>
      </w:r>
      <w:r w:rsidR="007173AA">
        <w:t>ns that are included</w:t>
      </w:r>
      <w:r w:rsidR="001D305B">
        <w:t xml:space="preserve"> in the focus groups and interviews deal with sensitive topics such as being denied credit or housing or having a criminal history</w:t>
      </w:r>
      <w:r w:rsidR="00F721D1">
        <w:t xml:space="preserve">.  The purpose of this data collection is specifically to understand the impact on consumers who </w:t>
      </w:r>
      <w:r w:rsidR="00E80E59">
        <w:t xml:space="preserve">have difficulty in obtaining credit, housing or employment because of </w:t>
      </w:r>
      <w:r w:rsidR="00B412D4">
        <w:t>information such as criminal records in their consumer reports.</w:t>
      </w:r>
      <w:r w:rsidR="002A0D2B">
        <w:t xml:space="preserve"> Thus, it is necessary to </w:t>
      </w:r>
      <w:r w:rsidR="005804BB">
        <w:t xml:space="preserve">include questions on these topics in this information collection. </w:t>
      </w:r>
      <w:r w:rsidR="00CD6229">
        <w:t xml:space="preserve"> To reduce possible discomfort with these questions the focus groups, we will</w:t>
      </w:r>
      <w:r w:rsidR="009C61DB">
        <w:t xml:space="preserve"> group consumers to the extent possible with </w:t>
      </w:r>
      <w:r w:rsidR="00B26DD5">
        <w:t xml:space="preserve">other consumers who have faced similar issues. For example, consumers with criminal records will be assigned to </w:t>
      </w:r>
      <w:r w:rsidR="009B45C3">
        <w:t xml:space="preserve">a </w:t>
      </w:r>
      <w:r w:rsidR="00B26DD5">
        <w:t>focus group</w:t>
      </w:r>
      <w:r w:rsidR="009B45C3">
        <w:t xml:space="preserve"> that is comprised of</w:t>
      </w:r>
      <w:r w:rsidR="002A4C8B">
        <w:t xml:space="preserve"> other participants with criminal records, to reduce the </w:t>
      </w:r>
      <w:r w:rsidR="0045745F">
        <w:t>potential discomfort of sharing about those issues.</w:t>
      </w:r>
    </w:p>
    <w:p w:rsidR="00B73A21" w:rsidRPr="008222BD" w:rsidP="00F8707B" w14:paraId="578AD8F9" w14:textId="77777777"/>
    <w:p w:rsidR="005E714A" w:rsidRPr="008222BD" w:rsidP="008C4E6C" w14:paraId="7250C635"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B0E33" w:rsidP="00C8488C" w14:paraId="7250C637" w14:textId="77777777">
            <w:pPr>
              <w:rPr>
                <w:b/>
                <w:sz w:val="20"/>
                <w:szCs w:val="20"/>
              </w:rPr>
            </w:pPr>
            <w:r w:rsidRPr="005B0E33">
              <w:rPr>
                <w:b/>
                <w:sz w:val="20"/>
                <w:szCs w:val="20"/>
              </w:rPr>
              <w:t>Collection of Information</w:t>
            </w:r>
          </w:p>
        </w:tc>
        <w:tc>
          <w:tcPr>
            <w:tcW w:w="1800" w:type="dxa"/>
            <w:shd w:val="clear" w:color="auto" w:fill="D9D9D9" w:themeFill="background1" w:themeFillShade="D9"/>
          </w:tcPr>
          <w:p w:rsidR="004564BF" w:rsidRPr="005B0E33" w:rsidP="00AC7F7A" w14:paraId="7250C638" w14:textId="77777777">
            <w:pPr>
              <w:jc w:val="center"/>
              <w:rPr>
                <w:b/>
                <w:sz w:val="20"/>
                <w:szCs w:val="20"/>
              </w:rPr>
            </w:pPr>
            <w:r w:rsidRPr="005B0E33">
              <w:rPr>
                <w:b/>
                <w:sz w:val="20"/>
                <w:szCs w:val="20"/>
              </w:rPr>
              <w:t>Number of Respondents</w:t>
            </w:r>
          </w:p>
        </w:tc>
        <w:tc>
          <w:tcPr>
            <w:tcW w:w="1350" w:type="dxa"/>
            <w:shd w:val="clear" w:color="auto" w:fill="D9D9D9" w:themeFill="background1" w:themeFillShade="D9"/>
          </w:tcPr>
          <w:p w:rsidR="004564BF" w:rsidRPr="005B0E33" w:rsidP="00AC7F7A" w14:paraId="7250C639" w14:textId="77777777">
            <w:pPr>
              <w:jc w:val="center"/>
              <w:rPr>
                <w:b/>
                <w:sz w:val="20"/>
                <w:szCs w:val="20"/>
              </w:rPr>
            </w:pPr>
            <w:r w:rsidRPr="005B0E33">
              <w:rPr>
                <w:b/>
                <w:sz w:val="20"/>
                <w:szCs w:val="20"/>
              </w:rPr>
              <w:t>Frequency</w:t>
            </w:r>
          </w:p>
        </w:tc>
        <w:tc>
          <w:tcPr>
            <w:tcW w:w="1350" w:type="dxa"/>
            <w:shd w:val="clear" w:color="auto" w:fill="D9D9D9" w:themeFill="background1" w:themeFillShade="D9"/>
          </w:tcPr>
          <w:p w:rsidR="004564BF" w:rsidRPr="005B0E33" w:rsidP="00AC7F7A" w14:paraId="7250C63A" w14:textId="77777777">
            <w:pPr>
              <w:jc w:val="center"/>
              <w:rPr>
                <w:b/>
                <w:sz w:val="20"/>
                <w:szCs w:val="20"/>
              </w:rPr>
            </w:pPr>
            <w:r w:rsidRPr="005B0E33">
              <w:rPr>
                <w:b/>
                <w:sz w:val="20"/>
                <w:szCs w:val="20"/>
              </w:rPr>
              <w:t>Number of Responses</w:t>
            </w:r>
          </w:p>
        </w:tc>
        <w:tc>
          <w:tcPr>
            <w:tcW w:w="1440" w:type="dxa"/>
            <w:shd w:val="clear" w:color="auto" w:fill="D9D9D9" w:themeFill="background1" w:themeFillShade="D9"/>
          </w:tcPr>
          <w:p w:rsidR="004564BF" w:rsidRPr="005B0E33" w:rsidP="00AC7F7A" w14:paraId="7250C63B" w14:textId="77777777">
            <w:pPr>
              <w:jc w:val="center"/>
              <w:rPr>
                <w:b/>
                <w:sz w:val="20"/>
                <w:szCs w:val="20"/>
              </w:rPr>
            </w:pPr>
            <w:r w:rsidRPr="005B0E33">
              <w:rPr>
                <w:b/>
                <w:sz w:val="20"/>
                <w:szCs w:val="20"/>
              </w:rPr>
              <w:t>Response Time</w:t>
            </w:r>
          </w:p>
          <w:p w:rsidR="004564BF" w:rsidRPr="005B0E33" w:rsidP="00AC7F7A" w14:paraId="7250C63C" w14:textId="77777777">
            <w:pPr>
              <w:jc w:val="center"/>
              <w:rPr>
                <w:b/>
                <w:sz w:val="20"/>
                <w:szCs w:val="20"/>
              </w:rPr>
            </w:pPr>
            <w:r w:rsidRPr="005B0E33">
              <w:rPr>
                <w:b/>
                <w:sz w:val="20"/>
                <w:szCs w:val="20"/>
              </w:rPr>
              <w:t>(hours)</w:t>
            </w:r>
          </w:p>
        </w:tc>
        <w:tc>
          <w:tcPr>
            <w:tcW w:w="1530" w:type="dxa"/>
            <w:shd w:val="clear" w:color="auto" w:fill="D9D9D9" w:themeFill="background1" w:themeFillShade="D9"/>
          </w:tcPr>
          <w:p w:rsidR="004564BF" w:rsidRPr="005B0E33" w:rsidP="00AC7F7A" w14:paraId="7250C63D" w14:textId="77777777">
            <w:pPr>
              <w:jc w:val="center"/>
              <w:rPr>
                <w:b/>
                <w:sz w:val="20"/>
                <w:szCs w:val="20"/>
              </w:rPr>
            </w:pPr>
            <w:r w:rsidRPr="005B0E33">
              <w:rPr>
                <w:b/>
                <w:sz w:val="20"/>
                <w:szCs w:val="20"/>
              </w:rPr>
              <w:t>Burden</w:t>
            </w:r>
          </w:p>
          <w:p w:rsidR="004564BF" w:rsidRPr="005B0E33" w:rsidP="00AC7F7A" w14:paraId="7250C63E" w14:textId="77777777">
            <w:pPr>
              <w:jc w:val="center"/>
              <w:rPr>
                <w:b/>
                <w:sz w:val="20"/>
                <w:szCs w:val="20"/>
              </w:rPr>
            </w:pPr>
            <w:r w:rsidRPr="005B0E33">
              <w:rPr>
                <w:b/>
                <w:sz w:val="20"/>
                <w:szCs w:val="20"/>
              </w:rPr>
              <w:t>(hours)</w:t>
            </w:r>
          </w:p>
        </w:tc>
      </w:tr>
      <w:tr w14:paraId="7250C646" w14:textId="77777777" w:rsidTr="004564BF">
        <w:tblPrEx>
          <w:tblW w:w="10368" w:type="dxa"/>
          <w:tblLayout w:type="fixed"/>
          <w:tblLook w:val="01E0"/>
        </w:tblPrEx>
        <w:trPr>
          <w:trHeight w:val="274"/>
        </w:trPr>
        <w:tc>
          <w:tcPr>
            <w:tcW w:w="2898" w:type="dxa"/>
          </w:tcPr>
          <w:p w:rsidR="004564BF" w:rsidRPr="005B0E33" w:rsidP="00843796" w14:paraId="7250C640" w14:textId="4B22B83B">
            <w:pPr>
              <w:rPr>
                <w:sz w:val="20"/>
                <w:szCs w:val="20"/>
              </w:rPr>
            </w:pPr>
            <w:r w:rsidRPr="005B0E33">
              <w:rPr>
                <w:sz w:val="20"/>
                <w:szCs w:val="20"/>
              </w:rPr>
              <w:t>Screening instrument</w:t>
            </w:r>
          </w:p>
        </w:tc>
        <w:tc>
          <w:tcPr>
            <w:tcW w:w="1800" w:type="dxa"/>
          </w:tcPr>
          <w:p w:rsidR="004564BF" w:rsidRPr="005B0E33" w:rsidP="00843796" w14:paraId="7250C641" w14:textId="75221DA7">
            <w:pPr>
              <w:rPr>
                <w:sz w:val="20"/>
                <w:szCs w:val="20"/>
              </w:rPr>
            </w:pPr>
            <w:r w:rsidRPr="005B0E33">
              <w:rPr>
                <w:sz w:val="20"/>
                <w:szCs w:val="20"/>
              </w:rPr>
              <w:t>1240</w:t>
            </w:r>
          </w:p>
        </w:tc>
        <w:tc>
          <w:tcPr>
            <w:tcW w:w="1350" w:type="dxa"/>
          </w:tcPr>
          <w:p w:rsidR="004564BF" w:rsidRPr="005B0E33" w:rsidP="00843796" w14:paraId="7250C642" w14:textId="1B1C5DC0">
            <w:pPr>
              <w:rPr>
                <w:sz w:val="20"/>
                <w:szCs w:val="20"/>
              </w:rPr>
            </w:pPr>
            <w:r w:rsidRPr="005B0E33">
              <w:rPr>
                <w:sz w:val="20"/>
                <w:szCs w:val="20"/>
              </w:rPr>
              <w:t>1</w:t>
            </w:r>
          </w:p>
        </w:tc>
        <w:tc>
          <w:tcPr>
            <w:tcW w:w="1350" w:type="dxa"/>
          </w:tcPr>
          <w:p w:rsidR="004564BF" w:rsidRPr="005B0E33" w:rsidP="00843796" w14:paraId="7250C643" w14:textId="6E26DC8A">
            <w:pPr>
              <w:rPr>
                <w:sz w:val="20"/>
                <w:szCs w:val="20"/>
              </w:rPr>
            </w:pPr>
            <w:r w:rsidRPr="005B0E33">
              <w:rPr>
                <w:sz w:val="20"/>
                <w:szCs w:val="20"/>
              </w:rPr>
              <w:t>1240</w:t>
            </w:r>
          </w:p>
        </w:tc>
        <w:tc>
          <w:tcPr>
            <w:tcW w:w="1440" w:type="dxa"/>
          </w:tcPr>
          <w:p w:rsidR="004564BF" w:rsidRPr="005B0E33" w:rsidP="00843796" w14:paraId="7250C644" w14:textId="46567E0F">
            <w:pPr>
              <w:rPr>
                <w:sz w:val="20"/>
                <w:szCs w:val="20"/>
              </w:rPr>
            </w:pPr>
            <w:r w:rsidRPr="005B0E33">
              <w:rPr>
                <w:sz w:val="20"/>
                <w:szCs w:val="20"/>
              </w:rPr>
              <w:t>0.</w:t>
            </w:r>
            <w:r w:rsidRPr="005B0E33" w:rsidR="006805EB">
              <w:rPr>
                <w:sz w:val="20"/>
                <w:szCs w:val="20"/>
              </w:rPr>
              <w:t>2</w:t>
            </w:r>
            <w:r w:rsidRPr="005B0E33">
              <w:rPr>
                <w:sz w:val="20"/>
                <w:szCs w:val="20"/>
              </w:rPr>
              <w:t xml:space="preserve"> hour</w:t>
            </w:r>
          </w:p>
        </w:tc>
        <w:tc>
          <w:tcPr>
            <w:tcW w:w="1530" w:type="dxa"/>
          </w:tcPr>
          <w:p w:rsidR="004564BF" w:rsidRPr="005B0E33" w:rsidP="00843796" w14:paraId="7250C645" w14:textId="6FB3D22F">
            <w:pPr>
              <w:rPr>
                <w:sz w:val="20"/>
                <w:szCs w:val="20"/>
              </w:rPr>
            </w:pPr>
            <w:r w:rsidRPr="005B0E33">
              <w:rPr>
                <w:sz w:val="20"/>
                <w:szCs w:val="20"/>
              </w:rPr>
              <w:t>248</w:t>
            </w:r>
            <w:r w:rsidRPr="005B0E33" w:rsidR="008403EE">
              <w:rPr>
                <w:sz w:val="20"/>
                <w:szCs w:val="20"/>
              </w:rPr>
              <w:t xml:space="preserve"> hours</w:t>
            </w:r>
          </w:p>
        </w:tc>
      </w:tr>
      <w:tr w14:paraId="7250C64D" w14:textId="77777777" w:rsidTr="004564BF">
        <w:tblPrEx>
          <w:tblW w:w="10368" w:type="dxa"/>
          <w:tblLayout w:type="fixed"/>
          <w:tblLook w:val="01E0"/>
        </w:tblPrEx>
        <w:trPr>
          <w:trHeight w:val="274"/>
        </w:trPr>
        <w:tc>
          <w:tcPr>
            <w:tcW w:w="2898" w:type="dxa"/>
          </w:tcPr>
          <w:p w:rsidR="004564BF" w:rsidRPr="005B0E33" w:rsidP="00843796" w14:paraId="7250C647" w14:textId="08345380">
            <w:pPr>
              <w:rPr>
                <w:sz w:val="20"/>
                <w:szCs w:val="20"/>
              </w:rPr>
            </w:pPr>
            <w:r w:rsidRPr="005B0E33">
              <w:rPr>
                <w:sz w:val="20"/>
                <w:szCs w:val="20"/>
              </w:rPr>
              <w:t>Focus group</w:t>
            </w:r>
          </w:p>
        </w:tc>
        <w:tc>
          <w:tcPr>
            <w:tcW w:w="1800" w:type="dxa"/>
          </w:tcPr>
          <w:p w:rsidR="004564BF" w:rsidRPr="005B0E33" w:rsidP="00843796" w14:paraId="7250C648" w14:textId="5FE3E63A">
            <w:pPr>
              <w:rPr>
                <w:sz w:val="20"/>
                <w:szCs w:val="20"/>
              </w:rPr>
            </w:pPr>
            <w:r w:rsidRPr="005B0E33">
              <w:rPr>
                <w:sz w:val="20"/>
                <w:szCs w:val="20"/>
              </w:rPr>
              <w:t>200</w:t>
            </w:r>
          </w:p>
        </w:tc>
        <w:tc>
          <w:tcPr>
            <w:tcW w:w="1350" w:type="dxa"/>
          </w:tcPr>
          <w:p w:rsidR="004564BF" w:rsidRPr="005B0E33" w:rsidP="00843796" w14:paraId="7250C649" w14:textId="2293CC96">
            <w:pPr>
              <w:rPr>
                <w:sz w:val="20"/>
                <w:szCs w:val="20"/>
              </w:rPr>
            </w:pPr>
            <w:r w:rsidRPr="005B0E33">
              <w:rPr>
                <w:sz w:val="20"/>
                <w:szCs w:val="20"/>
              </w:rPr>
              <w:t>1</w:t>
            </w:r>
          </w:p>
        </w:tc>
        <w:tc>
          <w:tcPr>
            <w:tcW w:w="1350" w:type="dxa"/>
          </w:tcPr>
          <w:p w:rsidR="004564BF" w:rsidRPr="005B0E33" w:rsidP="00843796" w14:paraId="7250C64A" w14:textId="1959EC0C">
            <w:pPr>
              <w:rPr>
                <w:sz w:val="20"/>
                <w:szCs w:val="20"/>
              </w:rPr>
            </w:pPr>
            <w:r w:rsidRPr="005B0E33">
              <w:rPr>
                <w:sz w:val="20"/>
                <w:szCs w:val="20"/>
              </w:rPr>
              <w:t>200</w:t>
            </w:r>
          </w:p>
        </w:tc>
        <w:tc>
          <w:tcPr>
            <w:tcW w:w="1440" w:type="dxa"/>
          </w:tcPr>
          <w:p w:rsidR="004564BF" w:rsidRPr="005B0E33" w:rsidP="00843796" w14:paraId="7250C64B" w14:textId="74D062E0">
            <w:pPr>
              <w:rPr>
                <w:sz w:val="20"/>
                <w:szCs w:val="20"/>
              </w:rPr>
            </w:pPr>
            <w:r w:rsidRPr="005B0E33">
              <w:rPr>
                <w:sz w:val="20"/>
                <w:szCs w:val="20"/>
              </w:rPr>
              <w:t>1.5 hours</w:t>
            </w:r>
          </w:p>
        </w:tc>
        <w:tc>
          <w:tcPr>
            <w:tcW w:w="1530" w:type="dxa"/>
          </w:tcPr>
          <w:p w:rsidR="004564BF" w:rsidRPr="005B0E33" w:rsidP="00843796" w14:paraId="7250C64C" w14:textId="34AF85FD">
            <w:pPr>
              <w:rPr>
                <w:sz w:val="20"/>
                <w:szCs w:val="20"/>
              </w:rPr>
            </w:pPr>
            <w:r w:rsidRPr="005B0E33">
              <w:rPr>
                <w:sz w:val="20"/>
                <w:szCs w:val="20"/>
              </w:rPr>
              <w:t>30</w:t>
            </w:r>
            <w:r w:rsidRPr="005B0E33" w:rsidR="0049617F">
              <w:rPr>
                <w:sz w:val="20"/>
                <w:szCs w:val="20"/>
              </w:rPr>
              <w:t>0</w:t>
            </w:r>
            <w:r w:rsidRPr="005B0E33" w:rsidR="001E665B">
              <w:rPr>
                <w:sz w:val="20"/>
                <w:szCs w:val="20"/>
              </w:rPr>
              <w:t xml:space="preserve"> hours</w:t>
            </w:r>
          </w:p>
        </w:tc>
      </w:tr>
      <w:tr w14:paraId="7A95F012" w14:textId="77777777" w:rsidTr="004564BF">
        <w:tblPrEx>
          <w:tblW w:w="10368" w:type="dxa"/>
          <w:tblLayout w:type="fixed"/>
          <w:tblLook w:val="01E0"/>
        </w:tblPrEx>
        <w:trPr>
          <w:trHeight w:val="274"/>
        </w:trPr>
        <w:tc>
          <w:tcPr>
            <w:tcW w:w="2898" w:type="dxa"/>
          </w:tcPr>
          <w:p w:rsidR="009B2D15" w:rsidRPr="005B0E33" w:rsidP="00843796" w14:paraId="35BCB362" w14:textId="2DCDC6DA">
            <w:pPr>
              <w:rPr>
                <w:sz w:val="20"/>
                <w:szCs w:val="20"/>
              </w:rPr>
            </w:pPr>
            <w:r w:rsidRPr="005B0E33">
              <w:rPr>
                <w:sz w:val="20"/>
                <w:szCs w:val="20"/>
              </w:rPr>
              <w:t>Interview</w:t>
            </w:r>
          </w:p>
        </w:tc>
        <w:tc>
          <w:tcPr>
            <w:tcW w:w="1800" w:type="dxa"/>
          </w:tcPr>
          <w:p w:rsidR="009B2D15" w:rsidRPr="005B0E33" w:rsidP="00843796" w14:paraId="233A7E76" w14:textId="22693F88">
            <w:pPr>
              <w:rPr>
                <w:sz w:val="20"/>
                <w:szCs w:val="20"/>
              </w:rPr>
            </w:pPr>
            <w:r w:rsidRPr="005B0E33">
              <w:rPr>
                <w:sz w:val="20"/>
                <w:szCs w:val="20"/>
              </w:rPr>
              <w:t>1</w:t>
            </w:r>
            <w:r w:rsidRPr="005B0E33" w:rsidR="000F3696">
              <w:rPr>
                <w:sz w:val="20"/>
                <w:szCs w:val="20"/>
              </w:rPr>
              <w:t>10</w:t>
            </w:r>
          </w:p>
        </w:tc>
        <w:tc>
          <w:tcPr>
            <w:tcW w:w="1350" w:type="dxa"/>
          </w:tcPr>
          <w:p w:rsidR="009B2D15" w:rsidRPr="005B0E33" w:rsidP="00843796" w14:paraId="16122FC4" w14:textId="2A455EA0">
            <w:pPr>
              <w:rPr>
                <w:sz w:val="20"/>
                <w:szCs w:val="20"/>
              </w:rPr>
            </w:pPr>
            <w:r w:rsidRPr="005B0E33">
              <w:rPr>
                <w:sz w:val="20"/>
                <w:szCs w:val="20"/>
              </w:rPr>
              <w:t>1</w:t>
            </w:r>
          </w:p>
        </w:tc>
        <w:tc>
          <w:tcPr>
            <w:tcW w:w="1350" w:type="dxa"/>
          </w:tcPr>
          <w:p w:rsidR="009B2D15" w:rsidRPr="005B0E33" w:rsidP="00843796" w14:paraId="52BF1CD6" w14:textId="36D49887">
            <w:pPr>
              <w:rPr>
                <w:sz w:val="20"/>
                <w:szCs w:val="20"/>
              </w:rPr>
            </w:pPr>
            <w:r w:rsidRPr="005B0E33">
              <w:rPr>
                <w:sz w:val="20"/>
                <w:szCs w:val="20"/>
              </w:rPr>
              <w:t>1</w:t>
            </w:r>
            <w:r w:rsidRPr="005B0E33" w:rsidR="000F3696">
              <w:rPr>
                <w:sz w:val="20"/>
                <w:szCs w:val="20"/>
              </w:rPr>
              <w:t>10</w:t>
            </w:r>
          </w:p>
        </w:tc>
        <w:tc>
          <w:tcPr>
            <w:tcW w:w="1440" w:type="dxa"/>
          </w:tcPr>
          <w:p w:rsidR="009B2D15" w:rsidRPr="005B0E33" w:rsidP="00843796" w14:paraId="08C22526" w14:textId="69CF55C4">
            <w:pPr>
              <w:rPr>
                <w:sz w:val="20"/>
                <w:szCs w:val="20"/>
              </w:rPr>
            </w:pPr>
            <w:r w:rsidRPr="005B0E33">
              <w:rPr>
                <w:sz w:val="20"/>
                <w:szCs w:val="20"/>
              </w:rPr>
              <w:t>1 hour</w:t>
            </w:r>
          </w:p>
        </w:tc>
        <w:tc>
          <w:tcPr>
            <w:tcW w:w="1530" w:type="dxa"/>
          </w:tcPr>
          <w:p w:rsidR="009B2D15" w:rsidRPr="005B0E33" w:rsidP="00843796" w14:paraId="1B17C965" w14:textId="4FEAE755">
            <w:pPr>
              <w:rPr>
                <w:sz w:val="20"/>
                <w:szCs w:val="20"/>
              </w:rPr>
            </w:pPr>
            <w:r w:rsidRPr="005B0E33">
              <w:rPr>
                <w:sz w:val="20"/>
                <w:szCs w:val="20"/>
              </w:rPr>
              <w:t>1</w:t>
            </w:r>
            <w:r w:rsidRPr="005B0E33" w:rsidR="00F51C43">
              <w:rPr>
                <w:sz w:val="20"/>
                <w:szCs w:val="20"/>
              </w:rPr>
              <w:t>10</w:t>
            </w:r>
            <w:r w:rsidRPr="005B0E33" w:rsidR="00DE31CC">
              <w:rPr>
                <w:sz w:val="20"/>
                <w:szCs w:val="20"/>
              </w:rPr>
              <w:t xml:space="preserve"> hours</w:t>
            </w:r>
          </w:p>
        </w:tc>
      </w:tr>
      <w:tr w14:paraId="7250C654" w14:textId="77777777" w:rsidTr="005B0E33">
        <w:tblPrEx>
          <w:tblW w:w="10368" w:type="dxa"/>
          <w:tblLayout w:type="fixed"/>
          <w:tblLook w:val="01E0"/>
        </w:tblPrEx>
        <w:trPr>
          <w:trHeight w:val="289"/>
        </w:trPr>
        <w:tc>
          <w:tcPr>
            <w:tcW w:w="2898" w:type="dxa"/>
          </w:tcPr>
          <w:p w:rsidR="004564BF" w:rsidRPr="005B0E33" w:rsidP="005B0E33" w14:paraId="7250C64E" w14:textId="0124D656">
            <w:pPr>
              <w:rPr>
                <w:b/>
                <w:sz w:val="20"/>
                <w:szCs w:val="20"/>
              </w:rPr>
            </w:pPr>
            <w:r>
              <w:rPr>
                <w:b/>
                <w:sz w:val="20"/>
                <w:szCs w:val="20"/>
              </w:rPr>
              <w:t>TOTAL</w:t>
            </w:r>
          </w:p>
        </w:tc>
        <w:tc>
          <w:tcPr>
            <w:tcW w:w="1800" w:type="dxa"/>
          </w:tcPr>
          <w:p w:rsidR="004564BF" w:rsidRPr="005B0E33" w:rsidP="003C2F54" w14:paraId="7250C64F" w14:textId="2B84C9DB">
            <w:pPr>
              <w:jc w:val="right"/>
              <w:rPr>
                <w:b/>
                <w:sz w:val="20"/>
                <w:szCs w:val="20"/>
              </w:rPr>
            </w:pPr>
            <w:r w:rsidRPr="005B0E33">
              <w:rPr>
                <w:b/>
                <w:sz w:val="20"/>
                <w:szCs w:val="20"/>
              </w:rPr>
              <w:t>1550</w:t>
            </w:r>
          </w:p>
        </w:tc>
        <w:tc>
          <w:tcPr>
            <w:tcW w:w="1350" w:type="dxa"/>
            <w:shd w:val="clear" w:color="auto" w:fill="D9D9D9" w:themeFill="background1" w:themeFillShade="D9"/>
          </w:tcPr>
          <w:p w:rsidR="004564BF" w:rsidRPr="005B0E33" w:rsidP="003C2F54" w14:paraId="7250C650" w14:textId="4C525A98">
            <w:pPr>
              <w:jc w:val="right"/>
              <w:rPr>
                <w:b/>
                <w:sz w:val="20"/>
                <w:szCs w:val="20"/>
              </w:rPr>
            </w:pPr>
          </w:p>
        </w:tc>
        <w:tc>
          <w:tcPr>
            <w:tcW w:w="1350" w:type="dxa"/>
          </w:tcPr>
          <w:p w:rsidR="004564BF" w:rsidRPr="005B0E33" w:rsidP="003C2F54" w14:paraId="7250C651" w14:textId="3804205B">
            <w:pPr>
              <w:jc w:val="right"/>
              <w:rPr>
                <w:b/>
                <w:sz w:val="20"/>
                <w:szCs w:val="20"/>
              </w:rPr>
            </w:pPr>
            <w:r w:rsidRPr="005B0E33">
              <w:rPr>
                <w:b/>
                <w:sz w:val="20"/>
                <w:szCs w:val="20"/>
              </w:rPr>
              <w:t>1550</w:t>
            </w:r>
          </w:p>
        </w:tc>
        <w:tc>
          <w:tcPr>
            <w:tcW w:w="1440" w:type="dxa"/>
            <w:shd w:val="clear" w:color="auto" w:fill="D9D9D9" w:themeFill="background1" w:themeFillShade="D9"/>
          </w:tcPr>
          <w:p w:rsidR="004564BF" w:rsidRPr="005B0E33" w:rsidP="003C2F54" w14:paraId="7250C652" w14:textId="0E6A6352">
            <w:pPr>
              <w:jc w:val="right"/>
              <w:rPr>
                <w:b/>
                <w:sz w:val="20"/>
                <w:szCs w:val="20"/>
              </w:rPr>
            </w:pPr>
          </w:p>
        </w:tc>
        <w:tc>
          <w:tcPr>
            <w:tcW w:w="1530" w:type="dxa"/>
          </w:tcPr>
          <w:p w:rsidR="004564BF" w:rsidRPr="005B0E33" w:rsidP="003C2F54" w14:paraId="7250C653" w14:textId="0D9FD971">
            <w:pPr>
              <w:jc w:val="right"/>
              <w:rPr>
                <w:b/>
                <w:sz w:val="20"/>
                <w:szCs w:val="20"/>
              </w:rPr>
            </w:pPr>
            <w:r w:rsidRPr="005B0E33">
              <w:rPr>
                <w:b/>
                <w:sz w:val="20"/>
                <w:szCs w:val="20"/>
              </w:rPr>
              <w:t>658</w:t>
            </w:r>
            <w:r w:rsidRPr="005B0E33" w:rsidR="00B75B06">
              <w:rPr>
                <w:b/>
                <w:sz w:val="20"/>
                <w:szCs w:val="20"/>
              </w:rPr>
              <w:t xml:space="preserve"> hours</w:t>
            </w:r>
          </w:p>
        </w:tc>
      </w:tr>
    </w:tbl>
    <w:p w:rsidR="00F3170F" w:rsidRPr="00713D29" w:rsidP="00F3170F" w14:paraId="7250C655" w14:textId="77777777"/>
    <w:p w:rsidR="00441434" w:rsidRPr="00713D29" w:rsidP="00F3170F" w14:paraId="7250C656" w14:textId="77777777"/>
    <w:p w:rsidR="005E714A" w:rsidRPr="008222BD" w14:paraId="7250C657" w14:textId="6DE8AA6E">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 xml:space="preserve">eral government is </w:t>
      </w:r>
      <w:r w:rsidRPr="008520C7" w:rsidR="008520C7">
        <w:t xml:space="preserve">$222,628.00 </w:t>
      </w:r>
      <w:r w:rsidRPr="00713D29">
        <w:t>_______.</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7508E3" w14:paraId="7250C65A" w14:textId="77777777">
      <w:r w:rsidRPr="00713D29">
        <w:t xml:space="preserve">13. </w:t>
      </w:r>
      <w:r w:rsidRPr="00AB78E0">
        <w:rPr>
          <w:b/>
        </w:rPr>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A95606" w14:paraId="7250C661" w14:textId="77777777">
      <w:pPr>
        <w:pStyle w:val="ListParagraph"/>
        <w:spacing w:before="29"/>
        <w:ind w:left="460" w:right="-20"/>
      </w:pPr>
      <w:r w:rsidRPr="00713D29">
        <w:t xml:space="preserve">(a) It is necessary for the proper performance of agency functions; </w:t>
      </w:r>
    </w:p>
    <w:p w:rsidR="00A95606" w:rsidRPr="00713D29" w:rsidP="00A95606" w14:paraId="7250C662" w14:textId="77777777">
      <w:pPr>
        <w:pStyle w:val="ListParagraph"/>
        <w:spacing w:before="29"/>
        <w:ind w:left="460" w:right="-20"/>
      </w:pPr>
      <w:r w:rsidRPr="00713D29">
        <w:t xml:space="preserve">(b) It avoids unnecessary duplication; </w:t>
      </w:r>
    </w:p>
    <w:p w:rsidR="00A95606" w:rsidRPr="00713D29" w:rsidP="00A95606" w14:paraId="7250C663" w14:textId="77777777">
      <w:pPr>
        <w:pStyle w:val="ListParagraph"/>
        <w:spacing w:before="29"/>
        <w:ind w:left="460" w:right="-20"/>
      </w:pPr>
      <w:r w:rsidRPr="00713D29">
        <w:t>(c) It uses plain, coherent, and unambiguous terminology that is understandable to respondents;</w:t>
      </w:r>
    </w:p>
    <w:p w:rsidR="00A95606" w:rsidRPr="00713D29" w:rsidP="00A95606" w14:paraId="7250C664" w14:textId="77777777">
      <w:pPr>
        <w:pStyle w:val="ListParagraph"/>
        <w:spacing w:before="29"/>
        <w:ind w:left="460" w:right="-20"/>
      </w:pPr>
      <w:r w:rsidRPr="00713D29">
        <w:t>(d) Its implementation will be consistent and compatible with current reporting and recordkeeping practices;</w:t>
      </w:r>
    </w:p>
    <w:p w:rsidR="00A95606" w:rsidRPr="00713D29" w:rsidP="00A95606" w14:paraId="7250C665" w14:textId="77777777">
      <w:pPr>
        <w:pStyle w:val="ListParagraph"/>
        <w:spacing w:before="29"/>
        <w:ind w:left="460" w:right="-20"/>
      </w:pPr>
      <w:r w:rsidRPr="00713D29">
        <w:t>(e) It indicates the retention period for recordkeeping requirements;</w:t>
      </w:r>
    </w:p>
    <w:p w:rsidR="00A95606" w:rsidRPr="00713D29" w:rsidP="00A95606" w14:paraId="7250C666"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w:t>
      </w:r>
      <w:r w:rsidRPr="00713D29">
        <w:t>i</w:t>
      </w:r>
      <w:r w:rsidRPr="00713D29">
        <w:t>) Why the information is being collected;</w:t>
      </w:r>
    </w:p>
    <w:p w:rsidR="00A95606" w:rsidRPr="00713D29" w:rsidP="00A95606" w14:paraId="7250C668" w14:textId="77777777">
      <w:pPr>
        <w:pStyle w:val="ListParagraph"/>
        <w:spacing w:before="29"/>
        <w:ind w:left="460" w:right="-20" w:firstLine="260"/>
      </w:pPr>
      <w:r w:rsidRPr="00713D29">
        <w:t>(ii) Use of information;</w:t>
      </w:r>
    </w:p>
    <w:p w:rsidR="00A95606" w:rsidRPr="00713D29" w:rsidP="00A95606" w14:paraId="7250C669" w14:textId="77777777">
      <w:pPr>
        <w:pStyle w:val="ListParagraph"/>
        <w:spacing w:before="29"/>
        <w:ind w:left="460" w:right="-20" w:firstLine="260"/>
      </w:pPr>
      <w:r w:rsidRPr="00713D29">
        <w:t>(iii) Burden estimate;</w:t>
      </w:r>
    </w:p>
    <w:p w:rsidR="00A95606" w:rsidRPr="00713D29" w:rsidP="00A95606" w14:paraId="7250C66A" w14:textId="77777777">
      <w:pPr>
        <w:pStyle w:val="ListParagraph"/>
        <w:spacing w:before="29"/>
        <w:ind w:left="460" w:right="-20" w:firstLine="260"/>
      </w:pPr>
      <w:r w:rsidRPr="00713D29">
        <w:t>(iv) Nature of response (voluntary);</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(vi) Need to display currently valid OMB control number;</w:t>
      </w:r>
    </w:p>
    <w:p w:rsidR="00A95606" w:rsidRPr="00713D29" w:rsidP="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00A95606" w:rsidRPr="00713D29" w:rsidP="00A95606" w14:paraId="7250C66E" w14:textId="77777777">
      <w:pPr>
        <w:pStyle w:val="ListParagraph"/>
        <w:spacing w:before="29"/>
        <w:ind w:left="460" w:right="-20"/>
      </w:pPr>
      <w:r w:rsidRPr="00713D29">
        <w:t>(h) It uses effective and efficient statistical survey methodology; and</w:t>
      </w:r>
    </w:p>
    <w:p w:rsidR="00A95606" w:rsidRPr="00713D29" w:rsidP="00A95606" w14:paraId="7250C66F" w14:textId="77777777">
      <w:pPr>
        <w:pStyle w:val="ListParagraph"/>
        <w:spacing w:before="29"/>
        <w:ind w:left="460" w:right="-20"/>
      </w:pPr>
      <w:r w:rsidRPr="00713D29">
        <w:t>(</w:t>
      </w:r>
      <w:r w:rsidRPr="00713D29">
        <w:t>i</w:t>
      </w:r>
      <w:r w:rsidRPr="00713D29">
        <w:t>)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The collection is low-burden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rsidRPr="00361D3C" w:rsidP="00361D3C" w14:paraId="7250C681" w14:textId="293B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E6CAB" w14:paraId="31F87E94" w14:textId="77777777">
      <w:r>
        <w:separator/>
      </w:r>
    </w:p>
  </w:footnote>
  <w:footnote w:type="continuationSeparator" w:id="1">
    <w:p w:rsidR="005E6CAB" w14:paraId="593730F3" w14:textId="77777777">
      <w:r>
        <w:continuationSeparator/>
      </w:r>
    </w:p>
  </w:footnote>
  <w:footnote w:id="2">
    <w:p w:rsidR="003D7B30" w:rsidP="003D7B30" w14:paraId="73101F7B" w14:textId="77777777">
      <w:pPr>
        <w:pStyle w:val="FootnoteText"/>
      </w:pPr>
      <w:r>
        <w:rPr>
          <w:rStyle w:val="FootnoteReference"/>
        </w:rPr>
        <w:footnoteRef/>
      </w:r>
      <w:r>
        <w:t xml:space="preserve"> Krueger and Casey, Vol 4 page 77. </w:t>
      </w:r>
      <w:hyperlink r:id="rId1" w:history="1">
        <w:r>
          <w:rPr>
            <w:rStyle w:val="Hyperlink"/>
          </w:rPr>
          <w:t>https://www.sagepub.com/sites/default/files/upm-binaries/24056_Chapter4.pdf</w:t>
        </w:r>
      </w:hyperlink>
    </w:p>
  </w:footnote>
  <w:footnote w:id="3">
    <w:p w:rsidR="003D7B30" w:rsidP="003D7B30" w14:paraId="4C94B5EE"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824B4F"/>
    <w:multiLevelType w:val="hybridMultilevel"/>
    <w:tmpl w:val="CFC20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CB31BF9"/>
    <w:multiLevelType w:val="hybridMultilevel"/>
    <w:tmpl w:val="BAAC0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7">
    <w:nsid w:val="347B01F0"/>
    <w:multiLevelType w:val="hybridMultilevel"/>
    <w:tmpl w:val="1B2A8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4">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5">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8D80352"/>
    <w:multiLevelType w:val="hybridMultilevel"/>
    <w:tmpl w:val="34B67AFA"/>
    <w:lvl w:ilvl="0">
      <w:start w:val="1"/>
      <w:numFmt w:val="decimal"/>
      <w:lvlText w:val="%1."/>
      <w:lvlJc w:val="left"/>
      <w:pPr>
        <w:ind w:left="1080" w:hanging="720"/>
      </w:pPr>
      <w:rPr>
        <w:rFonts w:hint="default"/>
      </w:rPr>
    </w:lvl>
    <w:lvl w:ilvl="1">
      <w:start w:val="0"/>
      <w:numFmt w:val="bullet"/>
      <w:lvlText w:val=""/>
      <w:lvlJc w:val="left"/>
      <w:pPr>
        <w:ind w:left="1440" w:hanging="360"/>
      </w:pPr>
      <w:rPr>
        <w:rFonts w:ascii="Symbol" w:hAnsi="Symbol"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32"/>
  </w:num>
  <w:num w:numId="4">
    <w:abstractNumId w:val="34"/>
  </w:num>
  <w:num w:numId="5">
    <w:abstractNumId w:val="6"/>
  </w:num>
  <w:num w:numId="6">
    <w:abstractNumId w:val="1"/>
  </w:num>
  <w:num w:numId="7">
    <w:abstractNumId w:val="18"/>
  </w:num>
  <w:num w:numId="8">
    <w:abstractNumId w:val="28"/>
  </w:num>
  <w:num w:numId="9">
    <w:abstractNumId w:val="19"/>
  </w:num>
  <w:num w:numId="10">
    <w:abstractNumId w:val="2"/>
  </w:num>
  <w:num w:numId="11">
    <w:abstractNumId w:val="10"/>
  </w:num>
  <w:num w:numId="12">
    <w:abstractNumId w:val="12"/>
  </w:num>
  <w:num w:numId="13">
    <w:abstractNumId w:val="0"/>
  </w:num>
  <w:num w:numId="14">
    <w:abstractNumId w:val="31"/>
  </w:num>
  <w:num w:numId="15">
    <w:abstractNumId w:val="26"/>
  </w:num>
  <w:num w:numId="16">
    <w:abstractNumId w:val="22"/>
  </w:num>
  <w:num w:numId="17">
    <w:abstractNumId w:val="7"/>
  </w:num>
  <w:num w:numId="18">
    <w:abstractNumId w:val="9"/>
  </w:num>
  <w:num w:numId="19">
    <w:abstractNumId w:val="35"/>
  </w:num>
  <w:num w:numId="20">
    <w:abstractNumId w:val="13"/>
  </w:num>
  <w:num w:numId="21">
    <w:abstractNumId w:val="16"/>
  </w:num>
  <w:num w:numId="22">
    <w:abstractNumId w:val="4"/>
  </w:num>
  <w:num w:numId="23">
    <w:abstractNumId w:val="5"/>
  </w:num>
  <w:num w:numId="24">
    <w:abstractNumId w:val="23"/>
  </w:num>
  <w:num w:numId="25">
    <w:abstractNumId w:val="15"/>
  </w:num>
  <w:num w:numId="26">
    <w:abstractNumId w:val="21"/>
  </w:num>
  <w:num w:numId="27">
    <w:abstractNumId w:val="11"/>
  </w:num>
  <w:num w:numId="28">
    <w:abstractNumId w:val="30"/>
  </w:num>
  <w:num w:numId="29">
    <w:abstractNumId w:val="25"/>
  </w:num>
  <w:num w:numId="30">
    <w:abstractNumId w:val="24"/>
  </w:num>
  <w:num w:numId="31">
    <w:abstractNumId w:val="29"/>
  </w:num>
  <w:num w:numId="32">
    <w:abstractNumId w:val="3"/>
  </w:num>
  <w:num w:numId="33">
    <w:abstractNumId w:val="27"/>
  </w:num>
  <w:num w:numId="34">
    <w:abstractNumId w:val="14"/>
  </w:num>
  <w:num w:numId="35">
    <w:abstractNumId w:val="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3A57"/>
    <w:rsid w:val="00047A64"/>
    <w:rsid w:val="0005105C"/>
    <w:rsid w:val="000556A8"/>
    <w:rsid w:val="00057C1A"/>
    <w:rsid w:val="00061BDF"/>
    <w:rsid w:val="00067329"/>
    <w:rsid w:val="0006753A"/>
    <w:rsid w:val="000702CE"/>
    <w:rsid w:val="00075A04"/>
    <w:rsid w:val="00091326"/>
    <w:rsid w:val="000A0480"/>
    <w:rsid w:val="000A1C35"/>
    <w:rsid w:val="000A7D3A"/>
    <w:rsid w:val="000B1742"/>
    <w:rsid w:val="000B2838"/>
    <w:rsid w:val="000B47B0"/>
    <w:rsid w:val="000B6866"/>
    <w:rsid w:val="000C3C86"/>
    <w:rsid w:val="000C72EB"/>
    <w:rsid w:val="000D44CA"/>
    <w:rsid w:val="000E200B"/>
    <w:rsid w:val="000F02A4"/>
    <w:rsid w:val="000F3696"/>
    <w:rsid w:val="000F5892"/>
    <w:rsid w:val="000F68BE"/>
    <w:rsid w:val="00101670"/>
    <w:rsid w:val="00120BE5"/>
    <w:rsid w:val="00127D3E"/>
    <w:rsid w:val="001443D3"/>
    <w:rsid w:val="001661BF"/>
    <w:rsid w:val="0016681A"/>
    <w:rsid w:val="001927A4"/>
    <w:rsid w:val="00194AC6"/>
    <w:rsid w:val="001A09E0"/>
    <w:rsid w:val="001A23B0"/>
    <w:rsid w:val="001A25CC"/>
    <w:rsid w:val="001A4BC5"/>
    <w:rsid w:val="001B0AAA"/>
    <w:rsid w:val="001B5CA1"/>
    <w:rsid w:val="001C39F7"/>
    <w:rsid w:val="001D0B48"/>
    <w:rsid w:val="001D305B"/>
    <w:rsid w:val="001E665B"/>
    <w:rsid w:val="001E713F"/>
    <w:rsid w:val="0020537A"/>
    <w:rsid w:val="00215655"/>
    <w:rsid w:val="00221809"/>
    <w:rsid w:val="00237B48"/>
    <w:rsid w:val="0024521E"/>
    <w:rsid w:val="00263C3D"/>
    <w:rsid w:val="00274D0B"/>
    <w:rsid w:val="00295147"/>
    <w:rsid w:val="002A0D2B"/>
    <w:rsid w:val="002A4C8B"/>
    <w:rsid w:val="002B3C95"/>
    <w:rsid w:val="002D0B92"/>
    <w:rsid w:val="002E235A"/>
    <w:rsid w:val="00306F1B"/>
    <w:rsid w:val="00320250"/>
    <w:rsid w:val="00361D3C"/>
    <w:rsid w:val="00366E3D"/>
    <w:rsid w:val="00374974"/>
    <w:rsid w:val="00390AF8"/>
    <w:rsid w:val="003A40DB"/>
    <w:rsid w:val="003C1E4D"/>
    <w:rsid w:val="003C2F54"/>
    <w:rsid w:val="003C4E67"/>
    <w:rsid w:val="003D16CD"/>
    <w:rsid w:val="003D5BBE"/>
    <w:rsid w:val="003D7B30"/>
    <w:rsid w:val="003E3C61"/>
    <w:rsid w:val="003F1C5B"/>
    <w:rsid w:val="003F26CE"/>
    <w:rsid w:val="003F4502"/>
    <w:rsid w:val="00410DD3"/>
    <w:rsid w:val="00410F81"/>
    <w:rsid w:val="00421676"/>
    <w:rsid w:val="00434E33"/>
    <w:rsid w:val="00441434"/>
    <w:rsid w:val="0045264C"/>
    <w:rsid w:val="004526CD"/>
    <w:rsid w:val="004564BF"/>
    <w:rsid w:val="0045745F"/>
    <w:rsid w:val="00476535"/>
    <w:rsid w:val="004876EC"/>
    <w:rsid w:val="004952D6"/>
    <w:rsid w:val="0049617F"/>
    <w:rsid w:val="004D0916"/>
    <w:rsid w:val="004D475D"/>
    <w:rsid w:val="004D6E14"/>
    <w:rsid w:val="005009B0"/>
    <w:rsid w:val="00505892"/>
    <w:rsid w:val="00514298"/>
    <w:rsid w:val="00514B27"/>
    <w:rsid w:val="00531210"/>
    <w:rsid w:val="005672CE"/>
    <w:rsid w:val="005804BB"/>
    <w:rsid w:val="00584072"/>
    <w:rsid w:val="005A1006"/>
    <w:rsid w:val="005B051F"/>
    <w:rsid w:val="005B0E33"/>
    <w:rsid w:val="005B6DB4"/>
    <w:rsid w:val="005C1704"/>
    <w:rsid w:val="005E0336"/>
    <w:rsid w:val="005E6CAB"/>
    <w:rsid w:val="005E714A"/>
    <w:rsid w:val="00612975"/>
    <w:rsid w:val="006140A0"/>
    <w:rsid w:val="00631060"/>
    <w:rsid w:val="00632758"/>
    <w:rsid w:val="00635087"/>
    <w:rsid w:val="00636621"/>
    <w:rsid w:val="0064286D"/>
    <w:rsid w:val="00642B49"/>
    <w:rsid w:val="00643786"/>
    <w:rsid w:val="00671686"/>
    <w:rsid w:val="006805EB"/>
    <w:rsid w:val="006832D9"/>
    <w:rsid w:val="0069403B"/>
    <w:rsid w:val="006947B8"/>
    <w:rsid w:val="006A48D0"/>
    <w:rsid w:val="006B276C"/>
    <w:rsid w:val="006D4FD2"/>
    <w:rsid w:val="006F3DDE"/>
    <w:rsid w:val="0070164B"/>
    <w:rsid w:val="00704678"/>
    <w:rsid w:val="00713D29"/>
    <w:rsid w:val="007173AA"/>
    <w:rsid w:val="00730130"/>
    <w:rsid w:val="00733EAC"/>
    <w:rsid w:val="007353C3"/>
    <w:rsid w:val="007425E7"/>
    <w:rsid w:val="007508E3"/>
    <w:rsid w:val="00753F80"/>
    <w:rsid w:val="0078752D"/>
    <w:rsid w:val="007A0098"/>
    <w:rsid w:val="007A0BCB"/>
    <w:rsid w:val="007B0AFF"/>
    <w:rsid w:val="00802607"/>
    <w:rsid w:val="00806C5B"/>
    <w:rsid w:val="008101A5"/>
    <w:rsid w:val="00812F77"/>
    <w:rsid w:val="00815E90"/>
    <w:rsid w:val="008222BD"/>
    <w:rsid w:val="00822664"/>
    <w:rsid w:val="00832097"/>
    <w:rsid w:val="008403EE"/>
    <w:rsid w:val="00843796"/>
    <w:rsid w:val="008520C7"/>
    <w:rsid w:val="008635FB"/>
    <w:rsid w:val="00894FDB"/>
    <w:rsid w:val="00895229"/>
    <w:rsid w:val="008A3C7A"/>
    <w:rsid w:val="008A79F5"/>
    <w:rsid w:val="008B6FED"/>
    <w:rsid w:val="008C4E6C"/>
    <w:rsid w:val="008E2734"/>
    <w:rsid w:val="008E746E"/>
    <w:rsid w:val="008F0203"/>
    <w:rsid w:val="008F50D4"/>
    <w:rsid w:val="00900E40"/>
    <w:rsid w:val="00904A95"/>
    <w:rsid w:val="009174CF"/>
    <w:rsid w:val="009176DD"/>
    <w:rsid w:val="009239AA"/>
    <w:rsid w:val="009330D8"/>
    <w:rsid w:val="00935ADA"/>
    <w:rsid w:val="00943340"/>
    <w:rsid w:val="00946B6C"/>
    <w:rsid w:val="00955A71"/>
    <w:rsid w:val="009607A9"/>
    <w:rsid w:val="0096108F"/>
    <w:rsid w:val="0098027F"/>
    <w:rsid w:val="009B2D15"/>
    <w:rsid w:val="009B45C3"/>
    <w:rsid w:val="009C13B9"/>
    <w:rsid w:val="009C33B0"/>
    <w:rsid w:val="009C61DB"/>
    <w:rsid w:val="009D01A2"/>
    <w:rsid w:val="009D5494"/>
    <w:rsid w:val="009F2B79"/>
    <w:rsid w:val="009F5923"/>
    <w:rsid w:val="00A335C5"/>
    <w:rsid w:val="00A403BB"/>
    <w:rsid w:val="00A61DEA"/>
    <w:rsid w:val="00A674DF"/>
    <w:rsid w:val="00A83AA6"/>
    <w:rsid w:val="00A94E2D"/>
    <w:rsid w:val="00A95606"/>
    <w:rsid w:val="00A96ADA"/>
    <w:rsid w:val="00AB78E0"/>
    <w:rsid w:val="00AC7F7A"/>
    <w:rsid w:val="00AD1142"/>
    <w:rsid w:val="00AD50C2"/>
    <w:rsid w:val="00AE1809"/>
    <w:rsid w:val="00AE652E"/>
    <w:rsid w:val="00AE7EC7"/>
    <w:rsid w:val="00B040A0"/>
    <w:rsid w:val="00B15360"/>
    <w:rsid w:val="00B1772C"/>
    <w:rsid w:val="00B242DC"/>
    <w:rsid w:val="00B26DD5"/>
    <w:rsid w:val="00B40E97"/>
    <w:rsid w:val="00B412D4"/>
    <w:rsid w:val="00B73A21"/>
    <w:rsid w:val="00B75B06"/>
    <w:rsid w:val="00B80D76"/>
    <w:rsid w:val="00B95954"/>
    <w:rsid w:val="00BA2105"/>
    <w:rsid w:val="00BA7E06"/>
    <w:rsid w:val="00BB3FAA"/>
    <w:rsid w:val="00BB43B5"/>
    <w:rsid w:val="00BB6219"/>
    <w:rsid w:val="00BD290F"/>
    <w:rsid w:val="00BD3EFE"/>
    <w:rsid w:val="00BE11E2"/>
    <w:rsid w:val="00BE26E4"/>
    <w:rsid w:val="00C030CA"/>
    <w:rsid w:val="00C14CC4"/>
    <w:rsid w:val="00C33C52"/>
    <w:rsid w:val="00C40D8B"/>
    <w:rsid w:val="00C613EB"/>
    <w:rsid w:val="00C8407A"/>
    <w:rsid w:val="00C8488C"/>
    <w:rsid w:val="00C86E91"/>
    <w:rsid w:val="00C95ABA"/>
    <w:rsid w:val="00CA2650"/>
    <w:rsid w:val="00CB1078"/>
    <w:rsid w:val="00CC3787"/>
    <w:rsid w:val="00CC6FAF"/>
    <w:rsid w:val="00CD6229"/>
    <w:rsid w:val="00D24698"/>
    <w:rsid w:val="00D5251A"/>
    <w:rsid w:val="00D6383F"/>
    <w:rsid w:val="00D6490E"/>
    <w:rsid w:val="00D763EB"/>
    <w:rsid w:val="00D825DB"/>
    <w:rsid w:val="00D913A3"/>
    <w:rsid w:val="00DB095F"/>
    <w:rsid w:val="00DB59D0"/>
    <w:rsid w:val="00DC33D3"/>
    <w:rsid w:val="00DD0E84"/>
    <w:rsid w:val="00DE31CC"/>
    <w:rsid w:val="00DE7836"/>
    <w:rsid w:val="00E0426D"/>
    <w:rsid w:val="00E076F1"/>
    <w:rsid w:val="00E214CE"/>
    <w:rsid w:val="00E26329"/>
    <w:rsid w:val="00E404BE"/>
    <w:rsid w:val="00E40B50"/>
    <w:rsid w:val="00E50293"/>
    <w:rsid w:val="00E647EA"/>
    <w:rsid w:val="00E65FFC"/>
    <w:rsid w:val="00E74804"/>
    <w:rsid w:val="00E749FF"/>
    <w:rsid w:val="00E80951"/>
    <w:rsid w:val="00E80E59"/>
    <w:rsid w:val="00E86CC6"/>
    <w:rsid w:val="00EB0B97"/>
    <w:rsid w:val="00EB56B3"/>
    <w:rsid w:val="00EB7EC9"/>
    <w:rsid w:val="00ED6492"/>
    <w:rsid w:val="00EF2095"/>
    <w:rsid w:val="00EF254D"/>
    <w:rsid w:val="00EF6F37"/>
    <w:rsid w:val="00F00DAE"/>
    <w:rsid w:val="00F0258C"/>
    <w:rsid w:val="00F06866"/>
    <w:rsid w:val="00F15956"/>
    <w:rsid w:val="00F24CFC"/>
    <w:rsid w:val="00F3170F"/>
    <w:rsid w:val="00F51C43"/>
    <w:rsid w:val="00F54D86"/>
    <w:rsid w:val="00F573EF"/>
    <w:rsid w:val="00F63168"/>
    <w:rsid w:val="00F721D1"/>
    <w:rsid w:val="00F85219"/>
    <w:rsid w:val="00F8707B"/>
    <w:rsid w:val="00F976B0"/>
    <w:rsid w:val="00FA6DE7"/>
    <w:rsid w:val="00FA7432"/>
    <w:rsid w:val="00FC0A8E"/>
    <w:rsid w:val="00FC16D1"/>
    <w:rsid w:val="00FD710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customStyle="1" w:styleId="ICFTextwithspace">
    <w:name w:val="ICF Text with space"/>
    <w:basedOn w:val="Normal"/>
    <w:qFormat/>
    <w:rsid w:val="008A3C7A"/>
    <w:pPr>
      <w:spacing w:after="120" w:line="264" w:lineRule="auto"/>
    </w:pPr>
    <w:rPr>
      <w:rFonts w:ascii="DM Sans" w:hAnsi="DM Sans" w:eastAsiaTheme="minorHAnsi" w:cs="Times New Roman (Body CS)"/>
      <w:sz w:val="20"/>
      <w:szCs w:val="20"/>
    </w:rPr>
  </w:style>
  <w:style w:type="character" w:customStyle="1" w:styleId="normaltextrun">
    <w:name w:val="normaltextrun"/>
    <w:basedOn w:val="DefaultParagraphFont"/>
    <w:rsid w:val="008A3C7A"/>
  </w:style>
  <w:style w:type="character" w:customStyle="1" w:styleId="eop">
    <w:name w:val="eop"/>
    <w:basedOn w:val="DefaultParagraphFont"/>
    <w:rsid w:val="00057C1A"/>
  </w:style>
  <w:style w:type="paragraph" w:styleId="FootnoteText">
    <w:name w:val="footnote text"/>
    <w:basedOn w:val="Normal"/>
    <w:link w:val="FootnoteTextChar"/>
    <w:uiPriority w:val="99"/>
    <w:semiHidden/>
    <w:unhideWhenUsed/>
    <w:rsid w:val="003D7B3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D7B3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D7B30"/>
    <w:rPr>
      <w:vertAlign w:val="superscript"/>
    </w:rPr>
  </w:style>
  <w:style w:type="character" w:customStyle="1" w:styleId="ListParagraphChar">
    <w:name w:val="List Paragraph Char"/>
    <w:basedOn w:val="DefaultParagraphFont"/>
    <w:link w:val="ListParagraph"/>
    <w:uiPriority w:val="34"/>
    <w:locked/>
    <w:rsid w:val="00166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gepub.com/sites/default/files/upm-binaries/24056_Chapter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OPSOCDOPRA-2116056712-2136608</_dlc_DocId>
    <_dlc_DocIdUrl xmlns="8097749c-35e3-4292-9c41-d352b303d2cf">
      <Url>https://bcfp365.sharepoint.com/sites/ops-ocdo-pra/_layouts/15/DocIdRedir.aspx?ID=OPSOCDOPRA-2116056712-2136608</Url>
      <Description>OPSOCDOPRA-2116056712-2136608</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9A778-E553-4E4D-911C-9D39CE5FF346}">
  <ds:schemaRefs/>
</ds:datastoreItem>
</file>

<file path=customXml/itemProps2.xml><?xml version="1.0" encoding="utf-8"?>
<ds:datastoreItem xmlns:ds="http://schemas.openxmlformats.org/officeDocument/2006/customXml" ds:itemID="{FE61FC39-55CE-4443-A230-98164322D756}">
  <ds:schemaRefs/>
</ds:datastoreItem>
</file>

<file path=customXml/itemProps3.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80472381-D386-4394-A7FA-0D71F4513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May, Anthony (CFPB)</cp:lastModifiedBy>
  <cp:revision>8</cp:revision>
  <cp:lastPrinted>2010-10-04T16:59:00Z</cp:lastPrinted>
  <dcterms:created xsi:type="dcterms:W3CDTF">2022-03-04T20:19:00Z</dcterms:created>
  <dcterms:modified xsi:type="dcterms:W3CDTF">2022-03-04T20:38:00Z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00cf3a2d-4e16-4c09-83f8-8bb977833d04</vt:lpwstr>
  </property>
  <property fmtid="{D5CDD505-2E9C-101B-9397-08002B2CF9AE}" pid="9" name="_docset_NoMedatataSyncRequired">
    <vt:lpwstr>False</vt:lpwstr>
  </property>
  <property fmtid="{D5CDD505-2E9C-101B-9397-08002B2CF9AE}" pid="10" name="_NewReviewCycle">
    <vt:lpwstr/>
  </property>
</Properties>
</file>