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3D4F9187">
      <w:pPr>
        <w:jc w:val="center"/>
        <w:rPr>
          <w:b/>
          <w:caps/>
          <w:sz w:val="24"/>
          <w:szCs w:val="24"/>
        </w:rPr>
      </w:pPr>
      <w:r>
        <w:rPr>
          <w:b/>
          <w:caps/>
          <w:sz w:val="24"/>
          <w:szCs w:val="24"/>
        </w:rPr>
        <w:t>Generic information collection plan for qualitative consumer education, engagement AND EXPERIENCE INFORMATION COLLECTIONS</w:t>
      </w:r>
    </w:p>
    <w:p w:rsidR="003225D2" w:rsidRPr="00BF6D43" w:rsidP="003225D2" w14:paraId="4ACA79D4" w14:textId="536466FD">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44607C">
        <w:rPr>
          <w:b/>
          <w:bCs/>
          <w:sz w:val="24"/>
          <w:szCs w:val="24"/>
        </w:rPr>
        <w:t>36</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39D3" w:rsidP="005F1FFC" w14:paraId="2A8A43BC" w14:textId="4DCFD844">
      <w:pPr>
        <w:rPr>
          <w:sz w:val="24"/>
        </w:rPr>
      </w:pPr>
    </w:p>
    <w:p w:rsidR="0044607C" w:rsidRPr="00941DEE" w:rsidP="0044607C" w14:paraId="0ED7AF9A" w14:textId="0049D596">
      <w:pPr>
        <w:rPr>
          <w:color w:val="000000"/>
          <w:sz w:val="24"/>
          <w:szCs w:val="24"/>
        </w:rPr>
      </w:pPr>
      <w:r w:rsidRPr="00941DEE">
        <w:rPr>
          <w:color w:val="000000"/>
          <w:sz w:val="24"/>
          <w:szCs w:val="24"/>
        </w:rPr>
        <w:t>The Dodd-Frank Wall Street Reform and Consumer Protection Act of 2010 (Pub. L. 111-203) (the Dodd-Frank Act) established the Consumer Financial Protection Bureau (the CFPB</w:t>
      </w:r>
      <w:r>
        <w:rPr>
          <w:color w:val="000000"/>
          <w:sz w:val="24"/>
          <w:szCs w:val="24"/>
        </w:rPr>
        <w:t xml:space="preserve"> or the Bureau</w:t>
      </w:r>
      <w:r w:rsidRPr="00941DEE">
        <w:rPr>
          <w:color w:val="000000"/>
          <w:sz w:val="24"/>
          <w:szCs w:val="24"/>
        </w:rPr>
        <w:t xml:space="preserve">) to regulate the offering and provision of consumer products or services under federal consumer financial laws. </w:t>
      </w:r>
      <w:r>
        <w:rPr>
          <w:color w:val="000000"/>
          <w:sz w:val="24"/>
          <w:szCs w:val="24"/>
        </w:rPr>
        <w:t xml:space="preserve">Numerous provisions of the Dodd-Frank Act direct the Bureau to engage in financial education and empowerment. For example, </w:t>
      </w:r>
      <w:r>
        <w:rPr>
          <w:color w:val="000000"/>
          <w:sz w:val="24"/>
          <w:szCs w:val="24"/>
        </w:rPr>
        <w:t>section 1021(c) of the Dodd-Frank Act</w:t>
      </w:r>
      <w:r w:rsidRPr="007247E3">
        <w:rPr>
          <w:color w:val="000000"/>
          <w:sz w:val="24"/>
          <w:szCs w:val="24"/>
        </w:rPr>
        <w:t xml:space="preserve"> </w:t>
      </w:r>
      <w:r>
        <w:rPr>
          <w:color w:val="000000"/>
          <w:sz w:val="24"/>
          <w:szCs w:val="24"/>
        </w:rPr>
        <w:t xml:space="preserve">lists “conducting financial education programs” as one of six primary functions of the Bureau. </w:t>
      </w:r>
      <w:r w:rsidR="004114ED">
        <w:rPr>
          <w:color w:val="000000"/>
          <w:sz w:val="24"/>
          <w:szCs w:val="24"/>
        </w:rPr>
        <w:t xml:space="preserve"> </w:t>
      </w:r>
      <w:r>
        <w:rPr>
          <w:color w:val="000000"/>
          <w:sz w:val="24"/>
          <w:szCs w:val="24"/>
        </w:rPr>
        <w:t xml:space="preserve">Section 1021(b) lists as one of the Bureau’s objectives that “consumers are provided with timely and understandable information to make responsible decisions about financial transactions.” </w:t>
      </w:r>
      <w:r w:rsidR="004114ED">
        <w:rPr>
          <w:color w:val="000000"/>
          <w:sz w:val="24"/>
          <w:szCs w:val="24"/>
        </w:rPr>
        <w:t xml:space="preserve"> </w:t>
      </w:r>
      <w:r w:rsidRPr="00941DEE">
        <w:rPr>
          <w:color w:val="000000"/>
          <w:sz w:val="24"/>
          <w:szCs w:val="24"/>
        </w:rPr>
        <w:t xml:space="preserve">Section 1013(d) of the Dodd-Frank Act established within the CFPB the Office of Financial Education (OFE) which is responsible for developing and implementing initiatives intended to educate and empower consumers to make better informed financial decisions. </w:t>
      </w:r>
    </w:p>
    <w:p w:rsidR="0044607C" w:rsidRPr="00941DEE" w:rsidP="0044607C" w14:paraId="03784FEF" w14:textId="77777777">
      <w:pPr>
        <w:rPr>
          <w:color w:val="000000"/>
          <w:sz w:val="24"/>
          <w:szCs w:val="24"/>
        </w:rPr>
      </w:pPr>
    </w:p>
    <w:p w:rsidR="0044607C" w:rsidRPr="00941DEE" w:rsidP="0044607C" w14:paraId="399F4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941DEE">
        <w:rPr>
          <w:color w:val="000000"/>
          <w:sz w:val="24"/>
          <w:szCs w:val="24"/>
        </w:rPr>
        <w:t>Section 1013(g) of the Dodd-Frank Act established within the CFPB the Office of Financial Protection for Older Americans, which is responsible for, among other things, activities designed to facilitate the financial literacy of individuals who have attained the age of 62 years or more on protection from deceptive and abusive practices and on current and future financial choices.</w:t>
      </w:r>
    </w:p>
    <w:p w:rsidR="00642E41" w:rsidP="0044607C" w14:paraId="027E681C" w14:textId="77777777">
      <w:pPr>
        <w:rPr>
          <w:color w:val="000000"/>
          <w:sz w:val="24"/>
          <w:szCs w:val="24"/>
        </w:rPr>
      </w:pPr>
    </w:p>
    <w:p w:rsidR="0044607C" w:rsidP="0044607C" w14:paraId="2E275EFB" w14:textId="75EF9044">
      <w:pPr>
        <w:rPr>
          <w:color w:val="000000"/>
          <w:sz w:val="24"/>
          <w:szCs w:val="24"/>
        </w:rPr>
      </w:pPr>
      <w:r>
        <w:rPr>
          <w:color w:val="000000"/>
          <w:sz w:val="24"/>
          <w:szCs w:val="24"/>
        </w:rPr>
        <w:t>Section 1013(b)(2)</w:t>
      </w:r>
      <w:r w:rsidRPr="00941DEE">
        <w:rPr>
          <w:color w:val="000000"/>
          <w:sz w:val="24"/>
          <w:szCs w:val="24"/>
        </w:rPr>
        <w:t xml:space="preserve"> of the Act</w:t>
      </w:r>
      <w:r>
        <w:rPr>
          <w:color w:val="000000"/>
          <w:sz w:val="24"/>
          <w:szCs w:val="24"/>
        </w:rPr>
        <w:t xml:space="preserve"> directs the Bureau, through the Office of Community Affairs, to among other things, provide information, guidance and technical assistance regarding the offering and provision of consumer financial products and services to traditionally underserved consumers and communities. </w:t>
      </w:r>
    </w:p>
    <w:p w:rsidR="0044607C" w:rsidRPr="00941DEE" w:rsidP="0044607C" w14:paraId="37738353" w14:textId="77777777">
      <w:pPr>
        <w:rPr>
          <w:color w:val="000000"/>
          <w:sz w:val="24"/>
          <w:szCs w:val="24"/>
        </w:rPr>
      </w:pPr>
    </w:p>
    <w:p w:rsidR="0044607C" w:rsidRPr="00941DEE" w:rsidP="0044607C" w14:paraId="6581CD35" w14:textId="2135AF24">
      <w:pPr>
        <w:rPr>
          <w:color w:val="000000"/>
          <w:sz w:val="24"/>
          <w:szCs w:val="24"/>
        </w:rPr>
      </w:pPr>
      <w:r w:rsidRPr="000D3AD7">
        <w:rPr>
          <w:sz w:val="24"/>
          <w:szCs w:val="24"/>
        </w:rPr>
        <w:t xml:space="preserve">The Bureau’s financial education covers a range of financial topics including mortgages, credit reporting, student loans, debt collection and bank accounts, and includes information for specific audiences, including older Americans, students, servicemembers, and traditionally underserved consumers. </w:t>
      </w:r>
      <w:r w:rsidR="004114ED">
        <w:rPr>
          <w:sz w:val="24"/>
          <w:szCs w:val="24"/>
        </w:rPr>
        <w:t xml:space="preserve"> </w:t>
      </w:r>
      <w:r w:rsidRPr="000D3AD7">
        <w:rPr>
          <w:sz w:val="24"/>
          <w:szCs w:val="24"/>
        </w:rPr>
        <w:t xml:space="preserve">The Bureau’s financial education programs include a focus on financial steps that can prevent later problems, budgeting, and saving and on the development of financial skills that can be useful to people across a range of </w:t>
      </w:r>
      <w:r w:rsidRPr="000D3AD7">
        <w:rPr>
          <w:sz w:val="24"/>
          <w:szCs w:val="24"/>
        </w:rPr>
        <w:t xml:space="preserve">financial decisions. </w:t>
      </w:r>
      <w:r w:rsidR="004114ED">
        <w:rPr>
          <w:sz w:val="24"/>
          <w:szCs w:val="24"/>
        </w:rPr>
        <w:t xml:space="preserve"> </w:t>
      </w:r>
      <w:r w:rsidRPr="000D3AD7">
        <w:rPr>
          <w:sz w:val="24"/>
          <w:szCs w:val="24"/>
        </w:rPr>
        <w:t xml:space="preserve">The Bureau offers financial education directly to consumers through the Bureau’s website and social media channels (Facebook and Twitter), through print publications that are free to download or order, and indirectly through community channels such as libraries and social services agencies. </w:t>
      </w:r>
      <w:r w:rsidR="004114ED">
        <w:rPr>
          <w:sz w:val="24"/>
          <w:szCs w:val="24"/>
        </w:rPr>
        <w:t xml:space="preserve"> </w:t>
      </w:r>
      <w:r w:rsidRPr="000D3AD7">
        <w:rPr>
          <w:sz w:val="24"/>
          <w:szCs w:val="24"/>
        </w:rPr>
        <w:t xml:space="preserve">The Bureau provides financial educators with tools, research, training, and tips for delivering financial education. </w:t>
      </w:r>
      <w:r w:rsidR="004114ED">
        <w:rPr>
          <w:color w:val="000000"/>
          <w:sz w:val="24"/>
          <w:szCs w:val="24"/>
        </w:rPr>
        <w:t>By</w:t>
      </w:r>
      <w:r w:rsidRPr="00941DEE">
        <w:rPr>
          <w:color w:val="000000"/>
          <w:sz w:val="24"/>
          <w:szCs w:val="24"/>
        </w:rPr>
        <w:t xml:space="preserve"> meeting its statutory mandates, the CFPB seeks to better understand and identify consumer experiences and financial education and empowerment strategies and practices that inform or improve consumer financial knowledge, decision-making, and financial well-being. The core objective of this data collection is to develop a deeper understanding of effective financial education and empowerment strategies in order to help inform future work</w:t>
      </w:r>
      <w:r w:rsidR="004114ED">
        <w:rPr>
          <w:color w:val="000000"/>
          <w:sz w:val="24"/>
          <w:szCs w:val="24"/>
        </w:rPr>
        <w:t xml:space="preserve"> and decisions</w:t>
      </w:r>
      <w:r w:rsidRPr="00941DEE">
        <w:rPr>
          <w:color w:val="000000"/>
          <w:sz w:val="24"/>
          <w:szCs w:val="24"/>
        </w:rPr>
        <w:t xml:space="preserve"> </w:t>
      </w:r>
      <w:r w:rsidR="004114ED">
        <w:rPr>
          <w:color w:val="000000"/>
          <w:sz w:val="24"/>
          <w:szCs w:val="24"/>
        </w:rPr>
        <w:t>within</w:t>
      </w:r>
      <w:r w:rsidRPr="00941DEE">
        <w:rPr>
          <w:color w:val="000000"/>
          <w:sz w:val="24"/>
          <w:szCs w:val="24"/>
        </w:rPr>
        <w:t xml:space="preserve"> the CFPB. </w:t>
      </w:r>
      <w:r w:rsidR="004114ED">
        <w:rPr>
          <w:color w:val="000000"/>
          <w:sz w:val="24"/>
          <w:szCs w:val="24"/>
        </w:rPr>
        <w:t xml:space="preserve"> T</w:t>
      </w:r>
      <w:r w:rsidRPr="00941DEE">
        <w:rPr>
          <w:color w:val="000000"/>
          <w:sz w:val="24"/>
          <w:szCs w:val="24"/>
        </w:rPr>
        <w:t xml:space="preserve">he CFPB will also seek to better understand the experiences of consumers in making financial decisions and accessing financial information and education services and advice. </w:t>
      </w:r>
      <w:r w:rsidR="00577119">
        <w:rPr>
          <w:color w:val="000000"/>
          <w:sz w:val="24"/>
          <w:szCs w:val="24"/>
        </w:rPr>
        <w:t xml:space="preserve"> </w:t>
      </w:r>
      <w:r w:rsidRPr="00941DEE">
        <w:rPr>
          <w:color w:val="000000"/>
          <w:sz w:val="24"/>
          <w:szCs w:val="24"/>
        </w:rPr>
        <w:t>Further, the CFPB seeks to use this information</w:t>
      </w:r>
      <w:r w:rsidR="00577119">
        <w:rPr>
          <w:color w:val="000000"/>
          <w:sz w:val="24"/>
          <w:szCs w:val="24"/>
        </w:rPr>
        <w:t xml:space="preserve"> </w:t>
      </w:r>
      <w:r w:rsidRPr="00941DEE">
        <w:rPr>
          <w:color w:val="000000"/>
          <w:sz w:val="24"/>
          <w:szCs w:val="24"/>
        </w:rPr>
        <w:t>to increase public awareness of common consumer experiences and the CFPB tools and resources available to consumers to help them make better informed financial decisions.</w:t>
      </w:r>
      <w:r w:rsidR="00577119">
        <w:rPr>
          <w:color w:val="000000"/>
          <w:sz w:val="24"/>
          <w:szCs w:val="24"/>
        </w:rPr>
        <w:t xml:space="preserve"> </w:t>
      </w:r>
      <w:r w:rsidRPr="00941DEE">
        <w:rPr>
          <w:color w:val="000000"/>
          <w:sz w:val="24"/>
          <w:szCs w:val="24"/>
        </w:rPr>
        <w:t xml:space="preserve"> This information collection will also provide useful information on financial education and empowerment practices that can be shared with providers and practitioners of financial education and empowerment programs, potentially leading to better financial decision-making outcomes for consumers. </w:t>
      </w:r>
    </w:p>
    <w:p w:rsidR="0044607C" w:rsidRPr="00941DEE" w:rsidP="0044607C" w14:paraId="3FAA64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44607C" w:rsidRPr="00941DEE" w:rsidP="0044607C" w14:paraId="06CE872C" w14:textId="4BED4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941DEE">
        <w:rPr>
          <w:color w:val="000000"/>
          <w:sz w:val="24"/>
          <w:szCs w:val="24"/>
        </w:rPr>
        <w:t>The CFPB seeks to renew OMB approval of a generic clearance to collect qualitative data on effective strategies and consumer experiences from both financial education practitioners and consumers through a variety of methods, including in-person meetings, interviews</w:t>
      </w:r>
      <w:r>
        <w:rPr>
          <w:color w:val="000000"/>
          <w:sz w:val="24"/>
          <w:szCs w:val="24"/>
        </w:rPr>
        <w:t xml:space="preserve"> (</w:t>
      </w:r>
      <w:r w:rsidRPr="00941DEE">
        <w:rPr>
          <w:color w:val="000000"/>
          <w:sz w:val="24"/>
          <w:szCs w:val="24"/>
        </w:rPr>
        <w:t>including impromptu interviews</w:t>
      </w:r>
      <w:r>
        <w:rPr>
          <w:color w:val="000000"/>
          <w:sz w:val="24"/>
          <w:szCs w:val="24"/>
        </w:rPr>
        <w:t>),</w:t>
      </w:r>
      <w:r w:rsidRPr="00941DEE">
        <w:rPr>
          <w:color w:val="000000"/>
          <w:sz w:val="24"/>
          <w:szCs w:val="24"/>
        </w:rPr>
        <w:t xml:space="preserve"> focus groups, qualitative surveys, online discussion forums, social media polls, and other qualitative methods as necessary.</w:t>
      </w:r>
      <w:r w:rsidR="00577119">
        <w:rPr>
          <w:color w:val="000000"/>
          <w:sz w:val="24"/>
          <w:szCs w:val="24"/>
        </w:rPr>
        <w:t xml:space="preserve"> </w:t>
      </w:r>
      <w:r w:rsidRPr="00941DEE">
        <w:rPr>
          <w:color w:val="000000"/>
          <w:sz w:val="24"/>
          <w:szCs w:val="24"/>
        </w:rPr>
        <w:t xml:space="preserve"> The information collected through these processes will increase the CFPB’s understanding of consumers’ financial experiences and financial education and empowerment programs and practices that can improve financial decision-making skills and outcomes for consumers.</w:t>
      </w:r>
    </w:p>
    <w:p w:rsidR="0044607C" w:rsidRPr="00941DEE" w:rsidP="0044607C" w14:paraId="3C245B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3513797C">
      <w:pPr>
        <w:rPr>
          <w:sz w:val="24"/>
        </w:rPr>
      </w:pPr>
    </w:p>
    <w:p w:rsidR="0044607C" w:rsidRPr="0044607C" w:rsidP="0044607C" w14:paraId="778D6237" w14:textId="238CC495">
      <w:pPr>
        <w:rPr>
          <w:color w:val="000000"/>
          <w:sz w:val="24"/>
          <w:szCs w:val="24"/>
        </w:rPr>
      </w:pPr>
      <w:r w:rsidRPr="0044607C">
        <w:rPr>
          <w:color w:val="000000"/>
          <w:sz w:val="24"/>
          <w:szCs w:val="24"/>
        </w:rPr>
        <w:t xml:space="preserve">Meeting the CFPB’s mandate to educate and empower consumers to make </w:t>
      </w:r>
      <w:r w:rsidR="00D666D4">
        <w:rPr>
          <w:color w:val="000000"/>
          <w:sz w:val="24"/>
          <w:szCs w:val="24"/>
        </w:rPr>
        <w:t>more</w:t>
      </w:r>
      <w:r w:rsidR="00E0659F">
        <w:rPr>
          <w:color w:val="000000"/>
          <w:sz w:val="24"/>
          <w:szCs w:val="24"/>
        </w:rPr>
        <w:t xml:space="preserve"> </w:t>
      </w:r>
      <w:r w:rsidRPr="0044607C">
        <w:rPr>
          <w:color w:val="000000"/>
          <w:sz w:val="24"/>
          <w:szCs w:val="24"/>
        </w:rPr>
        <w:t xml:space="preserve">informed financial decisions requires ongoing information collection around consumer experiences and best practices in financial education and financial challenges facing consumers. </w:t>
      </w:r>
    </w:p>
    <w:p w:rsidR="0044607C" w:rsidRPr="0044607C" w:rsidP="0044607C" w14:paraId="05FDC6BA" w14:textId="77777777">
      <w:pPr>
        <w:rPr>
          <w:color w:val="000000"/>
          <w:sz w:val="24"/>
          <w:szCs w:val="24"/>
        </w:rPr>
      </w:pPr>
    </w:p>
    <w:p w:rsidR="0044607C" w:rsidRPr="0044607C" w:rsidP="0044607C" w14:paraId="73BD9307" w14:textId="77777777">
      <w:pPr>
        <w:rPr>
          <w:color w:val="000000"/>
          <w:sz w:val="24"/>
          <w:szCs w:val="24"/>
        </w:rPr>
      </w:pPr>
      <w:r w:rsidRPr="0044607C">
        <w:rPr>
          <w:color w:val="000000"/>
          <w:sz w:val="24"/>
          <w:szCs w:val="24"/>
        </w:rPr>
        <w:t xml:space="preserve">Types of information to be collected may include: </w:t>
      </w:r>
    </w:p>
    <w:p w:rsidR="0044607C" w:rsidRPr="0044607C" w:rsidP="0044607C" w14:paraId="4ABE5BFE" w14:textId="77777777">
      <w:pPr>
        <w:rPr>
          <w:color w:val="000000"/>
          <w:sz w:val="24"/>
          <w:szCs w:val="24"/>
        </w:rPr>
      </w:pPr>
    </w:p>
    <w:p w:rsidR="0044607C" w:rsidRPr="0044607C" w:rsidP="0044607C" w14:paraId="03DC0135" w14:textId="77777777">
      <w:pPr>
        <w:numPr>
          <w:ilvl w:val="0"/>
          <w:numId w:val="24"/>
        </w:numPr>
        <w:rPr>
          <w:color w:val="000000"/>
          <w:sz w:val="24"/>
          <w:szCs w:val="24"/>
        </w:rPr>
      </w:pPr>
      <w:r w:rsidRPr="0044607C">
        <w:rPr>
          <w:color w:val="000000"/>
          <w:sz w:val="24"/>
          <w:szCs w:val="24"/>
        </w:rPr>
        <w:t xml:space="preserve">Examples of promising practices and approaches in financial education and </w:t>
      </w:r>
      <w:r w:rsidRPr="0044607C">
        <w:rPr>
          <w:color w:val="000000"/>
          <w:sz w:val="24"/>
          <w:szCs w:val="24"/>
        </w:rPr>
        <w:t>empowerment;</w:t>
      </w:r>
      <w:r w:rsidRPr="0044607C">
        <w:rPr>
          <w:color w:val="000000"/>
          <w:sz w:val="24"/>
          <w:szCs w:val="24"/>
        </w:rPr>
        <w:t xml:space="preserve"> </w:t>
      </w:r>
    </w:p>
    <w:p w:rsidR="0044607C" w:rsidRPr="0044607C" w:rsidP="0044607C" w14:paraId="2A27113E" w14:textId="77777777">
      <w:pPr>
        <w:numPr>
          <w:ilvl w:val="0"/>
          <w:numId w:val="24"/>
        </w:numPr>
        <w:rPr>
          <w:color w:val="000000"/>
          <w:sz w:val="24"/>
          <w:szCs w:val="24"/>
        </w:rPr>
      </w:pPr>
      <w:r w:rsidRPr="0044607C">
        <w:rPr>
          <w:color w:val="000000"/>
          <w:sz w:val="24"/>
          <w:szCs w:val="24"/>
        </w:rPr>
        <w:t xml:space="preserve">Examples of promising practices and approaches in delivering financial capability programming and/or targeted financial products and services, particularly for specific populations of consumers, such as low-income </w:t>
      </w:r>
      <w:r w:rsidRPr="0044607C">
        <w:rPr>
          <w:color w:val="000000"/>
          <w:sz w:val="24"/>
          <w:szCs w:val="24"/>
        </w:rPr>
        <w:t>consumers;</w:t>
      </w:r>
      <w:r w:rsidRPr="0044607C">
        <w:rPr>
          <w:color w:val="000000"/>
          <w:sz w:val="24"/>
          <w:szCs w:val="24"/>
        </w:rPr>
        <w:t xml:space="preserve"> </w:t>
      </w:r>
    </w:p>
    <w:p w:rsidR="0044607C" w:rsidRPr="0044607C" w:rsidP="0044607C" w14:paraId="37CD39D6" w14:textId="76310CD0">
      <w:pPr>
        <w:numPr>
          <w:ilvl w:val="0"/>
          <w:numId w:val="24"/>
        </w:numPr>
        <w:rPr>
          <w:color w:val="000000"/>
          <w:sz w:val="24"/>
          <w:szCs w:val="24"/>
        </w:rPr>
      </w:pPr>
      <w:r w:rsidRPr="0044607C">
        <w:rPr>
          <w:color w:val="000000"/>
          <w:sz w:val="24"/>
          <w:szCs w:val="24"/>
        </w:rPr>
        <w:t xml:space="preserve">Examples of challenges that financial education practitioners face in helping </w:t>
      </w:r>
      <w:r w:rsidRPr="0044607C">
        <w:rPr>
          <w:color w:val="000000"/>
          <w:sz w:val="24"/>
          <w:szCs w:val="24"/>
        </w:rPr>
        <w:t>consumers</w:t>
      </w:r>
      <w:r w:rsidR="00454758">
        <w:rPr>
          <w:color w:val="000000"/>
          <w:sz w:val="24"/>
          <w:szCs w:val="24"/>
        </w:rPr>
        <w:t>;</w:t>
      </w:r>
    </w:p>
    <w:p w:rsidR="0044607C" w:rsidRPr="0044607C" w:rsidP="0044607C" w14:paraId="57309710" w14:textId="1E2B44DD">
      <w:pPr>
        <w:numPr>
          <w:ilvl w:val="0"/>
          <w:numId w:val="24"/>
        </w:numPr>
        <w:rPr>
          <w:color w:val="000000"/>
          <w:sz w:val="24"/>
          <w:szCs w:val="24"/>
        </w:rPr>
      </w:pPr>
      <w:r w:rsidRPr="0044607C">
        <w:rPr>
          <w:color w:val="000000"/>
          <w:sz w:val="24"/>
          <w:szCs w:val="24"/>
        </w:rPr>
        <w:t xml:space="preserve">Respondents’ assessments of the usability and effectiveness of financial education and empowerment tools and strategies; </w:t>
      </w:r>
      <w:r w:rsidR="00411B26">
        <w:rPr>
          <w:color w:val="000000"/>
          <w:sz w:val="24"/>
          <w:szCs w:val="24"/>
        </w:rPr>
        <w:t>and</w:t>
      </w:r>
    </w:p>
    <w:p w:rsidR="0044607C" w:rsidRPr="0044607C" w:rsidP="0044607C" w14:paraId="7E203639" w14:textId="77777777">
      <w:pPr>
        <w:numPr>
          <w:ilvl w:val="0"/>
          <w:numId w:val="24"/>
        </w:numPr>
        <w:rPr>
          <w:color w:val="000000"/>
          <w:sz w:val="24"/>
          <w:szCs w:val="24"/>
        </w:rPr>
      </w:pPr>
      <w:r w:rsidRPr="0044607C">
        <w:rPr>
          <w:color w:val="000000"/>
          <w:sz w:val="24"/>
          <w:szCs w:val="24"/>
        </w:rPr>
        <w:t xml:space="preserve">Consumer stories about financial challenges they face, how they make financial decisions, and how they navigate the financial services marketplace; and experiences that affect consumer financial capability and well-being. </w:t>
      </w:r>
    </w:p>
    <w:p w:rsidR="0044607C" w:rsidRPr="0044607C" w:rsidP="0044607C" w14:paraId="34CD1AC0" w14:textId="77777777">
      <w:pPr>
        <w:rPr>
          <w:color w:val="000000"/>
          <w:sz w:val="24"/>
          <w:szCs w:val="24"/>
        </w:rPr>
      </w:pPr>
    </w:p>
    <w:p w:rsidR="0044607C" w:rsidRPr="0044607C" w:rsidP="0044607C" w14:paraId="3B87FCE9" w14:textId="77777777">
      <w:pPr>
        <w:rPr>
          <w:color w:val="000000"/>
          <w:sz w:val="24"/>
          <w:szCs w:val="24"/>
        </w:rPr>
      </w:pPr>
      <w:r w:rsidRPr="0044607C">
        <w:rPr>
          <w:color w:val="000000"/>
          <w:sz w:val="24"/>
          <w:szCs w:val="24"/>
        </w:rPr>
        <w:t xml:space="preserve">The categories of respondents to this information collection will include the following: </w:t>
      </w:r>
    </w:p>
    <w:p w:rsidR="0044607C" w:rsidRPr="0044607C" w:rsidP="0044607C" w14:paraId="6AFE4338" w14:textId="77777777">
      <w:pPr>
        <w:rPr>
          <w:color w:val="000000"/>
          <w:sz w:val="24"/>
          <w:szCs w:val="24"/>
        </w:rPr>
      </w:pPr>
    </w:p>
    <w:p w:rsidR="0044607C" w:rsidRPr="0044607C" w:rsidP="0044607C" w14:paraId="3765AD9C" w14:textId="7AF9FB78">
      <w:pPr>
        <w:numPr>
          <w:ilvl w:val="0"/>
          <w:numId w:val="25"/>
        </w:numPr>
        <w:rPr>
          <w:color w:val="000000"/>
          <w:sz w:val="24"/>
          <w:szCs w:val="24"/>
        </w:rPr>
      </w:pPr>
      <w:r w:rsidRPr="0044607C">
        <w:rPr>
          <w:color w:val="000000"/>
          <w:sz w:val="24"/>
          <w:szCs w:val="24"/>
        </w:rPr>
        <w:t xml:space="preserve">Consumers, including specific populations, such as students, older Americans, servicemembers, and underserved </w:t>
      </w:r>
      <w:r w:rsidRPr="0044607C">
        <w:rPr>
          <w:color w:val="000000"/>
          <w:sz w:val="24"/>
          <w:szCs w:val="24"/>
        </w:rPr>
        <w:t>consumers;</w:t>
      </w:r>
    </w:p>
    <w:p w:rsidR="0044607C" w:rsidRPr="0044607C" w:rsidP="0044607C" w14:paraId="52C213A9" w14:textId="77777777">
      <w:pPr>
        <w:numPr>
          <w:ilvl w:val="0"/>
          <w:numId w:val="25"/>
        </w:numPr>
        <w:rPr>
          <w:color w:val="000000"/>
          <w:sz w:val="24"/>
          <w:szCs w:val="24"/>
        </w:rPr>
      </w:pPr>
      <w:r w:rsidRPr="0044607C">
        <w:rPr>
          <w:color w:val="000000"/>
          <w:sz w:val="24"/>
          <w:szCs w:val="24"/>
        </w:rPr>
        <w:t xml:space="preserve">Employers who are or may be interested in providing financial education and financial wellness programs to their </w:t>
      </w:r>
      <w:r w:rsidRPr="0044607C">
        <w:rPr>
          <w:color w:val="000000"/>
          <w:sz w:val="24"/>
          <w:szCs w:val="24"/>
        </w:rPr>
        <w:t>employees;</w:t>
      </w:r>
    </w:p>
    <w:p w:rsidR="0044607C" w:rsidRPr="0044607C" w:rsidP="0044607C" w14:paraId="7A791A00" w14:textId="77777777">
      <w:pPr>
        <w:numPr>
          <w:ilvl w:val="0"/>
          <w:numId w:val="25"/>
        </w:numPr>
        <w:rPr>
          <w:color w:val="000000"/>
          <w:sz w:val="24"/>
          <w:szCs w:val="24"/>
        </w:rPr>
      </w:pPr>
      <w:r w:rsidRPr="0044607C">
        <w:rPr>
          <w:color w:val="000000"/>
          <w:sz w:val="24"/>
          <w:szCs w:val="24"/>
        </w:rPr>
        <w:t xml:space="preserve">Practitioners and other service providers who provide financial education and capability programs and </w:t>
      </w:r>
      <w:r w:rsidRPr="0044607C">
        <w:rPr>
          <w:color w:val="000000"/>
          <w:sz w:val="24"/>
          <w:szCs w:val="24"/>
        </w:rPr>
        <w:t>services;</w:t>
      </w:r>
      <w:r w:rsidRPr="0044607C">
        <w:rPr>
          <w:color w:val="000000"/>
          <w:sz w:val="24"/>
          <w:szCs w:val="24"/>
        </w:rPr>
        <w:t xml:space="preserve"> </w:t>
      </w:r>
    </w:p>
    <w:p w:rsidR="0044607C" w:rsidRPr="0044607C" w:rsidP="0044607C" w14:paraId="12E76984" w14:textId="77777777">
      <w:pPr>
        <w:numPr>
          <w:ilvl w:val="0"/>
          <w:numId w:val="25"/>
        </w:numPr>
        <w:rPr>
          <w:color w:val="000000"/>
          <w:sz w:val="24"/>
          <w:szCs w:val="24"/>
        </w:rPr>
      </w:pPr>
      <w:r w:rsidRPr="0044607C">
        <w:rPr>
          <w:color w:val="000000"/>
          <w:sz w:val="24"/>
          <w:szCs w:val="24"/>
        </w:rPr>
        <w:t xml:space="preserve">Practitioners who provide services to older </w:t>
      </w:r>
      <w:r w:rsidRPr="0044607C">
        <w:rPr>
          <w:color w:val="000000"/>
          <w:sz w:val="24"/>
          <w:szCs w:val="24"/>
        </w:rPr>
        <w:t>Americans;</w:t>
      </w:r>
      <w:r w:rsidRPr="0044607C">
        <w:rPr>
          <w:color w:val="000000"/>
          <w:sz w:val="24"/>
          <w:szCs w:val="24"/>
        </w:rPr>
        <w:t xml:space="preserve"> </w:t>
      </w:r>
    </w:p>
    <w:p w:rsidR="0044607C" w:rsidRPr="0044607C" w:rsidP="0044607C" w14:paraId="52C795A3" w14:textId="77777777">
      <w:pPr>
        <w:numPr>
          <w:ilvl w:val="0"/>
          <w:numId w:val="25"/>
        </w:numPr>
        <w:rPr>
          <w:color w:val="000000"/>
          <w:sz w:val="24"/>
          <w:szCs w:val="24"/>
        </w:rPr>
      </w:pPr>
      <w:r w:rsidRPr="0044607C">
        <w:rPr>
          <w:color w:val="000000"/>
          <w:sz w:val="24"/>
          <w:szCs w:val="24"/>
        </w:rPr>
        <w:t xml:space="preserve">Other service providers, such as social workers, teachers, etc., who have interactions with consumers on topics related to financial </w:t>
      </w:r>
      <w:r w:rsidRPr="0044607C">
        <w:rPr>
          <w:color w:val="000000"/>
          <w:sz w:val="24"/>
          <w:szCs w:val="24"/>
        </w:rPr>
        <w:t>education;</w:t>
      </w:r>
      <w:r w:rsidRPr="0044607C">
        <w:rPr>
          <w:color w:val="000000"/>
          <w:sz w:val="24"/>
          <w:szCs w:val="24"/>
        </w:rPr>
        <w:t xml:space="preserve"> </w:t>
      </w:r>
    </w:p>
    <w:p w:rsidR="0044607C" w:rsidRPr="00B74D62" w:rsidP="0044607C" w14:paraId="067928FD" w14:textId="7302FBD0">
      <w:pPr>
        <w:numPr>
          <w:ilvl w:val="0"/>
          <w:numId w:val="25"/>
        </w:numPr>
        <w:rPr>
          <w:color w:val="000000"/>
          <w:sz w:val="24"/>
          <w:szCs w:val="24"/>
        </w:rPr>
      </w:pPr>
      <w:r w:rsidRPr="0044607C">
        <w:rPr>
          <w:color w:val="000000"/>
          <w:sz w:val="24"/>
          <w:szCs w:val="24"/>
        </w:rPr>
        <w:t>State and local government officials; and</w:t>
      </w:r>
    </w:p>
    <w:p w:rsidR="0044607C" w:rsidRPr="0044607C" w:rsidP="0044607C" w14:paraId="7126308C" w14:textId="77777777">
      <w:pPr>
        <w:numPr>
          <w:ilvl w:val="0"/>
          <w:numId w:val="25"/>
        </w:numPr>
        <w:rPr>
          <w:color w:val="000000"/>
          <w:sz w:val="24"/>
          <w:szCs w:val="24"/>
        </w:rPr>
      </w:pPr>
      <w:r w:rsidRPr="0044607C">
        <w:rPr>
          <w:color w:val="000000"/>
          <w:sz w:val="24"/>
          <w:szCs w:val="24"/>
        </w:rPr>
        <w:t xml:space="preserve">Other organizations, entities, and individuals that are involved in the financial education field (for example, financial institutions, philanthropic foundations, researchers, trade associations, family members who provide financial guidance to relatives, etc.). </w:t>
      </w:r>
    </w:p>
    <w:p w:rsidR="0044607C" w:rsidRPr="0044607C" w:rsidP="0044607C" w14:paraId="6121655E" w14:textId="77777777">
      <w:pPr>
        <w:rPr>
          <w:color w:val="000000"/>
          <w:sz w:val="24"/>
          <w:szCs w:val="24"/>
        </w:rPr>
      </w:pPr>
    </w:p>
    <w:p w:rsidR="0044607C" w:rsidRPr="0044607C" w:rsidP="0044607C" w14:paraId="593AA063" w14:textId="77777777">
      <w:pPr>
        <w:rPr>
          <w:color w:val="000000"/>
          <w:sz w:val="24"/>
          <w:szCs w:val="24"/>
        </w:rPr>
      </w:pPr>
      <w:r w:rsidRPr="0044607C">
        <w:rPr>
          <w:color w:val="000000"/>
          <w:sz w:val="24"/>
          <w:szCs w:val="24"/>
        </w:rPr>
        <w:t xml:space="preserve">The types of collections that this generic clearance covers may include, but are not limited to: </w:t>
      </w:r>
    </w:p>
    <w:p w:rsidR="0044607C" w:rsidRPr="0044607C" w:rsidP="0044607C" w14:paraId="3927DC9E" w14:textId="77777777">
      <w:pPr>
        <w:rPr>
          <w:color w:val="000000"/>
          <w:sz w:val="24"/>
          <w:szCs w:val="24"/>
        </w:rPr>
      </w:pPr>
    </w:p>
    <w:p w:rsidR="0044607C" w:rsidRPr="0044607C" w:rsidP="0044607C" w14:paraId="49476D65" w14:textId="77777777">
      <w:pPr>
        <w:numPr>
          <w:ilvl w:val="1"/>
          <w:numId w:val="26"/>
        </w:numPr>
        <w:rPr>
          <w:color w:val="000000"/>
          <w:sz w:val="24"/>
          <w:szCs w:val="24"/>
        </w:rPr>
      </w:pPr>
      <w:r w:rsidRPr="0044607C">
        <w:rPr>
          <w:color w:val="000000"/>
          <w:sz w:val="24"/>
          <w:szCs w:val="24"/>
        </w:rPr>
        <w:t xml:space="preserve">In-person </w:t>
      </w:r>
      <w:r w:rsidRPr="0044607C">
        <w:rPr>
          <w:color w:val="000000"/>
          <w:sz w:val="24"/>
          <w:szCs w:val="24"/>
        </w:rPr>
        <w:t>meetings;</w:t>
      </w:r>
      <w:r w:rsidRPr="0044607C">
        <w:rPr>
          <w:color w:val="000000"/>
          <w:sz w:val="24"/>
          <w:szCs w:val="24"/>
        </w:rPr>
        <w:t xml:space="preserve"> </w:t>
      </w:r>
    </w:p>
    <w:p w:rsidR="0044607C" w:rsidRPr="0044607C" w:rsidP="0044607C" w14:paraId="543C86EB" w14:textId="77777777">
      <w:pPr>
        <w:numPr>
          <w:ilvl w:val="1"/>
          <w:numId w:val="26"/>
        </w:numPr>
        <w:rPr>
          <w:color w:val="000000"/>
          <w:sz w:val="24"/>
          <w:szCs w:val="24"/>
        </w:rPr>
      </w:pPr>
      <w:r w:rsidRPr="0044607C">
        <w:rPr>
          <w:color w:val="000000"/>
          <w:sz w:val="24"/>
          <w:szCs w:val="24"/>
        </w:rPr>
        <w:t>Interviews;</w:t>
      </w:r>
      <w:r w:rsidRPr="0044607C">
        <w:rPr>
          <w:color w:val="000000"/>
          <w:sz w:val="24"/>
          <w:szCs w:val="24"/>
        </w:rPr>
        <w:t xml:space="preserve"> </w:t>
      </w:r>
    </w:p>
    <w:p w:rsidR="0044607C" w:rsidRPr="0044607C" w:rsidP="0044607C" w14:paraId="3110CD4C" w14:textId="77777777">
      <w:pPr>
        <w:numPr>
          <w:ilvl w:val="1"/>
          <w:numId w:val="26"/>
        </w:numPr>
        <w:rPr>
          <w:color w:val="000000"/>
          <w:sz w:val="24"/>
          <w:szCs w:val="24"/>
        </w:rPr>
      </w:pPr>
      <w:r w:rsidRPr="0044607C">
        <w:rPr>
          <w:color w:val="000000"/>
          <w:sz w:val="24"/>
          <w:szCs w:val="24"/>
        </w:rPr>
        <w:t xml:space="preserve">Focus </w:t>
      </w:r>
      <w:r w:rsidRPr="0044607C">
        <w:rPr>
          <w:color w:val="000000"/>
          <w:sz w:val="24"/>
          <w:szCs w:val="24"/>
        </w:rPr>
        <w:t>groups;</w:t>
      </w:r>
      <w:r w:rsidRPr="0044607C">
        <w:rPr>
          <w:color w:val="000000"/>
          <w:sz w:val="24"/>
          <w:szCs w:val="24"/>
        </w:rPr>
        <w:t xml:space="preserve"> </w:t>
      </w:r>
    </w:p>
    <w:p w:rsidR="0044607C" w:rsidRPr="0044607C" w:rsidP="0044607C" w14:paraId="6CA0B3F9" w14:textId="77777777">
      <w:pPr>
        <w:numPr>
          <w:ilvl w:val="1"/>
          <w:numId w:val="26"/>
        </w:numPr>
        <w:rPr>
          <w:color w:val="000000"/>
          <w:sz w:val="24"/>
          <w:szCs w:val="24"/>
        </w:rPr>
      </w:pPr>
      <w:r w:rsidRPr="0044607C">
        <w:rPr>
          <w:color w:val="000000"/>
          <w:sz w:val="24"/>
          <w:szCs w:val="24"/>
        </w:rPr>
        <w:t xml:space="preserve">Qualitative </w:t>
      </w:r>
      <w:r w:rsidRPr="0044607C">
        <w:rPr>
          <w:color w:val="000000"/>
          <w:sz w:val="24"/>
          <w:szCs w:val="24"/>
        </w:rPr>
        <w:t>surveys;</w:t>
      </w:r>
      <w:r w:rsidRPr="0044607C">
        <w:rPr>
          <w:color w:val="000000"/>
          <w:sz w:val="24"/>
          <w:szCs w:val="24"/>
        </w:rPr>
        <w:t xml:space="preserve"> </w:t>
      </w:r>
    </w:p>
    <w:p w:rsidR="0044607C" w:rsidRPr="0044607C" w:rsidP="0044607C" w14:paraId="6C254FB7" w14:textId="77777777">
      <w:pPr>
        <w:numPr>
          <w:ilvl w:val="1"/>
          <w:numId w:val="26"/>
        </w:numPr>
        <w:rPr>
          <w:color w:val="000000"/>
          <w:sz w:val="24"/>
          <w:szCs w:val="24"/>
        </w:rPr>
      </w:pPr>
      <w:r w:rsidRPr="0044607C">
        <w:rPr>
          <w:color w:val="000000"/>
          <w:sz w:val="24"/>
          <w:szCs w:val="24"/>
        </w:rPr>
        <w:t xml:space="preserve">Online discussion forums (including via social media); and </w:t>
      </w:r>
    </w:p>
    <w:p w:rsidR="0044607C" w:rsidRPr="0044607C" w:rsidP="0044607C" w14:paraId="6E700DD9" w14:textId="77777777">
      <w:pPr>
        <w:numPr>
          <w:ilvl w:val="1"/>
          <w:numId w:val="26"/>
        </w:numPr>
        <w:rPr>
          <w:color w:val="000000"/>
          <w:sz w:val="24"/>
          <w:szCs w:val="24"/>
        </w:rPr>
      </w:pPr>
      <w:r w:rsidRPr="0044607C">
        <w:rPr>
          <w:color w:val="000000"/>
          <w:sz w:val="24"/>
          <w:szCs w:val="24"/>
        </w:rPr>
        <w:t xml:space="preserve">Other qualitative methods as necessary. </w:t>
      </w:r>
    </w:p>
    <w:p w:rsidR="0044607C" w:rsidRPr="0044607C" w:rsidP="0044607C" w14:paraId="5BD02D19" w14:textId="77777777">
      <w:pPr>
        <w:rPr>
          <w:color w:val="000000"/>
          <w:sz w:val="24"/>
          <w:szCs w:val="24"/>
        </w:rPr>
      </w:pPr>
    </w:p>
    <w:p w:rsidR="0044607C" w:rsidRPr="0044607C" w:rsidP="0044607C" w14:paraId="5C5F0E3E" w14:textId="77777777">
      <w:pPr>
        <w:rPr>
          <w:color w:val="000000"/>
          <w:sz w:val="24"/>
          <w:szCs w:val="24"/>
        </w:rPr>
      </w:pPr>
      <w:r w:rsidRPr="0044607C">
        <w:rPr>
          <w:color w:val="000000"/>
          <w:sz w:val="24"/>
          <w:szCs w:val="24"/>
        </w:rPr>
        <w:t>This clearance will cover information collections that may have the following uses:</w:t>
      </w:r>
    </w:p>
    <w:p w:rsidR="0044607C" w:rsidRPr="0044607C" w:rsidP="0044607C" w14:paraId="45B24B85" w14:textId="77777777">
      <w:pPr>
        <w:rPr>
          <w:color w:val="000000"/>
          <w:sz w:val="24"/>
          <w:szCs w:val="24"/>
        </w:rPr>
      </w:pPr>
    </w:p>
    <w:p w:rsidR="0044607C" w:rsidRPr="0044607C" w:rsidP="0044607C" w14:paraId="640815D7" w14:textId="77777777">
      <w:pPr>
        <w:numPr>
          <w:ilvl w:val="0"/>
          <w:numId w:val="22"/>
        </w:numPr>
        <w:rPr>
          <w:color w:val="000000"/>
          <w:sz w:val="24"/>
          <w:szCs w:val="24"/>
        </w:rPr>
      </w:pPr>
      <w:r w:rsidRPr="0044607C">
        <w:rPr>
          <w:color w:val="000000"/>
          <w:sz w:val="24"/>
          <w:szCs w:val="24"/>
        </w:rPr>
        <w:t xml:space="preserve">Inform the development and improvement of the CFPB’s financial education and empowerment content, programs and </w:t>
      </w:r>
      <w:r w:rsidRPr="0044607C">
        <w:rPr>
          <w:color w:val="000000"/>
          <w:sz w:val="24"/>
          <w:szCs w:val="24"/>
        </w:rPr>
        <w:t>projects;</w:t>
      </w:r>
    </w:p>
    <w:p w:rsidR="0044607C" w:rsidRPr="0044607C" w:rsidP="0044607C" w14:paraId="253AC1DB" w14:textId="77777777">
      <w:pPr>
        <w:numPr>
          <w:ilvl w:val="0"/>
          <w:numId w:val="22"/>
        </w:numPr>
        <w:rPr>
          <w:color w:val="000000"/>
          <w:sz w:val="24"/>
          <w:szCs w:val="24"/>
        </w:rPr>
      </w:pPr>
      <w:r w:rsidRPr="0044607C">
        <w:rPr>
          <w:color w:val="000000"/>
          <w:sz w:val="24"/>
          <w:szCs w:val="24"/>
        </w:rPr>
        <w:t xml:space="preserve">Better enable the CFPB to raise awareness of the financial education and empowerment content it creates for the public using digital </w:t>
      </w:r>
      <w:r w:rsidRPr="0044607C">
        <w:rPr>
          <w:color w:val="000000"/>
          <w:sz w:val="24"/>
          <w:szCs w:val="24"/>
        </w:rPr>
        <w:t>channels;</w:t>
      </w:r>
    </w:p>
    <w:p w:rsidR="0044607C" w:rsidRPr="0044607C" w:rsidP="0044607C" w14:paraId="5A2BC5D9" w14:textId="77777777">
      <w:pPr>
        <w:numPr>
          <w:ilvl w:val="0"/>
          <w:numId w:val="22"/>
        </w:numPr>
        <w:rPr>
          <w:color w:val="000000"/>
          <w:sz w:val="24"/>
          <w:szCs w:val="24"/>
        </w:rPr>
      </w:pPr>
      <w:r w:rsidRPr="0044607C">
        <w:rPr>
          <w:color w:val="000000"/>
          <w:sz w:val="24"/>
          <w:szCs w:val="24"/>
        </w:rPr>
        <w:t xml:space="preserve">Identify promising practices and approaches in financial education that the CFPB could share with the financial education </w:t>
      </w:r>
      <w:r w:rsidRPr="0044607C">
        <w:rPr>
          <w:color w:val="000000"/>
          <w:sz w:val="24"/>
          <w:szCs w:val="24"/>
        </w:rPr>
        <w:t>field;</w:t>
      </w:r>
    </w:p>
    <w:p w:rsidR="0044607C" w:rsidRPr="0044607C" w:rsidP="0044607C" w14:paraId="5C52071F" w14:textId="77777777">
      <w:pPr>
        <w:numPr>
          <w:ilvl w:val="0"/>
          <w:numId w:val="22"/>
        </w:numPr>
        <w:rPr>
          <w:color w:val="000000"/>
          <w:sz w:val="24"/>
          <w:szCs w:val="24"/>
        </w:rPr>
      </w:pPr>
      <w:r w:rsidRPr="0044607C">
        <w:rPr>
          <w:color w:val="000000"/>
          <w:sz w:val="24"/>
          <w:szCs w:val="24"/>
        </w:rPr>
        <w:t xml:space="preserve">Identify issues and challenges facing financial educators that the CFPB could address in future </w:t>
      </w:r>
      <w:r w:rsidRPr="0044607C">
        <w:rPr>
          <w:color w:val="000000"/>
          <w:sz w:val="24"/>
          <w:szCs w:val="24"/>
        </w:rPr>
        <w:t>programming;</w:t>
      </w:r>
    </w:p>
    <w:p w:rsidR="0044607C" w:rsidRPr="0044607C" w:rsidP="0044607C" w14:paraId="51E822AD" w14:textId="77777777">
      <w:pPr>
        <w:numPr>
          <w:ilvl w:val="0"/>
          <w:numId w:val="22"/>
        </w:numPr>
        <w:rPr>
          <w:color w:val="000000"/>
          <w:sz w:val="24"/>
          <w:szCs w:val="24"/>
        </w:rPr>
      </w:pPr>
      <w:r w:rsidRPr="0044607C">
        <w:rPr>
          <w:color w:val="000000"/>
          <w:sz w:val="24"/>
          <w:szCs w:val="24"/>
        </w:rPr>
        <w:t xml:space="preserve">Identify issues and challenges facing different consumer segments, including low-income </w:t>
      </w:r>
      <w:r w:rsidRPr="0044607C">
        <w:rPr>
          <w:color w:val="000000"/>
          <w:sz w:val="24"/>
          <w:szCs w:val="24"/>
        </w:rPr>
        <w:t>consumers;</w:t>
      </w:r>
    </w:p>
    <w:p w:rsidR="0044607C" w:rsidRPr="0044607C" w:rsidP="0044607C" w14:paraId="51872EB3" w14:textId="77777777">
      <w:pPr>
        <w:numPr>
          <w:ilvl w:val="0"/>
          <w:numId w:val="22"/>
        </w:numPr>
        <w:rPr>
          <w:color w:val="000000"/>
          <w:sz w:val="24"/>
          <w:szCs w:val="24"/>
        </w:rPr>
      </w:pPr>
      <w:r w:rsidRPr="0044607C">
        <w:rPr>
          <w:color w:val="000000"/>
          <w:sz w:val="24"/>
          <w:szCs w:val="24"/>
        </w:rPr>
        <w:t xml:space="preserve">Identify successful interventions to address elder financial exploitation that can inform the CFPB’s </w:t>
      </w:r>
      <w:r w:rsidRPr="0044607C">
        <w:rPr>
          <w:color w:val="000000"/>
          <w:sz w:val="24"/>
          <w:szCs w:val="24"/>
        </w:rPr>
        <w:t>work;</w:t>
      </w:r>
    </w:p>
    <w:p w:rsidR="0044607C" w:rsidRPr="0044607C" w:rsidP="0044607C" w14:paraId="4A17596D" w14:textId="77777777">
      <w:pPr>
        <w:numPr>
          <w:ilvl w:val="0"/>
          <w:numId w:val="22"/>
        </w:numPr>
        <w:rPr>
          <w:color w:val="000000"/>
          <w:sz w:val="24"/>
          <w:szCs w:val="24"/>
        </w:rPr>
      </w:pPr>
      <w:r w:rsidRPr="0044607C">
        <w:rPr>
          <w:color w:val="000000"/>
          <w:sz w:val="24"/>
          <w:szCs w:val="24"/>
        </w:rPr>
        <w:t xml:space="preserve">Provide input into hypotheses about consumer financial well-being that can inform the CFPB’s financial education content and research activities, including the development of assessment </w:t>
      </w:r>
      <w:r w:rsidRPr="0044607C">
        <w:rPr>
          <w:color w:val="000000"/>
          <w:sz w:val="24"/>
          <w:szCs w:val="24"/>
        </w:rPr>
        <w:t>metrics;</w:t>
      </w:r>
    </w:p>
    <w:p w:rsidR="0044607C" w:rsidRPr="0044607C" w:rsidP="0044607C" w14:paraId="7CCE809D" w14:textId="77777777">
      <w:pPr>
        <w:numPr>
          <w:ilvl w:val="0"/>
          <w:numId w:val="22"/>
        </w:numPr>
        <w:rPr>
          <w:color w:val="000000"/>
          <w:sz w:val="24"/>
          <w:szCs w:val="24"/>
        </w:rPr>
      </w:pPr>
      <w:r w:rsidRPr="0044607C">
        <w:rPr>
          <w:color w:val="000000"/>
          <w:sz w:val="24"/>
          <w:szCs w:val="24"/>
        </w:rPr>
        <w:t xml:space="preserve">Provide qualitative feedback on the effectiveness of innovative financial education strategies that the CFPB is </w:t>
      </w:r>
      <w:r w:rsidRPr="0044607C">
        <w:rPr>
          <w:color w:val="000000"/>
          <w:sz w:val="24"/>
          <w:szCs w:val="24"/>
        </w:rPr>
        <w:t>developing;</w:t>
      </w:r>
      <w:r w:rsidRPr="0044607C">
        <w:rPr>
          <w:color w:val="000000"/>
          <w:sz w:val="24"/>
          <w:szCs w:val="24"/>
        </w:rPr>
        <w:t xml:space="preserve"> </w:t>
      </w:r>
    </w:p>
    <w:p w:rsidR="0044607C" w:rsidRPr="0044607C" w:rsidP="0044607C" w14:paraId="1928F4F5" w14:textId="77777777">
      <w:pPr>
        <w:numPr>
          <w:ilvl w:val="0"/>
          <w:numId w:val="22"/>
        </w:numPr>
        <w:rPr>
          <w:color w:val="000000"/>
          <w:sz w:val="24"/>
          <w:szCs w:val="24"/>
        </w:rPr>
      </w:pPr>
      <w:r w:rsidRPr="0044607C">
        <w:rPr>
          <w:color w:val="000000"/>
          <w:sz w:val="24"/>
          <w:szCs w:val="24"/>
        </w:rPr>
        <w:t xml:space="preserve">Provide qualitative feedback on the effectiveness of innovative financial products, services, and delivery of financial information; or </w:t>
      </w:r>
    </w:p>
    <w:p w:rsidR="0044607C" w:rsidRPr="0044607C" w:rsidP="0044607C" w14:paraId="534A2076" w14:textId="7F6BD450">
      <w:pPr>
        <w:numPr>
          <w:ilvl w:val="0"/>
          <w:numId w:val="22"/>
        </w:numPr>
        <w:rPr>
          <w:color w:val="000000"/>
          <w:sz w:val="24"/>
          <w:szCs w:val="24"/>
        </w:rPr>
      </w:pPr>
      <w:r w:rsidRPr="0044607C">
        <w:rPr>
          <w:color w:val="000000"/>
          <w:sz w:val="24"/>
          <w:szCs w:val="24"/>
        </w:rPr>
        <w:t xml:space="preserve">Inform the CFPB’s understanding of consumer knowledge, skills, decision-making, and experiences </w:t>
      </w:r>
      <w:r w:rsidR="001C6F22">
        <w:rPr>
          <w:color w:val="000000"/>
          <w:sz w:val="24"/>
          <w:szCs w:val="24"/>
        </w:rPr>
        <w:t xml:space="preserve">about </w:t>
      </w:r>
      <w:r w:rsidRPr="0044607C">
        <w:rPr>
          <w:color w:val="000000"/>
          <w:sz w:val="24"/>
          <w:szCs w:val="24"/>
        </w:rPr>
        <w:t xml:space="preserve">specific financial products and markets. </w:t>
      </w:r>
    </w:p>
    <w:p w:rsidR="0044607C" w:rsidRPr="0044607C" w:rsidP="0044607C" w14:paraId="5DCC3751" w14:textId="77777777">
      <w:pPr>
        <w:rPr>
          <w:color w:val="000000"/>
          <w:sz w:val="24"/>
          <w:szCs w:val="24"/>
        </w:rPr>
      </w:pPr>
    </w:p>
    <w:p w:rsidR="0044607C" w:rsidRPr="0044607C" w:rsidP="0044607C" w14:paraId="7E730034" w14:textId="1EC70285">
      <w:pPr>
        <w:rPr>
          <w:color w:val="000000"/>
          <w:sz w:val="24"/>
          <w:szCs w:val="24"/>
        </w:rPr>
      </w:pPr>
      <w:r w:rsidRPr="0044607C">
        <w:rPr>
          <w:color w:val="000000"/>
          <w:sz w:val="24"/>
          <w:szCs w:val="24"/>
        </w:rPr>
        <w:t xml:space="preserve">These collections may be conducted electronically, face-to-face, over the phone, or over the internet, depending on the specific collection. </w:t>
      </w:r>
      <w:r w:rsidR="00324D08">
        <w:rPr>
          <w:color w:val="000000"/>
          <w:sz w:val="24"/>
          <w:szCs w:val="24"/>
        </w:rPr>
        <w:t xml:space="preserve"> </w:t>
      </w:r>
      <w:r w:rsidRPr="0044607C">
        <w:rPr>
          <w:color w:val="000000"/>
          <w:sz w:val="24"/>
          <w:szCs w:val="24"/>
        </w:rPr>
        <w:t xml:space="preserve">The frequency and duration of each information collection will vary depending on the specific parameters of each information collection. </w:t>
      </w:r>
      <w:r w:rsidR="00324D08">
        <w:rPr>
          <w:color w:val="000000"/>
          <w:sz w:val="24"/>
          <w:szCs w:val="24"/>
        </w:rPr>
        <w:t xml:space="preserve"> </w:t>
      </w:r>
      <w:r w:rsidRPr="0044607C">
        <w:rPr>
          <w:color w:val="000000"/>
          <w:sz w:val="24"/>
          <w:szCs w:val="24"/>
        </w:rPr>
        <w:t xml:space="preserve">Details on the specific information to be collected, the method of collection, number and type of respondents, and purpose and use of each specific information collection will be submitted using the Information Collection template. </w:t>
      </w:r>
    </w:p>
    <w:p w:rsidR="0044607C" w:rsidRPr="0044607C" w:rsidP="0044607C" w14:paraId="1CDBCCAB" w14:textId="77777777">
      <w:pPr>
        <w:rPr>
          <w:color w:val="000000"/>
          <w:sz w:val="24"/>
          <w:szCs w:val="24"/>
        </w:rPr>
      </w:pPr>
    </w:p>
    <w:p w:rsidR="0044607C" w:rsidRPr="0044607C" w:rsidP="0044607C" w14:paraId="374786AD" w14:textId="53B8750B">
      <w:pPr>
        <w:rPr>
          <w:color w:val="000000"/>
          <w:sz w:val="24"/>
          <w:szCs w:val="24"/>
        </w:rPr>
      </w:pPr>
      <w:r w:rsidRPr="0044607C">
        <w:rPr>
          <w:color w:val="000000"/>
          <w:sz w:val="24"/>
          <w:szCs w:val="24"/>
        </w:rPr>
        <w:t xml:space="preserve">For several of the information collections included here, the CFPB may engage an outside vendor to undertake the information collection. </w:t>
      </w:r>
      <w:r w:rsidR="00324D08">
        <w:rPr>
          <w:color w:val="000000"/>
          <w:sz w:val="24"/>
          <w:szCs w:val="24"/>
        </w:rPr>
        <w:t xml:space="preserve"> </w:t>
      </w:r>
      <w:r w:rsidRPr="0044607C">
        <w:rPr>
          <w:color w:val="000000"/>
          <w:sz w:val="24"/>
          <w:szCs w:val="24"/>
        </w:rPr>
        <w:t xml:space="preserve">For each information collection, details on any data collection vendors the Bureau uses will be submitted and reflected in the Information Collection template. </w:t>
      </w:r>
    </w:p>
    <w:p w:rsidR="0044607C" w:rsidRPr="0044607C" w:rsidP="0044607C" w14:paraId="4E066A6C" w14:textId="77777777">
      <w:pPr>
        <w:rPr>
          <w:color w:val="000000"/>
          <w:sz w:val="24"/>
          <w:szCs w:val="24"/>
        </w:rPr>
      </w:pPr>
    </w:p>
    <w:p w:rsidR="0044607C" w:rsidRPr="0044607C" w:rsidP="0044607C" w14:paraId="672D8753" w14:textId="77777777">
      <w:pPr>
        <w:rPr>
          <w:color w:val="000000"/>
          <w:sz w:val="24"/>
          <w:szCs w:val="24"/>
        </w:rPr>
      </w:pPr>
      <w:r w:rsidRPr="0044607C">
        <w:rPr>
          <w:color w:val="000000"/>
          <w:sz w:val="24"/>
          <w:szCs w:val="24"/>
        </w:rPr>
        <w:t>The CFPB will only submit a collection for approval under this generic clearance if it meets the following conditions:</w:t>
      </w:r>
    </w:p>
    <w:p w:rsidR="0044607C" w:rsidRPr="0044607C" w:rsidP="0044607C" w14:paraId="58AD700A" w14:textId="77777777">
      <w:pPr>
        <w:rPr>
          <w:color w:val="000000"/>
          <w:sz w:val="24"/>
          <w:szCs w:val="24"/>
        </w:rPr>
      </w:pPr>
    </w:p>
    <w:p w:rsidR="0044607C" w:rsidRPr="0044607C" w:rsidP="0044607C" w14:paraId="10B01743" w14:textId="77777777">
      <w:pPr>
        <w:numPr>
          <w:ilvl w:val="0"/>
          <w:numId w:val="23"/>
        </w:numPr>
        <w:rPr>
          <w:color w:val="000000"/>
          <w:sz w:val="24"/>
          <w:szCs w:val="24"/>
        </w:rPr>
      </w:pPr>
      <w:r w:rsidRPr="0044607C">
        <w:rPr>
          <w:color w:val="000000"/>
          <w:sz w:val="24"/>
          <w:szCs w:val="24"/>
        </w:rPr>
        <w:t xml:space="preserve">The collection is </w:t>
      </w:r>
      <w:r w:rsidRPr="0044607C">
        <w:rPr>
          <w:color w:val="000000"/>
          <w:sz w:val="24"/>
          <w:szCs w:val="24"/>
        </w:rPr>
        <w:t>voluntary;</w:t>
      </w:r>
      <w:r w:rsidRPr="0044607C">
        <w:rPr>
          <w:color w:val="000000"/>
          <w:sz w:val="24"/>
          <w:szCs w:val="24"/>
        </w:rPr>
        <w:t xml:space="preserve"> </w:t>
      </w:r>
    </w:p>
    <w:p w:rsidR="0044607C" w:rsidRPr="0044607C" w:rsidP="0044607C" w14:paraId="4E7920D5" w14:textId="77777777">
      <w:pPr>
        <w:numPr>
          <w:ilvl w:val="0"/>
          <w:numId w:val="23"/>
        </w:numPr>
        <w:rPr>
          <w:color w:val="000000"/>
          <w:sz w:val="24"/>
          <w:szCs w:val="24"/>
        </w:rPr>
      </w:pPr>
      <w:r w:rsidRPr="0044607C">
        <w:rPr>
          <w:color w:val="000000"/>
          <w:sz w:val="24"/>
          <w:szCs w:val="24"/>
        </w:rPr>
        <w:t>The collection is low-burden for respondents (based on considerations of total burden hours, total number of respondents, or burden-hours per respondent</w:t>
      </w:r>
      <w:r w:rsidRPr="0044607C">
        <w:rPr>
          <w:color w:val="000000"/>
          <w:sz w:val="24"/>
          <w:szCs w:val="24"/>
        </w:rPr>
        <w:t>);</w:t>
      </w:r>
      <w:r w:rsidRPr="0044607C">
        <w:rPr>
          <w:color w:val="000000"/>
          <w:sz w:val="24"/>
          <w:szCs w:val="24"/>
        </w:rPr>
        <w:t xml:space="preserve"> </w:t>
      </w:r>
    </w:p>
    <w:p w:rsidR="0044607C" w:rsidRPr="0044607C" w:rsidP="0044607C" w14:paraId="17ED6DC3" w14:textId="77777777">
      <w:pPr>
        <w:numPr>
          <w:ilvl w:val="0"/>
          <w:numId w:val="23"/>
        </w:numPr>
        <w:rPr>
          <w:color w:val="000000"/>
          <w:sz w:val="24"/>
          <w:szCs w:val="24"/>
        </w:rPr>
      </w:pPr>
      <w:r w:rsidRPr="0044607C">
        <w:rPr>
          <w:color w:val="000000"/>
          <w:sz w:val="24"/>
          <w:szCs w:val="24"/>
        </w:rPr>
        <w:t xml:space="preserve">The collection is non-controversial and does not raise issues of concern to other Federal </w:t>
      </w:r>
      <w:r w:rsidRPr="0044607C">
        <w:rPr>
          <w:color w:val="000000"/>
          <w:sz w:val="24"/>
          <w:szCs w:val="24"/>
        </w:rPr>
        <w:t>agencies;</w:t>
      </w:r>
      <w:r w:rsidRPr="0044607C">
        <w:rPr>
          <w:color w:val="000000"/>
          <w:sz w:val="24"/>
          <w:szCs w:val="24"/>
        </w:rPr>
        <w:t xml:space="preserve"> </w:t>
      </w:r>
    </w:p>
    <w:p w:rsidR="0044607C" w:rsidRPr="0044607C" w:rsidP="0044607C" w14:paraId="0A989847" w14:textId="1B5764C2">
      <w:pPr>
        <w:numPr>
          <w:ilvl w:val="0"/>
          <w:numId w:val="23"/>
        </w:numPr>
        <w:rPr>
          <w:color w:val="000000"/>
          <w:sz w:val="24"/>
          <w:szCs w:val="24"/>
        </w:rPr>
      </w:pPr>
      <w:r w:rsidRPr="0044607C">
        <w:rPr>
          <w:color w:val="000000"/>
          <w:sz w:val="24"/>
          <w:szCs w:val="24"/>
        </w:rPr>
        <w:t>Information gathered will not be used for the purpose of substantially informing influential policy decisions</w:t>
      </w:r>
      <w:r w:rsidR="00324D08">
        <w:rPr>
          <w:color w:val="000000"/>
          <w:sz w:val="24"/>
          <w:szCs w:val="24"/>
        </w:rPr>
        <w:t xml:space="preserve"> (</w:t>
      </w:r>
      <w:r w:rsidR="00324D08">
        <w:rPr>
          <w:color w:val="000000"/>
          <w:sz w:val="24"/>
          <w:szCs w:val="24"/>
        </w:rPr>
        <w:t>e.g.</w:t>
      </w:r>
      <w:r w:rsidR="00324D08">
        <w:rPr>
          <w:color w:val="000000"/>
          <w:sz w:val="24"/>
          <w:szCs w:val="24"/>
        </w:rPr>
        <w:t xml:space="preserve"> rulemakings, orders)</w:t>
      </w:r>
      <w:r w:rsidRPr="0044607C">
        <w:rPr>
          <w:color w:val="000000"/>
          <w:sz w:val="24"/>
          <w:szCs w:val="24"/>
        </w:rPr>
        <w:t>;</w:t>
      </w:r>
    </w:p>
    <w:p w:rsidR="0044607C" w:rsidRPr="0044607C" w:rsidP="0044607C" w14:paraId="1B168561" w14:textId="77777777">
      <w:pPr>
        <w:numPr>
          <w:ilvl w:val="0"/>
          <w:numId w:val="23"/>
        </w:numPr>
        <w:rPr>
          <w:color w:val="000000"/>
          <w:sz w:val="24"/>
          <w:szCs w:val="24"/>
        </w:rPr>
      </w:pPr>
      <w:r w:rsidRPr="0044607C">
        <w:rPr>
          <w:color w:val="000000"/>
          <w:sz w:val="24"/>
          <w:szCs w:val="24"/>
        </w:rPr>
        <w:t xml:space="preserve">The collection is not statistically </w:t>
      </w:r>
      <w:r w:rsidRPr="0044607C">
        <w:rPr>
          <w:color w:val="000000"/>
          <w:sz w:val="24"/>
          <w:szCs w:val="24"/>
        </w:rPr>
        <w:t>significant</w:t>
      </w:r>
      <w:r w:rsidRPr="0044607C">
        <w:rPr>
          <w:color w:val="000000"/>
          <w:sz w:val="24"/>
          <w:szCs w:val="24"/>
        </w:rPr>
        <w:t xml:space="preserve"> and the results are not intended to be generalizable beyond the survey population;</w:t>
      </w:r>
    </w:p>
    <w:p w:rsidR="0044607C" w:rsidRPr="0044607C" w:rsidP="0044607C" w14:paraId="4A07ACCF" w14:textId="77777777">
      <w:pPr>
        <w:numPr>
          <w:ilvl w:val="0"/>
          <w:numId w:val="23"/>
        </w:numPr>
        <w:rPr>
          <w:color w:val="000000"/>
          <w:sz w:val="24"/>
          <w:szCs w:val="24"/>
        </w:rPr>
      </w:pPr>
      <w:r w:rsidRPr="0044607C">
        <w:rPr>
          <w:color w:val="000000"/>
          <w:sz w:val="24"/>
          <w:szCs w:val="24"/>
        </w:rPr>
        <w:t xml:space="preserve">The results will not be used to measure regulatory compliance or for program evaluation; and </w:t>
      </w:r>
    </w:p>
    <w:p w:rsidR="0044607C" w:rsidRPr="0044607C" w:rsidP="0044607C" w14:paraId="237D617C" w14:textId="46ED901A">
      <w:pPr>
        <w:numPr>
          <w:ilvl w:val="0"/>
          <w:numId w:val="23"/>
        </w:numPr>
        <w:rPr>
          <w:color w:val="000000"/>
          <w:sz w:val="24"/>
          <w:szCs w:val="24"/>
        </w:rPr>
      </w:pPr>
      <w:r w:rsidRPr="0044607C">
        <w:rPr>
          <w:color w:val="000000"/>
          <w:sz w:val="24"/>
          <w:szCs w:val="24"/>
        </w:rPr>
        <w:t xml:space="preserve">Personally identifiable information (PII) will not be collected, except as needed to recruit and schedule respondents, provide remuneration for participants of interviews or focus groups, or record consumer interviews to raise awareness of CFPB tools and resources. </w:t>
      </w:r>
      <w:r w:rsidR="00324D08">
        <w:rPr>
          <w:color w:val="000000"/>
          <w:sz w:val="24"/>
          <w:szCs w:val="24"/>
        </w:rPr>
        <w:t xml:space="preserve"> </w:t>
      </w:r>
      <w:r w:rsidRPr="0044607C">
        <w:rPr>
          <w:color w:val="000000"/>
          <w:sz w:val="24"/>
          <w:szCs w:val="24"/>
        </w:rPr>
        <w:t xml:space="preserve">If PII is collected, it will be retained only to the extent necessary. In all cases, no PII will be collected, retained or shared unless the individual has provided consent. </w:t>
      </w:r>
      <w:r w:rsidR="00324D08">
        <w:rPr>
          <w:color w:val="000000"/>
          <w:sz w:val="24"/>
          <w:szCs w:val="24"/>
        </w:rPr>
        <w:t xml:space="preserve"> </w:t>
      </w:r>
      <w:r w:rsidRPr="0044607C">
        <w:rPr>
          <w:color w:val="000000"/>
          <w:sz w:val="24"/>
          <w:szCs w:val="24"/>
        </w:rPr>
        <w:t>Any sharing will be done in accordance with applicable Privacy Act Notices and System of Records Notices.</w:t>
      </w:r>
    </w:p>
    <w:p w:rsidR="0044607C" w:rsidRPr="0044607C" w:rsidP="0044607C" w14:paraId="1C11952F" w14:textId="77777777">
      <w:pPr>
        <w:rPr>
          <w:color w:val="000000"/>
          <w:sz w:val="24"/>
          <w:szCs w:val="24"/>
        </w:rPr>
      </w:pPr>
    </w:p>
    <w:p w:rsidR="0044607C" w:rsidRPr="0044607C" w:rsidP="0044607C" w14:paraId="6994FC52" w14:textId="77777777">
      <w:pPr>
        <w:rPr>
          <w:color w:val="000000"/>
          <w:sz w:val="24"/>
          <w:szCs w:val="24"/>
        </w:rPr>
      </w:pPr>
      <w:r w:rsidRPr="0044607C">
        <w:rPr>
          <w:color w:val="000000"/>
          <w:sz w:val="24"/>
          <w:szCs w:val="24"/>
        </w:rPr>
        <w:t>Additionally, the Bureau will certify that each request submitted under this generic information collection plan is consistent with 5 CFR § 1320.9, and the related provisions 5 CFR § 1320.8(b)(3):</w:t>
      </w:r>
    </w:p>
    <w:p w:rsidR="0044607C" w:rsidRPr="0044607C" w:rsidP="0044607C" w14:paraId="13A0C43D" w14:textId="77777777">
      <w:pPr>
        <w:rPr>
          <w:color w:val="000000"/>
          <w:sz w:val="24"/>
          <w:szCs w:val="24"/>
        </w:rPr>
      </w:pPr>
    </w:p>
    <w:p w:rsidR="0044607C" w:rsidRPr="0044607C" w:rsidP="0044607C" w14:paraId="19950199" w14:textId="77777777">
      <w:pPr>
        <w:numPr>
          <w:ilvl w:val="0"/>
          <w:numId w:val="27"/>
        </w:numPr>
        <w:rPr>
          <w:color w:val="000000"/>
          <w:sz w:val="24"/>
          <w:szCs w:val="24"/>
        </w:rPr>
      </w:pPr>
      <w:r w:rsidRPr="0044607C">
        <w:rPr>
          <w:color w:val="000000"/>
          <w:sz w:val="24"/>
          <w:szCs w:val="24"/>
        </w:rPr>
        <w:t xml:space="preserve">It is necessary for the proper performance of agency </w:t>
      </w:r>
      <w:r w:rsidRPr="0044607C">
        <w:rPr>
          <w:color w:val="000000"/>
          <w:sz w:val="24"/>
          <w:szCs w:val="24"/>
        </w:rPr>
        <w:t>functions;</w:t>
      </w:r>
      <w:r w:rsidRPr="0044607C">
        <w:rPr>
          <w:color w:val="000000"/>
          <w:sz w:val="24"/>
          <w:szCs w:val="24"/>
        </w:rPr>
        <w:t xml:space="preserve"> </w:t>
      </w:r>
    </w:p>
    <w:p w:rsidR="0044607C" w:rsidRPr="0044607C" w:rsidP="0044607C" w14:paraId="046B0F38" w14:textId="77777777">
      <w:pPr>
        <w:numPr>
          <w:ilvl w:val="0"/>
          <w:numId w:val="27"/>
        </w:numPr>
        <w:rPr>
          <w:color w:val="000000"/>
          <w:sz w:val="24"/>
          <w:szCs w:val="24"/>
        </w:rPr>
      </w:pPr>
      <w:r w:rsidRPr="0044607C">
        <w:rPr>
          <w:color w:val="000000"/>
          <w:sz w:val="24"/>
          <w:szCs w:val="24"/>
        </w:rPr>
        <w:t xml:space="preserve">It avoids unnecessary </w:t>
      </w:r>
      <w:r w:rsidRPr="0044607C">
        <w:rPr>
          <w:color w:val="000000"/>
          <w:sz w:val="24"/>
          <w:szCs w:val="24"/>
        </w:rPr>
        <w:t>duplication;</w:t>
      </w:r>
      <w:r w:rsidRPr="0044607C">
        <w:rPr>
          <w:color w:val="000000"/>
          <w:sz w:val="24"/>
          <w:szCs w:val="24"/>
        </w:rPr>
        <w:t xml:space="preserve"> </w:t>
      </w:r>
    </w:p>
    <w:p w:rsidR="0044607C" w:rsidRPr="0044607C" w:rsidP="0044607C" w14:paraId="1A339982" w14:textId="77777777">
      <w:pPr>
        <w:numPr>
          <w:ilvl w:val="0"/>
          <w:numId w:val="27"/>
        </w:numPr>
        <w:rPr>
          <w:color w:val="000000"/>
          <w:sz w:val="24"/>
          <w:szCs w:val="24"/>
        </w:rPr>
      </w:pPr>
      <w:r w:rsidRPr="0044607C">
        <w:rPr>
          <w:color w:val="000000"/>
          <w:sz w:val="24"/>
          <w:szCs w:val="24"/>
        </w:rPr>
        <w:t xml:space="preserve">It uses plain, coherent, and unambiguous terminology that is understandable to </w:t>
      </w:r>
      <w:r w:rsidRPr="0044607C">
        <w:rPr>
          <w:color w:val="000000"/>
          <w:sz w:val="24"/>
          <w:szCs w:val="24"/>
        </w:rPr>
        <w:t>respondents;</w:t>
      </w:r>
    </w:p>
    <w:p w:rsidR="0044607C" w:rsidRPr="0044607C" w:rsidP="0044607C" w14:paraId="4894D29D" w14:textId="77777777">
      <w:pPr>
        <w:numPr>
          <w:ilvl w:val="0"/>
          <w:numId w:val="27"/>
        </w:numPr>
        <w:rPr>
          <w:color w:val="000000"/>
          <w:sz w:val="24"/>
          <w:szCs w:val="24"/>
        </w:rPr>
      </w:pPr>
      <w:r w:rsidRPr="0044607C">
        <w:rPr>
          <w:color w:val="000000"/>
          <w:sz w:val="24"/>
          <w:szCs w:val="24"/>
        </w:rPr>
        <w:t>It informs respondents of the information called for under 5 CFR § 1320.8(b)(3):</w:t>
      </w:r>
    </w:p>
    <w:p w:rsidR="0044607C" w:rsidRPr="0044607C" w:rsidP="0044607C" w14:paraId="1060A854" w14:textId="77777777">
      <w:pPr>
        <w:numPr>
          <w:ilvl w:val="1"/>
          <w:numId w:val="27"/>
        </w:numPr>
        <w:rPr>
          <w:color w:val="000000"/>
          <w:sz w:val="24"/>
          <w:szCs w:val="24"/>
        </w:rPr>
      </w:pPr>
      <w:r w:rsidRPr="0044607C">
        <w:rPr>
          <w:color w:val="000000"/>
          <w:sz w:val="24"/>
          <w:szCs w:val="24"/>
        </w:rPr>
        <w:t xml:space="preserve">Why the information is being </w:t>
      </w:r>
      <w:r w:rsidRPr="0044607C">
        <w:rPr>
          <w:color w:val="000000"/>
          <w:sz w:val="24"/>
          <w:szCs w:val="24"/>
        </w:rPr>
        <w:t>collected;</w:t>
      </w:r>
    </w:p>
    <w:p w:rsidR="0044607C" w:rsidRPr="0044607C" w:rsidP="0044607C" w14:paraId="67266971" w14:textId="77777777">
      <w:pPr>
        <w:numPr>
          <w:ilvl w:val="1"/>
          <w:numId w:val="27"/>
        </w:numPr>
        <w:rPr>
          <w:color w:val="000000"/>
          <w:sz w:val="24"/>
          <w:szCs w:val="24"/>
        </w:rPr>
      </w:pPr>
      <w:r w:rsidRPr="0044607C">
        <w:rPr>
          <w:color w:val="000000"/>
          <w:sz w:val="24"/>
          <w:szCs w:val="24"/>
        </w:rPr>
        <w:t xml:space="preserve">Use of </w:t>
      </w:r>
      <w:r w:rsidRPr="0044607C">
        <w:rPr>
          <w:color w:val="000000"/>
          <w:sz w:val="24"/>
          <w:szCs w:val="24"/>
        </w:rPr>
        <w:t>information;</w:t>
      </w:r>
    </w:p>
    <w:p w:rsidR="0044607C" w:rsidRPr="0044607C" w:rsidP="0044607C" w14:paraId="47A80677" w14:textId="77777777">
      <w:pPr>
        <w:numPr>
          <w:ilvl w:val="1"/>
          <w:numId w:val="27"/>
        </w:numPr>
        <w:rPr>
          <w:color w:val="000000"/>
          <w:sz w:val="24"/>
          <w:szCs w:val="24"/>
        </w:rPr>
      </w:pPr>
      <w:r w:rsidRPr="0044607C">
        <w:rPr>
          <w:color w:val="000000"/>
          <w:sz w:val="24"/>
          <w:szCs w:val="24"/>
        </w:rPr>
        <w:t xml:space="preserve">Burden </w:t>
      </w:r>
      <w:r w:rsidRPr="0044607C">
        <w:rPr>
          <w:color w:val="000000"/>
          <w:sz w:val="24"/>
          <w:szCs w:val="24"/>
        </w:rPr>
        <w:t>estimate;</w:t>
      </w:r>
    </w:p>
    <w:p w:rsidR="0044607C" w:rsidRPr="0044607C" w:rsidP="0044607C" w14:paraId="140CEB16" w14:textId="77777777">
      <w:pPr>
        <w:numPr>
          <w:ilvl w:val="1"/>
          <w:numId w:val="27"/>
        </w:numPr>
        <w:rPr>
          <w:color w:val="000000"/>
          <w:sz w:val="24"/>
          <w:szCs w:val="24"/>
        </w:rPr>
      </w:pPr>
      <w:r w:rsidRPr="0044607C">
        <w:rPr>
          <w:color w:val="000000"/>
          <w:sz w:val="24"/>
          <w:szCs w:val="24"/>
        </w:rPr>
        <w:t>Nature of response (voluntary</w:t>
      </w:r>
      <w:r w:rsidRPr="0044607C">
        <w:rPr>
          <w:color w:val="000000"/>
          <w:sz w:val="24"/>
          <w:szCs w:val="24"/>
        </w:rPr>
        <w:t>);</w:t>
      </w:r>
    </w:p>
    <w:p w:rsidR="0044607C" w:rsidRPr="0044607C" w:rsidP="0044607C" w14:paraId="4EA35507" w14:textId="77777777">
      <w:pPr>
        <w:numPr>
          <w:ilvl w:val="1"/>
          <w:numId w:val="27"/>
        </w:numPr>
        <w:rPr>
          <w:color w:val="000000"/>
          <w:sz w:val="24"/>
          <w:szCs w:val="24"/>
        </w:rPr>
      </w:pPr>
      <w:r w:rsidRPr="0044607C">
        <w:rPr>
          <w:color w:val="000000"/>
          <w:sz w:val="24"/>
          <w:szCs w:val="24"/>
        </w:rPr>
        <w:t>Nature and extent of confidentiality (citing authority); and</w:t>
      </w:r>
    </w:p>
    <w:p w:rsidR="0044607C" w:rsidRPr="0044607C" w:rsidP="0044607C" w14:paraId="6B01C38F" w14:textId="77777777">
      <w:pPr>
        <w:numPr>
          <w:ilvl w:val="1"/>
          <w:numId w:val="27"/>
        </w:numPr>
        <w:rPr>
          <w:color w:val="000000"/>
          <w:sz w:val="24"/>
          <w:szCs w:val="24"/>
        </w:rPr>
      </w:pPr>
      <w:r w:rsidRPr="0044607C">
        <w:rPr>
          <w:color w:val="000000"/>
          <w:sz w:val="24"/>
          <w:szCs w:val="24"/>
        </w:rPr>
        <w:t xml:space="preserve">Need to display currently valid OMB control </w:t>
      </w:r>
      <w:r w:rsidRPr="0044607C">
        <w:rPr>
          <w:color w:val="000000"/>
          <w:sz w:val="24"/>
          <w:szCs w:val="24"/>
        </w:rPr>
        <w:t>number;</w:t>
      </w:r>
    </w:p>
    <w:p w:rsidR="0044607C" w:rsidRPr="0044607C" w:rsidP="0044607C" w14:paraId="3DB832DF" w14:textId="77777777">
      <w:pPr>
        <w:numPr>
          <w:ilvl w:val="0"/>
          <w:numId w:val="27"/>
        </w:numPr>
        <w:rPr>
          <w:color w:val="000000"/>
          <w:sz w:val="24"/>
          <w:szCs w:val="24"/>
        </w:rPr>
      </w:pPr>
      <w:r w:rsidRPr="0044607C">
        <w:rPr>
          <w:color w:val="000000"/>
          <w:sz w:val="24"/>
          <w:szCs w:val="24"/>
        </w:rPr>
        <w:t xml:space="preserve">It was developed by an office that has planned and allocated resources for the efficient and effective management and use of the information to be </w:t>
      </w:r>
      <w:r w:rsidRPr="0044607C">
        <w:rPr>
          <w:color w:val="000000"/>
          <w:sz w:val="24"/>
          <w:szCs w:val="24"/>
        </w:rPr>
        <w:t>collected;</w:t>
      </w:r>
    </w:p>
    <w:p w:rsidR="0044607C" w:rsidRPr="0044607C" w:rsidP="0044607C" w14:paraId="5E845A78" w14:textId="77777777">
      <w:pPr>
        <w:numPr>
          <w:ilvl w:val="0"/>
          <w:numId w:val="27"/>
        </w:numPr>
        <w:rPr>
          <w:color w:val="000000"/>
          <w:sz w:val="24"/>
          <w:szCs w:val="24"/>
        </w:rPr>
      </w:pPr>
      <w:r w:rsidRPr="0044607C">
        <w:rPr>
          <w:color w:val="000000"/>
          <w:sz w:val="24"/>
          <w:szCs w:val="24"/>
        </w:rPr>
        <w:t>It uses effective and efficient survey methodology; and</w:t>
      </w:r>
    </w:p>
    <w:p w:rsidR="0044607C" w:rsidRPr="0044607C" w:rsidP="0044607C" w14:paraId="168F960C" w14:textId="77777777">
      <w:pPr>
        <w:numPr>
          <w:ilvl w:val="0"/>
          <w:numId w:val="27"/>
        </w:numPr>
        <w:rPr>
          <w:color w:val="000000"/>
          <w:sz w:val="24"/>
          <w:szCs w:val="24"/>
        </w:rPr>
      </w:pPr>
      <w:r w:rsidRPr="0044607C">
        <w:rPr>
          <w:color w:val="000000"/>
          <w:sz w:val="24"/>
          <w:szCs w:val="24"/>
        </w:rPr>
        <w:t>It makes appropriate use of information technology.</w:t>
      </w:r>
    </w:p>
    <w:p w:rsidR="0044607C" w:rsidRPr="0044607C" w:rsidP="0044607C" w14:paraId="1D7C05C8" w14:textId="77777777">
      <w:pPr>
        <w:rPr>
          <w:color w:val="000000"/>
          <w:sz w:val="24"/>
          <w:szCs w:val="24"/>
        </w:rPr>
      </w:pPr>
    </w:p>
    <w:p w:rsidR="0044607C" w:rsidRPr="0044607C" w:rsidP="0044607C" w14:paraId="39F67EB5" w14:textId="77777777">
      <w:pPr>
        <w:rPr>
          <w:color w:val="000000"/>
          <w:sz w:val="24"/>
          <w:szCs w:val="24"/>
        </w:rPr>
      </w:pPr>
      <w:r w:rsidRPr="0044607C">
        <w:rPr>
          <w:color w:val="000000"/>
          <w:sz w:val="24"/>
          <w:szCs w:val="24"/>
        </w:rPr>
        <w:t>If these conditions are not met, the Bureau will submit an information collection request to OMB for approval through the standard PRA process.</w:t>
      </w:r>
    </w:p>
    <w:p w:rsidR="0044607C" w:rsidRPr="0044607C" w:rsidP="0044607C" w14:paraId="4067B04F" w14:textId="77777777">
      <w:pPr>
        <w:rPr>
          <w:color w:val="000000"/>
          <w:sz w:val="24"/>
          <w:szCs w:val="24"/>
        </w:rPr>
      </w:pPr>
    </w:p>
    <w:p w:rsidR="00E939D3" w:rsidP="0044607C" w14:paraId="19B9EB12" w14:textId="55636FB7">
      <w:pPr>
        <w:rPr>
          <w:color w:val="000000"/>
          <w:sz w:val="24"/>
          <w:szCs w:val="24"/>
        </w:rPr>
      </w:pPr>
      <w:r w:rsidRPr="0044607C">
        <w:rPr>
          <w:color w:val="000000"/>
          <w:sz w:val="24"/>
          <w:szCs w:val="24"/>
        </w:rPr>
        <w:t>The CFPB requests OMB decisions on submissions made under this generic within thirty days of submission to OMB.</w:t>
      </w:r>
    </w:p>
    <w:p w:rsidR="0044607C" w:rsidRPr="00BF6D43" w:rsidP="0044607C" w14:paraId="62C1AF9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E939D3" w:rsidRPr="0044607C" w:rsidP="00E81562" w14:paraId="7CEBA56C" w14:textId="2D0238F3">
      <w:pPr>
        <w:rPr>
          <w:bCs/>
          <w:sz w:val="24"/>
        </w:rPr>
      </w:pPr>
      <w:r w:rsidRPr="0044607C">
        <w:rPr>
          <w:bCs/>
          <w:sz w:val="24"/>
        </w:rPr>
        <w:t>If appropriate, and to the extent practicable, the CFPB will collect information electronically and/or use online tools to reduce burden.</w:t>
      </w:r>
    </w:p>
    <w:p w:rsidR="0044607C" w:rsidRPr="0044607C" w:rsidP="00E81562" w14:paraId="6C43AC82" w14:textId="77777777">
      <w:pPr>
        <w:rPr>
          <w:bCs/>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P="005F1FFC" w14:paraId="7339726A" w14:textId="494F9A51">
      <w:pPr>
        <w:rPr>
          <w:sz w:val="24"/>
        </w:rPr>
      </w:pPr>
    </w:p>
    <w:p w:rsidR="0044607C" w:rsidRPr="00941DEE" w:rsidP="0044607C" w14:paraId="45CEA4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No similar data are gathered or maintained by the CFPB or are available from other sources known to the CFPB.</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14:paraId="6511B9A0" w14:textId="422D07B6">
      <w:pPr>
        <w:pStyle w:val="BodyText"/>
      </w:pPr>
    </w:p>
    <w:p w:rsidR="0044607C" w:rsidRPr="00BF6D43" w:rsidP="00092D91" w14:paraId="548DB825" w14:textId="2D7B3478">
      <w:pPr>
        <w:pStyle w:val="BodyText"/>
      </w:pPr>
      <w:r w:rsidRPr="00941DEE">
        <w:rPr>
          <w:szCs w:val="24"/>
        </w:rPr>
        <w:t xml:space="preserve">Small businesses or other small entities may be involved in </w:t>
      </w:r>
      <w:r w:rsidRPr="00941DEE">
        <w:rPr>
          <w:szCs w:val="24"/>
        </w:rPr>
        <w:t xml:space="preserve">these </w:t>
      </w:r>
      <w:r w:rsidRPr="00941DEE" w:rsidR="00324D08">
        <w:rPr>
          <w:szCs w:val="24"/>
        </w:rPr>
        <w:t>efforts,</w:t>
      </w:r>
      <w:r w:rsidRPr="00941DEE">
        <w:rPr>
          <w:szCs w:val="24"/>
        </w:rPr>
        <w:t xml:space="preserve"> but the CFPB will minimize the burden on them of information collections approved under this clearance by sampling, asking for readily available information, and using short, easy-to-complete information collection instruments. </w:t>
      </w:r>
      <w:r w:rsidR="00324D08">
        <w:rPr>
          <w:szCs w:val="24"/>
        </w:rPr>
        <w:t xml:space="preserve"> </w:t>
      </w:r>
      <w:r w:rsidRPr="00941DEE">
        <w:rPr>
          <w:szCs w:val="24"/>
        </w:rPr>
        <w:t>Additionally, all collections will be voluntary</w:t>
      </w:r>
      <w:r w:rsidR="00324D08">
        <w:rPr>
          <w:szCs w:val="24"/>
        </w:rPr>
        <w:t>, so small entities can opt out of participating if the collections are too burdensome</w:t>
      </w:r>
      <w:r w:rsidR="00E0659F">
        <w:rPr>
          <w:szCs w:val="24"/>
        </w:rPr>
        <w:t>.</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w:t>
      </w:r>
      <w:r w:rsidRPr="00BF6D43">
        <w:rPr>
          <w:b/>
          <w:bCs/>
          <w:sz w:val="24"/>
          <w:szCs w:val="24"/>
        </w:rPr>
        <w:t xml:space="preserve">is not conducted or is conducted less frequently, as well as any technical or legal obstacles to reducing burden. </w:t>
      </w:r>
    </w:p>
    <w:p w:rsidR="005F1FFC" w:rsidP="005F1FFC" w14:paraId="039568CD" w14:textId="5BE3255A">
      <w:pPr>
        <w:rPr>
          <w:sz w:val="24"/>
        </w:rPr>
      </w:pPr>
    </w:p>
    <w:p w:rsidR="0044607C" w:rsidRPr="00941DEE" w:rsidP="0044607C" w14:paraId="1BCA298F" w14:textId="60591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 xml:space="preserve">Congress has mandated that the CFPB, in consultation with the Financial Literacy and Education Commission and consistent with the National Strategy for Financial Literacy, “develop and implement a strategy to improve the financial literacy of consumers that includes measurable goals and objectives.” ((12 USC 5493 Sec. 1013(d)(1)). </w:t>
      </w:r>
      <w:r w:rsidR="00324D08">
        <w:rPr>
          <w:sz w:val="24"/>
          <w:szCs w:val="24"/>
        </w:rPr>
        <w:t xml:space="preserve"> </w:t>
      </w:r>
      <w:r w:rsidRPr="00941DEE">
        <w:rPr>
          <w:sz w:val="24"/>
          <w:szCs w:val="24"/>
        </w:rPr>
        <w:t xml:space="preserve">The CFPB will be unable to carry out this mandate if it does not have information about consumer experiences navigating the financial marketplace and what strategies can in fact improve financial literacy. </w:t>
      </w:r>
      <w:r w:rsidR="00324D08">
        <w:rPr>
          <w:sz w:val="24"/>
          <w:szCs w:val="24"/>
        </w:rPr>
        <w:t xml:space="preserve"> </w:t>
      </w:r>
      <w:r w:rsidRPr="00941DEE">
        <w:rPr>
          <w:sz w:val="24"/>
          <w:szCs w:val="24"/>
        </w:rPr>
        <w:t xml:space="preserve">If the CFPB does not have a clear understanding of what informational and other financial empowerment needs consumers have, and what financial education interventions work, its strategy, goals, and objectives will be without basis. </w:t>
      </w:r>
      <w:r w:rsidR="00324D08">
        <w:rPr>
          <w:sz w:val="24"/>
          <w:szCs w:val="24"/>
        </w:rPr>
        <w:t xml:space="preserve"> </w:t>
      </w:r>
      <w:r w:rsidRPr="00941DEE">
        <w:rPr>
          <w:sz w:val="24"/>
          <w:szCs w:val="24"/>
        </w:rPr>
        <w:t xml:space="preserve">Without periodic information collections on consumer experiences and best practices in financial education, the CFPB will not have timely information to adjust its programming to meet consumer needs. </w:t>
      </w:r>
      <w:r w:rsidR="00324D08">
        <w:rPr>
          <w:sz w:val="24"/>
          <w:szCs w:val="24"/>
        </w:rPr>
        <w:t xml:space="preserve"> </w:t>
      </w:r>
      <w:r w:rsidRPr="00941DEE">
        <w:rPr>
          <w:sz w:val="24"/>
          <w:szCs w:val="24"/>
        </w:rPr>
        <w:t xml:space="preserve">Further, an important component of the CFPB’s implementation of a strategy to improve consumers’ financial literacy is awareness among the public of the financial literacy tools and resources the CFPB offers to consumers. </w:t>
      </w:r>
    </w:p>
    <w:p w:rsidR="0044607C" w:rsidRPr="00941DEE" w:rsidP="0044607C" w14:paraId="35A90F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44607C" w:rsidP="0044607C" w14:paraId="1378704A" w14:textId="77777777">
      <w:pPr>
        <w:spacing w:before="29"/>
        <w:ind w:right="323"/>
        <w:rPr>
          <w:sz w:val="24"/>
          <w:szCs w:val="24"/>
        </w:rPr>
      </w:pPr>
      <w:r>
        <w:rPr>
          <w:sz w:val="24"/>
          <w:szCs w:val="24"/>
        </w:rPr>
        <w:t>No sp</w:t>
      </w:r>
      <w:r>
        <w:rPr>
          <w:spacing w:val="-1"/>
          <w:sz w:val="24"/>
          <w:szCs w:val="24"/>
        </w:rPr>
        <w:t>ec</w:t>
      </w:r>
      <w:r>
        <w:rPr>
          <w:sz w:val="24"/>
          <w:szCs w:val="24"/>
        </w:rPr>
        <w:t xml:space="preserve">ial </w:t>
      </w:r>
      <w:r>
        <w:rPr>
          <w:spacing w:val="-1"/>
          <w:sz w:val="24"/>
          <w:szCs w:val="24"/>
        </w:rPr>
        <w:t>c</w:t>
      </w:r>
      <w:r>
        <w:rPr>
          <w:sz w:val="24"/>
          <w:szCs w:val="24"/>
        </w:rPr>
        <w:t>i</w:t>
      </w:r>
      <w:r>
        <w:rPr>
          <w:spacing w:val="2"/>
          <w:sz w:val="24"/>
          <w:szCs w:val="24"/>
        </w:rPr>
        <w:t>r</w:t>
      </w:r>
      <w:r>
        <w:rPr>
          <w:spacing w:val="-1"/>
          <w:sz w:val="24"/>
          <w:szCs w:val="24"/>
        </w:rPr>
        <w:t>c</w:t>
      </w:r>
      <w:r>
        <w:rPr>
          <w:sz w:val="24"/>
          <w:szCs w:val="24"/>
        </w:rPr>
        <w:t>ums</w:t>
      </w:r>
      <w:r>
        <w:rPr>
          <w:spacing w:val="1"/>
          <w:sz w:val="24"/>
          <w:szCs w:val="24"/>
        </w:rPr>
        <w:t>t</w:t>
      </w:r>
      <w:r>
        <w:rPr>
          <w:spacing w:val="-1"/>
          <w:sz w:val="24"/>
          <w:szCs w:val="24"/>
        </w:rPr>
        <w:t>a</w:t>
      </w:r>
      <w:r>
        <w:rPr>
          <w:sz w:val="24"/>
          <w:szCs w:val="24"/>
        </w:rPr>
        <w:t>n</w:t>
      </w:r>
      <w:r>
        <w:rPr>
          <w:spacing w:val="-1"/>
          <w:sz w:val="24"/>
          <w:szCs w:val="24"/>
        </w:rPr>
        <w:t>ce</w:t>
      </w:r>
      <w:r>
        <w:rPr>
          <w:sz w:val="24"/>
          <w:szCs w:val="24"/>
        </w:rPr>
        <w:t>s</w:t>
      </w:r>
      <w:r>
        <w:rPr>
          <w:spacing w:val="2"/>
          <w:sz w:val="24"/>
          <w:szCs w:val="24"/>
        </w:rPr>
        <w:t xml:space="preserve"> </w:t>
      </w:r>
      <w:r>
        <w:rPr>
          <w:spacing w:val="-1"/>
          <w:sz w:val="24"/>
          <w:szCs w:val="24"/>
        </w:rPr>
        <w:t>re</w:t>
      </w:r>
      <w:r>
        <w:rPr>
          <w:sz w:val="24"/>
          <w:szCs w:val="24"/>
        </w:rPr>
        <w:t>quire</w:t>
      </w:r>
      <w:r>
        <w:rPr>
          <w:spacing w:val="-1"/>
          <w:sz w:val="24"/>
          <w:szCs w:val="24"/>
        </w:rPr>
        <w:t xml:space="preserve"> </w:t>
      </w:r>
      <w:r>
        <w:rPr>
          <w:sz w:val="24"/>
          <w:szCs w:val="24"/>
        </w:rPr>
        <w:t>the</w:t>
      </w:r>
      <w:r>
        <w:rPr>
          <w:spacing w:val="2"/>
          <w:sz w:val="24"/>
          <w:szCs w:val="24"/>
        </w:rPr>
        <w:t xml:space="preserve"> </w:t>
      </w:r>
      <w:r>
        <w:rPr>
          <w:spacing w:val="-1"/>
          <w:sz w:val="24"/>
          <w:szCs w:val="24"/>
        </w:rPr>
        <w:t>c</w:t>
      </w:r>
      <w:r>
        <w:rPr>
          <w:sz w:val="24"/>
          <w:szCs w:val="24"/>
        </w:rPr>
        <w:t>ol</w:t>
      </w:r>
      <w:r>
        <w:rPr>
          <w:spacing w:val="1"/>
          <w:sz w:val="24"/>
          <w:szCs w:val="24"/>
        </w:rPr>
        <w:t>l</w:t>
      </w:r>
      <w:r>
        <w:rPr>
          <w:spacing w:val="-1"/>
          <w:sz w:val="24"/>
          <w:szCs w:val="24"/>
        </w:rPr>
        <w:t>ec</w:t>
      </w:r>
      <w:r>
        <w:rPr>
          <w:sz w:val="24"/>
          <w:szCs w:val="24"/>
        </w:rPr>
        <w:t>t</w:t>
      </w:r>
      <w:r>
        <w:rPr>
          <w:spacing w:val="1"/>
          <w:sz w:val="24"/>
          <w:szCs w:val="24"/>
        </w:rPr>
        <w:t>i</w:t>
      </w:r>
      <w:r>
        <w:rPr>
          <w:sz w:val="24"/>
          <w:szCs w:val="24"/>
        </w:rPr>
        <w:t>o</w:t>
      </w:r>
      <w:r>
        <w:rPr>
          <w:spacing w:val="2"/>
          <w:sz w:val="24"/>
          <w:szCs w:val="24"/>
        </w:rPr>
        <w:t>n</w:t>
      </w:r>
      <w:r>
        <w:rPr>
          <w:sz w:val="24"/>
          <w:szCs w:val="24"/>
        </w:rPr>
        <w:t xml:space="preserve">s to be </w:t>
      </w:r>
      <w:r>
        <w:rPr>
          <w:spacing w:val="-1"/>
          <w:sz w:val="24"/>
          <w:szCs w:val="24"/>
        </w:rPr>
        <w:t>c</w:t>
      </w:r>
      <w:r>
        <w:rPr>
          <w:sz w:val="24"/>
          <w:szCs w:val="24"/>
        </w:rPr>
        <w:t>ondu</w:t>
      </w:r>
      <w:r>
        <w:rPr>
          <w:spacing w:val="-1"/>
          <w:sz w:val="24"/>
          <w:szCs w:val="24"/>
        </w:rPr>
        <w:t>c</w:t>
      </w:r>
      <w:r>
        <w:rPr>
          <w:sz w:val="24"/>
          <w:szCs w:val="24"/>
        </w:rPr>
        <w:t>ted in</w:t>
      </w:r>
      <w:r>
        <w:rPr>
          <w:spacing w:val="2"/>
          <w:sz w:val="24"/>
          <w:szCs w:val="24"/>
        </w:rPr>
        <w:t xml:space="preserve"> </w:t>
      </w:r>
      <w:r>
        <w:rPr>
          <w:sz w:val="24"/>
          <w:szCs w:val="24"/>
        </w:rPr>
        <w:t>a</w:t>
      </w:r>
      <w:r>
        <w:rPr>
          <w:spacing w:val="-1"/>
          <w:sz w:val="24"/>
          <w:szCs w:val="24"/>
        </w:rPr>
        <w:t xml:space="preserve"> </w:t>
      </w:r>
      <w:r>
        <w:rPr>
          <w:sz w:val="24"/>
          <w:szCs w:val="24"/>
        </w:rPr>
        <w:t>mann</w:t>
      </w:r>
      <w:r>
        <w:rPr>
          <w:spacing w:val="1"/>
          <w:sz w:val="24"/>
          <w:szCs w:val="24"/>
        </w:rPr>
        <w:t>e</w:t>
      </w:r>
      <w:r>
        <w:rPr>
          <w:sz w:val="24"/>
          <w:szCs w:val="24"/>
        </w:rPr>
        <w:t>r in</w:t>
      </w:r>
      <w:r>
        <w:rPr>
          <w:spacing w:val="-1"/>
          <w:sz w:val="24"/>
          <w:szCs w:val="24"/>
        </w:rPr>
        <w:t>c</w:t>
      </w:r>
      <w:r>
        <w:rPr>
          <w:sz w:val="24"/>
          <w:szCs w:val="24"/>
        </w:rPr>
        <w:t xml:space="preserve">onsistent with the </w:t>
      </w:r>
      <w:r>
        <w:rPr>
          <w:spacing w:val="-3"/>
          <w:sz w:val="24"/>
          <w:szCs w:val="24"/>
        </w:rPr>
        <w:t>g</w:t>
      </w:r>
      <w:r>
        <w:rPr>
          <w:sz w:val="24"/>
          <w:szCs w:val="24"/>
        </w:rPr>
        <w:t xml:space="preserve">uidelines in 5 </w:t>
      </w:r>
      <w:r>
        <w:rPr>
          <w:spacing w:val="1"/>
          <w:sz w:val="24"/>
          <w:szCs w:val="24"/>
        </w:rPr>
        <w:t>CFR</w:t>
      </w:r>
      <w:r>
        <w:rPr>
          <w:spacing w:val="3"/>
          <w:sz w:val="24"/>
          <w:szCs w:val="24"/>
        </w:rPr>
        <w:t xml:space="preserve"> § </w:t>
      </w:r>
      <w:r>
        <w:rPr>
          <w:sz w:val="24"/>
          <w:szCs w:val="24"/>
        </w:rPr>
        <w:t>1320.5(d).</w:t>
      </w:r>
    </w:p>
    <w:p w:rsidR="0044607C" w:rsidRPr="00BF6D43" w:rsidP="0044607C" w14:paraId="1619F52A" w14:textId="77777777">
      <w:pPr>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BC56A2" w:rsidRPr="00BF6D43" w:rsidP="00BC56A2" w14:paraId="4EF51BBA" w14:textId="4FA1C74F">
      <w:pPr>
        <w:rPr>
          <w:bCs/>
          <w:sz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517FD5">
        <w:rPr>
          <w:bCs/>
          <w:sz w:val="24"/>
        </w:rPr>
        <w:t>36</w:t>
      </w:r>
      <w:r w:rsidRPr="00BF6D43">
        <w:rPr>
          <w:bCs/>
          <w:sz w:val="24"/>
        </w:rPr>
        <w:t>.</w:t>
      </w:r>
      <w:r>
        <w:rPr>
          <w:rStyle w:val="FootnoteReference"/>
          <w:bCs/>
          <w:sz w:val="24"/>
        </w:rPr>
        <w:footnoteReference w:id="3"/>
      </w:r>
      <w:r w:rsidR="008C7626">
        <w:rPr>
          <w:bCs/>
          <w:sz w:val="24"/>
        </w:rPr>
        <w:t xml:space="preserve"> </w:t>
      </w:r>
      <w:r w:rsidR="00324D08">
        <w:rPr>
          <w:bCs/>
          <w:sz w:val="24"/>
        </w:rPr>
        <w:t xml:space="preserve"> </w:t>
      </w:r>
      <w:r w:rsidR="00762931">
        <w:rPr>
          <w:bCs/>
          <w:sz w:val="24"/>
        </w:rPr>
        <w:t>The Bureau received o</w:t>
      </w:r>
      <w:r w:rsidR="008C7626">
        <w:rPr>
          <w:bCs/>
          <w:sz w:val="24"/>
        </w:rPr>
        <w:t xml:space="preserve">ne comment </w:t>
      </w:r>
      <w:r w:rsidR="00C6129F">
        <w:rPr>
          <w:bCs/>
          <w:sz w:val="24"/>
        </w:rPr>
        <w:t xml:space="preserve">and it was </w:t>
      </w:r>
      <w:r w:rsidR="004114ED">
        <w:rPr>
          <w:bCs/>
          <w:sz w:val="24"/>
        </w:rPr>
        <w:t>generally supportive of the Bureau’s information collection efforts.</w:t>
      </w:r>
    </w:p>
    <w:p w:rsidR="004E1F5B" w:rsidRPr="00BC56A2" w:rsidP="00BC56A2" w14:paraId="13830F01" w14:textId="77777777">
      <w:pPr>
        <w:rPr>
          <w:bCs/>
          <w:sz w:val="24"/>
        </w:rPr>
      </w:pPr>
    </w:p>
    <w:p w:rsidR="00BE61FE" w:rsidRPr="00BF6D43" w:rsidP="00BC56A2" w14:paraId="18A7A451" w14:textId="572A84AE">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4"/>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46246CE6">
      <w:pPr>
        <w:rPr>
          <w:sz w:val="24"/>
        </w:rPr>
      </w:pPr>
    </w:p>
    <w:p w:rsidR="0044607C" w:rsidP="0044607C" w14:paraId="17007F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 xml:space="preserve">Respondents for activities conducted under this clearance may receive a small </w:t>
      </w:r>
      <w:r>
        <w:rPr>
          <w:sz w:val="24"/>
          <w:szCs w:val="24"/>
        </w:rPr>
        <w:t>incentive or in some instances an honorarium</w:t>
      </w:r>
      <w:r w:rsidRPr="00941DEE">
        <w:rPr>
          <w:sz w:val="24"/>
          <w:szCs w:val="24"/>
        </w:rPr>
        <w:t xml:space="preserve">.  </w:t>
      </w:r>
    </w:p>
    <w:p w:rsidR="0044607C" w:rsidP="0044607C" w14:paraId="09196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607C" w:rsidRPr="00941DEE" w:rsidP="0044607C" w14:paraId="5C60B85F" w14:textId="27E104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 xml:space="preserve">The incentive for participation in an interview or testing session lasting up to one hour will usually be </w:t>
      </w:r>
      <w:r>
        <w:rPr>
          <w:sz w:val="24"/>
          <w:szCs w:val="24"/>
        </w:rPr>
        <w:t xml:space="preserve">no more than </w:t>
      </w:r>
      <w:r w:rsidRPr="00941DEE">
        <w:rPr>
          <w:sz w:val="24"/>
          <w:szCs w:val="24"/>
        </w:rPr>
        <w:t xml:space="preserve">$40 and for participation in activities lasting longer than </w:t>
      </w:r>
      <w:r w:rsidR="00324D08">
        <w:rPr>
          <w:sz w:val="24"/>
          <w:szCs w:val="24"/>
        </w:rPr>
        <w:t>one</w:t>
      </w:r>
      <w:r w:rsidRPr="00941DEE">
        <w:rPr>
          <w:sz w:val="24"/>
          <w:szCs w:val="24"/>
        </w:rPr>
        <w:t xml:space="preserve"> hour or where successful recruitment may require higher incentives</w:t>
      </w:r>
      <w:r w:rsidR="00324D08">
        <w:rPr>
          <w:sz w:val="24"/>
          <w:szCs w:val="24"/>
        </w:rPr>
        <w:t xml:space="preserve"> (</w:t>
      </w:r>
      <w:r w:rsidRPr="00941DEE">
        <w:rPr>
          <w:sz w:val="24"/>
          <w:szCs w:val="24"/>
        </w:rPr>
        <w:t>such as for extensive travel or to recruit special populations</w:t>
      </w:r>
      <w:r w:rsidR="00324D08">
        <w:rPr>
          <w:sz w:val="24"/>
          <w:szCs w:val="24"/>
        </w:rPr>
        <w:t>)</w:t>
      </w:r>
      <w:r w:rsidRPr="00941DEE">
        <w:rPr>
          <w:sz w:val="24"/>
          <w:szCs w:val="24"/>
        </w:rPr>
        <w:t xml:space="preserve"> will generally range from $50-$75. </w:t>
      </w:r>
    </w:p>
    <w:p w:rsidR="0044607C" w:rsidP="0044607C" w14:paraId="058E0D00" w14:textId="77777777">
      <w:pPr>
        <w:rPr>
          <w:sz w:val="24"/>
          <w:szCs w:val="24"/>
        </w:rPr>
      </w:pPr>
    </w:p>
    <w:p w:rsidR="0044607C" w:rsidRPr="00AC2ABF" w:rsidP="0044607C" w14:paraId="35956F79" w14:textId="6119CAEC">
      <w:pPr>
        <w:rPr>
          <w:sz w:val="24"/>
          <w:szCs w:val="24"/>
        </w:rPr>
      </w:pPr>
      <w:r>
        <w:rPr>
          <w:sz w:val="24"/>
          <w:szCs w:val="24"/>
        </w:rPr>
        <w:t>The type and</w:t>
      </w:r>
      <w:r w:rsidR="00324D08">
        <w:rPr>
          <w:sz w:val="24"/>
          <w:szCs w:val="24"/>
        </w:rPr>
        <w:t xml:space="preserve"> dollar value</w:t>
      </w:r>
      <w:r>
        <w:rPr>
          <w:sz w:val="24"/>
          <w:szCs w:val="24"/>
        </w:rPr>
        <w:t xml:space="preserve"> of incentives or honorariums</w:t>
      </w:r>
      <w:r w:rsidRPr="00941DEE">
        <w:rPr>
          <w:sz w:val="24"/>
          <w:szCs w:val="24"/>
        </w:rPr>
        <w:t xml:space="preserve"> will vary depending on the specific parameters of each specific information collection. </w:t>
      </w:r>
      <w:r w:rsidR="00324D08">
        <w:rPr>
          <w:sz w:val="24"/>
          <w:szCs w:val="24"/>
        </w:rPr>
        <w:t xml:space="preserve"> </w:t>
      </w:r>
      <w:r>
        <w:rPr>
          <w:sz w:val="24"/>
          <w:szCs w:val="24"/>
        </w:rPr>
        <w:t xml:space="preserve">The amount of any incentive requested and the justification for the amount will be provided in each information collection request submitted under this generic information collection plan. </w:t>
      </w:r>
      <w:r w:rsidR="00324D08">
        <w:rPr>
          <w:sz w:val="24"/>
          <w:szCs w:val="24"/>
        </w:rPr>
        <w:t xml:space="preserve"> </w:t>
      </w:r>
      <w:r>
        <w:rPr>
          <w:sz w:val="24"/>
          <w:szCs w:val="24"/>
        </w:rPr>
        <w:t>The justification for the use of incentives will be consistent with OMB’s guidance and address among other things such issues as reaching hard to reach populations, ensuring adequate response rates, data quality, and burden on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RPr="00BF6D43" w:rsidP="005F1FFC" w14:paraId="59FF77B7" w14:textId="77777777">
      <w:pPr>
        <w:ind w:left="720"/>
        <w:rPr>
          <w:sz w:val="24"/>
        </w:rPr>
      </w:pPr>
    </w:p>
    <w:p w:rsidR="00A93967" w:rsidP="0044607C" w14:paraId="2A4F7C4C" w14:textId="46443E56">
      <w:pPr>
        <w:rPr>
          <w:sz w:val="24"/>
        </w:rPr>
      </w:pPr>
      <w:r w:rsidRPr="00941DEE">
        <w:rPr>
          <w:sz w:val="24"/>
          <w:szCs w:val="24"/>
        </w:rPr>
        <w:t>If a confidentiality pledge is deemed useful and feasible, the CFPB will only include a pledge of</w:t>
      </w:r>
      <w:r>
        <w:rPr>
          <w:sz w:val="24"/>
          <w:szCs w:val="24"/>
        </w:rPr>
        <w:t xml:space="preserve"> </w:t>
      </w:r>
      <w:r w:rsidRPr="00941DEE">
        <w:rPr>
          <w:sz w:val="24"/>
          <w:szCs w:val="24"/>
        </w:rPr>
        <w:t xml:space="preserve">confidentiality that is supported by authority established in a </w:t>
      </w:r>
      <w:r>
        <w:rPr>
          <w:sz w:val="24"/>
          <w:szCs w:val="24"/>
        </w:rPr>
        <w:t xml:space="preserve">statute or regulation or by the </w:t>
      </w:r>
      <w:r w:rsidRPr="00941DEE">
        <w:rPr>
          <w:sz w:val="24"/>
          <w:szCs w:val="24"/>
        </w:rPr>
        <w:t>terms of a contract in place with data collection vendor precluding the sharing of PII with the CFPB, that is supported by disclosure and data security policies that are consistent with the pledge, and that does not unnecessarily impede sharing of data with other agencies for compatible confidential use. If the CFPB includes a pledge of confidentiality, it will include a citation for the statute, regulation, or contractual terms supporting the pledge.</w:t>
      </w:r>
      <w:r>
        <w:rPr>
          <w:sz w:val="24"/>
          <w:szCs w:val="24"/>
        </w:rPr>
        <w:t xml:space="preserve"> </w:t>
      </w:r>
      <w:r w:rsidR="00E73096">
        <w:rPr>
          <w:sz w:val="24"/>
          <w:szCs w:val="24"/>
        </w:rPr>
        <w:t xml:space="preserve"> </w:t>
      </w:r>
      <w:r>
        <w:rPr>
          <w:sz w:val="24"/>
          <w:szCs w:val="24"/>
        </w:rPr>
        <w:t>Issues of confidentiality as well as privacy will, as applicable, be addressed in each information collection request submit</w:t>
      </w:r>
      <w:r w:rsidR="00E73096">
        <w:rPr>
          <w:sz w:val="24"/>
          <w:szCs w:val="24"/>
        </w:rPr>
        <w:t xml:space="preserve"> </w:t>
      </w:r>
      <w:r>
        <w:rPr>
          <w:sz w:val="24"/>
          <w:szCs w:val="24"/>
        </w:rPr>
        <w:t xml:space="preserve">ted under this generic information collection plan. </w:t>
      </w:r>
      <w:r w:rsidR="00E73096">
        <w:rPr>
          <w:sz w:val="24"/>
          <w:szCs w:val="24"/>
        </w:rPr>
        <w:t xml:space="preserve"> </w:t>
      </w:r>
      <w:r>
        <w:rPr>
          <w:sz w:val="24"/>
          <w:szCs w:val="24"/>
        </w:rPr>
        <w:t xml:space="preserve">Further, as applicable, issues of confidentiality and </w:t>
      </w:r>
      <w:r>
        <w:rPr>
          <w:sz w:val="24"/>
          <w:szCs w:val="24"/>
        </w:rPr>
        <w:t>privacy will be disclosed to respondents as part of each information collection conducted hereunder.</w:t>
      </w:r>
    </w:p>
    <w:p w:rsidR="0044607C" w:rsidRPr="00BF6D43" w:rsidP="0044607C" w14:paraId="43589B0F" w14:textId="77777777">
      <w:pPr>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BF6D43">
        <w:rPr>
          <w:b/>
          <w:bCs/>
          <w:sz w:val="24"/>
          <w:szCs w:val="24"/>
        </w:rPr>
        <w:t>information, the explanation to be given to persons from whom the information is requested, and any steps to be taken to obtain their consent.</w:t>
      </w:r>
    </w:p>
    <w:p w:rsidR="005F1FFC" w:rsidP="0044607C" w14:paraId="74706F28" w14:textId="5992AF43">
      <w:pPr>
        <w:rPr>
          <w:sz w:val="24"/>
        </w:rPr>
      </w:pPr>
    </w:p>
    <w:p w:rsidR="0044607C" w:rsidRPr="00941DEE" w:rsidP="0044607C" w14:paraId="632F1523" w14:textId="179B2E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 xml:space="preserve">Some individual collections may include information of a sensitive nature because they may address matters commonly considered private, such as demographic information and questions related to recent household financial distress or other details of respondents’ financial lives. </w:t>
      </w:r>
      <w:r w:rsidR="00E73096">
        <w:rPr>
          <w:sz w:val="24"/>
          <w:szCs w:val="24"/>
        </w:rPr>
        <w:t xml:space="preserve"> </w:t>
      </w:r>
      <w:r w:rsidRPr="00941DEE">
        <w:rPr>
          <w:sz w:val="24"/>
          <w:szCs w:val="24"/>
        </w:rPr>
        <w:t xml:space="preserve">It may be necessary to obtain information on respondent demographics to ensure a diverse respondent pool, and information on financial experiences and outcomes to better understand the factors, experiences, and interventions related to consumer financial decision-making and well-being. </w:t>
      </w:r>
      <w:r w:rsidR="00E73096">
        <w:rPr>
          <w:sz w:val="24"/>
          <w:szCs w:val="24"/>
        </w:rPr>
        <w:t xml:space="preserve"> </w:t>
      </w:r>
      <w:r w:rsidRPr="00941DEE">
        <w:rPr>
          <w:sz w:val="24"/>
          <w:szCs w:val="24"/>
        </w:rPr>
        <w:t>If questions of a sensitive nature will be included in an individual collection, notification will be provided and consent will first be obtained from those who choose to participate in the study, and justification will be provided to OMB using the Information Collection template.</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23CF03E1">
      <w:pPr>
        <w:rPr>
          <w:bCs/>
          <w:sz w:val="24"/>
        </w:rPr>
      </w:pPr>
    </w:p>
    <w:p w:rsidR="00D977F9" w:rsidP="00D977F9" w14:paraId="469F64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Cs/>
          <w:sz w:val="24"/>
        </w:rPr>
        <w:t>The Bureau estimates the burden of this information collection as follows:</w:t>
      </w:r>
    </w:p>
    <w:p w:rsidR="00D977F9" w:rsidP="005F1FFC" w14:paraId="2B412A4F" w14:textId="77777777">
      <w:pPr>
        <w:rPr>
          <w:bCs/>
          <w:sz w:val="24"/>
        </w:rPr>
      </w:pPr>
    </w:p>
    <w:p w:rsidR="001A6A66" w:rsidP="005F1FFC" w14:paraId="36136AFE" w14:textId="77777777">
      <w:pPr>
        <w:rPr>
          <w:bCs/>
          <w:sz w:val="24"/>
        </w:rPr>
      </w:pPr>
    </w:p>
    <w:tbl>
      <w:tblPr>
        <w:tblStyle w:val="TableGrid"/>
        <w:tblW w:w="8866" w:type="dxa"/>
        <w:tblLook w:val="04A0"/>
      </w:tblPr>
      <w:tblGrid>
        <w:gridCol w:w="1433"/>
        <w:gridCol w:w="1333"/>
        <w:gridCol w:w="1228"/>
        <w:gridCol w:w="1094"/>
        <w:gridCol w:w="927"/>
        <w:gridCol w:w="861"/>
        <w:gridCol w:w="874"/>
        <w:gridCol w:w="1116"/>
      </w:tblGrid>
      <w:tr w14:paraId="15A212D2" w14:textId="77777777" w:rsidTr="00E32689">
        <w:tblPrEx>
          <w:tblW w:w="8866" w:type="dxa"/>
          <w:tblLook w:val="04A0"/>
        </w:tblPrEx>
        <w:tc>
          <w:tcPr>
            <w:tcW w:w="1475" w:type="dxa"/>
            <w:shd w:val="clear" w:color="auto" w:fill="D9D9D9" w:themeFill="background1" w:themeFillShade="D9"/>
          </w:tcPr>
          <w:p w:rsidR="00E876A1" w:rsidRPr="00BF6D43" w:rsidP="00DD0D8F" w14:paraId="2B865C23" w14:textId="77777777">
            <w:pPr>
              <w:rPr>
                <w:b/>
                <w:bCs/>
              </w:rPr>
            </w:pPr>
            <w:r w:rsidRPr="00BF6D43">
              <w:rPr>
                <w:b/>
                <w:bCs/>
              </w:rPr>
              <w:t>Information Collection Requirement</w:t>
            </w:r>
          </w:p>
        </w:tc>
        <w:tc>
          <w:tcPr>
            <w:tcW w:w="1346" w:type="dxa"/>
            <w:shd w:val="clear" w:color="auto" w:fill="D9D9D9" w:themeFill="background1" w:themeFillShade="D9"/>
          </w:tcPr>
          <w:p w:rsidR="00E876A1" w:rsidRPr="00BF6D43" w:rsidP="00DD0D8F" w14:paraId="5C897544" w14:textId="2230AB41">
            <w:pPr>
              <w:rPr>
                <w:b/>
                <w:bCs/>
              </w:rPr>
            </w:pPr>
            <w:r w:rsidRPr="00BF6D43">
              <w:rPr>
                <w:b/>
                <w:bCs/>
              </w:rPr>
              <w:t>Number of Respondent</w:t>
            </w:r>
            <w:r w:rsidR="00AC4F08">
              <w:rPr>
                <w:b/>
                <w:bCs/>
              </w:rPr>
              <w:t>s</w:t>
            </w:r>
          </w:p>
        </w:tc>
        <w:tc>
          <w:tcPr>
            <w:tcW w:w="1228" w:type="dxa"/>
            <w:shd w:val="clear" w:color="auto" w:fill="D9D9D9" w:themeFill="background1" w:themeFillShade="D9"/>
          </w:tcPr>
          <w:p w:rsidR="00E876A1" w:rsidRPr="00BF6D43" w:rsidP="00DD0D8F" w14:paraId="2064A7A4" w14:textId="77777777">
            <w:pPr>
              <w:rPr>
                <w:b/>
                <w:bCs/>
              </w:rPr>
            </w:pPr>
            <w:r w:rsidRPr="00BF6D43">
              <w:rPr>
                <w:b/>
                <w:bCs/>
              </w:rPr>
              <w:t>Number of Responses per Respondent</w:t>
            </w:r>
          </w:p>
        </w:tc>
        <w:tc>
          <w:tcPr>
            <w:tcW w:w="1094" w:type="dxa"/>
            <w:shd w:val="clear" w:color="auto" w:fill="D9D9D9" w:themeFill="background1" w:themeFillShade="D9"/>
          </w:tcPr>
          <w:p w:rsidR="00E876A1" w:rsidRPr="00BF6D43" w:rsidP="00DD0D8F" w14:paraId="508014AC" w14:textId="77777777">
            <w:pPr>
              <w:rPr>
                <w:b/>
                <w:bCs/>
              </w:rPr>
            </w:pPr>
            <w:r w:rsidRPr="00BF6D43">
              <w:rPr>
                <w:b/>
                <w:bCs/>
              </w:rPr>
              <w:t>Total Responses</w:t>
            </w:r>
          </w:p>
        </w:tc>
        <w:tc>
          <w:tcPr>
            <w:tcW w:w="927" w:type="dxa"/>
            <w:shd w:val="clear" w:color="auto" w:fill="D9D9D9" w:themeFill="background1" w:themeFillShade="D9"/>
          </w:tcPr>
          <w:p w:rsidR="00E876A1" w:rsidRPr="00BF6D43" w:rsidP="00DD0D8F" w14:paraId="5CA5D902" w14:textId="77777777">
            <w:pPr>
              <w:rPr>
                <w:b/>
                <w:bCs/>
              </w:rPr>
            </w:pPr>
            <w:r w:rsidRPr="00BF6D43">
              <w:rPr>
                <w:b/>
                <w:bCs/>
              </w:rPr>
              <w:t>Average Burden Hours</w:t>
            </w:r>
          </w:p>
        </w:tc>
        <w:tc>
          <w:tcPr>
            <w:tcW w:w="861" w:type="dxa"/>
            <w:shd w:val="clear" w:color="auto" w:fill="D9D9D9" w:themeFill="background1" w:themeFillShade="D9"/>
          </w:tcPr>
          <w:p w:rsidR="00E876A1" w:rsidRPr="00BF6D43" w:rsidP="00DD0D8F" w14:paraId="6183095A" w14:textId="77777777">
            <w:pPr>
              <w:rPr>
                <w:b/>
                <w:bCs/>
              </w:rPr>
            </w:pPr>
            <w:r w:rsidRPr="00BF6D43">
              <w:rPr>
                <w:b/>
                <w:bCs/>
              </w:rPr>
              <w:t>Annual Burden Hours</w:t>
            </w:r>
          </w:p>
        </w:tc>
        <w:tc>
          <w:tcPr>
            <w:tcW w:w="894" w:type="dxa"/>
            <w:shd w:val="clear" w:color="auto" w:fill="D9D9D9" w:themeFill="background1" w:themeFillShade="D9"/>
          </w:tcPr>
          <w:p w:rsidR="00E876A1" w:rsidRPr="00BF6D43" w:rsidP="00DD0D8F" w14:paraId="7B0AA38C" w14:textId="77777777">
            <w:pPr>
              <w:rPr>
                <w:b/>
                <w:bCs/>
              </w:rPr>
            </w:pPr>
            <w:r w:rsidRPr="00BF6D43">
              <w:rPr>
                <w:b/>
                <w:bCs/>
              </w:rPr>
              <w:t>Wage Rate</w:t>
            </w:r>
          </w:p>
        </w:tc>
        <w:tc>
          <w:tcPr>
            <w:tcW w:w="1041" w:type="dxa"/>
            <w:shd w:val="clear" w:color="auto" w:fill="D9D9D9" w:themeFill="background1" w:themeFillShade="D9"/>
          </w:tcPr>
          <w:p w:rsidR="00E876A1" w:rsidRPr="00BF6D43" w:rsidP="00DD0D8F" w14:paraId="62313A9A" w14:textId="77777777">
            <w:pPr>
              <w:rPr>
                <w:b/>
                <w:bCs/>
              </w:rPr>
            </w:pPr>
            <w:r w:rsidRPr="00BF6D43">
              <w:rPr>
                <w:b/>
                <w:bCs/>
              </w:rPr>
              <w:t>Total Burden Cost</w:t>
            </w:r>
          </w:p>
        </w:tc>
      </w:tr>
      <w:tr w14:paraId="178F7294" w14:textId="77777777" w:rsidTr="00E32689">
        <w:tblPrEx>
          <w:tblW w:w="8866" w:type="dxa"/>
          <w:tblLook w:val="04A0"/>
        </w:tblPrEx>
        <w:tc>
          <w:tcPr>
            <w:tcW w:w="1475" w:type="dxa"/>
          </w:tcPr>
          <w:p w:rsidR="00E876A1" w:rsidRPr="00BF6D43" w:rsidP="00DD0D8F" w14:paraId="05B8B2D9" w14:textId="0E5CB660">
            <w:r>
              <w:t>Various collection instrument</w:t>
            </w:r>
            <w:r w:rsidR="009E7202">
              <w:t>s</w:t>
            </w:r>
          </w:p>
        </w:tc>
        <w:tc>
          <w:tcPr>
            <w:tcW w:w="1346" w:type="dxa"/>
          </w:tcPr>
          <w:p w:rsidR="00E876A1" w:rsidRPr="00BF6D43" w:rsidP="00DD0D8F" w14:paraId="19B1D6EC" w14:textId="16E7969F">
            <w:pPr>
              <w:jc w:val="right"/>
            </w:pPr>
            <w:r>
              <w:t>48,000</w:t>
            </w:r>
          </w:p>
        </w:tc>
        <w:tc>
          <w:tcPr>
            <w:tcW w:w="1228" w:type="dxa"/>
          </w:tcPr>
          <w:p w:rsidR="00E876A1" w:rsidRPr="00BF6D43" w:rsidP="00DD0D8F" w14:paraId="568ED607" w14:textId="08F85CBE">
            <w:pPr>
              <w:jc w:val="right"/>
            </w:pPr>
            <w:r>
              <w:t>1</w:t>
            </w:r>
          </w:p>
        </w:tc>
        <w:tc>
          <w:tcPr>
            <w:tcW w:w="1094" w:type="dxa"/>
          </w:tcPr>
          <w:p w:rsidR="00E876A1" w:rsidRPr="00BF6D43" w:rsidP="00DD0D8F" w14:paraId="40B5B085" w14:textId="3FD0BBBC">
            <w:pPr>
              <w:jc w:val="right"/>
            </w:pPr>
            <w:r>
              <w:t>48,000</w:t>
            </w:r>
          </w:p>
        </w:tc>
        <w:tc>
          <w:tcPr>
            <w:tcW w:w="927" w:type="dxa"/>
          </w:tcPr>
          <w:p w:rsidR="00E876A1" w:rsidP="00DD0D8F" w14:paraId="6D959492" w14:textId="73F810AE">
            <w:pPr>
              <w:jc w:val="right"/>
            </w:pPr>
            <w:r>
              <w:t>45</w:t>
            </w:r>
          </w:p>
          <w:p w:rsidR="00871860" w:rsidRPr="00BF6D43" w:rsidP="00DD0D8F" w14:paraId="1541C053" w14:textId="16703AB8">
            <w:pPr>
              <w:jc w:val="right"/>
            </w:pPr>
            <w:r>
              <w:t>minutes</w:t>
            </w:r>
          </w:p>
        </w:tc>
        <w:tc>
          <w:tcPr>
            <w:tcW w:w="861" w:type="dxa"/>
          </w:tcPr>
          <w:p w:rsidR="00E876A1" w:rsidRPr="00BF6D43" w:rsidP="00DD0D8F" w14:paraId="167BFA1C" w14:textId="3979700B">
            <w:pPr>
              <w:jc w:val="right"/>
            </w:pPr>
            <w:r>
              <w:t>36,000</w:t>
            </w:r>
          </w:p>
        </w:tc>
        <w:tc>
          <w:tcPr>
            <w:tcW w:w="894" w:type="dxa"/>
          </w:tcPr>
          <w:p w:rsidR="00C264B2" w:rsidP="00C264B2" w14:paraId="318D9D44" w14:textId="09459A76">
            <w:pPr>
              <w:jc w:val="right"/>
            </w:pPr>
            <w:r>
              <w:t>$2</w:t>
            </w:r>
            <w:r w:rsidR="00490FAC">
              <w:t>8.01</w:t>
            </w:r>
            <w:r>
              <w:rPr>
                <w:rStyle w:val="FootnoteReference"/>
              </w:rPr>
              <w:footnoteReference w:id="5"/>
            </w:r>
          </w:p>
          <w:p w:rsidR="00E876A1" w:rsidRPr="00BF6D43" w:rsidP="00DD0D8F" w14:paraId="2D36C25D" w14:textId="3E5AC1A0">
            <w:pPr>
              <w:jc w:val="right"/>
            </w:pPr>
          </w:p>
        </w:tc>
        <w:tc>
          <w:tcPr>
            <w:tcW w:w="1041" w:type="dxa"/>
          </w:tcPr>
          <w:p w:rsidR="00E876A1" w:rsidRPr="00BF6D43" w:rsidP="00DD0D8F" w14:paraId="28CB3A7C" w14:textId="5ECB1ECA">
            <w:pPr>
              <w:jc w:val="right"/>
            </w:pPr>
            <w:r w:rsidRPr="00BF6D43">
              <w:t>$</w:t>
            </w:r>
            <w:r w:rsidR="00A53089">
              <w:t>1,008,360</w:t>
            </w:r>
          </w:p>
        </w:tc>
      </w:tr>
    </w:tbl>
    <w:p w:rsidR="00D977F9" w:rsidP="00D977F9" w14:paraId="684AE29B" w14:textId="77777777">
      <w:pPr>
        <w:rPr>
          <w:bCs/>
          <w:sz w:val="24"/>
        </w:rPr>
      </w:pPr>
    </w:p>
    <w:p w:rsidR="00D977F9" w:rsidP="00D977F9" w14:paraId="3F883AF7" w14:textId="5B653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174F3">
        <w:rPr>
          <w:sz w:val="24"/>
          <w:szCs w:val="24"/>
        </w:rPr>
        <w:t xml:space="preserve">A variety of instruments and platforms will be used to collect information from respondents. </w:t>
      </w:r>
      <w:r w:rsidR="000A267E">
        <w:rPr>
          <w:sz w:val="24"/>
          <w:szCs w:val="24"/>
        </w:rPr>
        <w:t xml:space="preserve"> </w:t>
      </w:r>
      <w:r w:rsidRPr="005174F3">
        <w:rPr>
          <w:sz w:val="24"/>
          <w:szCs w:val="24"/>
        </w:rPr>
        <w:t>The average response time is expected to vary</w:t>
      </w:r>
      <w:r w:rsidR="000A267E">
        <w:rPr>
          <w:sz w:val="24"/>
          <w:szCs w:val="24"/>
        </w:rPr>
        <w:t xml:space="preserve">. </w:t>
      </w:r>
      <w:r w:rsidRPr="005174F3">
        <w:rPr>
          <w:sz w:val="24"/>
          <w:szCs w:val="24"/>
        </w:rPr>
        <w:t xml:space="preserve"> </w:t>
      </w:r>
      <w:r w:rsidR="000A267E">
        <w:rPr>
          <w:sz w:val="24"/>
          <w:szCs w:val="24"/>
        </w:rPr>
        <w:t>H</w:t>
      </w:r>
      <w:r w:rsidRPr="005174F3">
        <w:rPr>
          <w:sz w:val="24"/>
          <w:szCs w:val="24"/>
        </w:rPr>
        <w:t xml:space="preserve">owever, we expect the overall average response </w:t>
      </w:r>
      <w:r w:rsidR="00E75E80">
        <w:rPr>
          <w:sz w:val="24"/>
          <w:szCs w:val="24"/>
        </w:rPr>
        <w:t>burden</w:t>
      </w:r>
      <w:r w:rsidRPr="005174F3">
        <w:rPr>
          <w:sz w:val="24"/>
          <w:szCs w:val="24"/>
        </w:rPr>
        <w:t xml:space="preserve"> to be about </w:t>
      </w:r>
      <w:r w:rsidR="0036240D">
        <w:rPr>
          <w:sz w:val="24"/>
          <w:szCs w:val="24"/>
        </w:rPr>
        <w:t>45</w:t>
      </w:r>
      <w:r w:rsidRPr="005174F3">
        <w:rPr>
          <w:sz w:val="24"/>
          <w:szCs w:val="24"/>
        </w:rPr>
        <w:t xml:space="preserve"> minutes</w:t>
      </w:r>
      <w:r w:rsidR="00E75E80">
        <w:rPr>
          <w:sz w:val="24"/>
          <w:szCs w:val="24"/>
        </w:rPr>
        <w:t>.</w:t>
      </w:r>
    </w:p>
    <w:p w:rsidR="0044607C" w:rsidRPr="005174F3" w:rsidP="0044607C" w14:paraId="69E9E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14:paraId="3715E245" w14:textId="48855CBA">
      <w:pPr>
        <w:rPr>
          <w:b/>
          <w:sz w:val="24"/>
        </w:rPr>
      </w:pPr>
    </w:p>
    <w:p w:rsidR="00191D93" w:rsidRPr="00941DEE" w:rsidP="00191D93" w14:paraId="63609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174F3">
        <w:rPr>
          <w:sz w:val="24"/>
          <w:szCs w:val="24"/>
        </w:rPr>
        <w:t>There are no capital/start-up or ongoing operation/maintenance costs associated with this information collection.</w:t>
      </w: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P="00191D93" w14:paraId="0A689257" w14:textId="1B62AAA6">
      <w:pPr>
        <w:rPr>
          <w:sz w:val="24"/>
        </w:rPr>
      </w:pPr>
    </w:p>
    <w:p w:rsidR="00191D93" w:rsidRPr="00941DEE" w:rsidP="00191D93" w14:paraId="3E59B4C1" w14:textId="15ABF104">
      <w:pPr>
        <w:rPr>
          <w:b/>
          <w:sz w:val="24"/>
          <w:szCs w:val="24"/>
        </w:rPr>
      </w:pPr>
      <w:r w:rsidRPr="00941DEE">
        <w:rPr>
          <w:sz w:val="24"/>
          <w:szCs w:val="24"/>
        </w:rPr>
        <w:t xml:space="preserve">Any costs to the </w:t>
      </w:r>
      <w:r w:rsidRPr="00941DEE">
        <w:rPr>
          <w:sz w:val="24"/>
          <w:szCs w:val="24"/>
        </w:rPr>
        <w:t xml:space="preserve">Federal Government associated with each specific information collection will be provided to OMB using </w:t>
      </w:r>
      <w:r w:rsidR="00E75E80">
        <w:rPr>
          <w:sz w:val="24"/>
          <w:szCs w:val="24"/>
        </w:rPr>
        <w:t>collection-specific supporting statements.</w:t>
      </w: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P="005F1FFC" w14:paraId="7D933924" w14:textId="52F189AE">
      <w:pPr>
        <w:numPr>
          <w:ilvl w:val="12"/>
          <w:numId w:val="0"/>
        </w:numPr>
        <w:rPr>
          <w:sz w:val="24"/>
        </w:rPr>
      </w:pPr>
    </w:p>
    <w:p w:rsidR="00113C25" w:rsidRPr="00941DEE" w:rsidP="00113C25" w14:paraId="24A9ECCE" w14:textId="4C0A4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is increasing the estimated number of responses from 24,000 to 48,000 and total annual burden hours from 18,000 to 36,000 due to increased outreach to consumers under this generic information clearance plan. </w:t>
      </w:r>
    </w:p>
    <w:p w:rsidR="00191D93" w:rsidP="00191D93" w14:paraId="1276D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6151EAD5">
      <w:pPr>
        <w:rPr>
          <w:sz w:val="24"/>
        </w:rPr>
      </w:pPr>
    </w:p>
    <w:p w:rsidR="00191D93" w:rsidRPr="00941DEE" w:rsidP="00191D93" w14:paraId="224A38EC" w14:textId="47B2A1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1DEE">
        <w:rPr>
          <w:sz w:val="24"/>
          <w:szCs w:val="24"/>
        </w:rPr>
        <w:t>Information collected under this generic clearance provides useful information, but it does not yield data that can be generalized to the overall population.</w:t>
      </w:r>
      <w:r>
        <w:rPr>
          <w:sz w:val="24"/>
          <w:szCs w:val="24"/>
        </w:rPr>
        <w:t xml:space="preserve"> </w:t>
      </w:r>
      <w:r w:rsidRPr="00941DEE">
        <w:rPr>
          <w:sz w:val="24"/>
          <w:szCs w:val="24"/>
        </w:rPr>
        <w:t xml:space="preserve"> Information gathered is intended to primarily be used internally to inform program development and is not intended for release outside of the CFPB except, in some cases, in summary, or to raise awareness of CFPB financial education tools and resources. </w:t>
      </w:r>
      <w:r>
        <w:rPr>
          <w:sz w:val="24"/>
          <w:szCs w:val="24"/>
        </w:rPr>
        <w:t xml:space="preserve"> </w:t>
      </w:r>
      <w:r w:rsidRPr="00941DEE">
        <w:rPr>
          <w:sz w:val="24"/>
          <w:szCs w:val="24"/>
        </w:rPr>
        <w:t xml:space="preserve">Information on best practices around financial education may be shared with practitioners </w:t>
      </w:r>
      <w:r w:rsidRPr="00941DEE" w:rsidR="009B4BD4">
        <w:rPr>
          <w:sz w:val="24"/>
          <w:szCs w:val="24"/>
        </w:rPr>
        <w:t>to</w:t>
      </w:r>
      <w:r w:rsidRPr="00941DEE">
        <w:rPr>
          <w:sz w:val="24"/>
          <w:szCs w:val="24"/>
        </w:rPr>
        <w:t xml:space="preserve"> improve the quality of financial education, and summary information on consumer experiences and decision-making may be shared with researchers to inform other studies.</w:t>
      </w:r>
      <w:r>
        <w:rPr>
          <w:sz w:val="24"/>
          <w:szCs w:val="24"/>
        </w:rPr>
        <w:t xml:space="preserve"> </w:t>
      </w:r>
      <w:r w:rsidRPr="00941DEE">
        <w:rPr>
          <w:sz w:val="24"/>
          <w:szCs w:val="24"/>
        </w:rPr>
        <w:t xml:space="preserve"> If this information is shared, the CFPB will indicate the qualitative nature of the information.</w:t>
      </w:r>
      <w:r>
        <w:rPr>
          <w:sz w:val="24"/>
          <w:szCs w:val="24"/>
        </w:rPr>
        <w:t xml:space="preserve"> </w:t>
      </w:r>
      <w:r w:rsidRPr="00941DEE">
        <w:rPr>
          <w:sz w:val="24"/>
          <w:szCs w:val="24"/>
        </w:rPr>
        <w:t xml:space="preserve"> To the extent that consumer experience and decision-making is shared outside of the </w:t>
      </w:r>
      <w:r w:rsidRPr="00941DEE">
        <w:rPr>
          <w:sz w:val="24"/>
          <w:szCs w:val="24"/>
        </w:rPr>
        <w:t>CFPB</w:t>
      </w:r>
      <w:r w:rsidRPr="00941DEE">
        <w:rPr>
          <w:sz w:val="24"/>
          <w:szCs w:val="24"/>
        </w:rPr>
        <w:t xml:space="preserve"> and it includes any PII, the CFPB will provide notification and obtain consent </w:t>
      </w:r>
      <w:r w:rsidRPr="00941DEE">
        <w:rPr>
          <w:sz w:val="24"/>
          <w:szCs w:val="24"/>
        </w:rPr>
        <w:t xml:space="preserve">from the individual whose information is shared. </w:t>
      </w:r>
      <w:r>
        <w:rPr>
          <w:sz w:val="24"/>
          <w:szCs w:val="24"/>
        </w:rPr>
        <w:t xml:space="preserve"> </w:t>
      </w:r>
      <w:r w:rsidRPr="00941DEE">
        <w:rPr>
          <w:sz w:val="24"/>
          <w:szCs w:val="24"/>
        </w:rPr>
        <w:t>Any sharing will be done in accordance with applicable Privacy Act Notices and System of Records Notices.</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0E6250AA">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1" w:history="1">
        <w:r w:rsidRPr="00BF6D43">
          <w:rPr>
            <w:rStyle w:val="Hyperlink"/>
            <w:sz w:val="24"/>
          </w:rPr>
          <w:t>www.reginfo.gov</w:t>
        </w:r>
      </w:hyperlink>
      <w:r w:rsidRPr="00BF6D43">
        <w:rPr>
          <w:sz w:val="24"/>
        </w:rPr>
        <w:t xml:space="preserve"> (</w:t>
      </w:r>
      <w:hyperlink r:id="rId12"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191D93" w:rsidRPr="00941DEE" w:rsidP="00191D93" w14:paraId="465CEBE3" w14:textId="77777777">
      <w:pPr>
        <w:pStyle w:val="NoSpacing"/>
        <w:rPr>
          <w:sz w:val="24"/>
        </w:rPr>
      </w:pPr>
      <w:r w:rsidRPr="00941DEE">
        <w:rPr>
          <w:sz w:val="24"/>
        </w:rPr>
        <w:t xml:space="preserve">The Bureau certifies that this collection of information is consistent with the requirements of 5 </w:t>
      </w:r>
      <w:r>
        <w:rPr>
          <w:spacing w:val="1"/>
          <w:sz w:val="24"/>
        </w:rPr>
        <w:t>CFR</w:t>
      </w:r>
      <w:r>
        <w:rPr>
          <w:spacing w:val="3"/>
          <w:sz w:val="24"/>
        </w:rPr>
        <w:t xml:space="preserve"> §</w:t>
      </w:r>
      <w:r w:rsidRPr="00941DEE">
        <w:rPr>
          <w:sz w:val="24"/>
        </w:rPr>
        <w:t xml:space="preserve">1320.9, and the related provisions of 5 </w:t>
      </w:r>
      <w:r>
        <w:rPr>
          <w:spacing w:val="1"/>
          <w:sz w:val="24"/>
        </w:rPr>
        <w:t>CFR</w:t>
      </w:r>
      <w:r>
        <w:rPr>
          <w:spacing w:val="3"/>
          <w:sz w:val="24"/>
        </w:rPr>
        <w:t xml:space="preserve"> §</w:t>
      </w:r>
      <w:r w:rsidRPr="00941DEE">
        <w:rPr>
          <w:sz w:val="24"/>
        </w:rPr>
        <w:t xml:space="preserve"> 1320.8(b)(3) and is not seeking an exemption to these certification requirements.</w:t>
      </w:r>
    </w:p>
    <w:sectPr w:rsidSect="0079547E">
      <w:headerReference w:type="default" r:id="rId13"/>
      <w:footerReference w:type="default" r:id="rId14"/>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E7706" w:rsidP="0079547E" w14:paraId="6F3C4322" w14:textId="77777777">
      <w:r>
        <w:separator/>
      </w:r>
    </w:p>
  </w:footnote>
  <w:footnote w:type="continuationSeparator" w:id="1">
    <w:p w:rsidR="002E7706" w:rsidP="0079547E" w14:paraId="6D5D96C0" w14:textId="77777777">
      <w:r>
        <w:continuationSeparator/>
      </w:r>
    </w:p>
  </w:footnote>
  <w:footnote w:type="continuationNotice" w:id="2">
    <w:p w:rsidR="002E7706" w14:paraId="096AE0B5" w14:textId="77777777"/>
  </w:footnote>
  <w:footnote w:id="3">
    <w:p w:rsidR="00BC56A2" w14:paraId="1F586CAA" w14:textId="153902F5">
      <w:pPr>
        <w:pStyle w:val="FootnoteText"/>
      </w:pPr>
      <w:r>
        <w:rPr>
          <w:rStyle w:val="FootnoteReference"/>
        </w:rPr>
        <w:footnoteRef/>
      </w:r>
      <w:r>
        <w:t xml:space="preserve"> </w:t>
      </w:r>
      <w:r w:rsidR="00AA75B1">
        <w:t>87</w:t>
      </w:r>
      <w:r>
        <w:t xml:space="preserve"> FR </w:t>
      </w:r>
      <w:r w:rsidR="00233C0B">
        <w:t>45088</w:t>
      </w:r>
      <w:r>
        <w:t xml:space="preserve"> (published on </w:t>
      </w:r>
      <w:r w:rsidR="00233C0B">
        <w:t>7</w:t>
      </w:r>
      <w:r>
        <w:t>/</w:t>
      </w:r>
      <w:r w:rsidR="00233C0B">
        <w:t>27</w:t>
      </w:r>
      <w:r>
        <w:t>/</w:t>
      </w:r>
      <w:r w:rsidR="00233C0B">
        <w:t>2022</w:t>
      </w:r>
      <w:r>
        <w:t>)</w:t>
      </w:r>
      <w:r w:rsidR="009D7886">
        <w:t>.</w:t>
      </w:r>
    </w:p>
  </w:footnote>
  <w:footnote w:id="4">
    <w:p w:rsidR="009D7886" w14:paraId="1530F2D0" w14:textId="7724E143">
      <w:pPr>
        <w:pStyle w:val="FootnoteText"/>
      </w:pPr>
      <w:r>
        <w:rPr>
          <w:rStyle w:val="FootnoteReference"/>
        </w:rPr>
        <w:footnoteRef/>
      </w:r>
      <w:r>
        <w:t xml:space="preserve"> </w:t>
      </w:r>
      <w:r w:rsidR="00C6129F">
        <w:t>87</w:t>
      </w:r>
      <w:r>
        <w:t xml:space="preserve"> FR </w:t>
      </w:r>
      <w:r w:rsidR="00C6129F">
        <w:t>60136</w:t>
      </w:r>
      <w:r w:rsidR="001650D5">
        <w:t xml:space="preserve"> </w:t>
      </w:r>
      <w:r>
        <w:t xml:space="preserve">(published on </w:t>
      </w:r>
      <w:r w:rsidR="00341919">
        <w:t>10</w:t>
      </w:r>
      <w:r>
        <w:t>/</w:t>
      </w:r>
      <w:r w:rsidR="00B3572B">
        <w:t>4</w:t>
      </w:r>
      <w:r>
        <w:t>/</w:t>
      </w:r>
      <w:r w:rsidR="00B3572B">
        <w:t>2022</w:t>
      </w:r>
      <w:r>
        <w:t xml:space="preserve">; comment period ends on </w:t>
      </w:r>
      <w:r w:rsidR="00B3572B">
        <w:t>11</w:t>
      </w:r>
      <w:r>
        <w:t>/</w:t>
      </w:r>
      <w:r w:rsidR="00B3572B">
        <w:t>3</w:t>
      </w:r>
      <w:r>
        <w:t>/</w:t>
      </w:r>
      <w:r w:rsidR="00B3572B">
        <w:t>2022</w:t>
      </w:r>
      <w:r>
        <w:t>).</w:t>
      </w:r>
    </w:p>
  </w:footnote>
  <w:footnote w:id="5">
    <w:p w:rsidR="00C264B2" w:rsidP="00C264B2" w14:paraId="20D70382" w14:textId="2F8E0B06">
      <w:pPr>
        <w:pStyle w:val="FootnoteText"/>
      </w:pPr>
      <w:r>
        <w:rPr>
          <w:rStyle w:val="FootnoteReference"/>
        </w:rPr>
        <w:footnoteRef/>
      </w:r>
      <w:r>
        <w:t xml:space="preserve"> Bureau of Labor Statistics, </w:t>
      </w:r>
      <w:hyperlink r:id="rId1" w:anchor="00-0000" w:history="1">
        <w:r>
          <w:rPr>
            <w:rStyle w:val="Hyperlink"/>
          </w:rPr>
          <w:t>https://www.bls.gov/oes/current/oes_nat.htm#00-0000</w:t>
        </w:r>
      </w:hyperlink>
      <w:r>
        <w:t>, May 202</w:t>
      </w:r>
      <w:r w:rsidR="00F42868">
        <w:t>1</w:t>
      </w:r>
      <w:r>
        <w:t xml:space="preserve"> National Occupational Employment and Wage Estimates (Occupation code: 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5205" w14:paraId="3131924E" w14:textId="6A573D0C">
    <w:pPr>
      <w:pStyle w:val="Header"/>
    </w:pPr>
    <w:r>
      <w:t>Generic Information Collection Plan for Qualitative Consumer Education, Engagement and Experience Information Collections</w:t>
    </w:r>
  </w:p>
  <w:p w:rsidR="00B35205" w14:paraId="55C694D9" w14:textId="4DCE6B0B">
    <w:pPr>
      <w:pStyle w:val="Header"/>
    </w:pPr>
    <w:r>
      <w:t>OMB Control Number</w:t>
    </w:r>
    <w:r w:rsidR="004D6F7D">
      <w:t>:</w:t>
    </w:r>
    <w:r>
      <w:t xml:space="preserve"> </w:t>
    </w:r>
    <w:r w:rsidR="00E81562">
      <w:t>3170-</w:t>
    </w:r>
    <w:r w:rsidR="0044607C">
      <w:t>0036</w:t>
    </w:r>
  </w:p>
  <w:p w:rsidR="00B35205" w14:paraId="3E4932DB" w14:textId="75189A1B">
    <w:pPr>
      <w:pStyle w:val="Header"/>
    </w:pPr>
    <w:r>
      <w:t xml:space="preserve">OMB Expiration Date: </w:t>
    </w:r>
    <w:r w:rsidR="00D00A84">
      <w:t>10/31/2022</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3498D"/>
    <w:multiLevelType w:val="hybridMultilevel"/>
    <w:tmpl w:val="BFEA1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C006E"/>
    <w:multiLevelType w:val="hybridMultilevel"/>
    <w:tmpl w:val="6F7A2F4E"/>
    <w:lvl w:ilvl="0">
      <w:start w:val="1"/>
      <w:numFmt w:val="bullet"/>
      <w:lvlText w:val=""/>
      <w:lvlJc w:val="left"/>
      <w:pPr>
        <w:ind w:left="720" w:hanging="360"/>
      </w:pPr>
      <w:rPr>
        <w:rFonts w:ascii="Symbol" w:hAnsi="Symbol"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A926A6A"/>
    <w:multiLevelType w:val="hybridMultilevel"/>
    <w:tmpl w:val="83327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10">
    <w:nsid w:val="395C2E74"/>
    <w:multiLevelType w:val="hybridMultilevel"/>
    <w:tmpl w:val="E9D078B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2">
    <w:nsid w:val="46C9581D"/>
    <w:multiLevelType w:val="hybridMultilevel"/>
    <w:tmpl w:val="0ED0C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4">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6">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8">
    <w:nsid w:val="5AAE1918"/>
    <w:multiLevelType w:val="hybridMultilevel"/>
    <w:tmpl w:val="D0085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0">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3">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2"/>
  </w:num>
  <w:num w:numId="4">
    <w:abstractNumId w:val="11"/>
  </w:num>
  <w:num w:numId="5">
    <w:abstractNumId w:val="19"/>
  </w:num>
  <w:num w:numId="6">
    <w:abstractNumId w:val="17"/>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23"/>
  </w:num>
  <w:num w:numId="17">
    <w:abstractNumId w:val="3"/>
  </w:num>
  <w:num w:numId="18">
    <w:abstractNumId w:val="9"/>
  </w:num>
  <w:num w:numId="19">
    <w:abstractNumId w:val="4"/>
  </w:num>
  <w:num w:numId="20">
    <w:abstractNumId w:val="14"/>
  </w:num>
  <w:num w:numId="21">
    <w:abstractNumId w:val="0"/>
  </w:num>
  <w:num w:numId="22">
    <w:abstractNumId w:val="18"/>
  </w:num>
  <w:num w:numId="23">
    <w:abstractNumId w:val="12"/>
  </w:num>
  <w:num w:numId="24">
    <w:abstractNumId w:val="2"/>
  </w:num>
  <w:num w:numId="25">
    <w:abstractNumId w:val="10"/>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363B3"/>
    <w:rsid w:val="000366A9"/>
    <w:rsid w:val="0004229D"/>
    <w:rsid w:val="0005070D"/>
    <w:rsid w:val="000533A4"/>
    <w:rsid w:val="0005687E"/>
    <w:rsid w:val="00057B87"/>
    <w:rsid w:val="0007006A"/>
    <w:rsid w:val="00071C66"/>
    <w:rsid w:val="000763B3"/>
    <w:rsid w:val="00080781"/>
    <w:rsid w:val="00081109"/>
    <w:rsid w:val="00091AE1"/>
    <w:rsid w:val="00092D91"/>
    <w:rsid w:val="0009401F"/>
    <w:rsid w:val="000A267E"/>
    <w:rsid w:val="000A41EE"/>
    <w:rsid w:val="000A44E3"/>
    <w:rsid w:val="000C1729"/>
    <w:rsid w:val="000C39BD"/>
    <w:rsid w:val="000D0B4D"/>
    <w:rsid w:val="000D3AD7"/>
    <w:rsid w:val="000D3E1A"/>
    <w:rsid w:val="000D74D0"/>
    <w:rsid w:val="000F0DD6"/>
    <w:rsid w:val="000F5117"/>
    <w:rsid w:val="00100120"/>
    <w:rsid w:val="00110F8E"/>
    <w:rsid w:val="00113C25"/>
    <w:rsid w:val="001204B7"/>
    <w:rsid w:val="00126D85"/>
    <w:rsid w:val="001345AE"/>
    <w:rsid w:val="001346E6"/>
    <w:rsid w:val="00135A84"/>
    <w:rsid w:val="001416B6"/>
    <w:rsid w:val="00141E34"/>
    <w:rsid w:val="00143C38"/>
    <w:rsid w:val="00143D87"/>
    <w:rsid w:val="00162371"/>
    <w:rsid w:val="001639C2"/>
    <w:rsid w:val="001650D5"/>
    <w:rsid w:val="00166D3B"/>
    <w:rsid w:val="00166FBE"/>
    <w:rsid w:val="00177293"/>
    <w:rsid w:val="00187617"/>
    <w:rsid w:val="001912C5"/>
    <w:rsid w:val="00191D93"/>
    <w:rsid w:val="00194264"/>
    <w:rsid w:val="001A6A66"/>
    <w:rsid w:val="001B12AF"/>
    <w:rsid w:val="001B50EB"/>
    <w:rsid w:val="001C1DAC"/>
    <w:rsid w:val="001C4457"/>
    <w:rsid w:val="001C59A8"/>
    <w:rsid w:val="001C5EB1"/>
    <w:rsid w:val="001C6F22"/>
    <w:rsid w:val="001D5558"/>
    <w:rsid w:val="001E418A"/>
    <w:rsid w:val="001F0989"/>
    <w:rsid w:val="002029FA"/>
    <w:rsid w:val="002063CD"/>
    <w:rsid w:val="00211F72"/>
    <w:rsid w:val="002153B7"/>
    <w:rsid w:val="002215EA"/>
    <w:rsid w:val="00226237"/>
    <w:rsid w:val="00233C0B"/>
    <w:rsid w:val="002341FB"/>
    <w:rsid w:val="00235BD3"/>
    <w:rsid w:val="002478A2"/>
    <w:rsid w:val="0025091D"/>
    <w:rsid w:val="00253FF0"/>
    <w:rsid w:val="00255107"/>
    <w:rsid w:val="00256325"/>
    <w:rsid w:val="002678C2"/>
    <w:rsid w:val="00274CC0"/>
    <w:rsid w:val="00284728"/>
    <w:rsid w:val="00294DF4"/>
    <w:rsid w:val="0029506E"/>
    <w:rsid w:val="002B0AB2"/>
    <w:rsid w:val="002B341A"/>
    <w:rsid w:val="002B4E16"/>
    <w:rsid w:val="002B7700"/>
    <w:rsid w:val="002C126F"/>
    <w:rsid w:val="002C4721"/>
    <w:rsid w:val="002C5F25"/>
    <w:rsid w:val="002C6BC6"/>
    <w:rsid w:val="002D1431"/>
    <w:rsid w:val="002D19AD"/>
    <w:rsid w:val="002D2C81"/>
    <w:rsid w:val="002D5173"/>
    <w:rsid w:val="002D789D"/>
    <w:rsid w:val="002E0E6B"/>
    <w:rsid w:val="002E65EF"/>
    <w:rsid w:val="002E7706"/>
    <w:rsid w:val="002E7B73"/>
    <w:rsid w:val="002F17DC"/>
    <w:rsid w:val="002F4F70"/>
    <w:rsid w:val="00302B1C"/>
    <w:rsid w:val="003105AC"/>
    <w:rsid w:val="00312C7C"/>
    <w:rsid w:val="003161D3"/>
    <w:rsid w:val="00316F7F"/>
    <w:rsid w:val="00316FE0"/>
    <w:rsid w:val="003225D2"/>
    <w:rsid w:val="00324D08"/>
    <w:rsid w:val="003252C5"/>
    <w:rsid w:val="00327A0B"/>
    <w:rsid w:val="00330112"/>
    <w:rsid w:val="0033632B"/>
    <w:rsid w:val="003372E9"/>
    <w:rsid w:val="00340510"/>
    <w:rsid w:val="00341919"/>
    <w:rsid w:val="003427C8"/>
    <w:rsid w:val="00345720"/>
    <w:rsid w:val="003560DF"/>
    <w:rsid w:val="00357FBF"/>
    <w:rsid w:val="0036198E"/>
    <w:rsid w:val="0036240D"/>
    <w:rsid w:val="00366EAF"/>
    <w:rsid w:val="0038607F"/>
    <w:rsid w:val="0038749E"/>
    <w:rsid w:val="003A1CBC"/>
    <w:rsid w:val="003A66A4"/>
    <w:rsid w:val="003B4917"/>
    <w:rsid w:val="003C30A7"/>
    <w:rsid w:val="003C4F2E"/>
    <w:rsid w:val="003D1A46"/>
    <w:rsid w:val="003D20B0"/>
    <w:rsid w:val="003D3ED3"/>
    <w:rsid w:val="003D6C6B"/>
    <w:rsid w:val="003D6EA7"/>
    <w:rsid w:val="003E083F"/>
    <w:rsid w:val="003E34FA"/>
    <w:rsid w:val="004114ED"/>
    <w:rsid w:val="00411B26"/>
    <w:rsid w:val="004202E6"/>
    <w:rsid w:val="00426D4F"/>
    <w:rsid w:val="00427149"/>
    <w:rsid w:val="004318BF"/>
    <w:rsid w:val="00433D35"/>
    <w:rsid w:val="004342CA"/>
    <w:rsid w:val="00441BED"/>
    <w:rsid w:val="0044607C"/>
    <w:rsid w:val="004460F3"/>
    <w:rsid w:val="00454758"/>
    <w:rsid w:val="00473ADB"/>
    <w:rsid w:val="0047444F"/>
    <w:rsid w:val="00475305"/>
    <w:rsid w:val="00477376"/>
    <w:rsid w:val="00481A62"/>
    <w:rsid w:val="00486C34"/>
    <w:rsid w:val="00487A05"/>
    <w:rsid w:val="00490FAC"/>
    <w:rsid w:val="0049767C"/>
    <w:rsid w:val="004A0C5F"/>
    <w:rsid w:val="004A5D8F"/>
    <w:rsid w:val="004A7DC4"/>
    <w:rsid w:val="004B45A2"/>
    <w:rsid w:val="004B7532"/>
    <w:rsid w:val="004C0E57"/>
    <w:rsid w:val="004C77CB"/>
    <w:rsid w:val="004D160D"/>
    <w:rsid w:val="004D665B"/>
    <w:rsid w:val="004D6F7D"/>
    <w:rsid w:val="004E1F5B"/>
    <w:rsid w:val="004E37FC"/>
    <w:rsid w:val="005061BC"/>
    <w:rsid w:val="00511C92"/>
    <w:rsid w:val="00513ACA"/>
    <w:rsid w:val="005148FE"/>
    <w:rsid w:val="0051614E"/>
    <w:rsid w:val="005168DD"/>
    <w:rsid w:val="00516CC6"/>
    <w:rsid w:val="005174F3"/>
    <w:rsid w:val="00517FD5"/>
    <w:rsid w:val="005270DF"/>
    <w:rsid w:val="00532872"/>
    <w:rsid w:val="00533076"/>
    <w:rsid w:val="005339D5"/>
    <w:rsid w:val="00536912"/>
    <w:rsid w:val="0054251A"/>
    <w:rsid w:val="00553771"/>
    <w:rsid w:val="00565AF1"/>
    <w:rsid w:val="0057278C"/>
    <w:rsid w:val="00573509"/>
    <w:rsid w:val="0057551F"/>
    <w:rsid w:val="00577119"/>
    <w:rsid w:val="00594C60"/>
    <w:rsid w:val="00595988"/>
    <w:rsid w:val="005A1AE0"/>
    <w:rsid w:val="005B3933"/>
    <w:rsid w:val="005B6341"/>
    <w:rsid w:val="005D2B19"/>
    <w:rsid w:val="005D6DBE"/>
    <w:rsid w:val="005E5175"/>
    <w:rsid w:val="005F1FFC"/>
    <w:rsid w:val="005F249F"/>
    <w:rsid w:val="00600A9A"/>
    <w:rsid w:val="006213DD"/>
    <w:rsid w:val="00622346"/>
    <w:rsid w:val="00625395"/>
    <w:rsid w:val="00626F36"/>
    <w:rsid w:val="00634112"/>
    <w:rsid w:val="00635204"/>
    <w:rsid w:val="00637913"/>
    <w:rsid w:val="00641707"/>
    <w:rsid w:val="00642E41"/>
    <w:rsid w:val="00643848"/>
    <w:rsid w:val="00650767"/>
    <w:rsid w:val="0065680E"/>
    <w:rsid w:val="00664D05"/>
    <w:rsid w:val="00665C34"/>
    <w:rsid w:val="0068349A"/>
    <w:rsid w:val="00690B79"/>
    <w:rsid w:val="00692C83"/>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247E3"/>
    <w:rsid w:val="007319B7"/>
    <w:rsid w:val="00732F4F"/>
    <w:rsid w:val="00733C46"/>
    <w:rsid w:val="007355AA"/>
    <w:rsid w:val="00744ECB"/>
    <w:rsid w:val="0074629B"/>
    <w:rsid w:val="00751358"/>
    <w:rsid w:val="00762931"/>
    <w:rsid w:val="00763D5B"/>
    <w:rsid w:val="00765C7B"/>
    <w:rsid w:val="007832B7"/>
    <w:rsid w:val="00791AC9"/>
    <w:rsid w:val="0079339F"/>
    <w:rsid w:val="00793479"/>
    <w:rsid w:val="0079547E"/>
    <w:rsid w:val="007A30EB"/>
    <w:rsid w:val="007A6EE8"/>
    <w:rsid w:val="007C0923"/>
    <w:rsid w:val="007C3C35"/>
    <w:rsid w:val="007C7E60"/>
    <w:rsid w:val="007D03CF"/>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1860"/>
    <w:rsid w:val="00875B65"/>
    <w:rsid w:val="0088222A"/>
    <w:rsid w:val="00882935"/>
    <w:rsid w:val="008964E9"/>
    <w:rsid w:val="008970DC"/>
    <w:rsid w:val="008A6525"/>
    <w:rsid w:val="008B001F"/>
    <w:rsid w:val="008B2CB9"/>
    <w:rsid w:val="008B40CD"/>
    <w:rsid w:val="008B54DF"/>
    <w:rsid w:val="008C44A7"/>
    <w:rsid w:val="008C7626"/>
    <w:rsid w:val="008C7818"/>
    <w:rsid w:val="008D3161"/>
    <w:rsid w:val="008D38AE"/>
    <w:rsid w:val="008D3940"/>
    <w:rsid w:val="008E164F"/>
    <w:rsid w:val="008E3E92"/>
    <w:rsid w:val="008E5D30"/>
    <w:rsid w:val="008E606A"/>
    <w:rsid w:val="008E777F"/>
    <w:rsid w:val="0090025B"/>
    <w:rsid w:val="00904477"/>
    <w:rsid w:val="0092092B"/>
    <w:rsid w:val="00923029"/>
    <w:rsid w:val="009336CF"/>
    <w:rsid w:val="00941DEE"/>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B4BD4"/>
    <w:rsid w:val="009C0282"/>
    <w:rsid w:val="009C10E1"/>
    <w:rsid w:val="009C5ABF"/>
    <w:rsid w:val="009C7539"/>
    <w:rsid w:val="009D195A"/>
    <w:rsid w:val="009D33D2"/>
    <w:rsid w:val="009D412E"/>
    <w:rsid w:val="009D7886"/>
    <w:rsid w:val="009E1042"/>
    <w:rsid w:val="009E47CC"/>
    <w:rsid w:val="009E7202"/>
    <w:rsid w:val="009E76E0"/>
    <w:rsid w:val="009F0BC4"/>
    <w:rsid w:val="009F3A08"/>
    <w:rsid w:val="009F4469"/>
    <w:rsid w:val="009F49A3"/>
    <w:rsid w:val="009F6E69"/>
    <w:rsid w:val="009F7E64"/>
    <w:rsid w:val="00A0364C"/>
    <w:rsid w:val="00A0474C"/>
    <w:rsid w:val="00A06C9A"/>
    <w:rsid w:val="00A13C84"/>
    <w:rsid w:val="00A30AA0"/>
    <w:rsid w:val="00A3272A"/>
    <w:rsid w:val="00A358CE"/>
    <w:rsid w:val="00A36144"/>
    <w:rsid w:val="00A4452C"/>
    <w:rsid w:val="00A53089"/>
    <w:rsid w:val="00A55878"/>
    <w:rsid w:val="00A622E9"/>
    <w:rsid w:val="00A637BE"/>
    <w:rsid w:val="00A67A6C"/>
    <w:rsid w:val="00A71151"/>
    <w:rsid w:val="00A818AE"/>
    <w:rsid w:val="00A83ED2"/>
    <w:rsid w:val="00A84128"/>
    <w:rsid w:val="00A90DA3"/>
    <w:rsid w:val="00A92A19"/>
    <w:rsid w:val="00A93967"/>
    <w:rsid w:val="00AA633C"/>
    <w:rsid w:val="00AA66A0"/>
    <w:rsid w:val="00AA6EC1"/>
    <w:rsid w:val="00AA75B1"/>
    <w:rsid w:val="00AC2ABF"/>
    <w:rsid w:val="00AC2DFF"/>
    <w:rsid w:val="00AC4F08"/>
    <w:rsid w:val="00AD0BCB"/>
    <w:rsid w:val="00AD2890"/>
    <w:rsid w:val="00AD7C75"/>
    <w:rsid w:val="00AF1678"/>
    <w:rsid w:val="00AF51D0"/>
    <w:rsid w:val="00B0041E"/>
    <w:rsid w:val="00B02F1E"/>
    <w:rsid w:val="00B03988"/>
    <w:rsid w:val="00B056B6"/>
    <w:rsid w:val="00B07D28"/>
    <w:rsid w:val="00B10271"/>
    <w:rsid w:val="00B16815"/>
    <w:rsid w:val="00B258FB"/>
    <w:rsid w:val="00B30BA4"/>
    <w:rsid w:val="00B35205"/>
    <w:rsid w:val="00B3572B"/>
    <w:rsid w:val="00B43E7B"/>
    <w:rsid w:val="00B52586"/>
    <w:rsid w:val="00B7194A"/>
    <w:rsid w:val="00B74D62"/>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051F"/>
    <w:rsid w:val="00BE4034"/>
    <w:rsid w:val="00BE414D"/>
    <w:rsid w:val="00BE61FE"/>
    <w:rsid w:val="00BF3B8E"/>
    <w:rsid w:val="00BF6D43"/>
    <w:rsid w:val="00C01BBE"/>
    <w:rsid w:val="00C05B3E"/>
    <w:rsid w:val="00C264B2"/>
    <w:rsid w:val="00C26D14"/>
    <w:rsid w:val="00C3225C"/>
    <w:rsid w:val="00C34282"/>
    <w:rsid w:val="00C34CD3"/>
    <w:rsid w:val="00C37D4E"/>
    <w:rsid w:val="00C40CD8"/>
    <w:rsid w:val="00C41186"/>
    <w:rsid w:val="00C4132E"/>
    <w:rsid w:val="00C41820"/>
    <w:rsid w:val="00C44DA9"/>
    <w:rsid w:val="00C51760"/>
    <w:rsid w:val="00C602F5"/>
    <w:rsid w:val="00C6129F"/>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12CC"/>
    <w:rsid w:val="00CD5F33"/>
    <w:rsid w:val="00CE13C5"/>
    <w:rsid w:val="00CE2CA6"/>
    <w:rsid w:val="00CE36FF"/>
    <w:rsid w:val="00CE65D6"/>
    <w:rsid w:val="00CE6EF6"/>
    <w:rsid w:val="00CE781E"/>
    <w:rsid w:val="00CF1807"/>
    <w:rsid w:val="00CF54AB"/>
    <w:rsid w:val="00CF6E73"/>
    <w:rsid w:val="00D00A84"/>
    <w:rsid w:val="00D13CC0"/>
    <w:rsid w:val="00D152D6"/>
    <w:rsid w:val="00D1640B"/>
    <w:rsid w:val="00D1702D"/>
    <w:rsid w:val="00D21CAF"/>
    <w:rsid w:val="00D2382F"/>
    <w:rsid w:val="00D27EE7"/>
    <w:rsid w:val="00D35E81"/>
    <w:rsid w:val="00D41323"/>
    <w:rsid w:val="00D51A8E"/>
    <w:rsid w:val="00D5266A"/>
    <w:rsid w:val="00D54E06"/>
    <w:rsid w:val="00D561AD"/>
    <w:rsid w:val="00D666D4"/>
    <w:rsid w:val="00D83FBF"/>
    <w:rsid w:val="00D84541"/>
    <w:rsid w:val="00D86091"/>
    <w:rsid w:val="00D977F9"/>
    <w:rsid w:val="00DA0CF0"/>
    <w:rsid w:val="00DA62F9"/>
    <w:rsid w:val="00DD0D8F"/>
    <w:rsid w:val="00DD1FDE"/>
    <w:rsid w:val="00DD20FC"/>
    <w:rsid w:val="00DD3EB0"/>
    <w:rsid w:val="00DD40BE"/>
    <w:rsid w:val="00DD6F06"/>
    <w:rsid w:val="00DE2E05"/>
    <w:rsid w:val="00DE3025"/>
    <w:rsid w:val="00DE6849"/>
    <w:rsid w:val="00DE70D6"/>
    <w:rsid w:val="00DF2DAA"/>
    <w:rsid w:val="00E00105"/>
    <w:rsid w:val="00E0047E"/>
    <w:rsid w:val="00E01FFC"/>
    <w:rsid w:val="00E0306E"/>
    <w:rsid w:val="00E0659F"/>
    <w:rsid w:val="00E22A8C"/>
    <w:rsid w:val="00E2598F"/>
    <w:rsid w:val="00E30F77"/>
    <w:rsid w:val="00E31770"/>
    <w:rsid w:val="00E32689"/>
    <w:rsid w:val="00E34C47"/>
    <w:rsid w:val="00E35C99"/>
    <w:rsid w:val="00E365FF"/>
    <w:rsid w:val="00E44531"/>
    <w:rsid w:val="00E4539F"/>
    <w:rsid w:val="00E509E8"/>
    <w:rsid w:val="00E577E0"/>
    <w:rsid w:val="00E6073A"/>
    <w:rsid w:val="00E621CC"/>
    <w:rsid w:val="00E63DE1"/>
    <w:rsid w:val="00E66CDA"/>
    <w:rsid w:val="00E73096"/>
    <w:rsid w:val="00E75E80"/>
    <w:rsid w:val="00E81562"/>
    <w:rsid w:val="00E81DA1"/>
    <w:rsid w:val="00E85B4C"/>
    <w:rsid w:val="00E876A1"/>
    <w:rsid w:val="00E939D3"/>
    <w:rsid w:val="00EA1984"/>
    <w:rsid w:val="00EA669E"/>
    <w:rsid w:val="00EB07E7"/>
    <w:rsid w:val="00EB0A8A"/>
    <w:rsid w:val="00EB2D1D"/>
    <w:rsid w:val="00EB4DF0"/>
    <w:rsid w:val="00EB554A"/>
    <w:rsid w:val="00EC2804"/>
    <w:rsid w:val="00ED26B5"/>
    <w:rsid w:val="00EE31E1"/>
    <w:rsid w:val="00EE6C88"/>
    <w:rsid w:val="00F04735"/>
    <w:rsid w:val="00F07733"/>
    <w:rsid w:val="00F07C26"/>
    <w:rsid w:val="00F10718"/>
    <w:rsid w:val="00F10F75"/>
    <w:rsid w:val="00F13A08"/>
    <w:rsid w:val="00F1588B"/>
    <w:rsid w:val="00F17FFC"/>
    <w:rsid w:val="00F213B5"/>
    <w:rsid w:val="00F2419A"/>
    <w:rsid w:val="00F26141"/>
    <w:rsid w:val="00F26AF5"/>
    <w:rsid w:val="00F307E5"/>
    <w:rsid w:val="00F32331"/>
    <w:rsid w:val="00F32901"/>
    <w:rsid w:val="00F348C5"/>
    <w:rsid w:val="00F42868"/>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A6D27"/>
    <w:rsid w:val="00FB30E2"/>
    <w:rsid w:val="00FB4384"/>
    <w:rsid w:val="00FB4B0E"/>
    <w:rsid w:val="00FB531D"/>
    <w:rsid w:val="00FB7ED0"/>
    <w:rsid w:val="00FD39F0"/>
    <w:rsid w:val="00FD440F"/>
    <w:rsid w:val="00FD45EB"/>
    <w:rsid w:val="00FD666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191D93"/>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reginfo.gov" TargetMode="External" /><Relationship Id="rId12" Type="http://schemas.openxmlformats.org/officeDocument/2006/relationships/hyperlink" Target="https://www.reginfo.gov/public/do/PRAMain"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4" ma:contentTypeDescription="" ma:contentTypeScope="" ma:versionID="88cb6bf59e62d70df74db7a31c0294e2">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5d86e9199b1cea83eee99df699412ef0"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6f73781-70c4-4328-acc7-2aa385702a57" xsi:nil="true"/>
    <_dlc_DocId xmlns="5e6029f0-4cb2-4578-9dca-18ac3ce3eaca">CFPBCDO-2004683907-2136945</_dlc_DocId>
    <_dlc_DocIdUrl xmlns="5e6029f0-4cb2-4578-9dca-18ac3ce3eaca">
      <Url>https://bcfp365.sharepoint.com/sites/cdo/_layouts/15/DocIdRedir.aspx?ID=CFPBCDO-2004683907-2136945</Url>
      <Description>CFPBCDO-2004683907-2136945</Description>
    </_dlc_DocIdUrl>
    <TaxKeywordTaxHTField xmlns="f6f73781-70c4-4328-acc7-2aa385702a57">
      <Terms xmlns="http://schemas.microsoft.com/office/infopath/2007/PartnerControls"/>
    </TaxKeywordTaxHTField>
    <lcf76f155ced4ddcb4097134ff3c332f xmlns="b7b1617e-6a94-47af-ad6f-e20732201e6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10DD-0E9D-4DA6-863A-D1DFF18FD027}">
  <ds:schemaRefs>
    <ds:schemaRef ds:uri="http://schemas.microsoft.com/sharepoint/events"/>
  </ds:schemaRefs>
</ds:datastoreItem>
</file>

<file path=customXml/itemProps2.xml><?xml version="1.0" encoding="utf-8"?>
<ds:datastoreItem xmlns:ds="http://schemas.openxmlformats.org/officeDocument/2006/customXml" ds:itemID="{D0756324-DAEB-4BC9-B347-0F0D59919F28}">
  <ds:schemaRefs>
    <ds:schemaRef ds:uri="Microsoft.SharePoint.Taxonomy.ContentTypeSync"/>
  </ds:schemaRefs>
</ds:datastoreItem>
</file>

<file path=customXml/itemProps3.xml><?xml version="1.0" encoding="utf-8"?>
<ds:datastoreItem xmlns:ds="http://schemas.openxmlformats.org/officeDocument/2006/customXml" ds:itemID="{0C5E52D8-63AC-4997-B43C-3158C4B9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f6f73781-70c4-4328-acc7-2aa385702a57"/>
    <ds:schemaRef ds:uri="5e6029f0-4cb2-4578-9dca-18ac3ce3eaca"/>
    <ds:schemaRef ds:uri="b7b1617e-6a94-47af-ad6f-e20732201e63"/>
  </ds:schemaRefs>
</ds:datastoreItem>
</file>

<file path=customXml/itemProps5.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6.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Watkins, Pamela (CFPB)</cp:lastModifiedBy>
  <cp:revision>3</cp:revision>
  <cp:lastPrinted>2017-07-25T10:39:00Z</cp:lastPrinted>
  <dcterms:created xsi:type="dcterms:W3CDTF">2022-10-17T12:56:00Z</dcterms:created>
  <dcterms:modified xsi:type="dcterms:W3CDTF">2022-10-17T13:06:00Z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CUI">
    <vt:lpwstr/>
  </property>
  <property fmtid="{D5CDD505-2E9C-101B-9397-08002B2CF9AE}" pid="4" name="TaxKeyword">
    <vt:lpwstr/>
  </property>
  <property fmtid="{D5CDD505-2E9C-101B-9397-08002B2CF9AE}" pid="5" name="_dlc_DocIdItemGuid">
    <vt:lpwstr>bf0bcaec-47fe-42aa-9b95-b480509ba6ae</vt:lpwstr>
  </property>
  <property fmtid="{D5CDD505-2E9C-101B-9397-08002B2CF9AE}" pid="6" name="_ExtendedDescription">
    <vt:lpwstr/>
  </property>
  <property fmtid="{D5CDD505-2E9C-101B-9397-08002B2CF9AE}" pid="7" name="_NewReviewCycle">
    <vt:lpwstr/>
  </property>
</Properties>
</file>