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A7432" w14:paraId="7250C5F4" w14:textId="77777777">
      <w:pPr>
        <w:pStyle w:val="Heading2"/>
        <w:shd w:val="clear" w:color="auto" w:fill="FFFFFF" w:themeFill="background1"/>
        <w:tabs>
          <w:tab w:val="left" w:pos="900"/>
        </w:tabs>
        <w:ind w:right="-180"/>
        <w:jc w:val="left"/>
        <w:rPr>
          <w:b w:val="0"/>
        </w:rPr>
      </w:pPr>
    </w:p>
    <w:p w:rsidR="00E50293" w:rsidP="00077EC6" w14:paraId="7250C5F5" w14:textId="524AAC90">
      <w:pPr>
        <w:pStyle w:val="Heading2"/>
        <w:tabs>
          <w:tab w:val="left" w:pos="900"/>
        </w:tabs>
        <w:spacing w:before="120"/>
        <w:ind w:left="907" w:right="-187" w:hanging="907"/>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00C73B5D" w:rsidRPr="00C73B5D" w:rsidP="00C73B5D" w14:paraId="15CB0248" w14:textId="77777777"/>
    <w:p w:rsidR="005E714A" w:rsidRPr="00945F0C" w:rsidP="004E4F41" w14:paraId="7250C5F6" w14:textId="51B354D2">
      <w:pPr>
        <w:ind w:left="720"/>
      </w:pPr>
      <w:r>
        <w:t>Five</w:t>
      </w:r>
      <w:r w:rsidRPr="00945F0C" w:rsidR="00077EC6">
        <w:t xml:space="preserve"> Principles </w:t>
      </w:r>
      <w:r w:rsidR="00945F0C">
        <w:t xml:space="preserve">of Financial Education: </w:t>
      </w:r>
      <w:r w:rsidR="00CA79F1">
        <w:t>Practitioner</w:t>
      </w:r>
      <w:r w:rsidRPr="00945F0C" w:rsidR="00077EC6">
        <w:t xml:space="preserve"> Platform Study (1C)</w:t>
      </w:r>
      <w:r w:rsidRPr="00945F0C" w:rsidR="005D41A6">
        <w:t xml:space="preserve"> </w:t>
      </w:r>
      <w:r w:rsidR="00A1581D">
        <w:t>and Program Review (1B)</w:t>
      </w:r>
      <w:r w:rsidR="00D85B69">
        <w:t>.</w:t>
      </w:r>
    </w:p>
    <w:p w:rsidR="00D825DB" w:rsidRPr="008222BD" w14:paraId="7250C5F7" w14:textId="77777777"/>
    <w:p w:rsidR="001B0AAA" w:rsidP="00077EC6" w14:paraId="7250C5F8" w14:textId="1DD03536">
      <w:pPr>
        <w:spacing w:after="120"/>
      </w:pPr>
      <w:r w:rsidRPr="008222BD">
        <w:t xml:space="preserve">2. </w:t>
      </w:r>
      <w:r w:rsidRPr="00410F81" w:rsidR="00F15956">
        <w:rPr>
          <w:b/>
        </w:rPr>
        <w:t>PURPOSE</w:t>
      </w:r>
      <w:r w:rsidRPr="008222BD" w:rsidR="00F15956">
        <w:t>:</w:t>
      </w:r>
      <w:r w:rsidRPr="008222BD" w:rsidR="00C14CC4">
        <w:t xml:space="preserve"> </w:t>
      </w:r>
    </w:p>
    <w:p w:rsidR="005F757A" w:rsidP="005F757A" w14:paraId="3F0F0C6D" w14:textId="5F070D37">
      <w:pPr>
        <w:ind w:left="720"/>
      </w:pPr>
      <w:r w:rsidRPr="00E95E39">
        <w:t xml:space="preserve">The Section of Financial Education </w:t>
      </w:r>
      <w:r w:rsidR="00945F0C">
        <w:t xml:space="preserve">in the Consumer Education Division of the </w:t>
      </w:r>
      <w:r w:rsidRPr="0055169A" w:rsidR="00945F0C">
        <w:t>Consumer Financial Protection Bureau (the CFPB)</w:t>
      </w:r>
      <w:r w:rsidR="000E4973">
        <w:t xml:space="preserve"> </w:t>
      </w:r>
      <w:r w:rsidRPr="00E95E39">
        <w:t xml:space="preserve">is working with contractor </w:t>
      </w:r>
      <w:r w:rsidRPr="00E95E39">
        <w:t>Abt</w:t>
      </w:r>
      <w:r w:rsidRPr="00E95E39">
        <w:t xml:space="preserve"> Associates to update the </w:t>
      </w:r>
      <w:hyperlink r:id="rId10" w:history="1">
        <w:r w:rsidRPr="002E5A74" w:rsidR="002E5A74">
          <w:rPr>
            <w:rStyle w:val="Hyperlink"/>
          </w:rPr>
          <w:t>CFPB’s Five Principles of Financial Education</w:t>
        </w:r>
      </w:hyperlink>
      <w:r w:rsidR="002E5A74">
        <w:t xml:space="preserve"> </w:t>
      </w:r>
      <w:r w:rsidRPr="00E95E39">
        <w:t>to reflect what scholars and practitioners across the field have learned since 2017 about effective approaches to financial education</w:t>
      </w:r>
      <w:r w:rsidR="000E4973">
        <w:t>.  The data we gather will</w:t>
      </w:r>
      <w:r w:rsidRPr="00E95E39">
        <w:t xml:space="preserve"> guide the revision of the </w:t>
      </w:r>
      <w:r w:rsidR="000E4973">
        <w:t xml:space="preserve">Five </w:t>
      </w:r>
      <w:r w:rsidRPr="00E95E39">
        <w:t>Principles</w:t>
      </w:r>
      <w:r w:rsidR="00CA30B1">
        <w:t>.</w:t>
      </w:r>
      <w:r w:rsidRPr="00E95E39">
        <w:t xml:space="preserve"> </w:t>
      </w:r>
    </w:p>
    <w:p w:rsidR="00737772" w:rsidP="00E95E39" w14:paraId="32AA89B3" w14:textId="77777777">
      <w:pPr>
        <w:ind w:left="720"/>
      </w:pPr>
    </w:p>
    <w:p w:rsidR="00E95E39" w:rsidP="00327E50" w14:paraId="79D750FC" w14:textId="1E1D4951">
      <w:pPr>
        <w:pStyle w:val="BodyText"/>
        <w:ind w:left="720"/>
        <w:rPr>
          <w:i w:val="0"/>
          <w:iCs w:val="0"/>
          <w:sz w:val="24"/>
          <w:szCs w:val="24"/>
        </w:rPr>
      </w:pPr>
      <w:r w:rsidRPr="007F48B1">
        <w:rPr>
          <w:i w:val="0"/>
          <w:iCs w:val="0"/>
          <w:sz w:val="24"/>
          <w:szCs w:val="24"/>
        </w:rPr>
        <w:t xml:space="preserve">Data collection </w:t>
      </w:r>
      <w:r w:rsidR="008713EE">
        <w:rPr>
          <w:i w:val="0"/>
          <w:iCs w:val="0"/>
          <w:sz w:val="24"/>
          <w:szCs w:val="24"/>
        </w:rPr>
        <w:t xml:space="preserve">for Task 1C </w:t>
      </w:r>
      <w:r w:rsidRPr="007F48B1">
        <w:rPr>
          <w:i w:val="0"/>
          <w:iCs w:val="0"/>
          <w:sz w:val="24"/>
          <w:szCs w:val="24"/>
        </w:rPr>
        <w:t xml:space="preserve">will consist of </w:t>
      </w:r>
      <w:r w:rsidR="008713EE">
        <w:rPr>
          <w:i w:val="0"/>
          <w:iCs w:val="0"/>
          <w:sz w:val="24"/>
          <w:szCs w:val="24"/>
        </w:rPr>
        <w:t xml:space="preserve">(1) </w:t>
      </w:r>
      <w:r w:rsidRPr="007F48B1">
        <w:rPr>
          <w:i w:val="0"/>
          <w:iCs w:val="0"/>
          <w:sz w:val="24"/>
          <w:szCs w:val="24"/>
        </w:rPr>
        <w:t>a short online survey</w:t>
      </w:r>
      <w:r w:rsidR="003F1889">
        <w:rPr>
          <w:i w:val="0"/>
          <w:iCs w:val="0"/>
          <w:sz w:val="24"/>
          <w:szCs w:val="24"/>
        </w:rPr>
        <w:t xml:space="preserve">; </w:t>
      </w:r>
      <w:r w:rsidRPr="007F48B1">
        <w:rPr>
          <w:i w:val="0"/>
          <w:iCs w:val="0"/>
          <w:sz w:val="24"/>
          <w:szCs w:val="24"/>
        </w:rPr>
        <w:t xml:space="preserve">and </w:t>
      </w:r>
      <w:r w:rsidR="008713EE">
        <w:rPr>
          <w:i w:val="0"/>
          <w:iCs w:val="0"/>
          <w:sz w:val="24"/>
          <w:szCs w:val="24"/>
        </w:rPr>
        <w:t xml:space="preserve">(2) </w:t>
      </w:r>
      <w:r w:rsidRPr="007F48B1">
        <w:rPr>
          <w:i w:val="0"/>
          <w:iCs w:val="0"/>
          <w:sz w:val="24"/>
          <w:szCs w:val="24"/>
        </w:rPr>
        <w:t xml:space="preserve">a two-week interactive “online community” </w:t>
      </w:r>
      <w:r w:rsidRPr="00CA79F1">
        <w:rPr>
          <w:i w:val="0"/>
          <w:iCs w:val="0"/>
          <w:sz w:val="24"/>
          <w:szCs w:val="24"/>
        </w:rPr>
        <w:t xml:space="preserve">with </w:t>
      </w:r>
      <w:r w:rsidRPr="00CA79F1" w:rsidR="00CA79F1">
        <w:rPr>
          <w:i w:val="0"/>
          <w:iCs w:val="0"/>
          <w:sz w:val="24"/>
          <w:szCs w:val="24"/>
        </w:rPr>
        <w:t>practitioners</w:t>
      </w:r>
      <w:r w:rsidRPr="00CA79F1">
        <w:rPr>
          <w:i w:val="0"/>
          <w:iCs w:val="0"/>
          <w:sz w:val="24"/>
          <w:szCs w:val="24"/>
        </w:rPr>
        <w:t xml:space="preserve"> who</w:t>
      </w:r>
      <w:r w:rsidRPr="007F48B1">
        <w:rPr>
          <w:i w:val="0"/>
          <w:iCs w:val="0"/>
          <w:sz w:val="24"/>
          <w:szCs w:val="24"/>
        </w:rPr>
        <w:t xml:space="preserve"> work with a wide array of populations, to gather </w:t>
      </w:r>
      <w:r w:rsidRPr="00CA79F1" w:rsidR="00792BC3">
        <w:rPr>
          <w:i w:val="0"/>
          <w:iCs w:val="0"/>
          <w:sz w:val="24"/>
          <w:szCs w:val="24"/>
        </w:rPr>
        <w:t>practitioner</w:t>
      </w:r>
      <w:r w:rsidRPr="007F48B1">
        <w:rPr>
          <w:i w:val="0"/>
          <w:iCs w:val="0"/>
          <w:sz w:val="24"/>
          <w:szCs w:val="24"/>
        </w:rPr>
        <w:t xml:space="preserve"> perspectives on effective practices. </w:t>
      </w:r>
    </w:p>
    <w:p w:rsidR="00F90AAE" w:rsidRPr="007F48B1" w:rsidP="007F48B1" w14:paraId="70BD6D1E" w14:textId="77777777">
      <w:pPr>
        <w:pStyle w:val="BodyText"/>
        <w:ind w:left="720"/>
        <w:rPr>
          <w:i w:val="0"/>
          <w:iCs w:val="0"/>
          <w:sz w:val="24"/>
          <w:szCs w:val="24"/>
        </w:rPr>
      </w:pPr>
    </w:p>
    <w:p w:rsidR="00B44B4A" w:rsidP="0053775A" w14:paraId="25FF2577" w14:textId="2A84DF66">
      <w:pPr>
        <w:pStyle w:val="BodyText"/>
        <w:ind w:left="720"/>
        <w:rPr>
          <w:i w:val="0"/>
          <w:iCs w:val="0"/>
          <w:sz w:val="24"/>
          <w:szCs w:val="24"/>
        </w:rPr>
      </w:pPr>
      <w:r w:rsidRPr="002E4594">
        <w:rPr>
          <w:i w:val="0"/>
          <w:iCs w:val="0"/>
          <w:sz w:val="24"/>
          <w:szCs w:val="24"/>
        </w:rPr>
        <w:t>Abt</w:t>
      </w:r>
      <w:r w:rsidRPr="002E4594" w:rsidR="00357E92">
        <w:rPr>
          <w:i w:val="0"/>
          <w:iCs w:val="0"/>
          <w:sz w:val="24"/>
          <w:szCs w:val="24"/>
        </w:rPr>
        <w:t xml:space="preserve"> Associates</w:t>
      </w:r>
      <w:r w:rsidRPr="002E4594">
        <w:rPr>
          <w:i w:val="0"/>
          <w:iCs w:val="0"/>
          <w:sz w:val="24"/>
          <w:szCs w:val="24"/>
        </w:rPr>
        <w:t xml:space="preserve"> will recruit </w:t>
      </w:r>
      <w:r w:rsidRPr="0062120D">
        <w:rPr>
          <w:i w:val="0"/>
          <w:iCs w:val="0"/>
          <w:sz w:val="24"/>
          <w:szCs w:val="24"/>
        </w:rPr>
        <w:t xml:space="preserve">participants </w:t>
      </w:r>
      <w:r w:rsidR="00C914D6">
        <w:rPr>
          <w:i w:val="0"/>
          <w:iCs w:val="0"/>
          <w:sz w:val="24"/>
          <w:szCs w:val="24"/>
        </w:rPr>
        <w:t xml:space="preserve">from </w:t>
      </w:r>
      <w:r w:rsidRPr="002E4594">
        <w:rPr>
          <w:i w:val="0"/>
          <w:iCs w:val="0"/>
          <w:sz w:val="24"/>
          <w:szCs w:val="24"/>
        </w:rPr>
        <w:t>network</w:t>
      </w:r>
      <w:r w:rsidR="00C914D6">
        <w:rPr>
          <w:i w:val="0"/>
          <w:iCs w:val="0"/>
          <w:sz w:val="24"/>
          <w:szCs w:val="24"/>
        </w:rPr>
        <w:t>s</w:t>
      </w:r>
      <w:r w:rsidRPr="002E4594">
        <w:rPr>
          <w:i w:val="0"/>
          <w:iCs w:val="0"/>
          <w:sz w:val="24"/>
          <w:szCs w:val="24"/>
        </w:rPr>
        <w:t xml:space="preserve"> </w:t>
      </w:r>
      <w:r w:rsidR="00C914D6">
        <w:rPr>
          <w:i w:val="0"/>
          <w:iCs w:val="0"/>
          <w:sz w:val="24"/>
          <w:szCs w:val="24"/>
        </w:rPr>
        <w:t xml:space="preserve">that will invite their </w:t>
      </w:r>
      <w:r w:rsidRPr="002E4594">
        <w:rPr>
          <w:i w:val="0"/>
          <w:iCs w:val="0"/>
          <w:sz w:val="24"/>
          <w:szCs w:val="24"/>
        </w:rPr>
        <w:t xml:space="preserve">members to complete the 20-item survey. Up to 150 </w:t>
      </w:r>
      <w:r w:rsidR="008129BD">
        <w:rPr>
          <w:i w:val="0"/>
          <w:iCs w:val="0"/>
          <w:sz w:val="24"/>
          <w:szCs w:val="24"/>
        </w:rPr>
        <w:t xml:space="preserve">of the 300 </w:t>
      </w:r>
      <w:r w:rsidRPr="008129BD" w:rsidR="008129BD">
        <w:rPr>
          <w:i w:val="0"/>
          <w:iCs w:val="0"/>
          <w:sz w:val="24"/>
          <w:szCs w:val="24"/>
        </w:rPr>
        <w:t>survey respondents</w:t>
      </w:r>
      <w:r w:rsidRPr="002E4594" w:rsidR="008129BD">
        <w:rPr>
          <w:i w:val="0"/>
          <w:iCs w:val="0"/>
          <w:sz w:val="24"/>
          <w:szCs w:val="24"/>
        </w:rPr>
        <w:t xml:space="preserve"> will be invited to participate in </w:t>
      </w:r>
      <w:r w:rsidRPr="002E4594">
        <w:rPr>
          <w:i w:val="0"/>
          <w:iCs w:val="0"/>
          <w:sz w:val="24"/>
          <w:szCs w:val="24"/>
        </w:rPr>
        <w:t xml:space="preserve">the </w:t>
      </w:r>
      <w:r w:rsidR="007A7142">
        <w:rPr>
          <w:i w:val="0"/>
          <w:iCs w:val="0"/>
          <w:sz w:val="24"/>
          <w:szCs w:val="24"/>
        </w:rPr>
        <w:t>“</w:t>
      </w:r>
      <w:r w:rsidRPr="002E4594">
        <w:rPr>
          <w:i w:val="0"/>
          <w:iCs w:val="0"/>
          <w:sz w:val="24"/>
          <w:szCs w:val="24"/>
        </w:rPr>
        <w:t>online community</w:t>
      </w:r>
      <w:r w:rsidR="007A7142">
        <w:rPr>
          <w:i w:val="0"/>
          <w:iCs w:val="0"/>
          <w:sz w:val="24"/>
          <w:szCs w:val="24"/>
        </w:rPr>
        <w:t>”</w:t>
      </w:r>
      <w:r w:rsidRPr="002E4594">
        <w:rPr>
          <w:i w:val="0"/>
          <w:iCs w:val="0"/>
          <w:sz w:val="24"/>
          <w:szCs w:val="24"/>
        </w:rPr>
        <w:t>.</w:t>
      </w:r>
      <w:r w:rsidRPr="001216BF" w:rsidR="001216BF">
        <w:rPr>
          <w:i w:val="0"/>
          <w:iCs w:val="0"/>
          <w:sz w:val="24"/>
          <w:szCs w:val="24"/>
        </w:rPr>
        <w:t xml:space="preserve"> </w:t>
      </w:r>
    </w:p>
    <w:p w:rsidR="00A1581D" w:rsidP="0053775A" w14:paraId="467B12A3" w14:textId="7A86D519">
      <w:pPr>
        <w:pStyle w:val="BodyText"/>
        <w:ind w:left="720"/>
        <w:rPr>
          <w:i w:val="0"/>
          <w:iCs w:val="0"/>
          <w:sz w:val="24"/>
          <w:szCs w:val="24"/>
        </w:rPr>
      </w:pPr>
    </w:p>
    <w:p w:rsidR="00A1581D" w:rsidP="00A1581D" w14:paraId="38C7E3EA" w14:textId="67C9E470">
      <w:pPr>
        <w:ind w:left="720"/>
      </w:pPr>
      <w:r w:rsidRPr="007F48B1">
        <w:t xml:space="preserve">Data collection </w:t>
      </w:r>
      <w:r>
        <w:t xml:space="preserve">for Task 1B </w:t>
      </w:r>
      <w:r w:rsidRPr="007F48B1">
        <w:t xml:space="preserve">will consist </w:t>
      </w:r>
      <w:r w:rsidRPr="00D65869">
        <w:t>of</w:t>
      </w:r>
      <w:r>
        <w:t xml:space="preserve"> 60</w:t>
      </w:r>
      <w:r w:rsidRPr="00D65869">
        <w:t xml:space="preserve"> interviews with program manager</w:t>
      </w:r>
      <w:r>
        <w:t>s</w:t>
      </w:r>
      <w:r w:rsidRPr="00D65869">
        <w:t xml:space="preserve"> or director</w:t>
      </w:r>
      <w:r>
        <w:t>s</w:t>
      </w:r>
      <w:r w:rsidRPr="00D65869">
        <w:t xml:space="preserve"> </w:t>
      </w:r>
      <w:r>
        <w:t>from financial education programs,</w:t>
      </w:r>
      <w:r w:rsidRPr="00D65869">
        <w:t xml:space="preserve"> selected </w:t>
      </w:r>
      <w:r>
        <w:t>for their likely effectiveness in delivering financial education content</w:t>
      </w:r>
      <w:r w:rsidR="00D85B69">
        <w:t>,</w:t>
      </w:r>
      <w:r>
        <w:t xml:space="preserve"> and/or serving </w:t>
      </w:r>
      <w:r>
        <w:t>particular populations</w:t>
      </w:r>
      <w:r>
        <w:t xml:space="preserve"> of interest. </w:t>
      </w:r>
      <w:r>
        <w:t>Abt</w:t>
      </w:r>
      <w:r>
        <w:t xml:space="preserve"> Associates</w:t>
      </w:r>
      <w:r w:rsidRPr="00D65869">
        <w:t xml:space="preserve"> will </w:t>
      </w:r>
      <w:r>
        <w:t>conduct</w:t>
      </w:r>
      <w:r w:rsidRPr="00D65869">
        <w:t xml:space="preserve"> one 60-minute semi-structured virtual interview with </w:t>
      </w:r>
      <w:r>
        <w:t>each</w:t>
      </w:r>
      <w:r w:rsidRPr="00D65869">
        <w:t xml:space="preserve"> program manager or director. </w:t>
      </w:r>
    </w:p>
    <w:p w:rsidR="008C1C4A" w:rsidP="00A1581D" w14:paraId="37332884" w14:textId="77777777">
      <w:pPr>
        <w:ind w:left="720"/>
      </w:pPr>
    </w:p>
    <w:p w:rsidR="00434E33" w:rsidP="00434E33" w14:paraId="7250C5FB" w14:textId="5D6010C0">
      <w:pPr>
        <w:pStyle w:val="Header"/>
        <w:tabs>
          <w:tab w:val="clear" w:pos="4320"/>
          <w:tab w:val="clear" w:pos="8640"/>
        </w:tabs>
      </w:pPr>
      <w:r w:rsidRPr="00713D29">
        <w:rPr>
          <w:snapToGrid/>
        </w:rPr>
        <w:t xml:space="preserve">3. </w:t>
      </w:r>
      <w:r w:rsidRPr="00AB78E0">
        <w:rPr>
          <w:b/>
        </w:rPr>
        <w:t>DESCRIPTION OF RESPONDENTS</w:t>
      </w:r>
      <w:r w:rsidRPr="00713D29">
        <w:t xml:space="preserve">: </w:t>
      </w:r>
    </w:p>
    <w:p w:rsidR="00C73B5D" w:rsidP="00434E33" w14:paraId="496F8312" w14:textId="77777777">
      <w:pPr>
        <w:pStyle w:val="Header"/>
        <w:tabs>
          <w:tab w:val="clear" w:pos="4320"/>
          <w:tab w:val="clear" w:pos="8640"/>
        </w:tabs>
      </w:pPr>
    </w:p>
    <w:p w:rsidR="009A5E2A" w:rsidP="00410986" w14:paraId="03AE7FB6" w14:textId="048C0AE8">
      <w:pPr>
        <w:pStyle w:val="Header"/>
        <w:tabs>
          <w:tab w:val="clear" w:pos="4320"/>
          <w:tab w:val="clear" w:pos="8640"/>
        </w:tabs>
        <w:ind w:left="720"/>
      </w:pPr>
      <w:r>
        <w:t xml:space="preserve">Participants </w:t>
      </w:r>
      <w:r w:rsidRPr="00650682">
        <w:t xml:space="preserve">will be </w:t>
      </w:r>
      <w:r>
        <w:t xml:space="preserve">financial education professionals, including </w:t>
      </w:r>
      <w:r w:rsidRPr="00943448">
        <w:t xml:space="preserve">financial coaches, </w:t>
      </w:r>
      <w:r w:rsidRPr="00943448" w:rsidR="00F52880">
        <w:t xml:space="preserve">financial counselors, </w:t>
      </w:r>
      <w:r w:rsidRPr="00943448">
        <w:t xml:space="preserve">housing counselors, credit counselors, and </w:t>
      </w:r>
      <w:r>
        <w:t>others who help</w:t>
      </w:r>
      <w:r w:rsidRPr="00943448">
        <w:t xml:space="preserve"> consumers navigate financial decisions</w:t>
      </w:r>
      <w:r w:rsidR="00A1581D">
        <w:t xml:space="preserve"> as well as program managers or directors of financial education programs.</w:t>
      </w:r>
    </w:p>
    <w:p w:rsidR="001A09E0" w:rsidRPr="00713D29" w14:paraId="7250C5FD" w14:textId="77777777"/>
    <w:p w:rsidR="007353C3" w:rsidRPr="008222BD" w:rsidP="007353C3" w14:paraId="7250C5FE"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9D3293" w14:paraId="7250C602" w14:textId="2E8B1C0E">
      <w:pPr>
        <w:pStyle w:val="ListParagraph"/>
        <w:ind w:left="0" w:right="721"/>
      </w:pPr>
      <w:r w:rsidRPr="00410F81">
        <w:tab/>
      </w:r>
      <w:r w:rsidRPr="00410F81">
        <w:tab/>
      </w:r>
      <w:r w:rsidRPr="00713D29">
        <w:t>[</w:t>
      </w:r>
      <w:r w:rsidR="00B14C0A">
        <w:rPr>
          <w:b/>
          <w:bCs/>
        </w:rPr>
        <w:t>X</w:t>
      </w:r>
      <w:r w:rsidRPr="00713D29">
        <w:t>] Web-based or other forms of Social Media</w:t>
      </w:r>
      <w:r w:rsidRPr="00713D29">
        <w:tab/>
      </w:r>
      <w:r w:rsidRPr="00713D29">
        <w:t>[  ]</w:t>
      </w:r>
      <w:r w:rsidRPr="00713D29">
        <w:t xml:space="preserve"> Telephone    </w:t>
      </w:r>
    </w:p>
    <w:p w:rsidR="007353C3" w:rsidRPr="00713D29" w:rsidP="007353C3" w14:paraId="7250C603" w14:textId="77777777">
      <w:pPr>
        <w:pStyle w:val="ListParagraph"/>
        <w:ind w:left="1180" w:right="721" w:firstLine="260"/>
      </w:pPr>
      <w:r w:rsidRPr="00713D29">
        <w:t>[  ]</w:t>
      </w:r>
      <w:r w:rsidRPr="00713D29">
        <w:t xml:space="preserve"> In-person </w:t>
      </w:r>
      <w:r w:rsidRPr="00713D29">
        <w:tab/>
      </w:r>
      <w:r w:rsidRPr="00713D29">
        <w:tab/>
      </w:r>
      <w:r w:rsidRPr="00713D29">
        <w:tab/>
      </w:r>
      <w:r w:rsidRPr="00713D29">
        <w:tab/>
      </w:r>
      <w:r w:rsidRPr="00713D29">
        <w:tab/>
      </w:r>
      <w:r w:rsidRPr="00713D29">
        <w:tab/>
        <w:t>[  ] Mail</w:t>
      </w:r>
    </w:p>
    <w:p w:rsidR="00A1581D" w:rsidRPr="008C1C4A" w:rsidP="00A1581D" w14:paraId="702ECD30" w14:textId="3DF47FDB">
      <w:pPr>
        <w:pStyle w:val="ListParagraph"/>
        <w:ind w:right="721" w:firstLine="720"/>
      </w:pPr>
      <w:r w:rsidRPr="00713D29">
        <w:t>[</w:t>
      </w:r>
      <w:r w:rsidR="00B14C0A">
        <w:rPr>
          <w:b/>
          <w:bCs/>
        </w:rPr>
        <w:t>X</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w:t>
      </w:r>
      <w:r w:rsidR="00B14C0A">
        <w:rPr>
          <w:b/>
          <w:bCs/>
        </w:rPr>
        <w:t>X</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Pr="00B14C0A" w:rsidR="00FD44A4">
        <w:rPr>
          <w:b/>
          <w:bCs/>
        </w:rPr>
        <w:t>X</w:t>
      </w:r>
      <w:r w:rsidRPr="00713D29">
        <w:t>] Other</w:t>
      </w:r>
      <w:r w:rsidRPr="00713D29" w:rsidR="00635087">
        <w:t xml:space="preserve"> (please </w:t>
      </w:r>
      <w:r w:rsidRPr="00713D29" w:rsidR="00C73B5D">
        <w:t xml:space="preserve">explain) </w:t>
      </w:r>
      <w:r w:rsidRPr="008C1C4A">
        <w:rPr>
          <w:u w:val="single"/>
        </w:rPr>
        <w:t xml:space="preserve">For </w:t>
      </w:r>
      <w:r w:rsidRPr="008C1C4A" w:rsidR="00480B8D">
        <w:rPr>
          <w:u w:val="single"/>
        </w:rPr>
        <w:t xml:space="preserve">platform </w:t>
      </w:r>
      <w:r w:rsidRPr="008C1C4A">
        <w:rPr>
          <w:u w:val="single"/>
        </w:rPr>
        <w:t>study:</w:t>
      </w:r>
      <w:r w:rsidRPr="008C1C4A">
        <w:t xml:space="preserve"> </w:t>
      </w:r>
      <w:r w:rsidRPr="008C1C4A" w:rsidR="00BB6FF4">
        <w:t>One of our two methods of d</w:t>
      </w:r>
      <w:r w:rsidRPr="008C1C4A" w:rsidR="00C73B5D">
        <w:t>ata</w:t>
      </w:r>
      <w:r w:rsidRPr="008C1C4A" w:rsidR="00FD44A4">
        <w:t xml:space="preserve"> collection will consist of a two-week interactive “online community</w:t>
      </w:r>
      <w:r w:rsidRPr="008C1C4A" w:rsidR="00BB6FF4">
        <w:t>”, hosted on an</w:t>
      </w:r>
      <w:r w:rsidRPr="008C1C4A" w:rsidR="00FD44A4">
        <w:t xml:space="preserve"> online interactive platfor</w:t>
      </w:r>
      <w:r w:rsidRPr="008C1C4A" w:rsidR="00BB6FF4">
        <w:t>m. Please see “Information Collection Procedures” (below) for more.</w:t>
      </w:r>
      <w:r w:rsidRPr="008C1C4A" w:rsidR="00FD44A4">
        <w:t xml:space="preserve"> </w:t>
      </w:r>
      <w:r w:rsidRPr="008C1C4A">
        <w:rPr>
          <w:u w:val="single"/>
        </w:rPr>
        <w:t>For program review:</w:t>
      </w:r>
      <w:r w:rsidRPr="008C1C4A">
        <w:t xml:space="preserve"> One 60-minute semi-structured virtual interview with each financial education program manager or director</w:t>
      </w:r>
      <w:r w:rsidRPr="008C1C4A">
        <w:rPr>
          <w:rFonts w:ascii="Arial" w:hAnsi="Arial" w:cs="Arial"/>
        </w:rPr>
        <w:t>.</w:t>
      </w:r>
      <w:r w:rsidRPr="008C1C4A">
        <w:t xml:space="preserve"> </w:t>
      </w:r>
    </w:p>
    <w:p w:rsidR="007353C3" w:rsidRPr="00713D29" w:rsidP="007353C3" w14:paraId="7250C605" w14:textId="77777777">
      <w:pPr>
        <w:tabs>
          <w:tab w:val="left" w:pos="5140"/>
        </w:tabs>
        <w:ind w:left="100" w:right="-20"/>
      </w:pPr>
      <w:r w:rsidRPr="00713D29">
        <w:tab/>
      </w: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4311B04E">
      <w:pPr>
        <w:pStyle w:val="ListParagraph"/>
        <w:ind w:left="460" w:right="721"/>
      </w:pPr>
      <w:r w:rsidRPr="00713D29">
        <w:tab/>
      </w:r>
      <w:r w:rsidRPr="00713D29">
        <w:tab/>
        <w:t>[</w:t>
      </w:r>
      <w:r w:rsidRPr="00B14C0A" w:rsidR="00FD44A4">
        <w:rPr>
          <w:b/>
          <w:bCs/>
        </w:rPr>
        <w:t>X</w:t>
      </w:r>
      <w:r w:rsidRPr="00713D29" w:rsidR="00FD44A4">
        <w:t>]</w:t>
      </w:r>
      <w:r w:rsidRPr="00713D29">
        <w:t xml:space="preserve"> </w:t>
      </w:r>
      <w:r w:rsidRPr="00713D29" w:rsidR="00FD44A4">
        <w:t xml:space="preserve">Yes </w:t>
      </w:r>
      <w:r w:rsidRPr="00713D29" w:rsidR="00FD44A4">
        <w:t>[</w:t>
      </w:r>
      <w:r w:rsidRPr="00713D29">
        <w:t xml:space="preserve">  ]</w:t>
      </w:r>
      <w:r w:rsidRPr="00713D29">
        <w:t xml:space="preserve"> No </w:t>
      </w:r>
      <w:r w:rsidRPr="00713D29" w:rsidR="00635087">
        <w:t xml:space="preserve"> </w:t>
      </w:r>
      <w:r w:rsidRPr="00713D29">
        <w:t>[  ] Not Applicable</w:t>
      </w:r>
    </w:p>
    <w:p w:rsidR="007353C3" w:rsidRPr="00713D29" w:rsidP="007353C3" w14:paraId="7250C609" w14:textId="77777777">
      <w:pPr>
        <w:ind w:right="721"/>
      </w:pPr>
    </w:p>
    <w:p w:rsidR="007353C3" w:rsidRPr="008222BD" w:rsidP="007353C3" w14:paraId="7250C60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007353C3" w:rsidRPr="008222BD" w:rsidP="007353C3" w14:paraId="7250C60B" w14:textId="77777777">
      <w:pPr>
        <w:pStyle w:val="ListParagraph"/>
        <w:spacing w:before="72"/>
        <w:ind w:left="460" w:right="-20"/>
        <w:rPr>
          <w:bCs/>
          <w:spacing w:val="-3"/>
        </w:rPr>
      </w:pPr>
    </w:p>
    <w:p w:rsidR="007353C3" w:rsidRPr="008222BD" w:rsidP="00F2485D" w14:paraId="7250C60C" w14:textId="77777777">
      <w:pPr>
        <w:pStyle w:val="ListParagraph"/>
        <w:spacing w:before="72"/>
        <w:ind w:left="3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4C338BC8">
      <w:pPr>
        <w:pStyle w:val="ListParagraph"/>
        <w:spacing w:before="72"/>
        <w:ind w:left="460" w:right="-20"/>
        <w:rPr>
          <w:bCs/>
          <w:spacing w:val="-3"/>
        </w:rPr>
      </w:pPr>
      <w:r w:rsidRPr="00713D29">
        <w:rPr>
          <w:bCs/>
          <w:spacing w:val="-3"/>
        </w:rPr>
        <w:t>[</w:t>
      </w:r>
      <w:r w:rsidRPr="00170640" w:rsidR="00FD44A4">
        <w:rPr>
          <w:b/>
          <w:spacing w:val="-3"/>
        </w:rPr>
        <w:t>X</w:t>
      </w:r>
      <w:r w:rsidRPr="00713D29">
        <w:rPr>
          <w:bCs/>
          <w:spacing w:val="-3"/>
        </w:rPr>
        <w:t xml:space="preserve">] </w:t>
      </w:r>
      <w:r w:rsidRPr="00713D29">
        <w:rPr>
          <w:bCs/>
          <w:spacing w:val="-3"/>
        </w:rPr>
        <w:t xml:space="preserve">Yes </w:t>
      </w:r>
      <w:r w:rsidRPr="00713D29" w:rsidR="00635087">
        <w:rPr>
          <w:bCs/>
          <w:spacing w:val="-3"/>
        </w:rPr>
        <w:t xml:space="preserve"> </w:t>
      </w:r>
      <w:r w:rsidRPr="00713D29">
        <w:rPr>
          <w:bCs/>
          <w:spacing w:val="-3"/>
        </w:rPr>
        <w:t>[</w:t>
      </w:r>
      <w:r w:rsidRPr="00713D29">
        <w:rPr>
          <w:bCs/>
          <w:spacing w:val="-3"/>
        </w:rPr>
        <w:t xml:space="preserve">  ] No  [  ] </w:t>
      </w:r>
      <w:r w:rsidRPr="00713D29">
        <w:t>Not Applicable</w:t>
      </w:r>
    </w:p>
    <w:p w:rsidR="007353C3" w:rsidRPr="008222BD" w:rsidP="007353C3" w14:paraId="7250C611" w14:textId="77777777">
      <w:pPr>
        <w:pStyle w:val="ListParagraph"/>
        <w:spacing w:before="72"/>
        <w:ind w:left="460" w:right="-20"/>
        <w:rPr>
          <w:bCs/>
          <w:spacing w:val="-3"/>
        </w:rPr>
      </w:pPr>
    </w:p>
    <w:p w:rsidR="007353C3" w:rsidP="00FD44A4" w14:paraId="7250C612" w14:textId="0179B22E">
      <w:pPr>
        <w:spacing w:before="72"/>
        <w:ind w:left="460" w:right="-20"/>
        <w:rPr>
          <w:bCs/>
          <w:spacing w:val="-3"/>
        </w:rPr>
      </w:pPr>
      <w:r w:rsidRPr="00FD44A4">
        <w:rPr>
          <w:bCs/>
          <w:spacing w:val="-3"/>
        </w:rPr>
        <w:t>b.</w:t>
      </w:r>
      <w:r>
        <w:rPr>
          <w:bCs/>
          <w:spacing w:val="-3"/>
        </w:rPr>
        <w:t xml:space="preserve"> </w:t>
      </w:r>
      <w:r w:rsidRPr="00FD44A4">
        <w:rPr>
          <w:bCs/>
          <w:spacing w:val="-3"/>
        </w:rPr>
        <w:t>If yes, please provide a description below.  If no, please provide a description of how you plan to identify your potential group of respondents and how you will select them</w:t>
      </w:r>
      <w:r w:rsidRPr="00FD44A4" w:rsidR="000702CE">
        <w:rPr>
          <w:bCs/>
          <w:spacing w:val="-3"/>
        </w:rPr>
        <w:t>.</w:t>
      </w:r>
    </w:p>
    <w:p w:rsidR="001216BF" w:rsidRPr="00FD44A4" w:rsidP="00FD44A4" w14:paraId="34B52FC1" w14:textId="77777777">
      <w:pPr>
        <w:spacing w:before="72"/>
        <w:ind w:left="460" w:right="-20"/>
        <w:rPr>
          <w:bCs/>
          <w:spacing w:val="-3"/>
        </w:rPr>
      </w:pPr>
    </w:p>
    <w:p w:rsidR="00D052C4" w:rsidRPr="00E24C29" w:rsidP="00E24C29" w14:paraId="0C37926E" w14:textId="02AC933C">
      <w:pPr>
        <w:pStyle w:val="BodyText"/>
        <w:ind w:left="720"/>
        <w:rPr>
          <w:i w:val="0"/>
          <w:iCs w:val="0"/>
          <w:sz w:val="24"/>
          <w:szCs w:val="24"/>
        </w:rPr>
      </w:pPr>
      <w:r w:rsidRPr="00E24C29">
        <w:rPr>
          <w:i w:val="0"/>
          <w:iCs w:val="0"/>
          <w:sz w:val="24"/>
          <w:szCs w:val="24"/>
        </w:rPr>
        <w:t xml:space="preserve">First, </w:t>
      </w:r>
      <w:r w:rsidR="00A3367C">
        <w:rPr>
          <w:i w:val="0"/>
          <w:iCs w:val="0"/>
          <w:sz w:val="24"/>
          <w:szCs w:val="24"/>
        </w:rPr>
        <w:t>we will ask our</w:t>
      </w:r>
      <w:r w:rsidRPr="00E24C29">
        <w:rPr>
          <w:i w:val="0"/>
          <w:iCs w:val="0"/>
          <w:sz w:val="24"/>
          <w:szCs w:val="24"/>
        </w:rPr>
        <w:t xml:space="preserve"> expert panel </w:t>
      </w:r>
      <w:r w:rsidR="00737519">
        <w:rPr>
          <w:i w:val="0"/>
          <w:iCs w:val="0"/>
          <w:sz w:val="24"/>
          <w:szCs w:val="24"/>
        </w:rPr>
        <w:t>to</w:t>
      </w:r>
      <w:r w:rsidRPr="00E24C29" w:rsidR="00737519">
        <w:rPr>
          <w:i w:val="0"/>
          <w:iCs w:val="0"/>
          <w:sz w:val="24"/>
          <w:szCs w:val="24"/>
        </w:rPr>
        <w:t xml:space="preserve"> </w:t>
      </w:r>
      <w:r w:rsidRPr="00E24C29">
        <w:rPr>
          <w:i w:val="0"/>
          <w:iCs w:val="0"/>
          <w:sz w:val="24"/>
          <w:szCs w:val="24"/>
        </w:rPr>
        <w:t xml:space="preserve">invite members of their organizational networks to complete </w:t>
      </w:r>
      <w:r w:rsidR="00A3367C">
        <w:rPr>
          <w:i w:val="0"/>
          <w:iCs w:val="0"/>
          <w:sz w:val="24"/>
          <w:szCs w:val="24"/>
        </w:rPr>
        <w:t>the</w:t>
      </w:r>
      <w:r w:rsidRPr="00E24C29">
        <w:rPr>
          <w:i w:val="0"/>
          <w:iCs w:val="0"/>
          <w:sz w:val="24"/>
          <w:szCs w:val="24"/>
        </w:rPr>
        <w:t xml:space="preserve"> online survey</w:t>
      </w:r>
      <w:r w:rsidRPr="00E24C29" w:rsidR="00C46E77">
        <w:rPr>
          <w:i w:val="0"/>
          <w:iCs w:val="0"/>
          <w:sz w:val="24"/>
          <w:szCs w:val="24"/>
        </w:rPr>
        <w:t xml:space="preserve"> (</w:t>
      </w:r>
      <w:r w:rsidRPr="008C6112" w:rsidR="00C46E77">
        <w:rPr>
          <w:i w:val="0"/>
          <w:iCs w:val="0"/>
          <w:sz w:val="24"/>
          <w:szCs w:val="24"/>
        </w:rPr>
        <w:t>see p.3 in the Task 1c Research Plan,</w:t>
      </w:r>
      <w:r w:rsidRPr="00E24C29" w:rsidR="00C46E77">
        <w:rPr>
          <w:i w:val="0"/>
          <w:iCs w:val="0"/>
          <w:sz w:val="24"/>
          <w:szCs w:val="24"/>
        </w:rPr>
        <w:t xml:space="preserve"> for </w:t>
      </w:r>
      <w:r w:rsidR="0062120D">
        <w:rPr>
          <w:i w:val="0"/>
          <w:iCs w:val="0"/>
          <w:sz w:val="24"/>
          <w:szCs w:val="24"/>
        </w:rPr>
        <w:t>more on the project’s expert panel)</w:t>
      </w:r>
      <w:r w:rsidR="00C57820">
        <w:rPr>
          <w:i w:val="0"/>
          <w:iCs w:val="0"/>
          <w:sz w:val="24"/>
          <w:szCs w:val="24"/>
        </w:rPr>
        <w:t>.</w:t>
      </w:r>
    </w:p>
    <w:p w:rsidR="00202B05" w:rsidP="004B372F" w14:paraId="18418783" w14:textId="77777777">
      <w:pPr>
        <w:pStyle w:val="Header"/>
        <w:tabs>
          <w:tab w:val="clear" w:pos="4320"/>
          <w:tab w:val="clear" w:pos="8640"/>
        </w:tabs>
      </w:pPr>
    </w:p>
    <w:p w:rsidR="000D0619" w:rsidRPr="009D5A77" w:rsidP="009A5E2A" w14:paraId="2F3B0F4E" w14:textId="5981E713">
      <w:pPr>
        <w:pStyle w:val="Header"/>
        <w:tabs>
          <w:tab w:val="clear" w:pos="4320"/>
          <w:tab w:val="clear" w:pos="8640"/>
        </w:tabs>
        <w:ind w:left="720"/>
      </w:pPr>
      <w:r>
        <w:t>W</w:t>
      </w:r>
      <w:r w:rsidR="000E0CD5">
        <w:t>e will</w:t>
      </w:r>
      <w:r w:rsidRPr="009D5A77" w:rsidR="00D052C4">
        <w:t xml:space="preserve"> </w:t>
      </w:r>
      <w:r>
        <w:t xml:space="preserve">also </w:t>
      </w:r>
      <w:r w:rsidR="000E0CD5">
        <w:t>invite additional</w:t>
      </w:r>
      <w:r w:rsidRPr="009D5A77" w:rsidR="00D052C4">
        <w:t xml:space="preserve"> practitioners </w:t>
      </w:r>
      <w:r w:rsidR="000E0CD5">
        <w:t xml:space="preserve">to take the survey </w:t>
      </w:r>
      <w:r>
        <w:t xml:space="preserve">through </w:t>
      </w:r>
      <w:r w:rsidRPr="009D5A77" w:rsidR="00202B05">
        <w:t xml:space="preserve">program managers </w:t>
      </w:r>
      <w:r>
        <w:t xml:space="preserve">who we interview </w:t>
      </w:r>
      <w:r w:rsidRPr="009D5A77" w:rsidR="00202B05">
        <w:t>in Five Principles Task 1B (Program Review), described under separate cover.</w:t>
      </w:r>
    </w:p>
    <w:p w:rsidR="00D052C4" w:rsidRPr="009D5A77" w:rsidP="009A5E2A" w14:paraId="2F6A78F9" w14:textId="22AFBEDA">
      <w:pPr>
        <w:pStyle w:val="Header"/>
        <w:tabs>
          <w:tab w:val="clear" w:pos="4320"/>
          <w:tab w:val="clear" w:pos="8640"/>
        </w:tabs>
        <w:ind w:left="720"/>
      </w:pPr>
    </w:p>
    <w:p w:rsidR="00D052C4" w:rsidP="00D052C4" w14:paraId="2CC4CE9A" w14:textId="6C091595">
      <w:pPr>
        <w:pStyle w:val="Header"/>
        <w:tabs>
          <w:tab w:val="clear" w:pos="4320"/>
          <w:tab w:val="clear" w:pos="8640"/>
        </w:tabs>
        <w:ind w:left="720"/>
      </w:pPr>
      <w:r>
        <w:t>If we do not receive</w:t>
      </w:r>
      <w:r w:rsidRPr="001C1B55">
        <w:t xml:space="preserve"> 200 – 300 survey responses</w:t>
      </w:r>
      <w:r w:rsidR="002D0CE7">
        <w:t xml:space="preserve">, we will invite additional </w:t>
      </w:r>
      <w:r>
        <w:t xml:space="preserve">practitioners that </w:t>
      </w:r>
      <w:r>
        <w:t>Abt</w:t>
      </w:r>
      <w:r>
        <w:t xml:space="preserve"> has worked with on prior CFPB projects</w:t>
      </w:r>
      <w:r w:rsidR="00D85B69">
        <w:t>.</w:t>
      </w:r>
      <w:r>
        <w:t xml:space="preserve"> </w:t>
      </w:r>
      <w:r w:rsidR="00D85B69">
        <w:t>W</w:t>
      </w:r>
      <w:r w:rsidR="002D0CE7">
        <w:t xml:space="preserve">e </w:t>
      </w:r>
      <w:r w:rsidR="00263BFC">
        <w:t>may</w:t>
      </w:r>
      <w:r w:rsidR="00D85B69">
        <w:t>,</w:t>
      </w:r>
      <w:r w:rsidR="00D85B69">
        <w:t xml:space="preserve"> on the other hand,</w:t>
      </w:r>
      <w:r w:rsidR="00263BFC">
        <w:t xml:space="preserve"> </w:t>
      </w:r>
      <w:r w:rsidR="002D0CE7">
        <w:t xml:space="preserve">send survey invitations to our existing </w:t>
      </w:r>
      <w:r>
        <w:t xml:space="preserve">CFPB </w:t>
      </w:r>
      <w:r>
        <w:t>FinEx</w:t>
      </w:r>
      <w:r>
        <w:t xml:space="preserve"> </w:t>
      </w:r>
      <w:r w:rsidR="002D0CE7">
        <w:t>email list and LinkedIn group</w:t>
      </w:r>
      <w:r>
        <w:t xml:space="preserve">.  </w:t>
      </w:r>
    </w:p>
    <w:p w:rsidR="004B372F" w:rsidP="00D052C4" w14:paraId="78F69F20" w14:textId="28437E92">
      <w:pPr>
        <w:pStyle w:val="Header"/>
        <w:tabs>
          <w:tab w:val="clear" w:pos="4320"/>
          <w:tab w:val="clear" w:pos="8640"/>
        </w:tabs>
        <w:ind w:left="720"/>
      </w:pPr>
    </w:p>
    <w:p w:rsidR="004B372F" w:rsidP="00C57820" w14:paraId="405B68E7" w14:textId="1B4AECA9">
      <w:pPr>
        <w:pStyle w:val="Header"/>
        <w:tabs>
          <w:tab w:val="clear" w:pos="4320"/>
          <w:tab w:val="clear" w:pos="8640"/>
        </w:tabs>
        <w:ind w:left="720"/>
      </w:pPr>
      <w:r>
        <w:t>T</w:t>
      </w:r>
      <w:r>
        <w:t xml:space="preserve">he survey recruitment materials </w:t>
      </w:r>
      <w:r>
        <w:t xml:space="preserve">are </w:t>
      </w:r>
      <w:r>
        <w:t>in Appendix A</w:t>
      </w:r>
      <w:r w:rsidR="00631171">
        <w:t>.</w:t>
      </w:r>
    </w:p>
    <w:p w:rsidR="00631171" w:rsidP="00C57820" w14:paraId="0701D0D3" w14:textId="77777777">
      <w:pPr>
        <w:pStyle w:val="Header"/>
        <w:tabs>
          <w:tab w:val="clear" w:pos="4320"/>
          <w:tab w:val="clear" w:pos="8640"/>
        </w:tabs>
      </w:pPr>
    </w:p>
    <w:p w:rsidR="00482A5C" w:rsidP="00482A5C" w14:paraId="0C4B5EF5" w14:textId="03958CE5">
      <w:pPr>
        <w:pStyle w:val="Header"/>
        <w:tabs>
          <w:tab w:val="clear" w:pos="4320"/>
          <w:tab w:val="clear" w:pos="8640"/>
        </w:tabs>
        <w:ind w:left="720"/>
      </w:pPr>
      <w:r>
        <w:t xml:space="preserve">Recruitment to the “online community” takes place at the end of </w:t>
      </w:r>
      <w:r w:rsidR="00AC5C32">
        <w:t xml:space="preserve">the </w:t>
      </w:r>
      <w:r w:rsidRPr="00AC5C32" w:rsidR="00AC5C32">
        <w:t xml:space="preserve">survey. </w:t>
      </w:r>
      <w:r>
        <w:t xml:space="preserve">When a participant completes the online survey, they see a question asking about their interest in joining the “online community.” From those who are interested in joining, we will invite up to 150 financial education practitioners, based on the clients and communities they serve.  </w:t>
      </w:r>
    </w:p>
    <w:p w:rsidR="00631171" w:rsidP="00AC5C32" w14:paraId="2DB0D0A4" w14:textId="4286877D">
      <w:pPr>
        <w:pStyle w:val="Header"/>
        <w:tabs>
          <w:tab w:val="clear" w:pos="4320"/>
          <w:tab w:val="clear" w:pos="8640"/>
        </w:tabs>
        <w:ind w:left="720"/>
      </w:pPr>
    </w:p>
    <w:p w:rsidR="00482A5C" w:rsidP="00482A5C" w14:paraId="1EE03EBE" w14:textId="33A62301">
      <w:pPr>
        <w:pStyle w:val="Header"/>
        <w:tabs>
          <w:tab w:val="clear" w:pos="4320"/>
          <w:tab w:val="clear" w:pos="8640"/>
        </w:tabs>
        <w:ind w:left="720"/>
      </w:pPr>
      <w:r>
        <w:t>The survey is in Appendix B.</w:t>
      </w:r>
    </w:p>
    <w:p w:rsidR="00F31F01" w:rsidP="00790197" w14:paraId="54D00451" w14:textId="77777777">
      <w:pPr>
        <w:pStyle w:val="BodyText"/>
        <w:ind w:left="720"/>
        <w:rPr>
          <w:bCs/>
          <w:i w:val="0"/>
          <w:iCs w:val="0"/>
          <w:sz w:val="24"/>
          <w:szCs w:val="24"/>
        </w:rPr>
      </w:pPr>
    </w:p>
    <w:p w:rsidR="008C4E6C" w:rsidRPr="00410F81" w:rsidP="00C73B5D" w14:paraId="7250C614" w14:textId="77777777">
      <w:pPr>
        <w:pStyle w:val="ListParagraph"/>
        <w:numPr>
          <w:ilvl w:val="0"/>
          <w:numId w:val="25"/>
        </w:numPr>
        <w:rPr>
          <w:caps/>
        </w:rPr>
      </w:pPr>
      <w:r w:rsidRPr="00AB78E0">
        <w:rPr>
          <w:b/>
          <w:caps/>
        </w:rPr>
        <w:t>Information Collection Procedures</w:t>
      </w:r>
      <w:r w:rsidR="00815E90">
        <w:rPr>
          <w:caps/>
        </w:rPr>
        <w:t>:</w:t>
      </w:r>
    </w:p>
    <w:p w:rsidR="008C4E6C" w:rsidP="00C73B5D" w14:paraId="7250C615" w14:textId="2C7C23F9">
      <w:pPr>
        <w:pStyle w:val="ListParagraph"/>
        <w:spacing w:after="120"/>
        <w:ind w:left="360"/>
        <w:contextualSpacing w:val="0"/>
      </w:pPr>
      <w:r w:rsidRPr="00713D29">
        <w:t>Please summarize the procedures that will be used to collect data from respondents.</w:t>
      </w:r>
    </w:p>
    <w:p w:rsidR="00A1581D" w:rsidRPr="00E414D9" w:rsidP="004C5273" w14:paraId="36B7BDCE" w14:textId="67D9C99A">
      <w:pPr>
        <w:ind w:left="720"/>
        <w:rPr>
          <w:u w:val="single"/>
        </w:rPr>
      </w:pPr>
      <w:r w:rsidRPr="00E414D9">
        <w:rPr>
          <w:u w:val="single"/>
        </w:rPr>
        <w:t>Platform Study</w:t>
      </w:r>
      <w:r w:rsidRPr="00E414D9" w:rsidR="00480B8D">
        <w:rPr>
          <w:u w:val="single"/>
        </w:rPr>
        <w:t>:</w:t>
      </w:r>
    </w:p>
    <w:p w:rsidR="00A1581D" w:rsidP="004C5273" w14:paraId="6B033F4D" w14:textId="77777777">
      <w:pPr>
        <w:ind w:left="720"/>
      </w:pPr>
    </w:p>
    <w:p w:rsidR="004C5273" w:rsidP="004C5273" w14:paraId="169FDD50" w14:textId="338DD689">
      <w:pPr>
        <w:ind w:left="720"/>
      </w:pPr>
      <w:r w:rsidRPr="001C1B55">
        <w:t xml:space="preserve">Data collection will consist of </w:t>
      </w:r>
      <w:r w:rsidR="004C5D74">
        <w:t xml:space="preserve">(1) </w:t>
      </w:r>
      <w:r w:rsidRPr="007F48B1" w:rsidR="004C5D74">
        <w:t>a short online survey</w:t>
      </w:r>
      <w:r w:rsidR="004C5D74">
        <w:t xml:space="preserve"> </w:t>
      </w:r>
      <w:r w:rsidRPr="007F48B1" w:rsidR="004C5D74">
        <w:t xml:space="preserve">and </w:t>
      </w:r>
      <w:r w:rsidR="004C5D74">
        <w:t xml:space="preserve">(2) </w:t>
      </w:r>
      <w:r w:rsidRPr="007F48B1" w:rsidR="004C5D74">
        <w:t>a two-week interactive “online community”</w:t>
      </w:r>
      <w:r w:rsidR="00FD5A62">
        <w:t>.</w:t>
      </w:r>
      <w:r w:rsidR="004C5D74">
        <w:t xml:space="preserve"> </w:t>
      </w:r>
    </w:p>
    <w:p w:rsidR="004C5D74" w:rsidP="004C5D74" w14:paraId="1969E02C" w14:textId="2D6EA93E"/>
    <w:p w:rsidR="00AD2A84" w:rsidP="00FD5A62" w14:paraId="2295446A" w14:textId="0796BE71">
      <w:pPr>
        <w:pStyle w:val="BodyText"/>
        <w:ind w:left="720"/>
      </w:pPr>
      <w:r w:rsidRPr="00263BFC">
        <w:rPr>
          <w:i w:val="0"/>
          <w:iCs w:val="0"/>
          <w:sz w:val="24"/>
          <w:szCs w:val="24"/>
        </w:rPr>
        <w:t xml:space="preserve">The 20-question </w:t>
      </w:r>
      <w:r>
        <w:rPr>
          <w:i w:val="0"/>
          <w:iCs w:val="0"/>
          <w:sz w:val="24"/>
          <w:szCs w:val="24"/>
        </w:rPr>
        <w:t xml:space="preserve">online </w:t>
      </w:r>
      <w:r w:rsidRPr="00606146">
        <w:rPr>
          <w:i w:val="0"/>
          <w:iCs w:val="0"/>
          <w:sz w:val="24"/>
          <w:szCs w:val="24"/>
        </w:rPr>
        <w:t>survey (See Appendix B in the Task 1</w:t>
      </w:r>
      <w:r w:rsidR="00D85B69">
        <w:rPr>
          <w:i w:val="0"/>
          <w:iCs w:val="0"/>
          <w:sz w:val="24"/>
          <w:szCs w:val="24"/>
        </w:rPr>
        <w:t>C</w:t>
      </w:r>
      <w:r w:rsidRPr="00606146">
        <w:rPr>
          <w:i w:val="0"/>
          <w:iCs w:val="0"/>
          <w:sz w:val="24"/>
          <w:szCs w:val="24"/>
        </w:rPr>
        <w:t xml:space="preserve"> Research Plan) </w:t>
      </w:r>
      <w:r w:rsidRPr="00EB7F6C">
        <w:rPr>
          <w:i w:val="0"/>
          <w:iCs w:val="0"/>
          <w:sz w:val="24"/>
          <w:szCs w:val="24"/>
        </w:rPr>
        <w:t>contains</w:t>
      </w:r>
      <w:r>
        <w:rPr>
          <w:i w:val="0"/>
          <w:iCs w:val="0"/>
          <w:sz w:val="24"/>
          <w:szCs w:val="24"/>
        </w:rPr>
        <w:t xml:space="preserve"> a mix of close</w:t>
      </w:r>
      <w:r w:rsidR="008539CD">
        <w:rPr>
          <w:i w:val="0"/>
          <w:iCs w:val="0"/>
          <w:sz w:val="24"/>
          <w:szCs w:val="24"/>
        </w:rPr>
        <w:t>d</w:t>
      </w:r>
      <w:r>
        <w:rPr>
          <w:i w:val="0"/>
          <w:iCs w:val="0"/>
          <w:sz w:val="24"/>
          <w:szCs w:val="24"/>
        </w:rPr>
        <w:t>- and open-ended questions about the practitioners</w:t>
      </w:r>
      <w:r w:rsidR="00021D89">
        <w:rPr>
          <w:i w:val="0"/>
          <w:iCs w:val="0"/>
          <w:sz w:val="24"/>
          <w:szCs w:val="24"/>
        </w:rPr>
        <w:t>’</w:t>
      </w:r>
      <w:r>
        <w:rPr>
          <w:i w:val="0"/>
          <w:iCs w:val="0"/>
          <w:sz w:val="24"/>
          <w:szCs w:val="24"/>
        </w:rPr>
        <w:t xml:space="preserve"> program</w:t>
      </w:r>
      <w:r w:rsidR="00741CA6">
        <w:rPr>
          <w:i w:val="0"/>
          <w:iCs w:val="0"/>
          <w:sz w:val="24"/>
          <w:szCs w:val="24"/>
        </w:rPr>
        <w:t>s</w:t>
      </w:r>
      <w:r w:rsidR="00CD03C5">
        <w:rPr>
          <w:i w:val="0"/>
          <w:iCs w:val="0"/>
          <w:sz w:val="24"/>
          <w:szCs w:val="24"/>
        </w:rPr>
        <w:t xml:space="preserve"> and their thoughts on effective practices in financial education</w:t>
      </w:r>
      <w:r>
        <w:rPr>
          <w:i w:val="0"/>
          <w:iCs w:val="0"/>
          <w:sz w:val="24"/>
          <w:szCs w:val="24"/>
        </w:rPr>
        <w:t>. The survey</w:t>
      </w:r>
      <w:r w:rsidRPr="00EB7F6C">
        <w:rPr>
          <w:i w:val="0"/>
          <w:iCs w:val="0"/>
          <w:sz w:val="24"/>
          <w:szCs w:val="24"/>
        </w:rPr>
        <w:t xml:space="preserve"> </w:t>
      </w:r>
      <w:r w:rsidRPr="00606146">
        <w:rPr>
          <w:i w:val="0"/>
          <w:iCs w:val="0"/>
          <w:sz w:val="24"/>
          <w:szCs w:val="24"/>
        </w:rPr>
        <w:t>does</w:t>
      </w:r>
      <w:r>
        <w:rPr>
          <w:i w:val="0"/>
          <w:iCs w:val="0"/>
          <w:sz w:val="24"/>
          <w:szCs w:val="24"/>
        </w:rPr>
        <w:t xml:space="preserve"> not require registration </w:t>
      </w:r>
      <w:r w:rsidRPr="00EB7F6C">
        <w:rPr>
          <w:i w:val="0"/>
          <w:iCs w:val="0"/>
          <w:sz w:val="24"/>
          <w:szCs w:val="24"/>
        </w:rPr>
        <w:t>and does not require users to provide any identifying information.</w:t>
      </w:r>
      <w:r>
        <w:rPr>
          <w:i w:val="0"/>
          <w:iCs w:val="0"/>
          <w:sz w:val="24"/>
          <w:szCs w:val="24"/>
        </w:rPr>
        <w:t xml:space="preserve"> </w:t>
      </w:r>
      <w:r w:rsidRPr="00EA5628">
        <w:rPr>
          <w:i w:val="0"/>
          <w:iCs w:val="0"/>
          <w:sz w:val="24"/>
          <w:szCs w:val="24"/>
        </w:rPr>
        <w:t>The survey take</w:t>
      </w:r>
      <w:r w:rsidR="008539CD">
        <w:rPr>
          <w:i w:val="0"/>
          <w:iCs w:val="0"/>
          <w:sz w:val="24"/>
          <w:szCs w:val="24"/>
        </w:rPr>
        <w:t>s</w:t>
      </w:r>
      <w:r w:rsidRPr="00EA5628">
        <w:rPr>
          <w:i w:val="0"/>
          <w:iCs w:val="0"/>
          <w:sz w:val="24"/>
          <w:szCs w:val="24"/>
        </w:rPr>
        <w:t xml:space="preserve"> approximately 5 to 10 minutes to complete.</w:t>
      </w:r>
    </w:p>
    <w:p w:rsidR="00E94B24" w:rsidP="00FD5A62" w14:paraId="0751A251" w14:textId="38E9DAEB"/>
    <w:p w:rsidR="009753E8" w:rsidP="005056D3" w14:paraId="1ED87729" w14:textId="73622CF5">
      <w:pPr>
        <w:ind w:left="720"/>
      </w:pPr>
      <w:r>
        <w:t>The o</w:t>
      </w:r>
      <w:r w:rsidRPr="00AD2A84">
        <w:t>nline interactive communit</w:t>
      </w:r>
      <w:r w:rsidR="00667DC0">
        <w:t>y</w:t>
      </w:r>
      <w:r w:rsidRPr="00AD2A84">
        <w:t xml:space="preserve"> function</w:t>
      </w:r>
      <w:r>
        <w:t>s</w:t>
      </w:r>
      <w:r>
        <w:t xml:space="preserve"> </w:t>
      </w:r>
      <w:r w:rsidRPr="00AD2A84">
        <w:t xml:space="preserve">like </w:t>
      </w:r>
      <w:r>
        <w:t>a</w:t>
      </w:r>
      <w:r w:rsidRPr="00AD2A84">
        <w:t xml:space="preserve"> </w:t>
      </w:r>
      <w:r w:rsidRPr="00AD2A84">
        <w:t>focus group</w:t>
      </w:r>
      <w:r w:rsidR="002B18C8">
        <w:t>:</w:t>
      </w:r>
      <w:r w:rsidRPr="00AD2A84">
        <w:t xml:space="preserve"> moderators facilitate conversations, and participants answer questions, provide feedback, and have discussions around a given topic.</w:t>
      </w:r>
    </w:p>
    <w:p w:rsidR="00146C72" w:rsidP="009753E8" w14:paraId="6D04A173" w14:textId="77777777"/>
    <w:p w:rsidR="00983B48" w:rsidP="006F18EA" w14:paraId="33CD7D94" w14:textId="513736AB">
      <w:pPr>
        <w:ind w:left="720"/>
      </w:pPr>
      <w:r w:rsidRPr="00AD2A84">
        <w:t>We will use a combination of platform activities</w:t>
      </w:r>
      <w:r w:rsidR="00BB2723">
        <w:t xml:space="preserve"> during the “</w:t>
      </w:r>
      <w:r w:rsidRPr="00B36537" w:rsidR="00BB2723">
        <w:t>online community</w:t>
      </w:r>
      <w:r w:rsidR="00BB2723">
        <w:t>” two</w:t>
      </w:r>
      <w:r w:rsidR="009811C1">
        <w:t>-</w:t>
      </w:r>
      <w:r w:rsidR="00BB2723">
        <w:t>week data collection period</w:t>
      </w:r>
      <w:r w:rsidR="0086471A">
        <w:t>.</w:t>
      </w:r>
      <w:r w:rsidR="006F18EA">
        <w:t xml:space="preserve"> </w:t>
      </w:r>
      <w:r>
        <w:t xml:space="preserve">The online community participants may take part in some or </w:t>
      </w:r>
      <w:r>
        <w:t>all of</w:t>
      </w:r>
      <w:r>
        <w:t xml:space="preserve"> the following activities:</w:t>
      </w:r>
    </w:p>
    <w:p w:rsidR="00983B48" w:rsidP="00607A31" w14:paraId="6D5756E7" w14:textId="77777777">
      <w:pPr>
        <w:pStyle w:val="ListParagraph"/>
        <w:numPr>
          <w:ilvl w:val="0"/>
          <w:numId w:val="36"/>
        </w:numPr>
      </w:pPr>
      <w:r>
        <w:t>Respond to topics and discussion questions</w:t>
      </w:r>
    </w:p>
    <w:p w:rsidR="00983B48" w:rsidP="00607A31" w14:paraId="4AADC857" w14:textId="18639F94">
      <w:pPr>
        <w:pStyle w:val="ListParagraph"/>
        <w:numPr>
          <w:ilvl w:val="0"/>
          <w:numId w:val="36"/>
        </w:numPr>
      </w:pPr>
      <w:r>
        <w:t>Write on discussion boards, either open to all or open to selected participants based on the communities they serve</w:t>
      </w:r>
    </w:p>
    <w:p w:rsidR="00983B48" w:rsidP="00607A31" w14:paraId="07EB8527" w14:textId="77777777">
      <w:pPr>
        <w:pStyle w:val="ListParagraph"/>
        <w:numPr>
          <w:ilvl w:val="0"/>
          <w:numId w:val="36"/>
        </w:numPr>
      </w:pPr>
      <w:r>
        <w:t>Answer poll questions</w:t>
      </w:r>
    </w:p>
    <w:p w:rsidR="00983B48" w:rsidP="00607A31" w14:paraId="715FF0F2" w14:textId="3F0670F5">
      <w:pPr>
        <w:pStyle w:val="ListParagraph"/>
        <w:numPr>
          <w:ilvl w:val="0"/>
          <w:numId w:val="36"/>
        </w:numPr>
      </w:pPr>
      <w:r>
        <w:t>Brainstorm ideas</w:t>
      </w:r>
      <w:r w:rsidR="002B18C8">
        <w:t xml:space="preserve"> and</w:t>
      </w:r>
    </w:p>
    <w:p w:rsidR="00983B48" w:rsidP="00607A31" w14:paraId="097DA271" w14:textId="08AB7492">
      <w:pPr>
        <w:pStyle w:val="ListParagraph"/>
        <w:numPr>
          <w:ilvl w:val="0"/>
          <w:numId w:val="36"/>
        </w:numPr>
      </w:pPr>
      <w:r>
        <w:t>Participate in video chats</w:t>
      </w:r>
    </w:p>
    <w:p w:rsidR="00BB2723" w:rsidP="00F2485D" w14:paraId="16E59D86" w14:textId="0B5A188F">
      <w:pPr>
        <w:ind w:left="720"/>
      </w:pPr>
    </w:p>
    <w:p w:rsidR="00CF2C59" w:rsidP="00C427F4" w14:paraId="2B551848" w14:textId="40EDABE2">
      <w:pPr>
        <w:ind w:left="720"/>
      </w:pPr>
      <w:r>
        <w:t xml:space="preserve">See </w:t>
      </w:r>
      <w:r w:rsidRPr="00AD2A84">
        <w:t xml:space="preserve">Appendix E for </w:t>
      </w:r>
      <w:r w:rsidR="00135C03">
        <w:t>guidelines and materials</w:t>
      </w:r>
      <w:r>
        <w:t xml:space="preserve"> for the “online community” </w:t>
      </w:r>
      <w:r w:rsidRPr="00AD2A84">
        <w:t>discussion</w:t>
      </w:r>
      <w:r w:rsidR="00135C03">
        <w:t>s</w:t>
      </w:r>
      <w:r w:rsidRPr="00AD2A84">
        <w:t xml:space="preserve"> and Appendix F for moderator guidelines</w:t>
      </w:r>
      <w:r w:rsidR="00E2759F">
        <w:t>.</w:t>
      </w:r>
    </w:p>
    <w:p w:rsidR="00A1581D" w:rsidP="00C427F4" w14:paraId="01D43CC2" w14:textId="462B7EC5">
      <w:pPr>
        <w:ind w:left="720"/>
      </w:pPr>
    </w:p>
    <w:p w:rsidR="00A1581D" w:rsidRPr="00E414D9" w:rsidP="00E414D9" w14:paraId="0DAB306D" w14:textId="7D0581E9">
      <w:pPr>
        <w:ind w:firstLine="720"/>
        <w:rPr>
          <w:u w:val="single"/>
        </w:rPr>
      </w:pPr>
      <w:r>
        <w:rPr>
          <w:u w:val="single"/>
        </w:rPr>
        <w:t xml:space="preserve">Program </w:t>
      </w:r>
      <w:r w:rsidRPr="00E414D9">
        <w:rPr>
          <w:u w:val="single"/>
        </w:rPr>
        <w:t xml:space="preserve">Review: </w:t>
      </w:r>
    </w:p>
    <w:p w:rsidR="00A1581D" w:rsidP="00C427F4" w14:paraId="1D31B52D" w14:textId="17004063">
      <w:pPr>
        <w:ind w:left="720"/>
      </w:pPr>
    </w:p>
    <w:p w:rsidR="00A1581D" w:rsidP="00480B8D" w14:paraId="0CB819C1" w14:textId="77777777">
      <w:pPr>
        <w:ind w:left="720"/>
      </w:pPr>
      <w:r>
        <w:t>Abt</w:t>
      </w:r>
      <w:r>
        <w:t xml:space="preserve"> will identify </w:t>
      </w:r>
      <w:r w:rsidRPr="00E0611B">
        <w:t xml:space="preserve">financial education programs that meet </w:t>
      </w:r>
      <w:r>
        <w:t xml:space="preserve">our criteria for </w:t>
      </w:r>
      <w:r w:rsidRPr="00E0611B">
        <w:t>effectiveness</w:t>
      </w:r>
      <w:r>
        <w:t xml:space="preserve"> in a two-stage selection process. An initial pool of 75-100 potential programs of interest will be narrowed to a list of 60 programs that meet our criteria. </w:t>
      </w:r>
    </w:p>
    <w:p w:rsidR="00A1581D" w:rsidRPr="00261107" w:rsidP="00480B8D" w14:paraId="0DC0C693" w14:textId="77777777">
      <w:pPr>
        <w:pStyle w:val="BodyText"/>
        <w:ind w:left="720"/>
        <w:rPr>
          <w:i w:val="0"/>
          <w:iCs w:val="0"/>
          <w:sz w:val="24"/>
          <w:szCs w:val="24"/>
        </w:rPr>
      </w:pPr>
    </w:p>
    <w:p w:rsidR="00A1581D" w:rsidP="00480B8D" w14:paraId="378EB77D" w14:textId="77777777">
      <w:pPr>
        <w:pStyle w:val="BodyText"/>
        <w:ind w:left="720"/>
        <w:rPr>
          <w:rFonts w:cstheme="minorHAnsi"/>
          <w:i w:val="0"/>
          <w:iCs w:val="0"/>
          <w:sz w:val="24"/>
          <w:szCs w:val="24"/>
        </w:rPr>
      </w:pPr>
      <w:r>
        <w:rPr>
          <w:i w:val="0"/>
          <w:iCs w:val="0"/>
          <w:sz w:val="24"/>
          <w:szCs w:val="24"/>
        </w:rPr>
        <w:t>We</w:t>
      </w:r>
      <w:r w:rsidRPr="00261107">
        <w:rPr>
          <w:i w:val="0"/>
          <w:iCs w:val="0"/>
          <w:sz w:val="24"/>
          <w:szCs w:val="24"/>
        </w:rPr>
        <w:t xml:space="preserve"> will interview </w:t>
      </w:r>
      <w:r>
        <w:rPr>
          <w:i w:val="0"/>
          <w:iCs w:val="0"/>
          <w:sz w:val="24"/>
          <w:szCs w:val="24"/>
        </w:rPr>
        <w:t>one</w:t>
      </w:r>
      <w:r w:rsidRPr="00261107">
        <w:rPr>
          <w:i w:val="0"/>
          <w:iCs w:val="0"/>
          <w:sz w:val="24"/>
          <w:szCs w:val="24"/>
        </w:rPr>
        <w:t xml:space="preserve"> program manager or director from each of the 60 selected programs, to gain a deeper understanding of the program’s approach and effectiveness. </w:t>
      </w:r>
      <w:r>
        <w:rPr>
          <w:i w:val="0"/>
          <w:iCs w:val="0"/>
          <w:sz w:val="24"/>
          <w:szCs w:val="24"/>
        </w:rPr>
        <w:t xml:space="preserve">If the program was initially recommended to us by a member of our expert panel, the panel member will invite the manager or director of that program to be </w:t>
      </w:r>
      <w:r w:rsidRPr="00610D83">
        <w:rPr>
          <w:i w:val="0"/>
          <w:iCs w:val="0"/>
          <w:sz w:val="24"/>
          <w:szCs w:val="24"/>
        </w:rPr>
        <w:t xml:space="preserve">interviewed. </w:t>
      </w:r>
      <w:r w:rsidRPr="00610D83">
        <w:rPr>
          <w:rFonts w:cstheme="minorHAnsi"/>
          <w:i w:val="0"/>
          <w:iCs w:val="0"/>
          <w:sz w:val="24"/>
          <w:szCs w:val="24"/>
        </w:rPr>
        <w:t xml:space="preserve">If the program was identified from a research study or written source, </w:t>
      </w:r>
      <w:r w:rsidRPr="00610D83">
        <w:rPr>
          <w:rFonts w:cstheme="minorHAnsi"/>
          <w:i w:val="0"/>
          <w:iCs w:val="0"/>
          <w:sz w:val="24"/>
          <w:szCs w:val="24"/>
        </w:rPr>
        <w:t>Abt</w:t>
      </w:r>
      <w:r w:rsidRPr="00610D83">
        <w:rPr>
          <w:rFonts w:cstheme="minorHAnsi"/>
          <w:i w:val="0"/>
          <w:iCs w:val="0"/>
          <w:sz w:val="24"/>
          <w:szCs w:val="24"/>
        </w:rPr>
        <w:t xml:space="preserve"> will reach out via publicly available email to the director or manager and invite them to be interviewed. </w:t>
      </w:r>
    </w:p>
    <w:p w:rsidR="00A1581D" w:rsidP="00480B8D" w14:paraId="79221830" w14:textId="77777777">
      <w:pPr>
        <w:pStyle w:val="BodyText"/>
        <w:ind w:left="720"/>
        <w:rPr>
          <w:rFonts w:cstheme="minorHAnsi"/>
          <w:i w:val="0"/>
          <w:iCs w:val="0"/>
          <w:sz w:val="24"/>
          <w:szCs w:val="24"/>
        </w:rPr>
      </w:pPr>
    </w:p>
    <w:p w:rsidR="00A1581D" w:rsidRPr="00610D83" w:rsidP="00480B8D" w14:paraId="2C06EB37" w14:textId="77777777">
      <w:pPr>
        <w:pStyle w:val="BodyText"/>
        <w:ind w:left="720"/>
        <w:rPr>
          <w:i w:val="0"/>
          <w:iCs w:val="0"/>
          <w:sz w:val="24"/>
          <w:szCs w:val="24"/>
        </w:rPr>
      </w:pPr>
      <w:r>
        <w:rPr>
          <w:rFonts w:cstheme="minorHAnsi"/>
          <w:i w:val="0"/>
          <w:iCs w:val="0"/>
          <w:sz w:val="24"/>
          <w:szCs w:val="24"/>
        </w:rPr>
        <w:t xml:space="preserve">Our recruitment email is on </w:t>
      </w:r>
      <w:r w:rsidRPr="00610D83">
        <w:rPr>
          <w:rFonts w:cstheme="minorHAnsi"/>
          <w:i w:val="0"/>
          <w:iCs w:val="0"/>
          <w:sz w:val="24"/>
          <w:szCs w:val="24"/>
        </w:rPr>
        <w:t xml:space="preserve">p.7 </w:t>
      </w:r>
      <w:r>
        <w:rPr>
          <w:i w:val="0"/>
          <w:iCs w:val="0"/>
          <w:sz w:val="24"/>
          <w:szCs w:val="24"/>
        </w:rPr>
        <w:t>of</w:t>
      </w:r>
      <w:r w:rsidRPr="00610D83">
        <w:rPr>
          <w:i w:val="0"/>
          <w:iCs w:val="0"/>
          <w:sz w:val="24"/>
          <w:szCs w:val="24"/>
        </w:rPr>
        <w:t xml:space="preserve"> the Task 1B Research Plan</w:t>
      </w:r>
      <w:r w:rsidRPr="00610D83">
        <w:rPr>
          <w:rFonts w:cstheme="minorHAnsi"/>
          <w:i w:val="0"/>
          <w:iCs w:val="0"/>
          <w:sz w:val="24"/>
          <w:szCs w:val="24"/>
        </w:rPr>
        <w:t>.</w:t>
      </w:r>
    </w:p>
    <w:p w:rsidR="00A1581D" w:rsidP="00480B8D" w14:paraId="207A6789" w14:textId="77777777">
      <w:pPr>
        <w:pStyle w:val="BodyText"/>
        <w:ind w:left="720"/>
        <w:rPr>
          <w:i w:val="0"/>
          <w:iCs w:val="0"/>
          <w:sz w:val="24"/>
          <w:szCs w:val="24"/>
        </w:rPr>
      </w:pPr>
    </w:p>
    <w:p w:rsidR="00A1581D" w:rsidP="00480B8D" w14:paraId="12E2C259" w14:textId="77777777">
      <w:pPr>
        <w:pStyle w:val="BodyText"/>
        <w:ind w:left="720"/>
        <w:rPr>
          <w:i w:val="0"/>
          <w:iCs w:val="0"/>
          <w:sz w:val="24"/>
          <w:szCs w:val="24"/>
        </w:rPr>
      </w:pPr>
      <w:r>
        <w:rPr>
          <w:i w:val="0"/>
          <w:iCs w:val="0"/>
          <w:sz w:val="24"/>
          <w:szCs w:val="24"/>
        </w:rPr>
        <w:t>We will conduct</w:t>
      </w:r>
      <w:r w:rsidRPr="00261107">
        <w:rPr>
          <w:i w:val="0"/>
          <w:iCs w:val="0"/>
          <w:sz w:val="24"/>
          <w:szCs w:val="24"/>
        </w:rPr>
        <w:t xml:space="preserve"> one 60-minute semi-structured virtual interview with the program manager or director. </w:t>
      </w:r>
    </w:p>
    <w:p w:rsidR="00A1581D" w:rsidP="00480B8D" w14:paraId="20468010" w14:textId="77777777">
      <w:pPr>
        <w:pStyle w:val="BodyText"/>
        <w:ind w:left="720"/>
        <w:rPr>
          <w:i w:val="0"/>
          <w:iCs w:val="0"/>
          <w:sz w:val="24"/>
          <w:szCs w:val="24"/>
        </w:rPr>
      </w:pPr>
    </w:p>
    <w:p w:rsidR="00A1581D" w:rsidP="00480B8D" w14:paraId="4BABB456" w14:textId="77777777">
      <w:pPr>
        <w:pStyle w:val="BodyText"/>
        <w:ind w:left="720"/>
        <w:rPr>
          <w:i w:val="0"/>
          <w:iCs w:val="0"/>
          <w:sz w:val="24"/>
          <w:szCs w:val="24"/>
        </w:rPr>
      </w:pPr>
      <w:r>
        <w:rPr>
          <w:i w:val="0"/>
          <w:iCs w:val="0"/>
          <w:sz w:val="24"/>
          <w:szCs w:val="24"/>
        </w:rPr>
        <w:t xml:space="preserve">The interview protocol begins on </w:t>
      </w:r>
      <w:r w:rsidRPr="00FF7DCD">
        <w:rPr>
          <w:i w:val="0"/>
          <w:iCs w:val="0"/>
          <w:sz w:val="24"/>
          <w:szCs w:val="24"/>
        </w:rPr>
        <w:t>p.7 in the Task 1B Research Plan</w:t>
      </w:r>
      <w:r>
        <w:rPr>
          <w:i w:val="0"/>
          <w:iCs w:val="0"/>
          <w:sz w:val="24"/>
          <w:szCs w:val="24"/>
        </w:rPr>
        <w:t>.</w:t>
      </w:r>
    </w:p>
    <w:p w:rsidR="00A1581D" w:rsidP="00480B8D" w14:paraId="15322EDF" w14:textId="77777777">
      <w:pPr>
        <w:pStyle w:val="BodyText"/>
        <w:ind w:left="720"/>
        <w:rPr>
          <w:i w:val="0"/>
          <w:iCs w:val="0"/>
          <w:sz w:val="24"/>
          <w:szCs w:val="24"/>
        </w:rPr>
      </w:pPr>
    </w:p>
    <w:p w:rsidR="00A1581D" w:rsidP="00480B8D" w14:paraId="413CDC81" w14:textId="77777777">
      <w:pPr>
        <w:pStyle w:val="BodyText"/>
        <w:ind w:left="720"/>
        <w:rPr>
          <w:i w:val="0"/>
          <w:iCs w:val="0"/>
          <w:sz w:val="24"/>
          <w:szCs w:val="24"/>
        </w:rPr>
      </w:pPr>
      <w:r>
        <w:rPr>
          <w:i w:val="0"/>
          <w:iCs w:val="0"/>
          <w:sz w:val="24"/>
          <w:szCs w:val="24"/>
        </w:rPr>
        <w:t xml:space="preserve">At the end of the interview, program managers and directors will be asked if they would like to invite any of their staff members to participate in </w:t>
      </w:r>
      <w:r w:rsidRPr="007062C2">
        <w:rPr>
          <w:i w:val="0"/>
          <w:iCs w:val="0"/>
          <w:sz w:val="24"/>
          <w:szCs w:val="24"/>
        </w:rPr>
        <w:t xml:space="preserve">the </w:t>
      </w:r>
      <w:r>
        <w:rPr>
          <w:i w:val="0"/>
          <w:iCs w:val="0"/>
          <w:sz w:val="24"/>
          <w:szCs w:val="24"/>
        </w:rPr>
        <w:t>Practitione</w:t>
      </w:r>
      <w:r w:rsidRPr="007062C2">
        <w:rPr>
          <w:i w:val="0"/>
          <w:iCs w:val="0"/>
          <w:sz w:val="24"/>
          <w:szCs w:val="24"/>
        </w:rPr>
        <w:t xml:space="preserve">r Platform Study </w:t>
      </w:r>
      <w:r>
        <w:rPr>
          <w:i w:val="0"/>
          <w:iCs w:val="0"/>
          <w:sz w:val="24"/>
          <w:szCs w:val="24"/>
        </w:rPr>
        <w:t>(</w:t>
      </w:r>
      <w:r w:rsidRPr="007062C2">
        <w:rPr>
          <w:i w:val="0"/>
          <w:iCs w:val="0"/>
          <w:sz w:val="24"/>
          <w:szCs w:val="24"/>
        </w:rPr>
        <w:t>Task 1C</w:t>
      </w:r>
      <w:r>
        <w:rPr>
          <w:i w:val="0"/>
          <w:iCs w:val="0"/>
          <w:sz w:val="24"/>
          <w:szCs w:val="24"/>
        </w:rPr>
        <w:t xml:space="preserve">).  </w:t>
      </w:r>
      <w:r w:rsidRPr="007062C2">
        <w:rPr>
          <w:i w:val="0"/>
          <w:iCs w:val="0"/>
          <w:sz w:val="24"/>
          <w:szCs w:val="24"/>
        </w:rPr>
        <w:t xml:space="preserve">If so, </w:t>
      </w:r>
      <w:r w:rsidRPr="007062C2">
        <w:rPr>
          <w:i w:val="0"/>
          <w:iCs w:val="0"/>
          <w:sz w:val="24"/>
          <w:szCs w:val="24"/>
        </w:rPr>
        <w:t>Abt</w:t>
      </w:r>
      <w:r w:rsidRPr="007062C2">
        <w:rPr>
          <w:i w:val="0"/>
          <w:iCs w:val="0"/>
          <w:sz w:val="24"/>
          <w:szCs w:val="24"/>
        </w:rPr>
        <w:t xml:space="preserve"> will </w:t>
      </w:r>
      <w:r>
        <w:rPr>
          <w:i w:val="0"/>
          <w:iCs w:val="0"/>
          <w:sz w:val="24"/>
          <w:szCs w:val="24"/>
        </w:rPr>
        <w:t>send</w:t>
      </w:r>
      <w:r w:rsidRPr="007062C2">
        <w:rPr>
          <w:i w:val="0"/>
          <w:iCs w:val="0"/>
          <w:sz w:val="24"/>
          <w:szCs w:val="24"/>
        </w:rPr>
        <w:t xml:space="preserve"> the manager an email invitation to forward to</w:t>
      </w:r>
      <w:r>
        <w:rPr>
          <w:i w:val="0"/>
          <w:iCs w:val="0"/>
          <w:sz w:val="24"/>
          <w:szCs w:val="24"/>
        </w:rPr>
        <w:t xml:space="preserve"> the staff person.</w:t>
      </w:r>
    </w:p>
    <w:p w:rsidR="00A1581D" w:rsidRPr="00261107" w:rsidP="00480B8D" w14:paraId="56E4233E" w14:textId="77777777">
      <w:pPr>
        <w:pStyle w:val="BodyText"/>
        <w:ind w:left="720"/>
        <w:rPr>
          <w:i w:val="0"/>
          <w:iCs w:val="0"/>
          <w:sz w:val="24"/>
          <w:szCs w:val="24"/>
        </w:rPr>
      </w:pPr>
    </w:p>
    <w:p w:rsidR="007353C3" w:rsidRPr="00410F81" w:rsidP="007353C3" w14:paraId="7250C617"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w:t>
      </w:r>
      <w:r w:rsidRPr="00AB78E0">
        <w:rPr>
          <w:b/>
          <w:bCs/>
          <w:caps/>
        </w:rPr>
        <w:t xml:space="preserve">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007353C3" w:rsidRPr="008222BD" w:rsidP="007353C3" w14:paraId="7250C618" w14:textId="77777777">
      <w:pPr>
        <w:spacing w:before="12" w:line="260" w:lineRule="exact"/>
      </w:pPr>
    </w:p>
    <w:p w:rsidR="007353C3" w:rsidRPr="00713D29" w:rsidP="007353C3" w14:paraId="7250C619" w14:textId="61F4FCAA">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Pr="00DF5389" w:rsidR="00DF5389">
        <w:rPr>
          <w:b/>
          <w:bCs/>
        </w:rPr>
        <w:t>X</w:t>
      </w:r>
      <w:r w:rsidRPr="00713D29">
        <w:t>]</w:t>
      </w:r>
      <w:r w:rsidRPr="00713D29">
        <w:rPr>
          <w:spacing w:val="1"/>
        </w:rPr>
        <w:t xml:space="preserve"> </w:t>
      </w:r>
      <w:r w:rsidRPr="00713D29">
        <w:t>Y</w:t>
      </w:r>
      <w:r w:rsidRPr="00713D29">
        <w:rPr>
          <w:spacing w:val="-1"/>
        </w:rPr>
        <w:t>e</w:t>
      </w:r>
      <w:r w:rsidRPr="00713D29">
        <w:t>s  [</w:t>
      </w:r>
      <w:r w:rsidR="00170640">
        <w:rPr>
          <w:b/>
          <w:bCs/>
          <w:spacing w:val="-1"/>
        </w:rPr>
        <w:t xml:space="preserve">  </w:t>
      </w:r>
      <w:r w:rsidRPr="00713D29">
        <w:t>]</w:t>
      </w:r>
      <w:r w:rsidRPr="00713D29">
        <w:rPr>
          <w:spacing w:val="1"/>
        </w:rPr>
        <w:t xml:space="preserve"> </w:t>
      </w:r>
      <w:r w:rsidRPr="00713D29">
        <w:t>No</w:t>
      </w:r>
    </w:p>
    <w:p w:rsidR="007353C3" w:rsidP="007353C3" w14:paraId="7250C61A" w14:textId="1EBB3605">
      <w:pPr>
        <w:spacing w:before="16" w:line="260" w:lineRule="exact"/>
      </w:pPr>
    </w:p>
    <w:p w:rsidR="00A1581D" w:rsidRPr="00647A94" w:rsidP="008152AA" w14:paraId="5B6C6FB8" w14:textId="26005473">
      <w:pPr>
        <w:ind w:left="720"/>
        <w:rPr>
          <w:rFonts w:cstheme="minorHAnsi"/>
          <w:u w:val="single"/>
        </w:rPr>
      </w:pPr>
      <w:r w:rsidRPr="00647A94">
        <w:rPr>
          <w:rFonts w:cstheme="minorHAnsi"/>
          <w:u w:val="single"/>
        </w:rPr>
        <w:t>Platform Study:</w:t>
      </w:r>
    </w:p>
    <w:p w:rsidR="00A1581D" w:rsidRPr="00647A94" w:rsidP="008152AA" w14:paraId="1FFFEDBB" w14:textId="77777777">
      <w:pPr>
        <w:ind w:left="720"/>
        <w:rPr>
          <w:rFonts w:cstheme="minorHAnsi"/>
          <w:u w:val="single"/>
        </w:rPr>
      </w:pPr>
    </w:p>
    <w:p w:rsidR="009D45BA" w:rsidP="008152AA" w14:paraId="2C6A28E2" w14:textId="6A06BFFB">
      <w:pPr>
        <w:ind w:left="720"/>
        <w:rPr>
          <w:rFonts w:cstheme="minorHAnsi"/>
        </w:rPr>
      </w:pPr>
      <w:r>
        <w:rPr>
          <w:rFonts w:cstheme="minorHAnsi"/>
        </w:rPr>
        <w:t>Our expert panel will send survey invitations to their networks’ lists. Respondents to the survey invitation will provide their names, organizational affiliations, and email addresses.</w:t>
      </w:r>
    </w:p>
    <w:p w:rsidR="009D45BA" w:rsidP="009306E2" w14:paraId="5731E38B" w14:textId="77777777">
      <w:pPr>
        <w:rPr>
          <w:rFonts w:cstheme="minorHAnsi"/>
        </w:rPr>
      </w:pPr>
    </w:p>
    <w:p w:rsidR="009D45BA" w:rsidP="008152AA" w14:paraId="7EE0527E" w14:textId="5521D58F">
      <w:pPr>
        <w:ind w:left="720"/>
        <w:rPr>
          <w:rFonts w:cstheme="minorHAnsi"/>
        </w:rPr>
      </w:pPr>
      <w:r w:rsidRPr="001E5192">
        <w:rPr>
          <w:rFonts w:cstheme="minorHAnsi"/>
        </w:rPr>
        <w:t xml:space="preserve">The survey </w:t>
      </w:r>
      <w:r>
        <w:rPr>
          <w:rFonts w:cstheme="minorHAnsi"/>
        </w:rPr>
        <w:t xml:space="preserve">itself </w:t>
      </w:r>
      <w:r w:rsidRPr="001E5192">
        <w:rPr>
          <w:rFonts w:cstheme="minorHAnsi"/>
        </w:rPr>
        <w:t xml:space="preserve">does not </w:t>
      </w:r>
      <w:r>
        <w:rPr>
          <w:rFonts w:cstheme="minorHAnsi"/>
        </w:rPr>
        <w:t>collect</w:t>
      </w:r>
      <w:r w:rsidRPr="001E5192">
        <w:rPr>
          <w:rFonts w:cstheme="minorHAnsi"/>
        </w:rPr>
        <w:t xml:space="preserve"> </w:t>
      </w:r>
      <w:r>
        <w:rPr>
          <w:rFonts w:cstheme="minorHAnsi"/>
        </w:rPr>
        <w:t>personally</w:t>
      </w:r>
      <w:r w:rsidRPr="001E5192">
        <w:rPr>
          <w:rFonts w:cstheme="minorHAnsi"/>
        </w:rPr>
        <w:t xml:space="preserve"> identifying information. </w:t>
      </w:r>
    </w:p>
    <w:p w:rsidR="009D45BA" w:rsidP="008152AA" w14:paraId="17A400EB" w14:textId="77777777">
      <w:pPr>
        <w:ind w:left="720"/>
        <w:rPr>
          <w:rFonts w:cstheme="minorHAnsi"/>
        </w:rPr>
      </w:pPr>
    </w:p>
    <w:p w:rsidR="003039F6" w:rsidP="008152AA" w14:paraId="4218099E" w14:textId="0FA068AB">
      <w:pPr>
        <w:ind w:left="720"/>
      </w:pPr>
      <w:r>
        <w:rPr>
          <w:rFonts w:cstheme="minorHAnsi"/>
        </w:rPr>
        <w:t>At the end of the survey,</w:t>
      </w:r>
      <w:r w:rsidRPr="001E5192">
        <w:rPr>
          <w:rFonts w:cstheme="minorHAnsi"/>
        </w:rPr>
        <w:t xml:space="preserve"> </w:t>
      </w:r>
      <w:r w:rsidR="00E0344D">
        <w:rPr>
          <w:rFonts w:cstheme="minorHAnsi"/>
        </w:rPr>
        <w:t>practitioners</w:t>
      </w:r>
      <w:r w:rsidRPr="001E5192">
        <w:rPr>
          <w:rFonts w:cstheme="minorHAnsi"/>
        </w:rPr>
        <w:t xml:space="preserve"> who </w:t>
      </w:r>
      <w:r>
        <w:rPr>
          <w:rFonts w:cstheme="minorHAnsi"/>
        </w:rPr>
        <w:t>want to participate in the online community are asked to</w:t>
      </w:r>
      <w:r w:rsidRPr="001E5192">
        <w:rPr>
          <w:rFonts w:cstheme="minorHAnsi"/>
        </w:rPr>
        <w:t xml:space="preserve"> provide their name, email address, and professional </w:t>
      </w:r>
      <w:r>
        <w:rPr>
          <w:rFonts w:cstheme="minorHAnsi"/>
        </w:rPr>
        <w:t xml:space="preserve">and demographic </w:t>
      </w:r>
      <w:r w:rsidRPr="001E5192">
        <w:rPr>
          <w:rFonts w:cstheme="minorHAnsi"/>
        </w:rPr>
        <w:t>information</w:t>
      </w:r>
      <w:r>
        <w:rPr>
          <w:rFonts w:cstheme="minorHAnsi"/>
        </w:rPr>
        <w:t xml:space="preserve"> (and are notified that they may or may not be selected).</w:t>
      </w:r>
      <w:r w:rsidRPr="009B18F3">
        <w:t xml:space="preserve"> </w:t>
      </w:r>
    </w:p>
    <w:p w:rsidR="003039F6" w:rsidP="008152AA" w14:paraId="3ED7A719" w14:textId="77777777">
      <w:pPr>
        <w:ind w:left="720"/>
      </w:pPr>
    </w:p>
    <w:p w:rsidR="008152AA" w:rsidP="008152AA" w14:paraId="23A58D68" w14:textId="46B906D8">
      <w:pPr>
        <w:ind w:left="720"/>
      </w:pPr>
      <w:r>
        <w:t xml:space="preserve">The practitioners who are selected for the online community will be asked to </w:t>
      </w:r>
      <w:r w:rsidR="009024E0">
        <w:t>provide their email, username</w:t>
      </w:r>
      <w:r w:rsidR="00C86068">
        <w:t>,</w:t>
      </w:r>
      <w:r w:rsidR="009024E0">
        <w:t xml:space="preserve"> and password </w:t>
      </w:r>
      <w:r w:rsidR="009024E0">
        <w:t>in order to</w:t>
      </w:r>
      <w:r w:rsidR="009024E0">
        <w:t xml:space="preserve"> register.</w:t>
      </w:r>
    </w:p>
    <w:p w:rsidR="0042506C" w:rsidP="008152AA" w14:paraId="373305DB" w14:textId="3B7478CD">
      <w:pPr>
        <w:ind w:left="720"/>
      </w:pPr>
    </w:p>
    <w:p w:rsidR="0042506C" w:rsidP="0042506C" w14:paraId="2507AC36" w14:textId="11195737">
      <w:pPr>
        <w:ind w:left="720"/>
      </w:pPr>
      <w:r w:rsidRPr="00170D9C">
        <w:t xml:space="preserve">All </w:t>
      </w:r>
      <w:r w:rsidRPr="001324F1">
        <w:t xml:space="preserve">direct-identifying PII will be removed during data analysis. Accidentally disclosed client PII will be removed from the data.  </w:t>
      </w:r>
      <w:r>
        <w:t>For each participant, responses will be linked during data collection and analysis via unique study ID number. The unique study ID number will contain no direct identifiers or personally identifiable information.</w:t>
      </w:r>
    </w:p>
    <w:p w:rsidR="0042506C" w:rsidP="008152AA" w14:paraId="7E4B2CEE" w14:textId="77AC56FE">
      <w:pPr>
        <w:ind w:left="720"/>
      </w:pPr>
    </w:p>
    <w:p w:rsidR="0042506C" w:rsidP="00602D96" w14:paraId="6BB43D42" w14:textId="260E0FE6">
      <w:pPr>
        <w:ind w:left="720"/>
        <w:rPr>
          <w:sz w:val="26"/>
          <w:szCs w:val="26"/>
        </w:rPr>
      </w:pPr>
      <w:r w:rsidRPr="008119B1">
        <w:t>CFPB will be provided aggregate data stripped of direct identifying PII. Any PII collected in conducting the study will be appropriately protected and stored in a secure location.</w:t>
      </w:r>
    </w:p>
    <w:p w:rsidR="0042506C" w:rsidP="008152AA" w14:paraId="299246D6" w14:textId="77777777">
      <w:pPr>
        <w:ind w:left="720"/>
      </w:pPr>
    </w:p>
    <w:p w:rsidR="001216BF" w:rsidP="00602D96" w14:paraId="7A0A66B3" w14:textId="75B4871B">
      <w:pPr>
        <w:ind w:left="720"/>
      </w:pPr>
      <w:r w:rsidRPr="001324F1">
        <w:t xml:space="preserve">Results will be shared with CFPB as aggregate data only, highlighting broad themes about the Five Principles and financial education practices.  </w:t>
      </w:r>
      <w:r w:rsidR="00A8586D">
        <w:t>All</w:t>
      </w:r>
      <w:r w:rsidRPr="001324F1">
        <w:t xml:space="preserve"> client </w:t>
      </w:r>
      <w:r w:rsidR="00A8586D">
        <w:t>and practitioner</w:t>
      </w:r>
      <w:r w:rsidRPr="001324F1">
        <w:t xml:space="preserve"> data will be deidentified.</w:t>
      </w:r>
      <w:r w:rsidRPr="0054239F">
        <w:t xml:space="preserve">  </w:t>
      </w:r>
    </w:p>
    <w:p w:rsidR="00A1581D" w:rsidP="00602D96" w14:paraId="29B01404" w14:textId="62FCA502">
      <w:pPr>
        <w:ind w:left="720"/>
      </w:pPr>
    </w:p>
    <w:p w:rsidR="00A1581D" w:rsidRPr="00647A94" w:rsidP="00602D96" w14:paraId="1153297A" w14:textId="74016121">
      <w:pPr>
        <w:ind w:left="720"/>
        <w:rPr>
          <w:u w:val="single"/>
        </w:rPr>
      </w:pPr>
      <w:r w:rsidRPr="00647A94">
        <w:rPr>
          <w:u w:val="single"/>
        </w:rPr>
        <w:t>Program Review:</w:t>
      </w:r>
    </w:p>
    <w:p w:rsidR="00A1581D" w:rsidRPr="00647A94" w:rsidP="00602D96" w14:paraId="73F81A0F" w14:textId="100CA105">
      <w:pPr>
        <w:ind w:left="720"/>
        <w:rPr>
          <w:u w:val="single"/>
        </w:rPr>
      </w:pPr>
    </w:p>
    <w:p w:rsidR="00A1581D" w:rsidP="00480B8D" w14:paraId="0F16649D" w14:textId="77777777">
      <w:pPr>
        <w:ind w:left="720"/>
      </w:pPr>
      <w:r>
        <w:rPr>
          <w:rFonts w:cstheme="minorHAnsi"/>
        </w:rPr>
        <w:t>Abt</w:t>
      </w:r>
      <w:r>
        <w:rPr>
          <w:rFonts w:cstheme="minorHAnsi"/>
        </w:rPr>
        <w:t xml:space="preserve"> Associates will </w:t>
      </w:r>
      <w:r w:rsidRPr="001E5192">
        <w:rPr>
          <w:rFonts w:cstheme="minorHAnsi"/>
        </w:rPr>
        <w:t xml:space="preserve">compile the names, </w:t>
      </w:r>
      <w:r>
        <w:rPr>
          <w:rFonts w:cstheme="minorHAnsi"/>
        </w:rPr>
        <w:t xml:space="preserve">organizational </w:t>
      </w:r>
      <w:r w:rsidRPr="001E5192">
        <w:rPr>
          <w:rFonts w:cstheme="minorHAnsi"/>
        </w:rPr>
        <w:t>affiliations, and email address</w:t>
      </w:r>
      <w:r>
        <w:rPr>
          <w:rFonts w:cstheme="minorHAnsi"/>
        </w:rPr>
        <w:t>es</w:t>
      </w:r>
      <w:r w:rsidRPr="001E5192">
        <w:rPr>
          <w:rFonts w:cstheme="minorHAnsi"/>
        </w:rPr>
        <w:t xml:space="preserve"> of </w:t>
      </w:r>
      <w:r>
        <w:rPr>
          <w:rFonts w:cstheme="minorHAnsi"/>
        </w:rPr>
        <w:t>program directors and managers</w:t>
      </w:r>
      <w:r w:rsidRPr="001E5192">
        <w:rPr>
          <w:rFonts w:cstheme="minorHAnsi"/>
        </w:rPr>
        <w:t xml:space="preserve"> </w:t>
      </w:r>
      <w:r>
        <w:rPr>
          <w:rFonts w:cstheme="minorHAnsi"/>
        </w:rPr>
        <w:t>who reply to the interview invitations.</w:t>
      </w:r>
      <w:r>
        <w:t xml:space="preserve"> </w:t>
      </w:r>
    </w:p>
    <w:p w:rsidR="00A1581D" w:rsidP="00A1581D" w14:paraId="691E837F" w14:textId="77777777">
      <w:pPr>
        <w:rPr>
          <w:rFonts w:ascii="Calibri" w:hAnsi="Calibri" w:cs="Calibri"/>
        </w:rPr>
      </w:pPr>
    </w:p>
    <w:p w:rsidR="00A1581D" w:rsidRPr="007B53E8" w:rsidP="00480B8D" w14:paraId="52A77C46" w14:textId="77777777">
      <w:pPr>
        <w:ind w:left="720"/>
      </w:pPr>
      <w:r w:rsidRPr="00170D9C">
        <w:t xml:space="preserve">All </w:t>
      </w:r>
      <w:r w:rsidRPr="001324F1">
        <w:t xml:space="preserve">direct-identifying PII will be removed during data analysis. Accidentally disclosed client </w:t>
      </w:r>
      <w:r>
        <w:t xml:space="preserve">or practitioner </w:t>
      </w:r>
      <w:r w:rsidRPr="001324F1">
        <w:t xml:space="preserve">PII will be removed from the data.  </w:t>
      </w:r>
      <w:r w:rsidRPr="008119B1">
        <w:t>CFPB will be provided aggregate data stripped of direct identifying PII. Any PII collected in conducting the study will be appropriately protected and stored in a secure location.</w:t>
      </w:r>
    </w:p>
    <w:p w:rsidR="00A1581D" w:rsidRPr="00B95F18" w:rsidP="00A1581D" w14:paraId="7E575ACC" w14:textId="77777777">
      <w:pPr>
        <w:ind w:left="450"/>
      </w:pPr>
    </w:p>
    <w:p w:rsidR="00A1581D" w:rsidP="00A1581D" w14:paraId="4F8A0220" w14:textId="78434E59">
      <w:pPr>
        <w:ind w:left="720"/>
      </w:pPr>
      <w:r w:rsidRPr="00B95F18">
        <w:t xml:space="preserve">Results will be shared with CFPB as aggregate data only, highlighting broad themes about the Five Principles and financial education practices.  Results will contain no client or practitioner data. </w:t>
      </w:r>
      <w:r>
        <w:t xml:space="preserve"> </w:t>
      </w:r>
      <w:r w:rsidRPr="00B95F18">
        <w:t>Interviewee data will be deidentified.</w:t>
      </w:r>
    </w:p>
    <w:p w:rsidR="00C37176" w:rsidRPr="008222BD" w:rsidP="00C37176" w14:paraId="19A15F17" w14:textId="77777777">
      <w:pPr>
        <w:spacing w:before="16" w:line="260" w:lineRule="exact"/>
        <w:ind w:left="720"/>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199D5307">
      <w:pPr>
        <w:widowControl w:val="0"/>
        <w:ind w:right="-20" w:firstLine="720"/>
      </w:pPr>
      <w:r w:rsidRPr="00713D29">
        <w:t>[</w:t>
      </w:r>
      <w:r w:rsidRPr="00170640" w:rsidR="00170640">
        <w:rPr>
          <w:b/>
          <w:bCs/>
        </w:rPr>
        <w:t>X</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w:t>
      </w:r>
      <w:r w:rsidR="00170640">
        <w:t xml:space="preserve">  </w:t>
      </w:r>
      <w:r w:rsidRPr="00713D29" w:rsidR="00D6490E">
        <w:t>]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30FAB7F0">
      <w:pPr>
        <w:ind w:left="220" w:right="-20" w:firstLine="500"/>
      </w:pPr>
      <w:r w:rsidRPr="00410F81">
        <w:t>[</w:t>
      </w:r>
      <w:r w:rsidRPr="00170640" w:rsidR="00170640">
        <w:rPr>
          <w:b/>
          <w:bCs/>
          <w:spacing w:val="59"/>
        </w:rPr>
        <w:t>X</w:t>
      </w:r>
      <w:r w:rsidRPr="00713D29">
        <w:t>]</w:t>
      </w:r>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w:t>
      </w:r>
      <w:r w:rsidR="008A3C5E">
        <w:t xml:space="preserve"> </w:t>
      </w:r>
      <w:r w:rsidRPr="00713D29">
        <w:t>]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8635FB" w:rsidP="00671686" w14:paraId="7250C622" w14:textId="421366C1">
      <w:pPr>
        <w:ind w:left="220" w:right="-20" w:firstLine="500"/>
      </w:pPr>
      <w:r>
        <w:t>Title: _</w:t>
      </w:r>
      <w:r w:rsidRPr="00A56972" w:rsidR="00A56972">
        <w:rPr>
          <w:rStyle w:val="normaltextrun"/>
          <w:sz w:val="22"/>
          <w:szCs w:val="22"/>
          <w:u w:val="single"/>
        </w:rPr>
        <w:t>CFPB.021 – CFPB Consumer Education and Engagement Records</w:t>
      </w:r>
      <w:r w:rsidR="00A56972">
        <w:t xml:space="preserve"> </w:t>
      </w:r>
    </w:p>
    <w:p w:rsidR="00671686" w:rsidRPr="00713D29" w:rsidP="00671686" w14:paraId="7250C623" w14:textId="76ABBDAA">
      <w:pPr>
        <w:ind w:left="220" w:right="-20" w:firstLine="500"/>
      </w:pPr>
      <w:r>
        <w:t xml:space="preserve">__ FR </w:t>
      </w:r>
      <w:r w:rsidRPr="00713D29" w:rsidR="000702CE">
        <w:t>__</w:t>
      </w:r>
      <w:r w:rsidR="007874EA">
        <w:rPr>
          <w:u w:val="single"/>
        </w:rPr>
        <w:t xml:space="preserve"> </w:t>
      </w:r>
      <w:r w:rsidR="007874EA">
        <w:t xml:space="preserve">85 FR </w:t>
      </w:r>
      <w:r w:rsidRPr="00215655" w:rsidR="007874EA">
        <w:t>3662</w:t>
      </w:r>
      <w:r w:rsidR="007874EA">
        <w:t xml:space="preserve"> </w:t>
      </w:r>
      <w:r w:rsidRPr="00713D29" w:rsidR="000702CE">
        <w:t>_______</w:t>
      </w:r>
      <w:r w:rsidRPr="00713D29">
        <w:t>_______________.</w:t>
      </w:r>
    </w:p>
    <w:p w:rsidR="00D6490E" w:rsidRPr="00713D29" w:rsidP="007353C3" w14:paraId="7250C624" w14:textId="77777777">
      <w:pPr>
        <w:ind w:left="220" w:right="-20" w:firstLine="500"/>
      </w:pPr>
    </w:p>
    <w:p w:rsidR="007353C3" w:rsidP="00D6490E" w14:paraId="7250C625" w14:textId="35981D6B">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r w:rsidR="00481D77">
        <w:t xml:space="preserve"> </w:t>
      </w:r>
    </w:p>
    <w:p w:rsidR="00215472" w:rsidRPr="008222BD" w:rsidP="00215472" w14:paraId="4785A964" w14:textId="0248F6B2">
      <w:pPr>
        <w:pStyle w:val="ListParagraph"/>
        <w:spacing w:before="1" w:line="280" w:lineRule="exact"/>
        <w:ind w:left="820"/>
      </w:pPr>
      <w:r w:rsidRPr="00215472">
        <w:t>https://files.consumerfinance.gov/f/201409_cfpb_consumer-education_pia.pdf</w:t>
      </w:r>
    </w:p>
    <w:p w:rsidR="007353C3" w:rsidRPr="008222BD" w:rsidP="007353C3" w14:paraId="7250C626" w14:textId="77777777">
      <w:pPr>
        <w:spacing w:before="1" w:line="280" w:lineRule="exact"/>
      </w:pPr>
    </w:p>
    <w:p w:rsidR="007353C3" w:rsidRPr="00410F81" w:rsidP="00C73B5D" w14:paraId="7250C627"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007353C3" w:rsidRPr="008222BD" w:rsidP="007353C3" w14:paraId="7250C628" w14:textId="77777777">
      <w:pPr>
        <w:spacing w:before="11" w:line="260" w:lineRule="exact"/>
      </w:pPr>
    </w:p>
    <w:p w:rsidR="007353C3" w:rsidRPr="00713D29" w:rsidP="007353C3" w14:paraId="7250C629" w14:textId="2A2E21EA">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Pr="00CA6AD4" w:rsidR="00D02B12">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P="007353C3" w14:paraId="7250C62B" w14:textId="78E7E300">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w:t>
      </w:r>
      <w:r w:rsidR="00D02B12">
        <w:t xml:space="preserve"> </w:t>
      </w:r>
      <w:r w:rsidR="00815E90">
        <w:t xml:space="preserve"> </w:t>
      </w:r>
      <w:r w:rsidRPr="00AF46FF">
        <w:rPr>
          <w:u w:val="single"/>
        </w:rPr>
        <w:t>$</w:t>
      </w:r>
      <w:r w:rsidRPr="00AF46FF" w:rsidR="00AF46FF">
        <w:rPr>
          <w:u w:val="single"/>
        </w:rPr>
        <w:t>50 minimum/$125 maximum</w:t>
      </w:r>
      <w:r w:rsidRPr="00410F81">
        <w:t>.</w:t>
      </w:r>
    </w:p>
    <w:p w:rsidR="00D02B12" w:rsidP="00D02B12" w14:paraId="6AC17696" w14:textId="36034A9B">
      <w:pPr>
        <w:pStyle w:val="ListParagraph"/>
      </w:pPr>
    </w:p>
    <w:p w:rsidR="00312918" w:rsidRPr="004D5F7C" w:rsidP="00741CA6" w14:paraId="74CF8260" w14:textId="4C0F655B">
      <w:pPr>
        <w:pStyle w:val="BodyText"/>
        <w:rPr>
          <w:i w:val="0"/>
          <w:iCs w:val="0"/>
          <w:sz w:val="24"/>
          <w:szCs w:val="24"/>
        </w:rPr>
      </w:pPr>
      <w:r w:rsidRPr="00741CA6">
        <w:rPr>
          <w:i w:val="0"/>
          <w:iCs w:val="0"/>
          <w:sz w:val="24"/>
          <w:szCs w:val="24"/>
        </w:rPr>
        <w:t>There is no monetary incentive to complete the survey.</w:t>
      </w:r>
      <w:r w:rsidRPr="00741CA6" w:rsidR="00683B81">
        <w:rPr>
          <w:i w:val="0"/>
          <w:iCs w:val="0"/>
          <w:sz w:val="24"/>
          <w:szCs w:val="24"/>
        </w:rPr>
        <w:t xml:space="preserve">  However,</w:t>
      </w:r>
      <w:r w:rsidR="00741CA6">
        <w:rPr>
          <w:i w:val="0"/>
          <w:iCs w:val="0"/>
          <w:sz w:val="24"/>
          <w:szCs w:val="24"/>
        </w:rPr>
        <w:t xml:space="preserve"> </w:t>
      </w:r>
      <w:r w:rsidRPr="00741CA6" w:rsidR="00683B81">
        <w:rPr>
          <w:i w:val="0"/>
          <w:iCs w:val="0"/>
          <w:sz w:val="24"/>
          <w:szCs w:val="24"/>
        </w:rPr>
        <w:t>i</w:t>
      </w:r>
      <w:r w:rsidRPr="00741CA6">
        <w:rPr>
          <w:i w:val="0"/>
          <w:iCs w:val="0"/>
          <w:sz w:val="24"/>
          <w:szCs w:val="24"/>
        </w:rPr>
        <w:t xml:space="preserve">ncentives will be provided </w:t>
      </w:r>
      <w:r w:rsidRPr="00741CA6" w:rsidR="00734A7C">
        <w:rPr>
          <w:i w:val="0"/>
          <w:iCs w:val="0"/>
          <w:sz w:val="24"/>
          <w:szCs w:val="24"/>
        </w:rPr>
        <w:t>in order to</w:t>
      </w:r>
      <w:r w:rsidRPr="00741CA6" w:rsidR="00734A7C">
        <w:rPr>
          <w:i w:val="0"/>
          <w:iCs w:val="0"/>
          <w:sz w:val="24"/>
          <w:szCs w:val="24"/>
        </w:rPr>
        <w:t xml:space="preserve"> </w:t>
      </w:r>
      <w:r w:rsidRPr="00741CA6">
        <w:rPr>
          <w:i w:val="0"/>
          <w:iCs w:val="0"/>
          <w:sz w:val="24"/>
          <w:szCs w:val="24"/>
        </w:rPr>
        <w:t xml:space="preserve">improve the likelihood of participating </w:t>
      </w:r>
      <w:r w:rsidRPr="00741CA6" w:rsidR="00D071B9">
        <w:rPr>
          <w:i w:val="0"/>
          <w:iCs w:val="0"/>
          <w:sz w:val="24"/>
          <w:szCs w:val="24"/>
        </w:rPr>
        <w:t>in</w:t>
      </w:r>
      <w:r w:rsidRPr="00741CA6">
        <w:rPr>
          <w:i w:val="0"/>
          <w:iCs w:val="0"/>
          <w:sz w:val="24"/>
          <w:szCs w:val="24"/>
        </w:rPr>
        <w:t xml:space="preserve"> the </w:t>
      </w:r>
      <w:r w:rsidRPr="00741CA6" w:rsidR="00D071B9">
        <w:rPr>
          <w:i w:val="0"/>
          <w:iCs w:val="0"/>
          <w:sz w:val="24"/>
          <w:szCs w:val="24"/>
        </w:rPr>
        <w:t>“online community” discussions</w:t>
      </w:r>
      <w:r w:rsidRPr="00741CA6" w:rsidR="00AF46FF">
        <w:rPr>
          <w:i w:val="0"/>
          <w:iCs w:val="0"/>
          <w:sz w:val="24"/>
          <w:szCs w:val="24"/>
        </w:rPr>
        <w:t>, per standard research practice</w:t>
      </w:r>
      <w:r w:rsidRPr="00741CA6">
        <w:rPr>
          <w:i w:val="0"/>
          <w:iCs w:val="0"/>
          <w:sz w:val="24"/>
          <w:szCs w:val="24"/>
        </w:rPr>
        <w:t xml:space="preserve">. Participants will receive $50 for completing onboarding to the </w:t>
      </w:r>
      <w:r w:rsidRPr="00741CA6" w:rsidR="00D071B9">
        <w:rPr>
          <w:i w:val="0"/>
          <w:iCs w:val="0"/>
          <w:sz w:val="24"/>
          <w:szCs w:val="24"/>
        </w:rPr>
        <w:t>“</w:t>
      </w:r>
      <w:r w:rsidRPr="00741CA6">
        <w:rPr>
          <w:i w:val="0"/>
          <w:iCs w:val="0"/>
          <w:sz w:val="24"/>
          <w:szCs w:val="24"/>
        </w:rPr>
        <w:t>online community</w:t>
      </w:r>
      <w:r w:rsidRPr="00741CA6" w:rsidR="00D071B9">
        <w:rPr>
          <w:i w:val="0"/>
          <w:iCs w:val="0"/>
          <w:sz w:val="24"/>
          <w:szCs w:val="24"/>
        </w:rPr>
        <w:t>”</w:t>
      </w:r>
      <w:r w:rsidRPr="00741CA6">
        <w:rPr>
          <w:i w:val="0"/>
          <w:iCs w:val="0"/>
          <w:sz w:val="24"/>
          <w:szCs w:val="24"/>
        </w:rPr>
        <w:t xml:space="preserve">, and $50 at the end of the </w:t>
      </w:r>
      <w:r w:rsidRPr="00741CA6" w:rsidR="00D071B9">
        <w:rPr>
          <w:i w:val="0"/>
          <w:iCs w:val="0"/>
          <w:sz w:val="24"/>
          <w:szCs w:val="24"/>
        </w:rPr>
        <w:t>“</w:t>
      </w:r>
      <w:r w:rsidRPr="00741CA6">
        <w:rPr>
          <w:i w:val="0"/>
          <w:iCs w:val="0"/>
          <w:sz w:val="24"/>
          <w:szCs w:val="24"/>
        </w:rPr>
        <w:t>online community</w:t>
      </w:r>
      <w:r w:rsidRPr="00741CA6" w:rsidR="00D071B9">
        <w:rPr>
          <w:i w:val="0"/>
          <w:iCs w:val="0"/>
          <w:sz w:val="24"/>
          <w:szCs w:val="24"/>
        </w:rPr>
        <w:t>”</w:t>
      </w:r>
      <w:r w:rsidRPr="00741CA6">
        <w:rPr>
          <w:i w:val="0"/>
          <w:iCs w:val="0"/>
          <w:sz w:val="24"/>
          <w:szCs w:val="24"/>
        </w:rPr>
        <w:t xml:space="preserve"> if they complete the exit poll. We will also distribute </w:t>
      </w:r>
      <w:r w:rsidRPr="00741CA6" w:rsidR="00B0696A">
        <w:rPr>
          <w:i w:val="0"/>
          <w:iCs w:val="0"/>
          <w:sz w:val="24"/>
          <w:szCs w:val="24"/>
        </w:rPr>
        <w:t xml:space="preserve">bonus </w:t>
      </w:r>
      <w:r w:rsidRPr="00741CA6">
        <w:rPr>
          <w:i w:val="0"/>
          <w:iCs w:val="0"/>
          <w:sz w:val="24"/>
          <w:szCs w:val="24"/>
        </w:rPr>
        <w:t xml:space="preserve">incentives randomly to participants who log </w:t>
      </w:r>
      <w:r w:rsidRPr="00741CA6">
        <w:rPr>
          <w:i w:val="0"/>
          <w:iCs w:val="0"/>
          <w:sz w:val="24"/>
          <w:szCs w:val="24"/>
        </w:rPr>
        <w:t>i</w:t>
      </w:r>
      <w:r w:rsidRPr="00741CA6">
        <w:rPr>
          <w:i w:val="0"/>
          <w:iCs w:val="0"/>
          <w:sz w:val="24"/>
          <w:szCs w:val="24"/>
        </w:rPr>
        <w:t xml:space="preserve">n on a specific day (e.g., 10 random users get $25 on a certain day). </w:t>
      </w:r>
      <w:r w:rsidRPr="00741CA6" w:rsidR="00D071B9">
        <w:rPr>
          <w:i w:val="0"/>
          <w:iCs w:val="0"/>
          <w:sz w:val="24"/>
          <w:szCs w:val="24"/>
        </w:rPr>
        <w:t xml:space="preserve">Participants can be awarded one </w:t>
      </w:r>
      <w:r w:rsidRPr="00741CA6" w:rsidR="00B0696A">
        <w:rPr>
          <w:i w:val="0"/>
          <w:iCs w:val="0"/>
          <w:sz w:val="24"/>
          <w:szCs w:val="24"/>
        </w:rPr>
        <w:t>bonus</w:t>
      </w:r>
      <w:r w:rsidRPr="00741CA6" w:rsidR="00D071B9">
        <w:rPr>
          <w:i w:val="0"/>
          <w:iCs w:val="0"/>
          <w:sz w:val="24"/>
          <w:szCs w:val="24"/>
        </w:rPr>
        <w:t xml:space="preserve"> ($25) incentive at most.  </w:t>
      </w:r>
      <w:r w:rsidRPr="00741CA6">
        <w:rPr>
          <w:i w:val="0"/>
          <w:iCs w:val="0"/>
          <w:sz w:val="24"/>
          <w:szCs w:val="24"/>
        </w:rPr>
        <w:t>Maximum participant incentive is $125</w:t>
      </w:r>
      <w:r w:rsidRPr="004D5F7C">
        <w:rPr>
          <w:i w:val="0"/>
          <w:iCs w:val="0"/>
          <w:sz w:val="24"/>
          <w:szCs w:val="24"/>
        </w:rPr>
        <w:t xml:space="preserve">. </w:t>
      </w:r>
    </w:p>
    <w:p w:rsidR="007353C3" w:rsidRPr="00713D29" w:rsidP="007353C3" w14:paraId="7250C62C" w14:textId="77777777">
      <w:pPr>
        <w:pStyle w:val="ListParagraph"/>
      </w:pPr>
    </w:p>
    <w:p w:rsidR="00F8707B" w:rsidRPr="00410F81" w:rsidP="008C4E6C" w14:paraId="7250C62D" w14:textId="77777777">
      <w:pPr>
        <w:pStyle w:val="ListParagraph"/>
        <w:numPr>
          <w:ilvl w:val="0"/>
          <w:numId w:val="25"/>
        </w:numPr>
      </w:pPr>
      <w:r w:rsidRPr="00410F81">
        <w:rPr>
          <w:b/>
          <w:caps/>
        </w:rPr>
        <w:t>Assurances of Confidentiality</w:t>
      </w:r>
      <w:r w:rsidRPr="008222BD">
        <w:t>:</w:t>
      </w:r>
    </w:p>
    <w:p w:rsidR="008C4E6C" w:rsidRPr="00713D29" w:rsidP="008C4E6C" w14:paraId="7250C62E" w14:textId="77777777"/>
    <w:p w:rsidR="00F8707B" w:rsidRPr="00713D29" w:rsidP="008C4E6C" w14:paraId="7250C62F" w14:textId="55D6B98C">
      <w:pPr>
        <w:pStyle w:val="ListParagraph"/>
        <w:numPr>
          <w:ilvl w:val="0"/>
          <w:numId w:val="28"/>
        </w:numPr>
      </w:pPr>
      <w:r w:rsidRPr="00713D29">
        <w:t xml:space="preserve">Will a pledge of confidentiality be made to respondents? </w:t>
      </w:r>
      <w:r w:rsidRPr="00713D29">
        <w:t>[  ]</w:t>
      </w:r>
      <w:r w:rsidRPr="00713D29">
        <w:t xml:space="preserve"> Yes  [</w:t>
      </w:r>
      <w:r w:rsidR="00CA6AD4">
        <w:t>X</w:t>
      </w:r>
      <w:r w:rsidRPr="00713D29">
        <w:t>] No</w:t>
      </w:r>
    </w:p>
    <w:p w:rsidR="00F8707B" w:rsidRPr="00713D29" w:rsidP="00F8707B" w14:paraId="7250C630" w14:textId="77777777">
      <w:pPr>
        <w:pStyle w:val="ListParagraph"/>
        <w:ind w:left="360"/>
      </w:pPr>
    </w:p>
    <w:p w:rsidR="00F8707B" w:rsidRPr="00713D29" w:rsidP="008C4E6C"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F8707B" w:rsidRPr="00713D29" w:rsidP="00F8707B" w14:paraId="7250C632" w14:textId="77777777"/>
    <w:p w:rsidR="00F8707B" w:rsidRPr="008222BD" w:rsidP="008C4E6C" w14:paraId="7250C633" w14:textId="445E43F8">
      <w:pPr>
        <w:pStyle w:val="ListParagraph"/>
        <w:numPr>
          <w:ilvl w:val="0"/>
          <w:numId w:val="25"/>
        </w:numPr>
      </w:pPr>
      <w:r w:rsidRPr="00AB78E0">
        <w:rPr>
          <w:b/>
        </w:rPr>
        <w:t>JUSTIFICATION OF SENSITIVE QUESTIONS (if applicable)</w:t>
      </w:r>
      <w:r w:rsidRPr="008222BD">
        <w:t>:</w:t>
      </w:r>
      <w:r w:rsidR="00CA6AD4">
        <w:t xml:space="preserve"> Not applicable</w:t>
      </w:r>
    </w:p>
    <w:p w:rsidR="00F8707B" w:rsidP="00F8707B" w14:paraId="7250C634" w14:textId="4A8119A0"/>
    <w:p w:rsidR="00CF2056" w:rsidP="00F8707B" w14:paraId="55C0E00C" w14:textId="63600CCA"/>
    <w:p w:rsidR="00CF2056" w:rsidP="00F8707B" w14:paraId="76D798D1" w14:textId="480E784C"/>
    <w:p w:rsidR="00CF2056" w:rsidP="00F8707B" w14:paraId="6E29C483" w14:textId="5364CBAD"/>
    <w:p w:rsidR="00CF2056" w:rsidP="00F8707B" w14:paraId="5CE68FE0" w14:textId="142A7106"/>
    <w:p w:rsidR="00CF2056" w:rsidP="00F8707B" w14:paraId="3B3EB531" w14:textId="6FB9F39C"/>
    <w:p w:rsidR="00CF2056" w:rsidP="00F8707B" w14:paraId="4BC3AD91" w14:textId="2CE6844B"/>
    <w:p w:rsidR="00CF2056" w:rsidP="00F8707B" w14:paraId="226E0B50" w14:textId="72B4BC46"/>
    <w:p w:rsidR="00CF2056" w:rsidRPr="008222BD" w:rsidP="00F8707B" w14:paraId="1AA7BCD2" w14:textId="77777777"/>
    <w:p w:rsidR="005E714A" w:rsidRPr="008222BD" w:rsidP="008C4E6C" w14:paraId="7250C635"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584072" w:rsidP="00C8488C" w14:paraId="7250C637" w14:textId="77777777">
            <w:pPr>
              <w:rPr>
                <w:b/>
              </w:rPr>
            </w:pPr>
            <w:r w:rsidRPr="00584072">
              <w:rPr>
                <w:b/>
              </w:rPr>
              <w:t>Collection of Information</w:t>
            </w:r>
          </w:p>
        </w:tc>
        <w:tc>
          <w:tcPr>
            <w:tcW w:w="1800" w:type="dxa"/>
            <w:shd w:val="clear" w:color="auto" w:fill="D9D9D9" w:themeFill="background1" w:themeFillShade="D9"/>
          </w:tcPr>
          <w:p w:rsidR="004564BF" w:rsidRPr="00584072" w:rsidP="00AC7F7A" w14:paraId="7250C638" w14:textId="77777777">
            <w:pPr>
              <w:jc w:val="center"/>
              <w:rPr>
                <w:b/>
              </w:rPr>
            </w:pPr>
            <w:r w:rsidRPr="00584072">
              <w:rPr>
                <w:b/>
              </w:rPr>
              <w:t>Number of Respondents</w:t>
            </w:r>
          </w:p>
        </w:tc>
        <w:tc>
          <w:tcPr>
            <w:tcW w:w="1350" w:type="dxa"/>
            <w:shd w:val="clear" w:color="auto" w:fill="D9D9D9" w:themeFill="background1" w:themeFillShade="D9"/>
          </w:tcPr>
          <w:p w:rsidR="004564BF" w:rsidRPr="00584072" w:rsidP="00AC7F7A" w14:paraId="7250C639" w14:textId="77777777">
            <w:pPr>
              <w:jc w:val="center"/>
              <w:rPr>
                <w:b/>
              </w:rPr>
            </w:pPr>
            <w:r w:rsidRPr="00584072">
              <w:rPr>
                <w:b/>
              </w:rPr>
              <w:t>Frequency</w:t>
            </w:r>
          </w:p>
        </w:tc>
        <w:tc>
          <w:tcPr>
            <w:tcW w:w="1350" w:type="dxa"/>
            <w:shd w:val="clear" w:color="auto" w:fill="D9D9D9" w:themeFill="background1" w:themeFillShade="D9"/>
          </w:tcPr>
          <w:p w:rsidR="004564BF" w:rsidRPr="00584072" w:rsidP="00AC7F7A" w14:paraId="7250C63A" w14:textId="77777777">
            <w:pPr>
              <w:jc w:val="center"/>
              <w:rPr>
                <w:b/>
              </w:rPr>
            </w:pPr>
            <w:r w:rsidRPr="00584072">
              <w:rPr>
                <w:b/>
              </w:rPr>
              <w:t>Number of Responses</w:t>
            </w:r>
          </w:p>
        </w:tc>
        <w:tc>
          <w:tcPr>
            <w:tcW w:w="1440" w:type="dxa"/>
            <w:shd w:val="clear" w:color="auto" w:fill="D9D9D9" w:themeFill="background1" w:themeFillShade="D9"/>
          </w:tcPr>
          <w:p w:rsidR="004564BF" w:rsidRPr="00584072" w:rsidP="00AC7F7A" w14:paraId="7250C63B" w14:textId="77777777">
            <w:pPr>
              <w:jc w:val="center"/>
              <w:rPr>
                <w:b/>
              </w:rPr>
            </w:pPr>
            <w:r w:rsidRPr="00584072">
              <w:rPr>
                <w:b/>
              </w:rPr>
              <w:t>Response Time</w:t>
            </w:r>
          </w:p>
          <w:p w:rsidR="004564BF" w:rsidRPr="00584072" w:rsidP="00AC7F7A" w14:paraId="7250C63C" w14:textId="77777777">
            <w:pPr>
              <w:jc w:val="center"/>
              <w:rPr>
                <w:b/>
              </w:rPr>
            </w:pPr>
            <w:r w:rsidRPr="00584072">
              <w:rPr>
                <w:b/>
              </w:rPr>
              <w:t>(hours)</w:t>
            </w:r>
          </w:p>
        </w:tc>
        <w:tc>
          <w:tcPr>
            <w:tcW w:w="1530" w:type="dxa"/>
            <w:shd w:val="clear" w:color="auto" w:fill="D9D9D9" w:themeFill="background1" w:themeFillShade="D9"/>
          </w:tcPr>
          <w:p w:rsidR="004564BF" w:rsidRPr="00584072" w:rsidP="00AC7F7A" w14:paraId="7250C63D" w14:textId="77777777">
            <w:pPr>
              <w:jc w:val="center"/>
              <w:rPr>
                <w:b/>
              </w:rPr>
            </w:pPr>
            <w:r w:rsidRPr="00584072">
              <w:rPr>
                <w:b/>
              </w:rPr>
              <w:t>Burden</w:t>
            </w:r>
          </w:p>
          <w:p w:rsidR="004564BF" w:rsidRPr="00584072" w:rsidP="00AC7F7A" w14:paraId="7250C63E" w14:textId="77777777">
            <w:pPr>
              <w:jc w:val="center"/>
              <w:rPr>
                <w:b/>
              </w:rPr>
            </w:pPr>
            <w:r w:rsidRPr="00584072">
              <w:rPr>
                <w:b/>
              </w:rPr>
              <w:t>(hours)</w:t>
            </w:r>
          </w:p>
        </w:tc>
      </w:tr>
      <w:tr w14:paraId="7250C646" w14:textId="77777777" w:rsidTr="004564BF">
        <w:tblPrEx>
          <w:tblW w:w="10368" w:type="dxa"/>
          <w:tblLayout w:type="fixed"/>
          <w:tblLook w:val="01E0"/>
        </w:tblPrEx>
        <w:trPr>
          <w:trHeight w:val="274"/>
        </w:trPr>
        <w:tc>
          <w:tcPr>
            <w:tcW w:w="2898" w:type="dxa"/>
          </w:tcPr>
          <w:p w:rsidR="004564BF" w:rsidRPr="00713D29" w:rsidP="00843796" w14:paraId="7250C640" w14:textId="01339244">
            <w:r>
              <w:t>Survey</w:t>
            </w:r>
          </w:p>
        </w:tc>
        <w:tc>
          <w:tcPr>
            <w:tcW w:w="1800" w:type="dxa"/>
          </w:tcPr>
          <w:p w:rsidR="004564BF" w:rsidRPr="00713D29" w:rsidP="00AA1205" w14:paraId="7250C641" w14:textId="7894E85E">
            <w:pPr>
              <w:jc w:val="right"/>
            </w:pPr>
            <w:r>
              <w:t>300</w:t>
            </w:r>
          </w:p>
        </w:tc>
        <w:tc>
          <w:tcPr>
            <w:tcW w:w="1350" w:type="dxa"/>
          </w:tcPr>
          <w:p w:rsidR="004564BF" w:rsidRPr="00713D29" w:rsidP="00741CA6" w14:paraId="7250C642" w14:textId="25267CA0">
            <w:pPr>
              <w:jc w:val="right"/>
            </w:pPr>
            <w:r>
              <w:t>1</w:t>
            </w:r>
          </w:p>
        </w:tc>
        <w:tc>
          <w:tcPr>
            <w:tcW w:w="1350" w:type="dxa"/>
          </w:tcPr>
          <w:p w:rsidR="004564BF" w:rsidRPr="00713D29" w:rsidP="00AA1205" w14:paraId="7250C643" w14:textId="3AFC248E">
            <w:pPr>
              <w:jc w:val="right"/>
            </w:pPr>
            <w:r>
              <w:t>30</w:t>
            </w:r>
            <w:r w:rsidR="00EA5628">
              <w:t>0</w:t>
            </w:r>
          </w:p>
        </w:tc>
        <w:tc>
          <w:tcPr>
            <w:tcW w:w="1440" w:type="dxa"/>
          </w:tcPr>
          <w:p w:rsidR="004564BF" w:rsidRPr="00713D29" w:rsidP="00FD4FBE" w14:paraId="7250C644" w14:textId="0D5910B5">
            <w:pPr>
              <w:jc w:val="right"/>
            </w:pPr>
            <w:r>
              <w:t>0</w:t>
            </w:r>
            <w:r w:rsidR="000C7988">
              <w:t>.1</w:t>
            </w:r>
            <w:r w:rsidR="00AF3014">
              <w:t>7</w:t>
            </w:r>
            <w:r w:rsidR="000C7988">
              <w:t xml:space="preserve"> </w:t>
            </w:r>
          </w:p>
        </w:tc>
        <w:tc>
          <w:tcPr>
            <w:tcW w:w="1530" w:type="dxa"/>
          </w:tcPr>
          <w:p w:rsidR="004564BF" w:rsidRPr="00713D29" w:rsidP="00545F1F" w14:paraId="7250C645" w14:textId="3768BE13">
            <w:pPr>
              <w:jc w:val="right"/>
            </w:pPr>
            <w:r>
              <w:t>51</w:t>
            </w:r>
          </w:p>
        </w:tc>
      </w:tr>
      <w:tr w14:paraId="7250C64D" w14:textId="77777777" w:rsidTr="004564BF">
        <w:tblPrEx>
          <w:tblW w:w="10368" w:type="dxa"/>
          <w:tblLayout w:type="fixed"/>
          <w:tblLook w:val="01E0"/>
        </w:tblPrEx>
        <w:trPr>
          <w:trHeight w:val="274"/>
        </w:trPr>
        <w:tc>
          <w:tcPr>
            <w:tcW w:w="2898" w:type="dxa"/>
          </w:tcPr>
          <w:p w:rsidR="004564BF" w:rsidP="00843796" w14:paraId="7B7EB98C" w14:textId="5BBFEC10">
            <w:r>
              <w:t>“Online Community”</w:t>
            </w:r>
            <w:r w:rsidR="00F1414C">
              <w:t xml:space="preserve"> discussions</w:t>
            </w:r>
          </w:p>
          <w:p w:rsidR="00A1581D" w:rsidRPr="00713D29" w:rsidP="00843796" w14:paraId="7250C647" w14:textId="73075618"/>
        </w:tc>
        <w:tc>
          <w:tcPr>
            <w:tcW w:w="1800" w:type="dxa"/>
          </w:tcPr>
          <w:p w:rsidR="004564BF" w:rsidRPr="00713D29" w:rsidP="00AA1205" w14:paraId="7250C648" w14:textId="781F15D4">
            <w:pPr>
              <w:jc w:val="right"/>
            </w:pPr>
            <w:r>
              <w:t>150</w:t>
            </w:r>
          </w:p>
        </w:tc>
        <w:tc>
          <w:tcPr>
            <w:tcW w:w="1350" w:type="dxa"/>
          </w:tcPr>
          <w:p w:rsidR="004564BF" w:rsidRPr="00713D29" w:rsidP="00741CA6" w14:paraId="7250C649" w14:textId="5087BC26">
            <w:pPr>
              <w:jc w:val="right"/>
            </w:pPr>
            <w:r>
              <w:t>1</w:t>
            </w:r>
          </w:p>
        </w:tc>
        <w:tc>
          <w:tcPr>
            <w:tcW w:w="1350" w:type="dxa"/>
          </w:tcPr>
          <w:p w:rsidR="004564BF" w:rsidRPr="00713D29" w:rsidP="00AA1205" w14:paraId="7250C64A" w14:textId="5F1D2FF1">
            <w:pPr>
              <w:jc w:val="right"/>
            </w:pPr>
            <w:r>
              <w:t>150</w:t>
            </w:r>
          </w:p>
        </w:tc>
        <w:tc>
          <w:tcPr>
            <w:tcW w:w="1440" w:type="dxa"/>
          </w:tcPr>
          <w:p w:rsidR="004564BF" w:rsidRPr="00713D29" w:rsidP="00FD4FBE" w14:paraId="7250C64B" w14:textId="0249D639">
            <w:pPr>
              <w:jc w:val="right"/>
            </w:pPr>
            <w:r>
              <w:t>4</w:t>
            </w:r>
            <w:r>
              <w:rPr>
                <w:rStyle w:val="FootnoteReference"/>
              </w:rPr>
              <w:footnoteReference w:id="2"/>
            </w:r>
            <w:r w:rsidR="00F51BB8">
              <w:t xml:space="preserve"> </w:t>
            </w:r>
          </w:p>
        </w:tc>
        <w:tc>
          <w:tcPr>
            <w:tcW w:w="1530" w:type="dxa"/>
          </w:tcPr>
          <w:p w:rsidR="004564BF" w:rsidRPr="00713D29" w:rsidP="00545F1F" w14:paraId="7250C64C" w14:textId="0EDD9E89">
            <w:pPr>
              <w:jc w:val="right"/>
            </w:pPr>
            <w:r>
              <w:t>600</w:t>
            </w:r>
          </w:p>
        </w:tc>
      </w:tr>
      <w:tr w14:paraId="3ED625C6" w14:textId="77777777" w:rsidTr="004564BF">
        <w:tblPrEx>
          <w:tblW w:w="10368" w:type="dxa"/>
          <w:tblLayout w:type="fixed"/>
          <w:tblLook w:val="01E0"/>
        </w:tblPrEx>
        <w:trPr>
          <w:trHeight w:val="274"/>
        </w:trPr>
        <w:tc>
          <w:tcPr>
            <w:tcW w:w="2898" w:type="dxa"/>
          </w:tcPr>
          <w:p w:rsidR="00A1581D" w:rsidP="00843796" w14:paraId="236B45DD" w14:textId="78616ED7">
            <w:r>
              <w:t>Interview</w:t>
            </w:r>
          </w:p>
        </w:tc>
        <w:tc>
          <w:tcPr>
            <w:tcW w:w="1800" w:type="dxa"/>
          </w:tcPr>
          <w:p w:rsidR="00A1581D" w:rsidP="00AA1205" w14:paraId="6563EB60" w14:textId="50BCE0D2">
            <w:pPr>
              <w:jc w:val="right"/>
            </w:pPr>
            <w:r>
              <w:t>60</w:t>
            </w:r>
          </w:p>
        </w:tc>
        <w:tc>
          <w:tcPr>
            <w:tcW w:w="1350" w:type="dxa"/>
          </w:tcPr>
          <w:p w:rsidR="00A1581D" w:rsidP="00741CA6" w14:paraId="4549B5A4" w14:textId="65AC0912">
            <w:pPr>
              <w:jc w:val="right"/>
            </w:pPr>
            <w:r>
              <w:t>1</w:t>
            </w:r>
          </w:p>
        </w:tc>
        <w:tc>
          <w:tcPr>
            <w:tcW w:w="1350" w:type="dxa"/>
          </w:tcPr>
          <w:p w:rsidR="00A1581D" w:rsidP="00AA1205" w14:paraId="37CA2068" w14:textId="3A053F18">
            <w:pPr>
              <w:jc w:val="right"/>
            </w:pPr>
            <w:r>
              <w:t>60</w:t>
            </w:r>
          </w:p>
        </w:tc>
        <w:tc>
          <w:tcPr>
            <w:tcW w:w="1440" w:type="dxa"/>
          </w:tcPr>
          <w:p w:rsidR="00A1581D" w:rsidP="00FD4FBE" w14:paraId="604A08BA" w14:textId="76524C6A">
            <w:pPr>
              <w:jc w:val="right"/>
            </w:pPr>
            <w:r>
              <w:t>1</w:t>
            </w:r>
          </w:p>
        </w:tc>
        <w:tc>
          <w:tcPr>
            <w:tcW w:w="1530" w:type="dxa"/>
          </w:tcPr>
          <w:p w:rsidR="00A1581D" w:rsidP="00545F1F" w14:paraId="133DA456" w14:textId="18C6D67E">
            <w:pPr>
              <w:jc w:val="right"/>
            </w:pPr>
            <w:r>
              <w:t>60</w:t>
            </w:r>
          </w:p>
        </w:tc>
      </w:tr>
      <w:tr w14:paraId="7250C654" w14:textId="77777777" w:rsidTr="00741CA6">
        <w:tblPrEx>
          <w:tblW w:w="10368" w:type="dxa"/>
          <w:tblLayout w:type="fixed"/>
          <w:tblLook w:val="01E0"/>
        </w:tblPrEx>
        <w:trPr>
          <w:trHeight w:val="289"/>
        </w:trPr>
        <w:tc>
          <w:tcPr>
            <w:tcW w:w="2898" w:type="dxa"/>
          </w:tcPr>
          <w:p w:rsidR="004564BF" w:rsidRPr="00584072" w:rsidP="003C2F54" w14:paraId="7250C64E" w14:textId="4C6C7CF9">
            <w:pPr>
              <w:jc w:val="right"/>
              <w:rPr>
                <w:b/>
              </w:rPr>
            </w:pPr>
            <w:r>
              <w:rPr>
                <w:b/>
              </w:rPr>
              <w:t>TOTAL</w:t>
            </w:r>
          </w:p>
        </w:tc>
        <w:tc>
          <w:tcPr>
            <w:tcW w:w="1800" w:type="dxa"/>
          </w:tcPr>
          <w:p w:rsidR="004564BF" w:rsidRPr="00584072" w:rsidP="003C2F54" w14:paraId="7250C64F" w14:textId="79033BB0">
            <w:pPr>
              <w:jc w:val="right"/>
              <w:rPr>
                <w:b/>
              </w:rPr>
            </w:pPr>
            <w:r>
              <w:rPr>
                <w:b/>
              </w:rPr>
              <w:t>510</w:t>
            </w:r>
          </w:p>
        </w:tc>
        <w:tc>
          <w:tcPr>
            <w:tcW w:w="1350" w:type="dxa"/>
            <w:shd w:val="clear" w:color="auto" w:fill="D9D9D9" w:themeFill="background1" w:themeFillShade="D9"/>
          </w:tcPr>
          <w:p w:rsidR="004564BF" w:rsidRPr="00584072" w:rsidP="003C2F54" w14:paraId="7250C650" w14:textId="0C15C9F9">
            <w:pPr>
              <w:jc w:val="right"/>
              <w:rPr>
                <w:b/>
              </w:rPr>
            </w:pPr>
          </w:p>
        </w:tc>
        <w:tc>
          <w:tcPr>
            <w:tcW w:w="1350" w:type="dxa"/>
          </w:tcPr>
          <w:p w:rsidR="004564BF" w:rsidRPr="00584072" w:rsidP="003C2F54" w14:paraId="7250C651" w14:textId="3AF212D3">
            <w:pPr>
              <w:jc w:val="right"/>
              <w:rPr>
                <w:b/>
              </w:rPr>
            </w:pPr>
            <w:r>
              <w:rPr>
                <w:b/>
              </w:rPr>
              <w:t>510</w:t>
            </w:r>
          </w:p>
        </w:tc>
        <w:tc>
          <w:tcPr>
            <w:tcW w:w="1440" w:type="dxa"/>
            <w:shd w:val="clear" w:color="auto" w:fill="D9D9D9" w:themeFill="background1" w:themeFillShade="D9"/>
          </w:tcPr>
          <w:p w:rsidR="004564BF" w:rsidRPr="00584072" w:rsidP="00741CA6" w14:paraId="7250C652" w14:textId="73C8F96C">
            <w:pPr>
              <w:rPr>
                <w:b/>
              </w:rPr>
            </w:pPr>
          </w:p>
        </w:tc>
        <w:tc>
          <w:tcPr>
            <w:tcW w:w="1530" w:type="dxa"/>
          </w:tcPr>
          <w:p w:rsidR="004564BF" w:rsidRPr="00584072" w:rsidP="003C2F54" w14:paraId="7250C653" w14:textId="58387B1B">
            <w:pPr>
              <w:jc w:val="right"/>
              <w:rPr>
                <w:b/>
              </w:rPr>
            </w:pPr>
            <w:r>
              <w:rPr>
                <w:b/>
              </w:rPr>
              <w:t>711</w:t>
            </w:r>
          </w:p>
        </w:tc>
      </w:tr>
    </w:tbl>
    <w:p w:rsidR="002B5DEA" w:rsidP="002B5DEA" w14:paraId="60651904" w14:textId="3270B572"/>
    <w:p w:rsidR="00441434" w:rsidP="00F3170F" w14:paraId="7250C656" w14:textId="217DA045"/>
    <w:p w:rsidR="00D86CBB" w:rsidRPr="00713D29" w:rsidP="00F3170F" w14:paraId="42B3CB89" w14:textId="77777777"/>
    <w:p w:rsidR="005E714A" w:rsidRPr="008222BD" w14:paraId="7250C657" w14:textId="3D14A501">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 xml:space="preserve">eral government is </w:t>
      </w:r>
      <w:r w:rsidRPr="00D85B69">
        <w:t>$</w:t>
      </w:r>
      <w:r w:rsidRPr="00D85B69" w:rsidR="00480B8D">
        <w:t>276,140</w:t>
      </w:r>
      <w:r w:rsidRPr="00D85B69">
        <w:t>.</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7508E3" w14:paraId="7250C65A" w14:textId="77777777">
      <w:r w:rsidRPr="00713D29">
        <w:t xml:space="preserve">13. </w:t>
      </w:r>
      <w:r w:rsidRPr="00AB78E0">
        <w:rPr>
          <w:b/>
        </w:rPr>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A95606" w14:paraId="7250C661" w14:textId="77777777">
      <w:pPr>
        <w:pStyle w:val="ListParagraph"/>
        <w:spacing w:before="29"/>
        <w:ind w:left="460" w:right="-20"/>
      </w:pPr>
      <w:r w:rsidRPr="00713D29">
        <w:t xml:space="preserve">(a) It is necessary for the proper performance of agency </w:t>
      </w:r>
      <w:r w:rsidRPr="00713D29">
        <w:t>functions;</w:t>
      </w:r>
      <w:r w:rsidRPr="00713D29">
        <w:t xml:space="preserve"> </w:t>
      </w:r>
    </w:p>
    <w:p w:rsidR="00A95606" w:rsidRPr="00713D29" w:rsidP="00A95606" w14:paraId="7250C662" w14:textId="77777777">
      <w:pPr>
        <w:pStyle w:val="ListParagraph"/>
        <w:spacing w:before="29"/>
        <w:ind w:left="460" w:right="-20"/>
      </w:pPr>
      <w:r w:rsidRPr="00713D29">
        <w:t xml:space="preserve">(b) It avoids unnecessary </w:t>
      </w:r>
      <w:r w:rsidRPr="00713D29">
        <w:t>duplication;</w:t>
      </w:r>
      <w:r w:rsidRPr="00713D29">
        <w:t xml:space="preserve"> </w:t>
      </w:r>
    </w:p>
    <w:p w:rsidR="00A95606" w:rsidRPr="00713D29" w:rsidP="00A95606" w14:paraId="7250C663" w14:textId="77777777">
      <w:pPr>
        <w:pStyle w:val="ListParagraph"/>
        <w:spacing w:before="29"/>
        <w:ind w:left="460" w:right="-20"/>
      </w:pPr>
      <w:r w:rsidRPr="00713D29">
        <w:t xml:space="preserve">(c) It uses plain, coherent, and unambiguous terminology that is understandable to </w:t>
      </w:r>
      <w:r w:rsidRPr="00713D29">
        <w:t>respondents;</w:t>
      </w:r>
    </w:p>
    <w:p w:rsidR="00A95606" w:rsidRPr="00713D29" w:rsidP="00A95606" w14:paraId="7250C664" w14:textId="77777777">
      <w:pPr>
        <w:pStyle w:val="ListParagraph"/>
        <w:spacing w:before="29"/>
        <w:ind w:left="460" w:right="-20"/>
      </w:pPr>
      <w:r w:rsidRPr="00713D29">
        <w:t xml:space="preserve">(d) Its implementation will be consistent and compatible with current reporting and recordkeeping </w:t>
      </w:r>
      <w:r w:rsidRPr="00713D29">
        <w:t>practices;</w:t>
      </w:r>
    </w:p>
    <w:p w:rsidR="00A95606" w:rsidRPr="00713D29" w:rsidP="00A95606" w14:paraId="7250C665" w14:textId="77777777">
      <w:pPr>
        <w:pStyle w:val="ListParagraph"/>
        <w:spacing w:before="29"/>
        <w:ind w:left="460" w:right="-20"/>
      </w:pPr>
      <w:r w:rsidRPr="00713D29">
        <w:t xml:space="preserve">(e) It indicates the retention period for recordkeeping </w:t>
      </w:r>
      <w:r w:rsidRPr="00713D29">
        <w:t>requirements;</w:t>
      </w:r>
    </w:p>
    <w:p w:rsidR="00A95606" w:rsidRPr="00713D29" w:rsidP="00A95606" w14:paraId="7250C666"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w:t>
      </w:r>
      <w:r w:rsidRPr="00713D29">
        <w:t>i</w:t>
      </w:r>
      <w:r w:rsidRPr="00713D29">
        <w:t xml:space="preserve">) Why the information is being </w:t>
      </w:r>
      <w:r w:rsidRPr="00713D29">
        <w:t>collected;</w:t>
      </w:r>
    </w:p>
    <w:p w:rsidR="00A95606" w:rsidRPr="00713D29" w:rsidP="00A95606" w14:paraId="7250C668" w14:textId="77777777">
      <w:pPr>
        <w:pStyle w:val="ListParagraph"/>
        <w:spacing w:before="29"/>
        <w:ind w:left="460" w:right="-20" w:firstLine="260"/>
      </w:pPr>
      <w:r w:rsidRPr="00713D29">
        <w:t xml:space="preserve">(ii) Use of </w:t>
      </w:r>
      <w:r w:rsidRPr="00713D29">
        <w:t>information;</w:t>
      </w:r>
    </w:p>
    <w:p w:rsidR="00A95606" w:rsidRPr="00713D29" w:rsidP="00A95606" w14:paraId="7250C669" w14:textId="77777777">
      <w:pPr>
        <w:pStyle w:val="ListParagraph"/>
        <w:spacing w:before="29"/>
        <w:ind w:left="460" w:right="-20" w:firstLine="260"/>
      </w:pPr>
      <w:r w:rsidRPr="00713D29">
        <w:t xml:space="preserve">(iii) Burden </w:t>
      </w:r>
      <w:r w:rsidRPr="00713D29">
        <w:t>estimate;</w:t>
      </w:r>
    </w:p>
    <w:p w:rsidR="00A95606" w:rsidRPr="00713D29" w:rsidP="00A95606" w14:paraId="7250C66A" w14:textId="77777777">
      <w:pPr>
        <w:pStyle w:val="ListParagraph"/>
        <w:spacing w:before="29"/>
        <w:ind w:left="460" w:right="-20" w:firstLine="260"/>
      </w:pPr>
      <w:r w:rsidRPr="00713D29">
        <w:t>(iv) Nature of response (voluntary</w:t>
      </w:r>
      <w:r w:rsidRPr="00713D29">
        <w:t>);</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 xml:space="preserve">(vi) Need to display currently valid OMB control </w:t>
      </w:r>
      <w:r w:rsidRPr="00713D29">
        <w:t>number;</w:t>
      </w:r>
    </w:p>
    <w:p w:rsidR="00A95606" w:rsidRPr="00713D29" w:rsidP="00A95606" w14:paraId="7250C66D" w14:textId="77777777">
      <w:pPr>
        <w:spacing w:before="29"/>
        <w:ind w:left="460" w:right="-20"/>
      </w:pPr>
      <w:r w:rsidRPr="00713D29">
        <w:t xml:space="preserve">(g) It was developed by an office that has planned and allocated resources for the efficient and effective management and use of the information to be </w:t>
      </w:r>
      <w:r w:rsidRPr="00713D29">
        <w:t>collected;</w:t>
      </w:r>
    </w:p>
    <w:p w:rsidR="00A95606" w:rsidRPr="00713D29" w:rsidP="00A95606" w14:paraId="7250C66E" w14:textId="77777777">
      <w:pPr>
        <w:pStyle w:val="ListParagraph"/>
        <w:spacing w:before="29"/>
        <w:ind w:left="460" w:right="-20"/>
      </w:pPr>
      <w:r w:rsidRPr="00713D29">
        <w:t>(h) It uses effective and efficient statistical survey methodology; and</w:t>
      </w:r>
    </w:p>
    <w:p w:rsidR="00A95606" w:rsidRPr="00713D29" w:rsidP="00A95606" w14:paraId="7250C66F" w14:textId="77777777">
      <w:pPr>
        <w:pStyle w:val="ListParagraph"/>
        <w:spacing w:before="29"/>
        <w:ind w:left="460" w:right="-20"/>
      </w:pPr>
      <w:r w:rsidRPr="00713D29">
        <w:t>(</w:t>
      </w:r>
      <w:r w:rsidRPr="00713D29">
        <w:t>i</w:t>
      </w:r>
      <w:r w:rsidRPr="00713D29">
        <w:t>)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 xml:space="preserve">The collection is </w:t>
      </w:r>
      <w:r w:rsidRPr="00713D29">
        <w:t>low-burden</w:t>
      </w:r>
      <w:r w:rsidRPr="00713D29">
        <w:t xml:space="preserve">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BC5" w:rsidP="00017641" w14:paraId="6D31CB2D" w14:textId="4C8DF097">
    <w:pPr>
      <w:pStyle w:val="Footer"/>
      <w:jc w:val="right"/>
    </w:pPr>
    <w:r w:rsidRPr="00017641">
      <w:t xml:space="preserve">Revised </w:t>
    </w:r>
    <w:r>
      <w:t>October</w:t>
    </w:r>
    <w:r w:rsidRPr="00017641">
      <w:t xml:space="preserve"> 2019</w:t>
    </w:r>
  </w:p>
  <w:p w:rsidR="008F50D4" w14:paraId="7250C681" w14:textId="32727CFD">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45F11" w14:paraId="5A6B032A" w14:textId="77777777">
      <w:r>
        <w:separator/>
      </w:r>
    </w:p>
  </w:footnote>
  <w:footnote w:type="continuationSeparator" w:id="1">
    <w:p w:rsidR="00745F11" w14:paraId="04D93B98" w14:textId="77777777">
      <w:r>
        <w:continuationSeparator/>
      </w:r>
    </w:p>
  </w:footnote>
  <w:footnote w:id="2">
    <w:p w:rsidR="002C3E4F" w:rsidP="002C3E4F" w14:paraId="0A141DA0" w14:textId="77777777">
      <w:r w:rsidRPr="00741CA6">
        <w:rPr>
          <w:rStyle w:val="FootnoteReference"/>
          <w:sz w:val="20"/>
          <w:szCs w:val="20"/>
        </w:rPr>
        <w:footnoteRef/>
      </w:r>
      <w:r w:rsidRPr="00741CA6">
        <w:rPr>
          <w:sz w:val="20"/>
          <w:szCs w:val="20"/>
        </w:rPr>
        <w:t xml:space="preserve"> The number of hours that participants take part in the “online community” will vary.  We anticipate that minimum participation per person is unlikely to be less than one hour; some practitioners will participate about as much as a typical focus group, which generally lasts two hours; and some participants will be very active, perhaps up to eight hours over the two weeks.  While projecting a distribution for these response times is not feasible before conducting the study, we estimate an average of approximately two hours per respondent week, or a total estimated response time of four hours per respondent over two</w:t>
      </w:r>
      <w:r>
        <w:t xml:space="preserve"> weeks.</w:t>
      </w:r>
    </w:p>
    <w:p w:rsidR="002C3E4F" w14:paraId="1CFEB7FD" w14:textId="40C13C7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26A50"/>
    <w:multiLevelType w:val="hybridMultilevel"/>
    <w:tmpl w:val="B7860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5">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6">
    <w:nsid w:val="0C292072"/>
    <w:multiLevelType w:val="hybridMultilevel"/>
    <w:tmpl w:val="C06A2F46"/>
    <w:lvl w:ilvl="0">
      <w:start w:val="1"/>
      <w:numFmt w:val="lowerLetter"/>
      <w:lvlText w:val="%1."/>
      <w:lvlJc w:val="left"/>
      <w:pPr>
        <w:ind w:left="1140" w:hanging="4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FA27443"/>
    <w:multiLevelType w:val="hybridMultilevel"/>
    <w:tmpl w:val="C038BB70"/>
    <w:lvl w:ilvl="0">
      <w:start w:val="1"/>
      <w:numFmt w:val="bullet"/>
      <w:pStyle w:val="TableBullets"/>
      <w:lvlText w:val=""/>
      <w:lvlJc w:val="left"/>
      <w:pPr>
        <w:ind w:left="360" w:hanging="360"/>
      </w:pPr>
      <w:rPr>
        <w:rFonts w:ascii="Symbol" w:hAnsi="Symbol" w:cs="Symbol" w:hint="default"/>
        <w:color w:val="FF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3F511D"/>
    <w:multiLevelType w:val="hybridMultilevel"/>
    <w:tmpl w:val="222E9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F476E32"/>
    <w:multiLevelType w:val="hybridMultilevel"/>
    <w:tmpl w:val="7AD828F0"/>
    <w:lvl w:ilvl="0">
      <w:start w:val="5"/>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4">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5">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6">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9047E82"/>
    <w:multiLevelType w:val="hybridMultilevel"/>
    <w:tmpl w:val="C0A627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nsid w:val="7B6526D0"/>
    <w:multiLevelType w:val="hybridMultilevel"/>
    <w:tmpl w:val="E30CC0A2"/>
    <w:lvl w:ilvl="0">
      <w:start w:val="1"/>
      <w:numFmt w:val="bullet"/>
      <w:lvlText w:val=""/>
      <w:lvlJc w:val="left"/>
      <w:pPr>
        <w:ind w:left="360" w:hanging="360"/>
      </w:pPr>
      <w:rPr>
        <w:rFonts w:ascii="Symbol" w:hAnsi="Symbol" w:hint="default"/>
        <w:color w:val="DA291C"/>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DD76554"/>
    <w:multiLevelType w:val="hybridMultilevel"/>
    <w:tmpl w:val="A962875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2"/>
  </w:num>
  <w:num w:numId="4">
    <w:abstractNumId w:val="35"/>
  </w:num>
  <w:num w:numId="5">
    <w:abstractNumId w:val="8"/>
  </w:num>
  <w:num w:numId="6">
    <w:abstractNumId w:val="1"/>
  </w:num>
  <w:num w:numId="7">
    <w:abstractNumId w:val="18"/>
  </w:num>
  <w:num w:numId="8">
    <w:abstractNumId w:val="28"/>
  </w:num>
  <w:num w:numId="9">
    <w:abstractNumId w:val="19"/>
  </w:num>
  <w:num w:numId="10">
    <w:abstractNumId w:val="2"/>
  </w:num>
  <w:num w:numId="11">
    <w:abstractNumId w:val="11"/>
  </w:num>
  <w:num w:numId="12">
    <w:abstractNumId w:val="14"/>
  </w:num>
  <w:num w:numId="13">
    <w:abstractNumId w:val="0"/>
  </w:num>
  <w:num w:numId="14">
    <w:abstractNumId w:val="31"/>
  </w:num>
  <w:num w:numId="15">
    <w:abstractNumId w:val="26"/>
  </w:num>
  <w:num w:numId="16">
    <w:abstractNumId w:val="22"/>
  </w:num>
  <w:num w:numId="17">
    <w:abstractNumId w:val="9"/>
  </w:num>
  <w:num w:numId="18">
    <w:abstractNumId w:val="10"/>
  </w:num>
  <w:num w:numId="19">
    <w:abstractNumId w:val="37"/>
  </w:num>
  <w:num w:numId="20">
    <w:abstractNumId w:val="15"/>
  </w:num>
  <w:num w:numId="21">
    <w:abstractNumId w:val="17"/>
  </w:num>
  <w:num w:numId="22">
    <w:abstractNumId w:val="5"/>
  </w:num>
  <w:num w:numId="23">
    <w:abstractNumId w:val="6"/>
  </w:num>
  <w:num w:numId="24">
    <w:abstractNumId w:val="23"/>
  </w:num>
  <w:num w:numId="25">
    <w:abstractNumId w:val="16"/>
  </w:num>
  <w:num w:numId="26">
    <w:abstractNumId w:val="21"/>
  </w:num>
  <w:num w:numId="27">
    <w:abstractNumId w:val="12"/>
  </w:num>
  <w:num w:numId="28">
    <w:abstractNumId w:val="30"/>
  </w:num>
  <w:num w:numId="29">
    <w:abstractNumId w:val="25"/>
  </w:num>
  <w:num w:numId="30">
    <w:abstractNumId w:val="24"/>
  </w:num>
  <w:num w:numId="31">
    <w:abstractNumId w:val="29"/>
  </w:num>
  <w:num w:numId="32">
    <w:abstractNumId w:val="4"/>
  </w:num>
  <w:num w:numId="33">
    <w:abstractNumId w:val="33"/>
  </w:num>
  <w:num w:numId="34">
    <w:abstractNumId w:val="7"/>
  </w:num>
  <w:num w:numId="35">
    <w:abstractNumId w:val="36"/>
  </w:num>
  <w:num w:numId="36">
    <w:abstractNumId w:val="27"/>
  </w:num>
  <w:num w:numId="37">
    <w:abstractNumId w:val="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4437"/>
    <w:rsid w:val="00017641"/>
    <w:rsid w:val="00021D89"/>
    <w:rsid w:val="00023A57"/>
    <w:rsid w:val="00030BCF"/>
    <w:rsid w:val="00043F87"/>
    <w:rsid w:val="00047A64"/>
    <w:rsid w:val="00060ADB"/>
    <w:rsid w:val="00061BDF"/>
    <w:rsid w:val="00066731"/>
    <w:rsid w:val="00067329"/>
    <w:rsid w:val="0006753A"/>
    <w:rsid w:val="000702CE"/>
    <w:rsid w:val="00075A04"/>
    <w:rsid w:val="00077EC6"/>
    <w:rsid w:val="00096959"/>
    <w:rsid w:val="000A1C35"/>
    <w:rsid w:val="000B2838"/>
    <w:rsid w:val="000B3480"/>
    <w:rsid w:val="000B4C59"/>
    <w:rsid w:val="000C3C86"/>
    <w:rsid w:val="000C72EB"/>
    <w:rsid w:val="000C7988"/>
    <w:rsid w:val="000D0619"/>
    <w:rsid w:val="000D44CA"/>
    <w:rsid w:val="000D681F"/>
    <w:rsid w:val="000E0CD5"/>
    <w:rsid w:val="000E200B"/>
    <w:rsid w:val="000E4973"/>
    <w:rsid w:val="000F68BE"/>
    <w:rsid w:val="001216BF"/>
    <w:rsid w:val="001223DB"/>
    <w:rsid w:val="00126A89"/>
    <w:rsid w:val="001324F1"/>
    <w:rsid w:val="00135C03"/>
    <w:rsid w:val="00146C72"/>
    <w:rsid w:val="00170640"/>
    <w:rsid w:val="00170D9C"/>
    <w:rsid w:val="00172D1E"/>
    <w:rsid w:val="00177AA8"/>
    <w:rsid w:val="00183319"/>
    <w:rsid w:val="001927A4"/>
    <w:rsid w:val="00194AC6"/>
    <w:rsid w:val="001A09E0"/>
    <w:rsid w:val="001A23B0"/>
    <w:rsid w:val="001A25CC"/>
    <w:rsid w:val="001A3734"/>
    <w:rsid w:val="001A4BC5"/>
    <w:rsid w:val="001A5A05"/>
    <w:rsid w:val="001B0AAA"/>
    <w:rsid w:val="001B5198"/>
    <w:rsid w:val="001C1B55"/>
    <w:rsid w:val="001C39F7"/>
    <w:rsid w:val="001C5CDD"/>
    <w:rsid w:val="001D0B48"/>
    <w:rsid w:val="001E5192"/>
    <w:rsid w:val="001E6799"/>
    <w:rsid w:val="001E713F"/>
    <w:rsid w:val="001F3438"/>
    <w:rsid w:val="00202B05"/>
    <w:rsid w:val="00203BAB"/>
    <w:rsid w:val="0020537A"/>
    <w:rsid w:val="00215472"/>
    <w:rsid w:val="00215655"/>
    <w:rsid w:val="00216B31"/>
    <w:rsid w:val="00221809"/>
    <w:rsid w:val="00223125"/>
    <w:rsid w:val="00230F97"/>
    <w:rsid w:val="00237B48"/>
    <w:rsid w:val="0024521E"/>
    <w:rsid w:val="00261107"/>
    <w:rsid w:val="00263BFC"/>
    <w:rsid w:val="00263C3D"/>
    <w:rsid w:val="00272C9B"/>
    <w:rsid w:val="00274D0B"/>
    <w:rsid w:val="00286A1D"/>
    <w:rsid w:val="002977AB"/>
    <w:rsid w:val="002A0830"/>
    <w:rsid w:val="002B18C8"/>
    <w:rsid w:val="002B3C95"/>
    <w:rsid w:val="002B3F2B"/>
    <w:rsid w:val="002B5DEA"/>
    <w:rsid w:val="002C3E4F"/>
    <w:rsid w:val="002D0B92"/>
    <w:rsid w:val="002D0CE7"/>
    <w:rsid w:val="002E235A"/>
    <w:rsid w:val="002E4594"/>
    <w:rsid w:val="002E5A74"/>
    <w:rsid w:val="002F1A8B"/>
    <w:rsid w:val="003039F6"/>
    <w:rsid w:val="00306F1B"/>
    <w:rsid w:val="00312918"/>
    <w:rsid w:val="00325D30"/>
    <w:rsid w:val="00327E50"/>
    <w:rsid w:val="00335B60"/>
    <w:rsid w:val="0035733D"/>
    <w:rsid w:val="00357E92"/>
    <w:rsid w:val="00366295"/>
    <w:rsid w:val="00374615"/>
    <w:rsid w:val="0039190C"/>
    <w:rsid w:val="00396220"/>
    <w:rsid w:val="003B3952"/>
    <w:rsid w:val="003C2F54"/>
    <w:rsid w:val="003C4E67"/>
    <w:rsid w:val="003D523A"/>
    <w:rsid w:val="003D5BBE"/>
    <w:rsid w:val="003E3C61"/>
    <w:rsid w:val="003E606D"/>
    <w:rsid w:val="003F1889"/>
    <w:rsid w:val="003F1C5B"/>
    <w:rsid w:val="003F26CE"/>
    <w:rsid w:val="003F2E35"/>
    <w:rsid w:val="00410986"/>
    <w:rsid w:val="00410F81"/>
    <w:rsid w:val="00412540"/>
    <w:rsid w:val="0042506C"/>
    <w:rsid w:val="004270BF"/>
    <w:rsid w:val="00434E33"/>
    <w:rsid w:val="00441434"/>
    <w:rsid w:val="00443541"/>
    <w:rsid w:val="0045264C"/>
    <w:rsid w:val="004538CF"/>
    <w:rsid w:val="004564BF"/>
    <w:rsid w:val="00467ABE"/>
    <w:rsid w:val="00480B8D"/>
    <w:rsid w:val="00481D77"/>
    <w:rsid w:val="00482A5C"/>
    <w:rsid w:val="004876EC"/>
    <w:rsid w:val="0049111B"/>
    <w:rsid w:val="004952D6"/>
    <w:rsid w:val="004A28AA"/>
    <w:rsid w:val="004B372F"/>
    <w:rsid w:val="004C4626"/>
    <w:rsid w:val="004C4A8D"/>
    <w:rsid w:val="004C5273"/>
    <w:rsid w:val="004C5D74"/>
    <w:rsid w:val="004D475D"/>
    <w:rsid w:val="004D5F7C"/>
    <w:rsid w:val="004D6CC9"/>
    <w:rsid w:val="004D6E14"/>
    <w:rsid w:val="004E4F41"/>
    <w:rsid w:val="004E4F6D"/>
    <w:rsid w:val="004F7451"/>
    <w:rsid w:val="005009B0"/>
    <w:rsid w:val="00504C0C"/>
    <w:rsid w:val="005056D3"/>
    <w:rsid w:val="00505892"/>
    <w:rsid w:val="00513E6E"/>
    <w:rsid w:val="00514298"/>
    <w:rsid w:val="00514B27"/>
    <w:rsid w:val="00517F41"/>
    <w:rsid w:val="005227DC"/>
    <w:rsid w:val="00525168"/>
    <w:rsid w:val="0053775A"/>
    <w:rsid w:val="0054239F"/>
    <w:rsid w:val="00545F1F"/>
    <w:rsid w:val="0055169A"/>
    <w:rsid w:val="00584072"/>
    <w:rsid w:val="005871DF"/>
    <w:rsid w:val="005A1006"/>
    <w:rsid w:val="005A22C6"/>
    <w:rsid w:val="005A6789"/>
    <w:rsid w:val="005D41A6"/>
    <w:rsid w:val="005D5999"/>
    <w:rsid w:val="005E714A"/>
    <w:rsid w:val="005F0BDF"/>
    <w:rsid w:val="005F2549"/>
    <w:rsid w:val="005F5F5C"/>
    <w:rsid w:val="005F64A8"/>
    <w:rsid w:val="005F757A"/>
    <w:rsid w:val="00602D96"/>
    <w:rsid w:val="00606146"/>
    <w:rsid w:val="00607A31"/>
    <w:rsid w:val="00610D83"/>
    <w:rsid w:val="006140A0"/>
    <w:rsid w:val="0062120D"/>
    <w:rsid w:val="00631060"/>
    <w:rsid w:val="00631171"/>
    <w:rsid w:val="00632758"/>
    <w:rsid w:val="00635087"/>
    <w:rsid w:val="00636621"/>
    <w:rsid w:val="0064117D"/>
    <w:rsid w:val="00642B49"/>
    <w:rsid w:val="00647A94"/>
    <w:rsid w:val="00650682"/>
    <w:rsid w:val="0065367C"/>
    <w:rsid w:val="00667DC0"/>
    <w:rsid w:val="00671686"/>
    <w:rsid w:val="006832D9"/>
    <w:rsid w:val="00683B81"/>
    <w:rsid w:val="00690EA7"/>
    <w:rsid w:val="0069403B"/>
    <w:rsid w:val="006A48D0"/>
    <w:rsid w:val="006A5B6F"/>
    <w:rsid w:val="006C415F"/>
    <w:rsid w:val="006D2D6D"/>
    <w:rsid w:val="006E1859"/>
    <w:rsid w:val="006F18EA"/>
    <w:rsid w:val="006F3B8E"/>
    <w:rsid w:val="006F3DDE"/>
    <w:rsid w:val="00704678"/>
    <w:rsid w:val="007062C2"/>
    <w:rsid w:val="00713D29"/>
    <w:rsid w:val="00734A7C"/>
    <w:rsid w:val="007353C3"/>
    <w:rsid w:val="00737519"/>
    <w:rsid w:val="00737772"/>
    <w:rsid w:val="00741CA6"/>
    <w:rsid w:val="007425E7"/>
    <w:rsid w:val="00745F11"/>
    <w:rsid w:val="007508E3"/>
    <w:rsid w:val="007874EA"/>
    <w:rsid w:val="00790197"/>
    <w:rsid w:val="007911DB"/>
    <w:rsid w:val="00792BC3"/>
    <w:rsid w:val="00797E9C"/>
    <w:rsid w:val="007A0098"/>
    <w:rsid w:val="007A0BCB"/>
    <w:rsid w:val="007A42D0"/>
    <w:rsid w:val="007A7142"/>
    <w:rsid w:val="007B0AFF"/>
    <w:rsid w:val="007B2153"/>
    <w:rsid w:val="007B3904"/>
    <w:rsid w:val="007B53E8"/>
    <w:rsid w:val="007B55B1"/>
    <w:rsid w:val="007C553E"/>
    <w:rsid w:val="007C6449"/>
    <w:rsid w:val="007E2D57"/>
    <w:rsid w:val="007F48B1"/>
    <w:rsid w:val="0080252B"/>
    <w:rsid w:val="00802607"/>
    <w:rsid w:val="00806C5B"/>
    <w:rsid w:val="008101A5"/>
    <w:rsid w:val="008119B1"/>
    <w:rsid w:val="008129BD"/>
    <w:rsid w:val="00812F77"/>
    <w:rsid w:val="008152AA"/>
    <w:rsid w:val="00815E90"/>
    <w:rsid w:val="008222BD"/>
    <w:rsid w:val="00822664"/>
    <w:rsid w:val="00832097"/>
    <w:rsid w:val="00843796"/>
    <w:rsid w:val="008539CD"/>
    <w:rsid w:val="00862F82"/>
    <w:rsid w:val="008635FB"/>
    <w:rsid w:val="0086471A"/>
    <w:rsid w:val="008713EE"/>
    <w:rsid w:val="00881550"/>
    <w:rsid w:val="00894FDB"/>
    <w:rsid w:val="00895229"/>
    <w:rsid w:val="0089535D"/>
    <w:rsid w:val="008A3C5E"/>
    <w:rsid w:val="008C1C4A"/>
    <w:rsid w:val="008C4E6C"/>
    <w:rsid w:val="008C6112"/>
    <w:rsid w:val="008D2F61"/>
    <w:rsid w:val="008E2734"/>
    <w:rsid w:val="008E6383"/>
    <w:rsid w:val="008F0203"/>
    <w:rsid w:val="008F50D4"/>
    <w:rsid w:val="009024E0"/>
    <w:rsid w:val="009239AA"/>
    <w:rsid w:val="009265C3"/>
    <w:rsid w:val="009267FE"/>
    <w:rsid w:val="009273BE"/>
    <w:rsid w:val="00930453"/>
    <w:rsid w:val="009306E2"/>
    <w:rsid w:val="00935ADA"/>
    <w:rsid w:val="00943340"/>
    <w:rsid w:val="00943448"/>
    <w:rsid w:val="00945F0C"/>
    <w:rsid w:val="00946B6C"/>
    <w:rsid w:val="00955A71"/>
    <w:rsid w:val="009607A9"/>
    <w:rsid w:val="0096108F"/>
    <w:rsid w:val="0096447D"/>
    <w:rsid w:val="00966A2E"/>
    <w:rsid w:val="009753E8"/>
    <w:rsid w:val="009811C1"/>
    <w:rsid w:val="00983B48"/>
    <w:rsid w:val="009A5538"/>
    <w:rsid w:val="009A5E2A"/>
    <w:rsid w:val="009B18F3"/>
    <w:rsid w:val="009C13B9"/>
    <w:rsid w:val="009C33B0"/>
    <w:rsid w:val="009D01A2"/>
    <w:rsid w:val="009D3293"/>
    <w:rsid w:val="009D45BA"/>
    <w:rsid w:val="009D5A77"/>
    <w:rsid w:val="009F2B79"/>
    <w:rsid w:val="009F3DE9"/>
    <w:rsid w:val="009F5254"/>
    <w:rsid w:val="009F5923"/>
    <w:rsid w:val="00A004C6"/>
    <w:rsid w:val="00A12F49"/>
    <w:rsid w:val="00A1581D"/>
    <w:rsid w:val="00A22E17"/>
    <w:rsid w:val="00A236B7"/>
    <w:rsid w:val="00A335C5"/>
    <w:rsid w:val="00A3367C"/>
    <w:rsid w:val="00A403BB"/>
    <w:rsid w:val="00A56972"/>
    <w:rsid w:val="00A674DF"/>
    <w:rsid w:val="00A83AA6"/>
    <w:rsid w:val="00A8586D"/>
    <w:rsid w:val="00A94E2D"/>
    <w:rsid w:val="00A95606"/>
    <w:rsid w:val="00A95D47"/>
    <w:rsid w:val="00A96ADA"/>
    <w:rsid w:val="00AA1078"/>
    <w:rsid w:val="00AA1205"/>
    <w:rsid w:val="00AB3437"/>
    <w:rsid w:val="00AB78E0"/>
    <w:rsid w:val="00AC5C32"/>
    <w:rsid w:val="00AC6957"/>
    <w:rsid w:val="00AC7F7A"/>
    <w:rsid w:val="00AD2A84"/>
    <w:rsid w:val="00AE1809"/>
    <w:rsid w:val="00AE652E"/>
    <w:rsid w:val="00AE7EC7"/>
    <w:rsid w:val="00AF3014"/>
    <w:rsid w:val="00AF46FF"/>
    <w:rsid w:val="00B040A0"/>
    <w:rsid w:val="00B0696A"/>
    <w:rsid w:val="00B14C0A"/>
    <w:rsid w:val="00B36537"/>
    <w:rsid w:val="00B40F2B"/>
    <w:rsid w:val="00B44B4A"/>
    <w:rsid w:val="00B80AE6"/>
    <w:rsid w:val="00B80D76"/>
    <w:rsid w:val="00B95F18"/>
    <w:rsid w:val="00BA2105"/>
    <w:rsid w:val="00BA7E06"/>
    <w:rsid w:val="00BB09AB"/>
    <w:rsid w:val="00BB0AF0"/>
    <w:rsid w:val="00BB2723"/>
    <w:rsid w:val="00BB43B5"/>
    <w:rsid w:val="00BB6219"/>
    <w:rsid w:val="00BB6FF4"/>
    <w:rsid w:val="00BC26FD"/>
    <w:rsid w:val="00BD290F"/>
    <w:rsid w:val="00BD4307"/>
    <w:rsid w:val="00BE11E2"/>
    <w:rsid w:val="00BE770C"/>
    <w:rsid w:val="00C14CC4"/>
    <w:rsid w:val="00C25874"/>
    <w:rsid w:val="00C320E8"/>
    <w:rsid w:val="00C33C52"/>
    <w:rsid w:val="00C37176"/>
    <w:rsid w:val="00C40D8B"/>
    <w:rsid w:val="00C427F4"/>
    <w:rsid w:val="00C46E77"/>
    <w:rsid w:val="00C539E2"/>
    <w:rsid w:val="00C57820"/>
    <w:rsid w:val="00C604FA"/>
    <w:rsid w:val="00C63DBD"/>
    <w:rsid w:val="00C71559"/>
    <w:rsid w:val="00C73B5D"/>
    <w:rsid w:val="00C7532B"/>
    <w:rsid w:val="00C8407A"/>
    <w:rsid w:val="00C8488C"/>
    <w:rsid w:val="00C86068"/>
    <w:rsid w:val="00C86E91"/>
    <w:rsid w:val="00C914D6"/>
    <w:rsid w:val="00C96AB8"/>
    <w:rsid w:val="00CA2650"/>
    <w:rsid w:val="00CA30B1"/>
    <w:rsid w:val="00CA6AD4"/>
    <w:rsid w:val="00CA79F1"/>
    <w:rsid w:val="00CB1078"/>
    <w:rsid w:val="00CB3444"/>
    <w:rsid w:val="00CC6FAF"/>
    <w:rsid w:val="00CD03C5"/>
    <w:rsid w:val="00CD18FD"/>
    <w:rsid w:val="00CF2056"/>
    <w:rsid w:val="00CF2C59"/>
    <w:rsid w:val="00D02B12"/>
    <w:rsid w:val="00D052C4"/>
    <w:rsid w:val="00D071B9"/>
    <w:rsid w:val="00D07CAE"/>
    <w:rsid w:val="00D24698"/>
    <w:rsid w:val="00D27B33"/>
    <w:rsid w:val="00D427BC"/>
    <w:rsid w:val="00D5251A"/>
    <w:rsid w:val="00D52669"/>
    <w:rsid w:val="00D6383F"/>
    <w:rsid w:val="00D6490E"/>
    <w:rsid w:val="00D65869"/>
    <w:rsid w:val="00D75D31"/>
    <w:rsid w:val="00D763EB"/>
    <w:rsid w:val="00D825DB"/>
    <w:rsid w:val="00D85B69"/>
    <w:rsid w:val="00D86559"/>
    <w:rsid w:val="00D86CBB"/>
    <w:rsid w:val="00D913A3"/>
    <w:rsid w:val="00DB095F"/>
    <w:rsid w:val="00DB59D0"/>
    <w:rsid w:val="00DC33D3"/>
    <w:rsid w:val="00DD0E84"/>
    <w:rsid w:val="00DE0E51"/>
    <w:rsid w:val="00DF5389"/>
    <w:rsid w:val="00DF6A87"/>
    <w:rsid w:val="00E0344D"/>
    <w:rsid w:val="00E0611B"/>
    <w:rsid w:val="00E076F1"/>
    <w:rsid w:val="00E24C29"/>
    <w:rsid w:val="00E26329"/>
    <w:rsid w:val="00E2759F"/>
    <w:rsid w:val="00E404BE"/>
    <w:rsid w:val="00E40B50"/>
    <w:rsid w:val="00E414D9"/>
    <w:rsid w:val="00E43591"/>
    <w:rsid w:val="00E444DF"/>
    <w:rsid w:val="00E50293"/>
    <w:rsid w:val="00E65FFC"/>
    <w:rsid w:val="00E74804"/>
    <w:rsid w:val="00E770A7"/>
    <w:rsid w:val="00E80951"/>
    <w:rsid w:val="00E86CC6"/>
    <w:rsid w:val="00E94B24"/>
    <w:rsid w:val="00E95E39"/>
    <w:rsid w:val="00EA5628"/>
    <w:rsid w:val="00EB42D0"/>
    <w:rsid w:val="00EB56B3"/>
    <w:rsid w:val="00EB7F6C"/>
    <w:rsid w:val="00ED5437"/>
    <w:rsid w:val="00ED6492"/>
    <w:rsid w:val="00EE64ED"/>
    <w:rsid w:val="00EF1FC6"/>
    <w:rsid w:val="00EF2095"/>
    <w:rsid w:val="00EF2941"/>
    <w:rsid w:val="00F00DAE"/>
    <w:rsid w:val="00F0258C"/>
    <w:rsid w:val="00F06840"/>
    <w:rsid w:val="00F06866"/>
    <w:rsid w:val="00F1414C"/>
    <w:rsid w:val="00F15956"/>
    <w:rsid w:val="00F2485D"/>
    <w:rsid w:val="00F24CFC"/>
    <w:rsid w:val="00F3170F"/>
    <w:rsid w:val="00F31F01"/>
    <w:rsid w:val="00F4561D"/>
    <w:rsid w:val="00F504B7"/>
    <w:rsid w:val="00F51BB8"/>
    <w:rsid w:val="00F52880"/>
    <w:rsid w:val="00F54D86"/>
    <w:rsid w:val="00F565E0"/>
    <w:rsid w:val="00F61A7F"/>
    <w:rsid w:val="00F63C84"/>
    <w:rsid w:val="00F85219"/>
    <w:rsid w:val="00F8707B"/>
    <w:rsid w:val="00F90AAE"/>
    <w:rsid w:val="00F97561"/>
    <w:rsid w:val="00F976B0"/>
    <w:rsid w:val="00FA44C8"/>
    <w:rsid w:val="00FA52EA"/>
    <w:rsid w:val="00FA6DE7"/>
    <w:rsid w:val="00FA7432"/>
    <w:rsid w:val="00FC0A8E"/>
    <w:rsid w:val="00FC16D1"/>
    <w:rsid w:val="00FD44A4"/>
    <w:rsid w:val="00FD4FBE"/>
    <w:rsid w:val="00FD5A62"/>
    <w:rsid w:val="00FD710F"/>
    <w:rsid w:val="00FE2FA6"/>
    <w:rsid w:val="00FE3DF2"/>
    <w:rsid w:val="00FF2107"/>
    <w:rsid w:val="00FF7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character" w:styleId="UnresolvedMention">
    <w:name w:val="Unresolved Mention"/>
    <w:basedOn w:val="DefaultParagraphFont"/>
    <w:uiPriority w:val="99"/>
    <w:semiHidden/>
    <w:unhideWhenUsed/>
    <w:rsid w:val="002E5A74"/>
    <w:rPr>
      <w:color w:val="605E5C"/>
      <w:shd w:val="clear" w:color="auto" w:fill="E1DFDD"/>
    </w:rPr>
  </w:style>
  <w:style w:type="character" w:customStyle="1" w:styleId="normaltextrun">
    <w:name w:val="normaltextrun"/>
    <w:basedOn w:val="DefaultParagraphFont"/>
    <w:rsid w:val="00A56972"/>
  </w:style>
  <w:style w:type="character" w:styleId="FootnoteReference">
    <w:name w:val="footnote reference"/>
    <w:aliases w:val="Diss. Footnote Reference"/>
    <w:basedOn w:val="DefaultParagraphFont"/>
    <w:uiPriority w:val="99"/>
    <w:qFormat/>
    <w:rsid w:val="00EF1FC6"/>
    <w:rPr>
      <w:vertAlign w:val="superscript"/>
    </w:rPr>
  </w:style>
  <w:style w:type="paragraph" w:styleId="FootnoteText">
    <w:name w:val="footnote text"/>
    <w:aliases w:val="F1"/>
    <w:basedOn w:val="Normal"/>
    <w:link w:val="FootnoteTextChar"/>
    <w:uiPriority w:val="99"/>
    <w:qFormat/>
    <w:rsid w:val="00EF1FC6"/>
    <w:pPr>
      <w:spacing w:after="120"/>
      <w:ind w:left="360" w:hanging="360"/>
    </w:pPr>
    <w:rPr>
      <w:sz w:val="20"/>
      <w:szCs w:val="20"/>
    </w:rPr>
  </w:style>
  <w:style w:type="character" w:customStyle="1" w:styleId="FootnoteTextChar">
    <w:name w:val="Footnote Text Char"/>
    <w:aliases w:val="F1 Char"/>
    <w:basedOn w:val="DefaultParagraphFont"/>
    <w:link w:val="FootnoteText"/>
    <w:uiPriority w:val="99"/>
    <w:rsid w:val="00EF1FC6"/>
  </w:style>
  <w:style w:type="paragraph" w:customStyle="1" w:styleId="TableBullets">
    <w:name w:val="Table Bullets"/>
    <w:basedOn w:val="ListParagraph"/>
    <w:qFormat/>
    <w:rsid w:val="008152AA"/>
    <w:pPr>
      <w:numPr>
        <w:numId w:val="34"/>
      </w:numPr>
      <w:spacing w:after="120" w:line="276" w:lineRule="auto"/>
    </w:pPr>
    <w:rPr>
      <w:rFonts w:ascii="Arial Narrow" w:hAnsi="Arial Narrow" w:eastAsiaTheme="min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iles.consumerfinance.gov/f/documents/201706_cfpb_five-principles-financial-well-being.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97749c-35e3-4292-9c41-d352b303d2cf">OPSOCDOPRA-2116056712-2136638</_dlc_DocId>
    <_dlc_DocIdUrl xmlns="8097749c-35e3-4292-9c41-d352b303d2cf">
      <Url>https://bcfp365.sharepoint.com/sites/ops-ocdo-pra/_layouts/15/DocIdRedir.aspx?ID=OPSOCDOPRA-2116056712-2136638</Url>
      <Description>OPSOCDOPRA-2116056712-2136638</Description>
    </_dlc_DocIdUrl>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CAF6-1F1D-4D1A-AD85-D080721ED422}">
  <ds:schemaRefs/>
</ds:datastoreItem>
</file>

<file path=customXml/itemProps2.xml><?xml version="1.0" encoding="utf-8"?>
<ds:datastoreItem xmlns:ds="http://schemas.openxmlformats.org/officeDocument/2006/customXml" ds:itemID="{17FFEAB5-E59A-41BE-B737-E1044E4FCFDF}">
  <ds:schemaRefs>
    <ds:schemaRef ds:uri="f6f73781-70c4-4328-acc7-2aa385702a57"/>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b7b1617e-6a94-47af-ad6f-e20732201e63"/>
    <ds:schemaRef ds:uri="5e6029f0-4cb2-4578-9dca-18ac3ce3eaca"/>
    <ds:schemaRef ds:uri="http://www.w3.org/XML/1998/namespace"/>
  </ds:schemaRefs>
</ds:datastoreItem>
</file>

<file path=customXml/itemProps3.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4.xml><?xml version="1.0" encoding="utf-8"?>
<ds:datastoreItem xmlns:ds="http://schemas.openxmlformats.org/officeDocument/2006/customXml" ds:itemID="{5E5B2464-979E-47C3-B28C-C554B8F820ED}">
  <ds:schemaRefs/>
</ds:datastoreItem>
</file>

<file path=customXml/itemProps5.xml><?xml version="1.0" encoding="utf-8"?>
<ds:datastoreItem xmlns:ds="http://schemas.openxmlformats.org/officeDocument/2006/customXml" ds:itemID="{8A7C1B61-26CD-4DA0-8C64-C1C8B951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May, Anthony (CFPB)</cp:lastModifiedBy>
  <cp:revision>2</cp:revision>
  <cp:lastPrinted>2010-10-04T16:59:00Z</cp:lastPrinted>
  <dcterms:created xsi:type="dcterms:W3CDTF">2022-05-05T16:16:00Z</dcterms:created>
  <dcterms:modified xsi:type="dcterms:W3CDTF">2022-05-05T16:16:00Z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Order">
    <vt:r8>7421000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02e9c6fe-9b56-4a47-bfa4-fd803e0f4a71</vt:lpwstr>
  </property>
  <property fmtid="{D5CDD505-2E9C-101B-9397-08002B2CF9AE}" pid="9" name="_docset_NoMedatataSyncRequired">
    <vt:lpwstr>False</vt:lpwstr>
  </property>
  <property fmtid="{D5CDD505-2E9C-101B-9397-08002B2CF9AE}" pid="10" name="_NewReviewCycle">
    <vt:lpwstr/>
  </property>
</Properties>
</file>