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4B5B90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E50293" w:rsidRPr="008222BD" w:rsidP="00F8330F" w14:paraId="7250C5F5" w14:textId="16671B3C">
      <w:pPr>
        <w:pStyle w:val="Heading2"/>
      </w:pPr>
      <w:r w:rsidRPr="008222BD">
        <w:t xml:space="preserve">1. </w:t>
      </w:r>
      <w:r w:rsidRPr="008222BD" w:rsidR="005E714A">
        <w:rPr>
          <w:smallCaps/>
        </w:rPr>
        <w:t>TITLE OF INFORMATION COLLECTION</w:t>
      </w:r>
      <w:r w:rsidRPr="008222BD" w:rsidR="005E714A">
        <w:t xml:space="preserve">: </w:t>
      </w:r>
      <w:r w:rsidR="001B5CA1">
        <w:t xml:space="preserve"> </w:t>
      </w:r>
      <w:r w:rsidRPr="003F68E2" w:rsidR="003F68E2">
        <w:rPr>
          <w:b w:val="0"/>
          <w:bCs w:val="0"/>
        </w:rPr>
        <w:t>National Survey on Youth Financial Behavior</w:t>
      </w:r>
    </w:p>
    <w:p w:rsidR="005E714A" w:rsidRPr="00410F81" w14:paraId="7250C5F6" w14:textId="77777777"/>
    <w:p w:rsidR="001B0AAA" w:rsidRPr="00410F81" w:rsidP="00F8330F" w14:paraId="7250C5F8" w14:textId="77777777">
      <w:pPr>
        <w:pStyle w:val="Heading2"/>
      </w:pPr>
      <w:r w:rsidRPr="008222BD">
        <w:t xml:space="preserve">2. </w:t>
      </w:r>
      <w:r w:rsidRPr="00410F81" w:rsidR="00F15956">
        <w:t>PURPOSE</w:t>
      </w:r>
      <w:r w:rsidRPr="008222BD" w:rsidR="00F15956">
        <w:t>:</w:t>
      </w:r>
      <w:r w:rsidRPr="008222BD" w:rsidR="00C14CC4">
        <w:t xml:space="preserve"> </w:t>
      </w:r>
    </w:p>
    <w:p w:rsidR="00954940" w:rsidP="00954940" w14:paraId="247A3369" w14:textId="77777777">
      <w:pPr>
        <w:pStyle w:val="ICFTextwithspace"/>
        <w:spacing w:after="0"/>
        <w:rPr>
          <w:rFonts w:ascii="Times New Roman" w:hAnsi="Times New Roman" w:cs="Times New Roman"/>
          <w:sz w:val="24"/>
          <w:szCs w:val="24"/>
        </w:rPr>
      </w:pPr>
    </w:p>
    <w:p w:rsidR="00B84C86" w:rsidRPr="00B84C86" w:rsidP="00B84C86" w14:paraId="027553AE" w14:textId="24C58023">
      <w:pPr>
        <w:pStyle w:val="ICFTextwithspace"/>
        <w:rPr>
          <w:rFonts w:ascii="Times New Roman" w:hAnsi="Times New Roman" w:cs="Times New Roman"/>
          <w:sz w:val="24"/>
          <w:szCs w:val="24"/>
        </w:rPr>
      </w:pPr>
      <w:r w:rsidRPr="00F532D1">
        <w:rPr>
          <w:rFonts w:ascii="Times New Roman" w:hAnsi="Times New Roman" w:cs="Times New Roman"/>
          <w:sz w:val="24"/>
          <w:szCs w:val="24"/>
        </w:rPr>
        <w:t xml:space="preserve">The purpose of this research is to collect </w:t>
      </w:r>
      <w:r w:rsidR="00812DCA">
        <w:rPr>
          <w:rFonts w:ascii="Times New Roman" w:hAnsi="Times New Roman" w:cs="Times New Roman"/>
          <w:sz w:val="24"/>
          <w:szCs w:val="24"/>
        </w:rPr>
        <w:t xml:space="preserve">national </w:t>
      </w:r>
      <w:r w:rsidRPr="00F532D1">
        <w:rPr>
          <w:rFonts w:ascii="Times New Roman" w:hAnsi="Times New Roman" w:cs="Times New Roman"/>
          <w:sz w:val="24"/>
          <w:szCs w:val="24"/>
        </w:rPr>
        <w:t xml:space="preserve">data on youth attitudes and behaviors related to personal finance </w:t>
      </w:r>
      <w:r w:rsidR="000D2089">
        <w:rPr>
          <w:rFonts w:ascii="Times New Roman" w:hAnsi="Times New Roman" w:cs="Times New Roman"/>
          <w:sz w:val="24"/>
          <w:szCs w:val="24"/>
        </w:rPr>
        <w:t xml:space="preserve">to </w:t>
      </w:r>
      <w:r w:rsidR="0092218F">
        <w:rPr>
          <w:rFonts w:ascii="Times New Roman" w:hAnsi="Times New Roman" w:cs="Times New Roman"/>
          <w:sz w:val="24"/>
          <w:szCs w:val="24"/>
        </w:rPr>
        <w:t>supplement</w:t>
      </w:r>
      <w:r w:rsidRPr="00F532D1">
        <w:rPr>
          <w:rFonts w:ascii="Times New Roman" w:hAnsi="Times New Roman" w:cs="Times New Roman"/>
          <w:sz w:val="24"/>
          <w:szCs w:val="24"/>
        </w:rPr>
        <w:t xml:space="preserve"> two </w:t>
      </w:r>
      <w:r w:rsidR="0092218F">
        <w:rPr>
          <w:rFonts w:ascii="Times New Roman" w:hAnsi="Times New Roman" w:cs="Times New Roman"/>
          <w:sz w:val="24"/>
          <w:szCs w:val="24"/>
        </w:rPr>
        <w:t>focus group</w:t>
      </w:r>
      <w:r w:rsidRPr="00F532D1" w:rsidR="0092218F">
        <w:rPr>
          <w:rFonts w:ascii="Times New Roman" w:hAnsi="Times New Roman" w:cs="Times New Roman"/>
          <w:sz w:val="24"/>
          <w:szCs w:val="24"/>
        </w:rPr>
        <w:t xml:space="preserve"> </w:t>
      </w:r>
      <w:r w:rsidRPr="00F532D1">
        <w:rPr>
          <w:rFonts w:ascii="Times New Roman" w:hAnsi="Times New Roman" w:cs="Times New Roman"/>
          <w:sz w:val="24"/>
          <w:szCs w:val="24"/>
        </w:rPr>
        <w:t xml:space="preserve">studies </w:t>
      </w:r>
      <w:r>
        <w:rPr>
          <w:rFonts w:ascii="Times New Roman" w:hAnsi="Times New Roman" w:cs="Times New Roman"/>
          <w:sz w:val="24"/>
          <w:szCs w:val="24"/>
        </w:rPr>
        <w:t xml:space="preserve">the Consumer Financial Protection Bureau (CFPB) is currently conducting </w:t>
      </w:r>
      <w:r w:rsidRPr="00F532D1">
        <w:rPr>
          <w:rFonts w:ascii="Times New Roman" w:hAnsi="Times New Roman" w:cs="Times New Roman"/>
          <w:sz w:val="24"/>
          <w:szCs w:val="24"/>
        </w:rPr>
        <w:t xml:space="preserve">focused on financial technology and family discussions about money. </w:t>
      </w:r>
      <w:r w:rsidR="00AA1956">
        <w:rPr>
          <w:rFonts w:ascii="Times New Roman" w:hAnsi="Times New Roman" w:cs="Times New Roman"/>
          <w:sz w:val="24"/>
          <w:szCs w:val="24"/>
        </w:rPr>
        <w:t xml:space="preserve"> </w:t>
      </w:r>
      <w:r w:rsidRPr="00B84C86">
        <w:rPr>
          <w:rFonts w:ascii="Times New Roman" w:hAnsi="Times New Roman" w:cs="Times New Roman"/>
          <w:sz w:val="24"/>
          <w:szCs w:val="24"/>
        </w:rPr>
        <w:t xml:space="preserve">Research questions that will be addressed through </w:t>
      </w:r>
      <w:r>
        <w:rPr>
          <w:rFonts w:ascii="Times New Roman" w:hAnsi="Times New Roman" w:cs="Times New Roman"/>
          <w:sz w:val="24"/>
          <w:szCs w:val="24"/>
        </w:rPr>
        <w:t>this survey</w:t>
      </w:r>
      <w:r w:rsidRPr="00B84C86">
        <w:rPr>
          <w:rFonts w:ascii="Times New Roman" w:hAnsi="Times New Roman" w:cs="Times New Roman"/>
          <w:sz w:val="24"/>
          <w:szCs w:val="24"/>
        </w:rPr>
        <w:t xml:space="preserve"> include:</w:t>
      </w:r>
    </w:p>
    <w:p w:rsidR="00862F75" w:rsidRPr="00862F75" w:rsidP="00862F75" w14:paraId="30342B4A" w14:textId="666063B9">
      <w:pPr>
        <w:numPr>
          <w:ilvl w:val="0"/>
          <w:numId w:val="39"/>
        </w:numPr>
        <w:autoSpaceDE w:val="0"/>
        <w:autoSpaceDN w:val="0"/>
        <w:adjustRightInd w:val="0"/>
        <w:rPr>
          <w:rFonts w:eastAsiaTheme="minorHAnsi"/>
        </w:rPr>
      </w:pPr>
      <w:r>
        <w:rPr>
          <w:rFonts w:eastAsiaTheme="minorHAnsi"/>
        </w:rPr>
        <w:t xml:space="preserve">What </w:t>
      </w:r>
      <w:r w:rsidR="007B23C0">
        <w:rPr>
          <w:rFonts w:eastAsiaTheme="minorHAnsi"/>
        </w:rPr>
        <w:t>financial technology apps</w:t>
      </w:r>
      <w:r>
        <w:rPr>
          <w:rFonts w:eastAsiaTheme="minorHAnsi"/>
        </w:rPr>
        <w:t xml:space="preserve"> are used by youth, and how often do they use them?  </w:t>
      </w:r>
    </w:p>
    <w:p w:rsidR="00862F75" w:rsidRPr="00862F75" w:rsidP="00862F75" w14:paraId="5C6D7B6A" w14:textId="3220ED8D">
      <w:pPr>
        <w:numPr>
          <w:ilvl w:val="0"/>
          <w:numId w:val="39"/>
        </w:numPr>
        <w:autoSpaceDE w:val="0"/>
        <w:autoSpaceDN w:val="0"/>
        <w:adjustRightInd w:val="0"/>
        <w:rPr>
          <w:rFonts w:eastAsiaTheme="minorHAnsi"/>
        </w:rPr>
      </w:pPr>
      <w:r>
        <w:rPr>
          <w:rFonts w:eastAsiaTheme="minorHAnsi"/>
        </w:rPr>
        <w:t>Wh</w:t>
      </w:r>
      <w:r w:rsidR="00604C65">
        <w:rPr>
          <w:rFonts w:eastAsiaTheme="minorHAnsi"/>
        </w:rPr>
        <w:t>ere do youth seek information about financial technology and personal finance</w:t>
      </w:r>
      <w:r w:rsidRPr="00862F75">
        <w:rPr>
          <w:rFonts w:eastAsiaTheme="minorHAnsi"/>
        </w:rPr>
        <w:t xml:space="preserve">? </w:t>
      </w:r>
    </w:p>
    <w:p w:rsidR="00862F75" w:rsidRPr="00862F75" w:rsidP="00862F75" w14:paraId="6F2480EC" w14:textId="4B675CDE">
      <w:pPr>
        <w:numPr>
          <w:ilvl w:val="0"/>
          <w:numId w:val="39"/>
        </w:numPr>
        <w:autoSpaceDE w:val="0"/>
        <w:autoSpaceDN w:val="0"/>
        <w:adjustRightInd w:val="0"/>
        <w:rPr>
          <w:rFonts w:eastAsiaTheme="minorHAnsi"/>
        </w:rPr>
      </w:pPr>
      <w:r>
        <w:rPr>
          <w:rFonts w:eastAsiaTheme="minorHAnsi"/>
        </w:rPr>
        <w:t xml:space="preserve">What personal finance topics do youth discuss with their families and peers? </w:t>
      </w:r>
    </w:p>
    <w:p w:rsidR="00862F75" w:rsidRPr="00862F75" w:rsidP="00D2117C" w14:paraId="6672E1C2" w14:textId="711F02EE">
      <w:pPr>
        <w:autoSpaceDE w:val="0"/>
        <w:autoSpaceDN w:val="0"/>
        <w:adjustRightInd w:val="0"/>
        <w:ind w:left="540"/>
        <w:rPr>
          <w:rFonts w:eastAsiaTheme="minorHAnsi"/>
        </w:rPr>
      </w:pPr>
    </w:p>
    <w:p w:rsidR="00434E33" w:rsidRPr="00713D29" w:rsidP="00F8330F" w14:paraId="7250C5FB" w14:textId="77777777">
      <w:pPr>
        <w:pStyle w:val="Heading2"/>
        <w:rPr>
          <w:i/>
        </w:rPr>
      </w:pPr>
      <w:r w:rsidRPr="00713D29">
        <w:t xml:space="preserve">3. </w:t>
      </w:r>
      <w:r w:rsidRPr="00AB78E0">
        <w:t>DESCRIPTION OF RESPONDENTS</w:t>
      </w:r>
      <w:r w:rsidRPr="00713D29">
        <w:t xml:space="preserve">: </w:t>
      </w:r>
    </w:p>
    <w:p w:rsidR="00F15956" w:rsidRPr="00713D29" w14:paraId="7250C5FC" w14:textId="77777777"/>
    <w:p w:rsidR="00862F75" w:rsidRPr="00404E6E" w:rsidP="00862F75" w14:paraId="0921CF72" w14:textId="3D774CAE">
      <w:pPr>
        <w:pStyle w:val="ICFTextwithspace"/>
        <w:rPr>
          <w:rFonts w:ascii="Times New Roman" w:hAnsi="Times New Roman" w:cs="Times New Roman"/>
          <w:sz w:val="24"/>
          <w:szCs w:val="24"/>
        </w:rPr>
      </w:pPr>
      <w:r w:rsidRPr="00404E6E">
        <w:rPr>
          <w:rFonts w:ascii="Times New Roman" w:hAnsi="Times New Roman" w:cs="Times New Roman"/>
          <w:sz w:val="24"/>
          <w:szCs w:val="24"/>
        </w:rPr>
        <w:t xml:space="preserve">A total of </w:t>
      </w:r>
      <w:r w:rsidRPr="00404E6E" w:rsidR="00CE45F3">
        <w:rPr>
          <w:rFonts w:ascii="Times New Roman" w:hAnsi="Times New Roman" w:cs="Times New Roman"/>
          <w:sz w:val="24"/>
          <w:szCs w:val="24"/>
        </w:rPr>
        <w:t xml:space="preserve">1,000 youth </w:t>
      </w:r>
      <w:r w:rsidRPr="00404E6E" w:rsidR="001513EC">
        <w:rPr>
          <w:rFonts w:ascii="Times New Roman" w:hAnsi="Times New Roman" w:cs="Times New Roman"/>
          <w:sz w:val="24"/>
          <w:szCs w:val="24"/>
        </w:rPr>
        <w:t>between the ages of 16-24 will complete the survey</w:t>
      </w:r>
      <w:r w:rsidR="00744802">
        <w:rPr>
          <w:rFonts w:ascii="Times New Roman" w:hAnsi="Times New Roman" w:cs="Times New Roman"/>
          <w:sz w:val="24"/>
          <w:szCs w:val="24"/>
        </w:rPr>
        <w:t>, which will be conducted online</w:t>
      </w:r>
      <w:r w:rsidRPr="00404E6E" w:rsidR="001513EC">
        <w:rPr>
          <w:rFonts w:ascii="Times New Roman" w:hAnsi="Times New Roman" w:cs="Times New Roman"/>
          <w:sz w:val="24"/>
          <w:szCs w:val="24"/>
        </w:rPr>
        <w:t>.</w:t>
      </w:r>
      <w:r w:rsidR="001771CF">
        <w:rPr>
          <w:rFonts w:ascii="Times New Roman" w:hAnsi="Times New Roman" w:cs="Times New Roman"/>
          <w:sz w:val="24"/>
          <w:szCs w:val="24"/>
        </w:rPr>
        <w:t xml:space="preserve"> </w:t>
      </w:r>
      <w:r w:rsidRPr="00404E6E" w:rsidR="00286C29">
        <w:rPr>
          <w:rFonts w:ascii="Times New Roman" w:hAnsi="Times New Roman" w:cs="Times New Roman"/>
          <w:sz w:val="24"/>
          <w:szCs w:val="24"/>
        </w:rPr>
        <w:t>Approximately one quarter of responses will be from each of four age categories: (1) 16-17; (2) 18 to 20; (3) 21-22; and (4) 23-24.</w:t>
      </w:r>
      <w:r w:rsidR="0092218F">
        <w:rPr>
          <w:rFonts w:ascii="Times New Roman" w:hAnsi="Times New Roman" w:cs="Times New Roman"/>
          <w:sz w:val="24"/>
          <w:szCs w:val="24"/>
        </w:rPr>
        <w:t xml:space="preserve"> </w:t>
      </w:r>
      <w:r w:rsidR="00AA1956">
        <w:rPr>
          <w:rFonts w:ascii="Times New Roman" w:hAnsi="Times New Roman" w:cs="Times New Roman"/>
          <w:sz w:val="24"/>
          <w:szCs w:val="24"/>
        </w:rPr>
        <w:t xml:space="preserve"> </w:t>
      </w:r>
      <w:r w:rsidR="007B1E60">
        <w:rPr>
          <w:rFonts w:ascii="Times New Roman" w:hAnsi="Times New Roman" w:cs="Times New Roman"/>
          <w:sz w:val="24"/>
          <w:szCs w:val="24"/>
        </w:rPr>
        <w:t xml:space="preserve">Respondents will </w:t>
      </w:r>
      <w:r w:rsidR="00630CF0">
        <w:rPr>
          <w:rFonts w:ascii="Times New Roman" w:hAnsi="Times New Roman" w:cs="Times New Roman"/>
          <w:sz w:val="24"/>
          <w:szCs w:val="24"/>
        </w:rPr>
        <w:t>vary</w:t>
      </w:r>
      <w:r w:rsidR="00717A81">
        <w:rPr>
          <w:rFonts w:ascii="Times New Roman" w:hAnsi="Times New Roman" w:cs="Times New Roman"/>
          <w:sz w:val="24"/>
          <w:szCs w:val="24"/>
        </w:rPr>
        <w:t xml:space="preserve"> </w:t>
      </w:r>
      <w:r w:rsidR="00717A81">
        <w:rPr>
          <w:rFonts w:ascii="Times New Roman" w:hAnsi="Times New Roman" w:cs="Times New Roman"/>
          <w:sz w:val="24"/>
          <w:szCs w:val="24"/>
        </w:rPr>
        <w:t>on the basis of</w:t>
      </w:r>
      <w:r w:rsidR="00717A81">
        <w:rPr>
          <w:rFonts w:ascii="Times New Roman" w:hAnsi="Times New Roman" w:cs="Times New Roman"/>
          <w:sz w:val="24"/>
          <w:szCs w:val="24"/>
        </w:rPr>
        <w:t xml:space="preserve"> gender, ethnicity/race, geographic region, and household income.</w:t>
      </w:r>
    </w:p>
    <w:p w:rsidR="008E746E" w:rsidRPr="00713D29" w14:paraId="7EE193C2" w14:textId="77777777"/>
    <w:p w:rsidR="007353C3" w:rsidRPr="00F8330F" w:rsidP="00F8330F" w14:paraId="7250C5FE" w14:textId="77777777">
      <w:pPr>
        <w:pStyle w:val="Heading2"/>
      </w:pPr>
      <w:r w:rsidRPr="00F8330F">
        <w:t xml:space="preserve">4. TYPE OF COLLECTION (Administration of the </w:t>
      </w:r>
      <w:r w:rsidRPr="00F8330F" w:rsidR="00635087">
        <w:t xml:space="preserve">COLLECTION </w:t>
      </w:r>
      <w:r w:rsidRPr="00F8330F">
        <w:t>instrument):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7353C3" w14:paraId="7250C602" w14:textId="2B776246">
      <w:pPr>
        <w:pStyle w:val="ListParagraph"/>
        <w:ind w:left="460" w:right="721"/>
      </w:pPr>
      <w:r w:rsidRPr="00410F81">
        <w:tab/>
      </w:r>
      <w:r w:rsidRPr="00410F81">
        <w:tab/>
      </w:r>
      <w:r w:rsidRPr="00713D29">
        <w:t>[</w:t>
      </w:r>
      <w:r w:rsidR="00286C29">
        <w:t>X</w:t>
      </w:r>
      <w:r w:rsidRPr="00713D29">
        <w:t>] Web-based or other forms of Social Media</w:t>
      </w:r>
      <w:r w:rsidRPr="00713D29">
        <w:tab/>
      </w:r>
      <w:r w:rsidRPr="00713D29">
        <w:t>[  ]</w:t>
      </w:r>
      <w:r w:rsidRPr="00713D29">
        <w:t xml:space="preserve"> Telephone    </w:t>
      </w:r>
    </w:p>
    <w:p w:rsidR="007353C3" w:rsidRPr="00713D29" w:rsidP="007353C3" w14:paraId="7250C603" w14:textId="77777777">
      <w:pPr>
        <w:pStyle w:val="ListParagraph"/>
        <w:ind w:left="1180" w:right="721" w:firstLine="260"/>
      </w:pPr>
      <w:r w:rsidRPr="00713D29">
        <w:t>[  ]</w:t>
      </w:r>
      <w:r w:rsidRPr="00713D29">
        <w:t xml:space="preserve"> In-person </w:t>
      </w:r>
      <w:r w:rsidRPr="00713D29">
        <w:tab/>
      </w:r>
      <w:r w:rsidRPr="00713D29">
        <w:tab/>
      </w:r>
      <w:r w:rsidRPr="00713D29">
        <w:tab/>
      </w:r>
      <w:r w:rsidRPr="00713D29">
        <w:tab/>
      </w:r>
      <w:r w:rsidRPr="00713D29">
        <w:tab/>
      </w:r>
      <w:r w:rsidRPr="00713D29">
        <w:tab/>
        <w:t>[  ] Mail</w:t>
      </w:r>
    </w:p>
    <w:p w:rsidR="007353C3" w:rsidP="00904A95" w14:paraId="7250C605" w14:textId="435AAF1D">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w:t>
      </w:r>
      <w:r w:rsidR="002D3AA5">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00F81A35">
        <w:t xml:space="preserve">  </w:t>
      </w:r>
      <w:r w:rsidRPr="00713D29">
        <w:t>] Other</w:t>
      </w:r>
      <w:r w:rsidRPr="00713D29" w:rsidR="00635087">
        <w:t xml:space="preserve"> (please e</w:t>
      </w:r>
      <w:r w:rsidRPr="00713D29">
        <w:t>xplain</w:t>
      </w:r>
      <w:r w:rsidRPr="00713D29" w:rsidR="00635087">
        <w:t>)</w:t>
      </w:r>
      <w:r w:rsidRPr="00713D29">
        <w:t xml:space="preserve"> </w:t>
      </w:r>
    </w:p>
    <w:p w:rsidR="00F81A35" w:rsidRPr="00713D29" w:rsidP="00904A95" w14:paraId="76A9A6C9" w14:textId="77777777">
      <w:pPr>
        <w:pStyle w:val="ListParagraph"/>
        <w:ind w:right="721" w:firstLine="720"/>
      </w:pP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5B6B509A">
      <w:pPr>
        <w:pStyle w:val="ListParagraph"/>
        <w:ind w:left="460" w:right="721"/>
      </w:pPr>
      <w:r w:rsidRPr="00713D29">
        <w:tab/>
      </w:r>
      <w:r w:rsidRPr="00713D29">
        <w:tab/>
        <w:t xml:space="preserve">[] </w:t>
      </w:r>
      <w:r w:rsidRPr="00713D29">
        <w:t xml:space="preserve">Yes </w:t>
      </w:r>
      <w:r w:rsidRPr="00713D29" w:rsidR="00635087">
        <w:t xml:space="preserve"> </w:t>
      </w:r>
      <w:r w:rsidRPr="00713D29">
        <w:t>[</w:t>
      </w:r>
      <w:r w:rsidRPr="00713D29">
        <w:t xml:space="preserve">] No </w:t>
      </w:r>
      <w:r w:rsidRPr="00713D29" w:rsidR="00635087">
        <w:t xml:space="preserve"> </w:t>
      </w:r>
      <w:r w:rsidRPr="00713D29">
        <w:t>[</w:t>
      </w:r>
      <w:r w:rsidR="00CE5915">
        <w:t>X</w:t>
      </w:r>
      <w:r w:rsidRPr="00713D29">
        <w:t>] Not Applicable</w:t>
      </w:r>
    </w:p>
    <w:p w:rsidR="007353C3" w:rsidRPr="00713D29" w:rsidP="007353C3" w14:paraId="7250C609" w14:textId="77777777">
      <w:pPr>
        <w:ind w:right="721"/>
      </w:pPr>
    </w:p>
    <w:p w:rsidR="00EA3DC6" w:rsidRPr="00EA3DC6" w:rsidP="00EA3DC6" w14:paraId="2F2EE63F" w14:textId="7D12999B">
      <w:pPr>
        <w:widowControl w:val="0"/>
        <w:spacing w:before="72"/>
        <w:ind w:right="-20"/>
        <w:rPr>
          <w:bCs/>
          <w:spacing w:val="-3"/>
        </w:rPr>
      </w:pPr>
      <w:r w:rsidRPr="00EA3DC6">
        <w:rPr>
          <w:b/>
          <w:bCs/>
        </w:rPr>
        <w:t>5.</w:t>
      </w:r>
      <w:r>
        <w:rPr>
          <w:b/>
          <w:bCs/>
        </w:rPr>
        <w:t xml:space="preserve"> </w:t>
      </w:r>
      <w:r w:rsidRPr="00EA3DC6">
        <w:rPr>
          <w:b/>
          <w:bCs/>
          <w:caps/>
          <w:spacing w:val="-3"/>
        </w:rPr>
        <w:t>Focus group or survey</w:t>
      </w:r>
      <w:r w:rsidRPr="00EA3DC6">
        <w:rPr>
          <w:bCs/>
          <w:caps/>
          <w:spacing w:val="-3"/>
        </w:rPr>
        <w:t>:</w:t>
      </w:r>
      <w:r w:rsidRPr="00EA3DC6">
        <w:rPr>
          <w:bCs/>
          <w:spacing w:val="-3"/>
        </w:rPr>
        <w:t xml:space="preserve"> </w:t>
      </w:r>
    </w:p>
    <w:p w:rsidR="00EA3DC6" w:rsidRPr="008222BD" w:rsidP="00EA3DC6" w14:paraId="3543C77E" w14:textId="77777777">
      <w:pPr>
        <w:pStyle w:val="ListParagraph"/>
        <w:spacing w:before="72"/>
        <w:ind w:left="460" w:right="-20"/>
        <w:rPr>
          <w:bCs/>
          <w:spacing w:val="-3"/>
        </w:rPr>
      </w:pPr>
    </w:p>
    <w:p w:rsidR="007353C3" w:rsidRPr="00F8330F" w:rsidP="00F8330F" w14:paraId="7250C60A" w14:textId="044906FE">
      <w:pPr>
        <w:rPr>
          <w:b/>
          <w:bCs/>
        </w:rPr>
      </w:pPr>
      <w:r w:rsidRPr="00F8330F">
        <w:rPr>
          <w:b/>
          <w:bCs/>
        </w:rPr>
        <w:t xml:space="preserve"> </w:t>
      </w:r>
    </w:p>
    <w:p w:rsidR="007353C3" w:rsidRPr="008222BD" w:rsidP="007353C3" w14:paraId="7250C60B" w14:textId="77777777">
      <w:pPr>
        <w:pStyle w:val="ListParagraph"/>
        <w:spacing w:before="72"/>
        <w:ind w:left="460" w:right="-20"/>
        <w:rPr>
          <w:bCs/>
          <w:spacing w:val="-3"/>
        </w:rPr>
      </w:pPr>
    </w:p>
    <w:p w:rsidR="007353C3" w:rsidRPr="008222BD" w:rsidP="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47D178C9">
      <w:pPr>
        <w:pStyle w:val="ListParagraph"/>
        <w:spacing w:before="72"/>
        <w:ind w:left="460" w:right="-20"/>
        <w:rPr>
          <w:bCs/>
          <w:spacing w:val="-3"/>
        </w:rPr>
      </w:pPr>
      <w:r w:rsidRPr="00713D29">
        <w:rPr>
          <w:bCs/>
          <w:spacing w:val="-3"/>
        </w:rPr>
        <w:t xml:space="preserve">[] Yes </w:t>
      </w:r>
      <w:r w:rsidRPr="00713D29">
        <w:rPr>
          <w:bCs/>
          <w:spacing w:val="-3"/>
        </w:rPr>
        <w:t>[</w:t>
      </w:r>
      <w:r w:rsidR="00C1797E">
        <w:rPr>
          <w:bCs/>
          <w:spacing w:val="-3"/>
        </w:rPr>
        <w:t xml:space="preserve"> </w:t>
      </w:r>
      <w:r w:rsidRPr="00713D29">
        <w:rPr>
          <w:bCs/>
          <w:spacing w:val="-3"/>
        </w:rPr>
        <w:t xml:space="preserve"> ]</w:t>
      </w:r>
      <w:r w:rsidRPr="00713D29">
        <w:rPr>
          <w:bCs/>
          <w:spacing w:val="-3"/>
        </w:rPr>
        <w:t xml:space="preserve"> No  [ </w:t>
      </w:r>
      <w:r w:rsidR="00286C29">
        <w:rPr>
          <w:bCs/>
          <w:spacing w:val="-3"/>
        </w:rPr>
        <w:t>X</w:t>
      </w:r>
      <w:r w:rsidRPr="00713D29">
        <w:rPr>
          <w:bCs/>
          <w:spacing w:val="-3"/>
        </w:rPr>
        <w:t xml:space="preserve">] </w:t>
      </w:r>
      <w:r w:rsidRPr="00713D29">
        <w:t>Not Applicable</w:t>
      </w:r>
    </w:p>
    <w:p w:rsidR="007353C3" w:rsidRPr="008222BD" w:rsidP="007353C3" w14:paraId="7250C611" w14:textId="77777777">
      <w:pPr>
        <w:pStyle w:val="ListParagraph"/>
        <w:spacing w:before="72"/>
        <w:ind w:left="460" w:right="-20"/>
        <w:rPr>
          <w:bCs/>
          <w:spacing w:val="-3"/>
        </w:rPr>
      </w:pPr>
    </w:p>
    <w:p w:rsidR="007353C3" w:rsidRPr="008222BD" w:rsidP="007353C3" w14:paraId="7250C612" w14:textId="77777777">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7353C3" w:rsidRPr="00F56BB4" w:rsidP="007353C3" w14:paraId="7250C613" w14:textId="7C3C87C8">
      <w:pPr>
        <w:pStyle w:val="ListParagraph"/>
        <w:spacing w:before="72"/>
        <w:ind w:left="460" w:right="-20"/>
        <w:rPr>
          <w:rFonts w:eastAsiaTheme="minorHAnsi"/>
        </w:rPr>
      </w:pPr>
    </w:p>
    <w:p w:rsidR="008A3C7A" w:rsidRPr="008430E5" w:rsidP="008430E5" w14:paraId="300D7624" w14:textId="77777777">
      <w:pPr>
        <w:spacing w:before="72"/>
        <w:ind w:right="-20"/>
        <w:rPr>
          <w:bCs/>
          <w:spacing w:val="-3"/>
        </w:rPr>
      </w:pPr>
    </w:p>
    <w:p w:rsidR="008C4E6C" w:rsidRPr="0084040C" w:rsidP="00F8330F" w14:paraId="7250C614" w14:textId="6B7D9CE4">
      <w:pPr>
        <w:pStyle w:val="Heading2"/>
      </w:pPr>
      <w:r>
        <w:t>6</w:t>
      </w:r>
      <w:r w:rsidR="0084040C">
        <w:t xml:space="preserve">. </w:t>
      </w:r>
      <w:r w:rsidRPr="0084040C" w:rsidR="0084040C">
        <w:t>INFORMATION COLLECTION PROCEDURES:</w:t>
      </w:r>
    </w:p>
    <w:p w:rsidR="008C4E6C" w:rsidRPr="008222BD" w:rsidP="007021C0" w14:paraId="7250C615" w14:textId="77777777">
      <w:pPr>
        <w:pStyle w:val="ListParagraph"/>
        <w:ind w:left="0"/>
      </w:pPr>
      <w:r w:rsidRPr="00713D29">
        <w:t>Please summarize the procedures that will be used to collect data from respondents.</w:t>
      </w:r>
    </w:p>
    <w:p w:rsidR="008C4E6C" w:rsidRPr="00C52350" w:rsidP="008C4E6C" w14:paraId="7250C616" w14:textId="41FFC887">
      <w:pPr>
        <w:pStyle w:val="ListParagraph"/>
      </w:pPr>
    </w:p>
    <w:p w:rsidR="00C030CA" w:rsidRPr="00C52350" w:rsidP="00B95954" w14:paraId="59206698" w14:textId="5DC1BAF6">
      <w:pPr>
        <w:pStyle w:val="ICFTextwithspace"/>
        <w:spacing w:line="240" w:lineRule="auto"/>
        <w:rPr>
          <w:rFonts w:ascii="Times New Roman" w:hAnsi="Times New Roman" w:cs="Times New Roman"/>
          <w:sz w:val="24"/>
          <w:szCs w:val="24"/>
        </w:rPr>
      </w:pPr>
      <w:r w:rsidRPr="00C52350">
        <w:rPr>
          <w:rFonts w:ascii="Times New Roman" w:hAnsi="Times New Roman" w:cs="Times New Roman"/>
          <w:sz w:val="24"/>
          <w:szCs w:val="24"/>
        </w:rPr>
        <w:t xml:space="preserve">The survey will be conducted using </w:t>
      </w:r>
      <w:r w:rsidRPr="00C52350" w:rsidR="00AE7FBC">
        <w:rPr>
          <w:rFonts w:ascii="Times New Roman" w:hAnsi="Times New Roman" w:cs="Times New Roman"/>
          <w:sz w:val="24"/>
          <w:szCs w:val="24"/>
        </w:rPr>
        <w:t xml:space="preserve">an online panel that is </w:t>
      </w:r>
      <w:r w:rsidRPr="00C52350" w:rsidR="00510C4C">
        <w:rPr>
          <w:rFonts w:ascii="Times New Roman" w:hAnsi="Times New Roman" w:cs="Times New Roman"/>
          <w:sz w:val="24"/>
          <w:szCs w:val="24"/>
        </w:rPr>
        <w:t xml:space="preserve">administered by </w:t>
      </w:r>
      <w:r w:rsidRPr="00C52350" w:rsidR="00510C4C">
        <w:rPr>
          <w:rFonts w:ascii="Times New Roman" w:hAnsi="Times New Roman" w:cs="Times New Roman"/>
          <w:sz w:val="24"/>
          <w:szCs w:val="24"/>
        </w:rPr>
        <w:t>MFour</w:t>
      </w:r>
      <w:r w:rsidRPr="00C52350" w:rsidR="00510C4C">
        <w:rPr>
          <w:rFonts w:ascii="Times New Roman" w:hAnsi="Times New Roman" w:cs="Times New Roman"/>
          <w:sz w:val="24"/>
          <w:szCs w:val="24"/>
        </w:rPr>
        <w:t xml:space="preserve"> (</w:t>
      </w:r>
      <w:hyperlink r:id="rId9" w:history="1">
        <w:r w:rsidRPr="00C52350" w:rsidR="000466E4">
          <w:rPr>
            <w:rStyle w:val="Hyperlink"/>
            <w:rFonts w:ascii="Times New Roman" w:hAnsi="Times New Roman" w:cs="Times New Roman"/>
            <w:color w:val="auto"/>
            <w:sz w:val="24"/>
            <w:szCs w:val="24"/>
          </w:rPr>
          <w:t>www.mfour.com</w:t>
        </w:r>
      </w:hyperlink>
      <w:r w:rsidRPr="00C52350" w:rsidR="000466E4">
        <w:rPr>
          <w:rFonts w:ascii="Times New Roman" w:hAnsi="Times New Roman" w:cs="Times New Roman"/>
          <w:sz w:val="24"/>
          <w:szCs w:val="24"/>
        </w:rPr>
        <w:t xml:space="preserve">). </w:t>
      </w:r>
      <w:r w:rsidRPr="00C52350" w:rsidR="00150C8D">
        <w:rPr>
          <w:rFonts w:ascii="Times New Roman" w:hAnsi="Times New Roman" w:cs="Times New Roman"/>
          <w:sz w:val="24"/>
          <w:szCs w:val="24"/>
        </w:rPr>
        <w:t xml:space="preserve">The panel consists of </w:t>
      </w:r>
      <w:r w:rsidRPr="00C52350" w:rsidR="00915D18">
        <w:rPr>
          <w:rFonts w:ascii="Times New Roman" w:hAnsi="Times New Roman" w:cs="Times New Roman"/>
          <w:sz w:val="24"/>
          <w:szCs w:val="24"/>
        </w:rPr>
        <w:t>pre-screened individuals who have agreed to participate in consumer research surveys.</w:t>
      </w:r>
      <w:r w:rsidRPr="00C52350" w:rsidR="00C52350">
        <w:rPr>
          <w:rFonts w:ascii="Times New Roman" w:hAnsi="Times New Roman" w:cs="Times New Roman"/>
          <w:sz w:val="24"/>
          <w:szCs w:val="24"/>
        </w:rPr>
        <w:t xml:space="preserve"> The CFPB’s</w:t>
      </w:r>
      <w:r w:rsidRPr="00C52350" w:rsidR="00915D18">
        <w:rPr>
          <w:rFonts w:ascii="Times New Roman" w:hAnsi="Times New Roman" w:cs="Times New Roman"/>
          <w:sz w:val="24"/>
          <w:szCs w:val="24"/>
        </w:rPr>
        <w:t xml:space="preserve"> contractor will be responsible for working with </w:t>
      </w:r>
      <w:r w:rsidRPr="00C52350" w:rsidR="00915D18">
        <w:rPr>
          <w:rFonts w:ascii="Times New Roman" w:hAnsi="Times New Roman" w:cs="Times New Roman"/>
          <w:sz w:val="24"/>
          <w:szCs w:val="24"/>
        </w:rPr>
        <w:t>MFour</w:t>
      </w:r>
      <w:r w:rsidRPr="00C52350" w:rsidR="00915D18">
        <w:rPr>
          <w:rFonts w:ascii="Times New Roman" w:hAnsi="Times New Roman" w:cs="Times New Roman"/>
          <w:sz w:val="24"/>
          <w:szCs w:val="24"/>
        </w:rPr>
        <w:t xml:space="preserve"> to ensure that participant screening and data collection are carried out according to the research plan developed by CFPB.</w:t>
      </w:r>
      <w:r w:rsidRPr="00C52350" w:rsidR="0092218F">
        <w:rPr>
          <w:rFonts w:ascii="Times New Roman" w:hAnsi="Times New Roman" w:cs="Times New Roman"/>
          <w:sz w:val="24"/>
          <w:szCs w:val="24"/>
        </w:rPr>
        <w:t xml:space="preserve"> We anticipate that the survey will take approximately 15 minutes to complete.</w:t>
      </w:r>
    </w:p>
    <w:p w:rsidR="00C030CA" w:rsidRPr="008222BD" w:rsidP="00C93D8B" w14:paraId="101A9E3D" w14:textId="77777777"/>
    <w:p w:rsidR="007353C3" w:rsidRPr="00410F81" w:rsidP="0084040C" w14:paraId="7250C617" w14:textId="0024CDD4">
      <w:pPr>
        <w:pStyle w:val="Heading2"/>
      </w:pPr>
      <w:r>
        <w:rPr>
          <w:spacing w:val="-3"/>
        </w:rPr>
        <w:t>7</w:t>
      </w:r>
      <w:r w:rsidR="0084040C">
        <w:rPr>
          <w:spacing w:val="-3"/>
        </w:rPr>
        <w:t xml:space="preserve">. </w:t>
      </w:r>
      <w:r w:rsidRPr="00410F81" w:rsidR="0084040C">
        <w:rPr>
          <w:spacing w:val="-3"/>
        </w:rPr>
        <w:t>P</w:t>
      </w:r>
      <w:r w:rsidRPr="00AB78E0" w:rsidR="0084040C">
        <w:rPr>
          <w:spacing w:val="1"/>
        </w:rPr>
        <w:t>E</w:t>
      </w:r>
      <w:r w:rsidRPr="00AB78E0" w:rsidR="0084040C">
        <w:rPr>
          <w:spacing w:val="-1"/>
        </w:rPr>
        <w:t>R</w:t>
      </w:r>
      <w:r w:rsidRPr="00AB78E0" w:rsidR="0084040C">
        <w:t>SO</w:t>
      </w:r>
      <w:r w:rsidRPr="00AB78E0" w:rsidR="0084040C">
        <w:rPr>
          <w:spacing w:val="1"/>
        </w:rPr>
        <w:t>N</w:t>
      </w:r>
      <w:r w:rsidRPr="00AB78E0" w:rsidR="0084040C">
        <w:t>AL</w:t>
      </w:r>
      <w:r w:rsidRPr="00AB78E0" w:rsidR="0084040C">
        <w:rPr>
          <w:spacing w:val="1"/>
        </w:rPr>
        <w:t>L</w:t>
      </w:r>
      <w:r w:rsidRPr="00AB78E0" w:rsidR="0084040C">
        <w:t>Y I</w:t>
      </w:r>
      <w:r w:rsidRPr="00AB78E0" w:rsidR="0084040C">
        <w:rPr>
          <w:spacing w:val="1"/>
        </w:rPr>
        <w:t>D</w:t>
      </w:r>
      <w:r w:rsidRPr="00AB78E0" w:rsidR="0084040C">
        <w:rPr>
          <w:spacing w:val="-1"/>
        </w:rPr>
        <w:t>E</w:t>
      </w:r>
      <w:r w:rsidRPr="00AB78E0" w:rsidR="0084040C">
        <w:rPr>
          <w:spacing w:val="1"/>
        </w:rPr>
        <w:t>N</w:t>
      </w:r>
      <w:r w:rsidRPr="00AB78E0" w:rsidR="0084040C">
        <w:t>TI</w:t>
      </w:r>
      <w:r w:rsidRPr="00AB78E0" w:rsidR="0084040C">
        <w:rPr>
          <w:spacing w:val="1"/>
        </w:rPr>
        <w:t>F</w:t>
      </w:r>
      <w:r w:rsidRPr="00AB78E0" w:rsidR="0084040C">
        <w:t>I</w:t>
      </w:r>
      <w:r w:rsidRPr="00AB78E0" w:rsidR="0084040C">
        <w:rPr>
          <w:spacing w:val="-2"/>
        </w:rPr>
        <w:t>A</w:t>
      </w:r>
      <w:r w:rsidRPr="00AB78E0" w:rsidR="0084040C">
        <w:rPr>
          <w:spacing w:val="1"/>
        </w:rPr>
        <w:t>B</w:t>
      </w:r>
      <w:r w:rsidRPr="00AB78E0" w:rsidR="0084040C">
        <w:t>LE IN</w:t>
      </w:r>
      <w:r w:rsidRPr="00AB78E0" w:rsidR="0084040C">
        <w:rPr>
          <w:spacing w:val="2"/>
        </w:rPr>
        <w:t>F</w:t>
      </w:r>
      <w:r w:rsidRPr="00AB78E0" w:rsidR="0084040C">
        <w:t>O</w:t>
      </w:r>
      <w:r w:rsidRPr="00AB78E0" w:rsidR="0084040C">
        <w:rPr>
          <w:spacing w:val="-1"/>
        </w:rPr>
        <w:t>R</w:t>
      </w:r>
      <w:r w:rsidRPr="00AB78E0" w:rsidR="0084040C">
        <w:rPr>
          <w:spacing w:val="-3"/>
        </w:rPr>
        <w:t>M</w:t>
      </w:r>
      <w:r w:rsidRPr="00AB78E0" w:rsidR="0084040C">
        <w:t>A</w:t>
      </w:r>
      <w:r w:rsidRPr="00AB78E0" w:rsidR="0084040C">
        <w:rPr>
          <w:spacing w:val="-1"/>
        </w:rPr>
        <w:t>T</w:t>
      </w:r>
      <w:r w:rsidRPr="00AB78E0" w:rsidR="0084040C">
        <w:t>IO</w:t>
      </w:r>
      <w:r w:rsidRPr="00AB78E0" w:rsidR="0084040C">
        <w:rPr>
          <w:spacing w:val="1"/>
        </w:rPr>
        <w:t>N</w:t>
      </w:r>
      <w:r w:rsidRPr="008222BD" w:rsidR="0084040C">
        <w:t>:</w:t>
      </w:r>
    </w:p>
    <w:p w:rsidR="007353C3" w:rsidRPr="008222BD" w:rsidP="007353C3" w14:paraId="7250C618" w14:textId="77777777">
      <w:pPr>
        <w:spacing w:before="12" w:line="260" w:lineRule="exact"/>
      </w:pPr>
    </w:p>
    <w:p w:rsidR="007353C3" w:rsidRPr="00713D29" w:rsidP="007353C3" w14:paraId="7250C619" w14:textId="31DD0213">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8D1977">
        <w:t>X</w:t>
      </w:r>
      <w:r w:rsidRPr="00713D29">
        <w:t>]</w:t>
      </w:r>
      <w:r w:rsidRPr="00713D29">
        <w:rPr>
          <w:spacing w:val="1"/>
        </w:rPr>
        <w:t xml:space="preserve"> </w:t>
      </w:r>
      <w:r w:rsidRPr="00713D29">
        <w:t>Y</w:t>
      </w:r>
      <w:r w:rsidRPr="00713D29">
        <w:rPr>
          <w:spacing w:val="-1"/>
        </w:rPr>
        <w:t>e</w:t>
      </w:r>
      <w:r w:rsidRPr="00713D29">
        <w:t>s  [</w:t>
      </w:r>
      <w:r w:rsidRPr="00713D29">
        <w:t>]</w:t>
      </w:r>
      <w:r w:rsidRPr="00713D29">
        <w:rPr>
          <w:spacing w:val="1"/>
        </w:rPr>
        <w:t xml:space="preserve"> </w:t>
      </w:r>
      <w:r w:rsidRPr="00713D29">
        <w:t>No</w:t>
      </w:r>
    </w:p>
    <w:p w:rsidR="00B73502" w:rsidP="007353C3" w14:paraId="690630F3" w14:textId="77777777">
      <w:pPr>
        <w:spacing w:before="16" w:line="260" w:lineRule="exact"/>
      </w:pPr>
    </w:p>
    <w:p w:rsidR="008E3CD2" w:rsidRPr="0092218F" w:rsidP="00404E6E" w14:paraId="2D9D2A75" w14:textId="1C65ED88">
      <w:pPr>
        <w:pStyle w:val="ListParagraph"/>
        <w:contextualSpacing w:val="0"/>
      </w:pPr>
      <w:r w:rsidRPr="0092218F">
        <w:t xml:space="preserve">The recruitment </w:t>
      </w:r>
      <w:r w:rsidRPr="0092218F" w:rsidR="00941925">
        <w:t xml:space="preserve">firm’s database will already include </w:t>
      </w:r>
      <w:r w:rsidRPr="0092218F" w:rsidR="00522211">
        <w:t xml:space="preserve">demographic information </w:t>
      </w:r>
      <w:r w:rsidRPr="0092218F" w:rsidR="00941925">
        <w:t>for p</w:t>
      </w:r>
      <w:r w:rsidRPr="0092218F" w:rsidR="00522211">
        <w:t>anel</w:t>
      </w:r>
      <w:r w:rsidRPr="0092218F" w:rsidR="00941925">
        <w:t xml:space="preserve"> participants</w:t>
      </w:r>
      <w:r w:rsidRPr="0092218F" w:rsidR="00522211">
        <w:t>. No personally identifiable information</w:t>
      </w:r>
      <w:r w:rsidRPr="0092218F" w:rsidR="006A7914">
        <w:t xml:space="preserve"> will be provided to </w:t>
      </w:r>
      <w:r w:rsidRPr="0092218F" w:rsidR="00412095">
        <w:t>the contractor (</w:t>
      </w:r>
      <w:r w:rsidRPr="0092218F" w:rsidR="006A7914">
        <w:t>ICF</w:t>
      </w:r>
      <w:r w:rsidRPr="0092218F" w:rsidR="00412095">
        <w:t>)</w:t>
      </w:r>
      <w:r w:rsidRPr="0092218F" w:rsidR="006A7914">
        <w:t xml:space="preserve"> or the CFPB. ICF </w:t>
      </w:r>
      <w:r w:rsidRPr="0092218F" w:rsidR="00933187">
        <w:t xml:space="preserve">and the CFPB </w:t>
      </w:r>
      <w:r w:rsidRPr="0092218F" w:rsidR="006A7914">
        <w:t xml:space="preserve">will have access to </w:t>
      </w:r>
      <w:r w:rsidRPr="0092218F" w:rsidR="00093E8E">
        <w:t xml:space="preserve">demographic information </w:t>
      </w:r>
      <w:r w:rsidRPr="0092218F" w:rsidR="00B67A8F">
        <w:t>that is included in the response dataset</w:t>
      </w:r>
      <w:r w:rsidRPr="0092218F" w:rsidR="00933187">
        <w:t xml:space="preserve">, but it </w:t>
      </w:r>
      <w:r w:rsidRPr="0092218F" w:rsidR="00017ED0">
        <w:t>will not be possible to identify specific respondents based on that information</w:t>
      </w:r>
      <w:r w:rsidRPr="0092218F" w:rsidR="00093E8E">
        <w:t xml:space="preserve">.  </w:t>
      </w:r>
    </w:p>
    <w:p w:rsidR="007353C3" w:rsidP="007353C3" w14:paraId="7250C61A" w14:textId="1E27A6B4">
      <w:pPr>
        <w:spacing w:before="16" w:line="260" w:lineRule="exact"/>
      </w:pPr>
    </w:p>
    <w:p w:rsidR="00B73502" w:rsidRPr="008222BD" w:rsidP="007353C3" w14:paraId="2E41C3E8" w14:textId="77777777">
      <w:pPr>
        <w:spacing w:before="16" w:line="260" w:lineRule="exact"/>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6193100A">
      <w:pPr>
        <w:widowControl w:val="0"/>
        <w:ind w:right="-20" w:firstLine="720"/>
      </w:pPr>
      <w:r w:rsidRPr="00713D29">
        <w:t>[</w:t>
      </w:r>
      <w:r w:rsidR="008D1977">
        <w:t>X</w:t>
      </w:r>
      <w:r w:rsidRPr="00713D29">
        <w:t>]</w:t>
      </w:r>
      <w:r w:rsidRPr="00815E90">
        <w:rPr>
          <w:spacing w:val="1"/>
        </w:rPr>
        <w:t xml:space="preserve"> </w:t>
      </w:r>
      <w:r w:rsidRPr="00713D29">
        <w:t>Y</w:t>
      </w:r>
      <w:r w:rsidRPr="00815E90">
        <w:rPr>
          <w:spacing w:val="-1"/>
        </w:rPr>
        <w:t>e</w:t>
      </w:r>
      <w:r w:rsidRPr="00713D29">
        <w:t xml:space="preserve">s </w:t>
      </w:r>
      <w:r w:rsidR="00F62F7A">
        <w:tab/>
      </w:r>
      <w:r w:rsidRPr="00713D29">
        <w:t>[</w:t>
      </w:r>
      <w:r w:rsidR="00941925">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61DB493D">
      <w:pPr>
        <w:ind w:left="220" w:right="-20" w:firstLine="500"/>
      </w:pPr>
      <w:r w:rsidRPr="00410F81">
        <w:t>[</w:t>
      </w:r>
      <w:r w:rsidR="008D1977">
        <w:t>X</w:t>
      </w:r>
      <w:r w:rsidRPr="00713D29">
        <w:t>]</w:t>
      </w:r>
      <w:r w:rsidRPr="00713D29">
        <w:rPr>
          <w:spacing w:val="1"/>
        </w:rPr>
        <w:t xml:space="preserve"> </w:t>
      </w:r>
      <w:r w:rsidRPr="00713D29">
        <w:t>Y</w:t>
      </w:r>
      <w:r w:rsidRPr="00713D29">
        <w:rPr>
          <w:spacing w:val="-1"/>
        </w:rPr>
        <w:t>e</w:t>
      </w:r>
      <w:r w:rsidRPr="00713D29">
        <w:t>s  [</w:t>
      </w:r>
      <w:r w:rsidR="00941925">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664A20" w:rsidP="00664A20" w14:paraId="1F5D6363" w14:textId="77777777">
      <w:pPr>
        <w:ind w:left="220" w:right="-20" w:firstLine="500"/>
      </w:pPr>
      <w:r>
        <w:t>Title:</w:t>
      </w:r>
      <w:r>
        <w:t xml:space="preserve"> </w:t>
      </w:r>
      <w:r w:rsidRPr="00453EBF">
        <w:t>CFPB.021 – CFPB Consumer Education and Engagement Records</w:t>
      </w:r>
      <w:r>
        <w:t xml:space="preserve"> </w:t>
      </w:r>
    </w:p>
    <w:p w:rsidR="008635FB" w:rsidP="00671686" w14:paraId="7250C622" w14:textId="3495A1CC">
      <w:pPr>
        <w:ind w:left="220" w:right="-20" w:firstLine="500"/>
      </w:pPr>
      <w:r>
        <w:t xml:space="preserve"> </w:t>
      </w:r>
    </w:p>
    <w:p w:rsidR="00671686" w:rsidRPr="00713D29" w:rsidP="00671686" w14:paraId="7250C623" w14:textId="147BDA1B">
      <w:pPr>
        <w:ind w:left="220" w:right="-20" w:firstLine="500"/>
      </w:pPr>
      <w:r>
        <w:t>__</w:t>
      </w:r>
      <w:r w:rsidRPr="003A306F" w:rsidR="003A306F">
        <w:t xml:space="preserve"> </w:t>
      </w:r>
      <w:bookmarkStart w:id="0" w:name="_Hlk103854465"/>
      <w:r w:rsidR="003A306F">
        <w:t>85</w:t>
      </w:r>
      <w:r>
        <w:t xml:space="preserve"> </w:t>
      </w:r>
      <w:bookmarkEnd w:id="0"/>
      <w:r>
        <w:t>FR</w:t>
      </w:r>
      <w:r w:rsidRPr="003A306F" w:rsidR="003A306F">
        <w:t xml:space="preserve"> </w:t>
      </w:r>
      <w:bookmarkStart w:id="1" w:name="_Hlk103854482"/>
      <w:r w:rsidR="003A306F">
        <w:t>3662</w:t>
      </w:r>
      <w:bookmarkEnd w:id="1"/>
      <w:r w:rsidR="003A306F">
        <w:t xml:space="preserve"> </w:t>
      </w:r>
      <w:r>
        <w:t xml:space="preserve"> </w:t>
      </w:r>
      <w:r w:rsidRPr="00713D29" w:rsidR="000702CE">
        <w:t>_</w:t>
      </w:r>
      <w:r w:rsidRPr="00713D29" w:rsidR="000702CE">
        <w:t>________</w:t>
      </w:r>
      <w:r w:rsidRPr="00713D29">
        <w:t>_______________.</w:t>
      </w:r>
    </w:p>
    <w:p w:rsidR="00D6490E" w:rsidRPr="00713D29" w:rsidP="007353C3" w14:paraId="7250C624" w14:textId="77777777">
      <w:pPr>
        <w:ind w:left="220" w:right="-20" w:firstLine="500"/>
      </w:pPr>
    </w:p>
    <w:p w:rsidR="007353C3" w:rsidRPr="008222BD" w:rsidP="00D6490E" w14:paraId="7250C625" w14:textId="77777777">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p>
    <w:p w:rsidR="007353C3" w:rsidRPr="008222BD" w:rsidP="003A306F" w14:paraId="7250C626" w14:textId="2411CE13">
      <w:pPr>
        <w:spacing w:before="1" w:line="280" w:lineRule="exact"/>
        <w:ind w:firstLine="720"/>
      </w:pPr>
      <w:bookmarkStart w:id="2" w:name="_Hlk103854454"/>
      <w:r w:rsidRPr="003A12C2">
        <w:rPr>
          <w:b/>
          <w:bCs/>
        </w:rPr>
        <w:t>https://files.consumerfinance.gov/f/201409_cfpb_consumer-education_pia.pdf</w:t>
      </w:r>
    </w:p>
    <w:bookmarkEnd w:id="2"/>
    <w:p w:rsidR="00E84BE0" w:rsidP="0084040C" w14:paraId="3BE597F0" w14:textId="77777777">
      <w:pPr>
        <w:pStyle w:val="Heading2"/>
      </w:pPr>
    </w:p>
    <w:p w:rsidR="007353C3" w:rsidRPr="00410F81" w:rsidP="0084040C" w14:paraId="7250C627" w14:textId="3E848F1D">
      <w:pPr>
        <w:pStyle w:val="Heading2"/>
      </w:pPr>
      <w:r>
        <w:t>8</w:t>
      </w:r>
      <w:r w:rsidR="0084040C">
        <w:t xml:space="preserve">. </w:t>
      </w:r>
      <w:r w:rsidRPr="00410F81">
        <w:t>INCENTIVES</w:t>
      </w:r>
      <w:r w:rsidRPr="008222BD">
        <w:t>:</w:t>
      </w:r>
    </w:p>
    <w:p w:rsidR="007353C3" w:rsidRPr="008222BD" w:rsidP="007353C3" w14:paraId="7250C628" w14:textId="77777777">
      <w:pPr>
        <w:spacing w:before="11" w:line="260" w:lineRule="exact"/>
      </w:pPr>
    </w:p>
    <w:p w:rsidR="007353C3" w:rsidRPr="00713D29" w:rsidP="007353C3" w14:paraId="7250C629" w14:textId="58D95934">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941925">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RPr="00713D29" w:rsidP="007353C3" w14:paraId="7250C62B" w14:textId="01690DA9">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E92E6D">
        <w:t>$_</w:t>
      </w:r>
      <w:r w:rsidRPr="00860488" w:rsidR="00C9483A">
        <w:rPr>
          <w:u w:val="single"/>
        </w:rPr>
        <w:t>5</w:t>
      </w:r>
      <w:r w:rsidRPr="00E92E6D" w:rsidR="00E92E6D">
        <w:t>_</w:t>
      </w:r>
      <w:r w:rsidRPr="00E92E6D">
        <w:t>.</w:t>
      </w:r>
    </w:p>
    <w:p w:rsidR="007353C3" w:rsidP="007353C3" w14:paraId="7250C62C" w14:textId="61F83B18">
      <w:pPr>
        <w:pStyle w:val="ListParagraph"/>
      </w:pPr>
    </w:p>
    <w:p w:rsidR="00DE7836" w:rsidP="003D7B30" w14:paraId="49630714" w14:textId="5CCF78B0">
      <w:pPr>
        <w:pStyle w:val="ICFTextwithspace"/>
        <w:rPr>
          <w:rFonts w:ascii="Times New Roman" w:eastAsia="Times New Roman" w:hAnsi="Times New Roman" w:cs="Times New Roman"/>
          <w:sz w:val="24"/>
          <w:szCs w:val="24"/>
        </w:rPr>
      </w:pPr>
      <w:r w:rsidRPr="00A02F12">
        <w:rPr>
          <w:rFonts w:ascii="Times New Roman" w:eastAsia="Times New Roman" w:hAnsi="Times New Roman" w:cs="Times New Roman"/>
          <w:sz w:val="24"/>
          <w:szCs w:val="24"/>
        </w:rPr>
        <w:t xml:space="preserve">In appreciation of their participation, all participants will receive an incentive </w:t>
      </w:r>
      <w:r w:rsidR="009101EF">
        <w:rPr>
          <w:rFonts w:ascii="Times New Roman" w:eastAsia="Times New Roman" w:hAnsi="Times New Roman" w:cs="Times New Roman"/>
          <w:sz w:val="24"/>
          <w:szCs w:val="24"/>
        </w:rPr>
        <w:t xml:space="preserve">of </w:t>
      </w:r>
      <w:r w:rsidRPr="00A02F12">
        <w:rPr>
          <w:rFonts w:ascii="Times New Roman" w:eastAsia="Times New Roman" w:hAnsi="Times New Roman" w:cs="Times New Roman"/>
          <w:sz w:val="24"/>
          <w:szCs w:val="24"/>
        </w:rPr>
        <w:t xml:space="preserve">$5. The distribution of the incentive will be handled by </w:t>
      </w:r>
      <w:r w:rsidRPr="00A02F12">
        <w:rPr>
          <w:rFonts w:ascii="Times New Roman" w:eastAsia="Times New Roman" w:hAnsi="Times New Roman" w:cs="Times New Roman"/>
          <w:sz w:val="24"/>
          <w:szCs w:val="24"/>
        </w:rPr>
        <w:t>MFour</w:t>
      </w:r>
      <w:r w:rsidRPr="00A02F12">
        <w:rPr>
          <w:rFonts w:ascii="Times New Roman" w:eastAsia="Times New Roman" w:hAnsi="Times New Roman" w:cs="Times New Roman"/>
          <w:sz w:val="24"/>
          <w:szCs w:val="24"/>
        </w:rPr>
        <w:t>.</w:t>
      </w:r>
      <w:r w:rsidR="007D7F91">
        <w:rPr>
          <w:rFonts w:ascii="Times New Roman" w:eastAsia="Times New Roman" w:hAnsi="Times New Roman" w:cs="Times New Roman"/>
          <w:sz w:val="24"/>
          <w:szCs w:val="24"/>
        </w:rPr>
        <w:t xml:space="preserve"> This incentive level is typical </w:t>
      </w:r>
      <w:r w:rsidR="00FA4147">
        <w:rPr>
          <w:rFonts w:ascii="Times New Roman" w:eastAsia="Times New Roman" w:hAnsi="Times New Roman" w:cs="Times New Roman"/>
          <w:sz w:val="24"/>
          <w:szCs w:val="24"/>
        </w:rPr>
        <w:t xml:space="preserve">in the market </w:t>
      </w:r>
      <w:r w:rsidR="00FF671A">
        <w:rPr>
          <w:rFonts w:ascii="Times New Roman" w:eastAsia="Times New Roman" w:hAnsi="Times New Roman" w:cs="Times New Roman"/>
          <w:sz w:val="24"/>
          <w:szCs w:val="24"/>
        </w:rPr>
        <w:t xml:space="preserve">for studies of this </w:t>
      </w:r>
      <w:r w:rsidR="00CF42C1">
        <w:rPr>
          <w:rFonts w:ascii="Times New Roman" w:eastAsia="Times New Roman" w:hAnsi="Times New Roman" w:cs="Times New Roman"/>
          <w:sz w:val="24"/>
          <w:szCs w:val="24"/>
        </w:rPr>
        <w:t>type and length</w:t>
      </w:r>
      <w:r w:rsidR="00374260">
        <w:rPr>
          <w:rFonts w:ascii="Times New Roman" w:eastAsia="Times New Roman" w:hAnsi="Times New Roman" w:cs="Times New Roman"/>
          <w:sz w:val="24"/>
          <w:szCs w:val="24"/>
        </w:rPr>
        <w:t>.</w:t>
      </w:r>
    </w:p>
    <w:p w:rsidR="00F8707B" w:rsidRPr="00410F81" w:rsidP="00374260" w14:paraId="7250C62D" w14:textId="3FF0D94C">
      <w:r>
        <w:rPr>
          <w:b/>
          <w:caps/>
        </w:rPr>
        <w:t>9. A</w:t>
      </w:r>
      <w:r w:rsidRPr="00374260">
        <w:rPr>
          <w:b/>
          <w:caps/>
        </w:rPr>
        <w:t>ssurances of Confidentiality</w:t>
      </w:r>
      <w:r w:rsidRPr="008222BD">
        <w:t>:</w:t>
      </w:r>
    </w:p>
    <w:p w:rsidR="008C4E6C" w:rsidRPr="00713D29" w:rsidP="008C4E6C" w14:paraId="7250C62E" w14:textId="77777777"/>
    <w:p w:rsidR="00F8707B" w:rsidRPr="00713D29" w:rsidP="008C4E6C" w14:paraId="7250C62F" w14:textId="1E8C8981">
      <w:pPr>
        <w:pStyle w:val="ListParagraph"/>
        <w:numPr>
          <w:ilvl w:val="0"/>
          <w:numId w:val="28"/>
        </w:numPr>
      </w:pPr>
      <w:r w:rsidRPr="00713D29">
        <w:t>Will a pledge of confidentiality be made to respondents? [</w:t>
      </w:r>
      <w:r w:rsidR="00FA4147">
        <w:t>X</w:t>
      </w:r>
      <w:r w:rsidRPr="00713D29">
        <w:t xml:space="preserve">] </w:t>
      </w:r>
      <w:r w:rsidRPr="00713D29">
        <w:t>Yes  [</w:t>
      </w:r>
      <w:r w:rsidRPr="00713D29">
        <w:t xml:space="preserve">  ] No</w:t>
      </w:r>
    </w:p>
    <w:p w:rsidR="00F8707B" w:rsidRPr="00713D29" w:rsidP="00F8707B" w14:paraId="7250C630" w14:textId="77777777">
      <w:pPr>
        <w:pStyle w:val="ListParagraph"/>
        <w:ind w:left="360"/>
      </w:pPr>
    </w:p>
    <w:p w:rsidR="00F8707B" w:rsidP="008C4E6C"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941925" w:rsidP="00941925" w14:paraId="50521257" w14:textId="77777777">
      <w:pPr>
        <w:pStyle w:val="ListParagraph"/>
      </w:pPr>
    </w:p>
    <w:p w:rsidR="00941925" w:rsidRPr="0092218F" w:rsidP="00941925" w14:paraId="70A3A085" w14:textId="19B3ADEE">
      <w:pPr>
        <w:ind w:left="360"/>
      </w:pPr>
      <w:r w:rsidRPr="0092218F">
        <w:t xml:space="preserve">The </w:t>
      </w:r>
      <w:r w:rsidRPr="0092218F" w:rsidR="00514A52">
        <w:t>protocol and consent forms</w:t>
      </w:r>
      <w:r w:rsidRPr="0092218F">
        <w:t xml:space="preserve"> will feature confidentiality language based on CFPB’s standard language in cases where there is no statutory basis for a pledge of confidentiality: “Please note that the Bureau intends to keep your responses private to the extent permitted by law, and when results are reported none of your answers will be connected to you.</w:t>
      </w:r>
    </w:p>
    <w:p w:rsidR="00F8707B" w:rsidRPr="00713D29" w:rsidP="00F8707B" w14:paraId="7250C632" w14:textId="77777777"/>
    <w:p w:rsidR="00F8707B" w:rsidRPr="008222BD" w:rsidP="0084040C" w14:paraId="7250C633" w14:textId="54478B94">
      <w:pPr>
        <w:pStyle w:val="Heading2"/>
      </w:pPr>
      <w:r>
        <w:t>10</w:t>
      </w:r>
      <w:r w:rsidR="0084040C">
        <w:t xml:space="preserve">. </w:t>
      </w:r>
      <w:r w:rsidRPr="00AB78E0">
        <w:t>JUSTIFICATION OF SENSITIVE QUESTIONS (if applicable)</w:t>
      </w:r>
      <w:r w:rsidRPr="008222BD">
        <w:t>:</w:t>
      </w:r>
    </w:p>
    <w:p w:rsidR="00F8707B" w:rsidP="00F8707B" w14:paraId="7250C634" w14:textId="4B5F9A4E"/>
    <w:p w:rsidR="00B73A21" w:rsidP="00514A52" w14:paraId="2DAF8073" w14:textId="1A17AB82">
      <w:pPr>
        <w:ind w:firstLine="360"/>
      </w:pPr>
      <w:r>
        <w:t>n/a</w:t>
      </w:r>
    </w:p>
    <w:p w:rsidR="00460FE1" w:rsidP="00514A52" w14:paraId="200E87D0" w14:textId="77777777">
      <w:pPr>
        <w:ind w:firstLine="360"/>
      </w:pPr>
    </w:p>
    <w:p w:rsidR="005E714A" w:rsidRPr="008222BD" w:rsidP="00460FE1" w14:paraId="7250C635" w14:textId="7ED6FF7D">
      <w:r w:rsidRPr="00460FE1">
        <w:rPr>
          <w:b/>
          <w:bCs/>
        </w:rPr>
        <w:t xml:space="preserve">11. </w:t>
      </w:r>
      <w:r w:rsidRPr="00460FE1">
        <w:rPr>
          <w:b/>
          <w:bCs/>
        </w:rPr>
        <w:t>BURDEN</w:t>
      </w:r>
      <w:r w:rsidRPr="00460FE1">
        <w:rPr>
          <w:b/>
        </w:rPr>
        <w:t xml:space="preserve"> HOUR</w:t>
      </w:r>
      <w:r w:rsidRPr="00460FE1"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9022B4" w:rsidP="00C8488C" w14:paraId="7250C637" w14:textId="77777777">
            <w:pPr>
              <w:rPr>
                <w:b/>
                <w:sz w:val="20"/>
                <w:szCs w:val="20"/>
              </w:rPr>
            </w:pPr>
            <w:r w:rsidRPr="009022B4">
              <w:rPr>
                <w:b/>
                <w:sz w:val="20"/>
                <w:szCs w:val="20"/>
              </w:rPr>
              <w:t>Collection of Information</w:t>
            </w:r>
          </w:p>
        </w:tc>
        <w:tc>
          <w:tcPr>
            <w:tcW w:w="1800" w:type="dxa"/>
            <w:shd w:val="clear" w:color="auto" w:fill="D9D9D9" w:themeFill="background1" w:themeFillShade="D9"/>
          </w:tcPr>
          <w:p w:rsidR="004564BF" w:rsidRPr="009022B4" w:rsidP="00AC7F7A" w14:paraId="7250C638" w14:textId="77777777">
            <w:pPr>
              <w:jc w:val="center"/>
              <w:rPr>
                <w:b/>
                <w:sz w:val="20"/>
                <w:szCs w:val="20"/>
              </w:rPr>
            </w:pPr>
            <w:r w:rsidRPr="009022B4">
              <w:rPr>
                <w:b/>
                <w:sz w:val="20"/>
                <w:szCs w:val="20"/>
              </w:rPr>
              <w:t>Number of Respondents</w:t>
            </w:r>
          </w:p>
        </w:tc>
        <w:tc>
          <w:tcPr>
            <w:tcW w:w="1350" w:type="dxa"/>
            <w:shd w:val="clear" w:color="auto" w:fill="D9D9D9" w:themeFill="background1" w:themeFillShade="D9"/>
          </w:tcPr>
          <w:p w:rsidR="004564BF" w:rsidRPr="009022B4" w:rsidP="00AC7F7A" w14:paraId="7250C639" w14:textId="77777777">
            <w:pPr>
              <w:jc w:val="center"/>
              <w:rPr>
                <w:b/>
                <w:sz w:val="20"/>
                <w:szCs w:val="20"/>
              </w:rPr>
            </w:pPr>
            <w:r w:rsidRPr="009022B4">
              <w:rPr>
                <w:b/>
                <w:sz w:val="20"/>
                <w:szCs w:val="20"/>
              </w:rPr>
              <w:t>Frequency</w:t>
            </w:r>
          </w:p>
        </w:tc>
        <w:tc>
          <w:tcPr>
            <w:tcW w:w="1350" w:type="dxa"/>
            <w:shd w:val="clear" w:color="auto" w:fill="D9D9D9" w:themeFill="background1" w:themeFillShade="D9"/>
          </w:tcPr>
          <w:p w:rsidR="004564BF" w:rsidRPr="009022B4" w:rsidP="00AC7F7A" w14:paraId="7250C63A" w14:textId="77777777">
            <w:pPr>
              <w:jc w:val="center"/>
              <w:rPr>
                <w:b/>
                <w:sz w:val="20"/>
                <w:szCs w:val="20"/>
              </w:rPr>
            </w:pPr>
            <w:r w:rsidRPr="009022B4">
              <w:rPr>
                <w:b/>
                <w:sz w:val="20"/>
                <w:szCs w:val="20"/>
              </w:rPr>
              <w:t>Number of Responses</w:t>
            </w:r>
          </w:p>
        </w:tc>
        <w:tc>
          <w:tcPr>
            <w:tcW w:w="1440" w:type="dxa"/>
            <w:shd w:val="clear" w:color="auto" w:fill="D9D9D9" w:themeFill="background1" w:themeFillShade="D9"/>
          </w:tcPr>
          <w:p w:rsidR="004564BF" w:rsidRPr="009022B4" w:rsidP="00AC7F7A" w14:paraId="7250C63B" w14:textId="77777777">
            <w:pPr>
              <w:jc w:val="center"/>
              <w:rPr>
                <w:b/>
                <w:sz w:val="20"/>
                <w:szCs w:val="20"/>
              </w:rPr>
            </w:pPr>
            <w:r w:rsidRPr="009022B4">
              <w:rPr>
                <w:b/>
                <w:sz w:val="20"/>
                <w:szCs w:val="20"/>
              </w:rPr>
              <w:t>Response Time</w:t>
            </w:r>
          </w:p>
          <w:p w:rsidR="004564BF" w:rsidRPr="009022B4" w:rsidP="00AC7F7A" w14:paraId="7250C63C" w14:textId="77777777">
            <w:pPr>
              <w:jc w:val="center"/>
              <w:rPr>
                <w:b/>
                <w:sz w:val="20"/>
                <w:szCs w:val="20"/>
              </w:rPr>
            </w:pPr>
            <w:r w:rsidRPr="009022B4">
              <w:rPr>
                <w:b/>
                <w:sz w:val="20"/>
                <w:szCs w:val="20"/>
              </w:rPr>
              <w:t>(hours)</w:t>
            </w:r>
          </w:p>
        </w:tc>
        <w:tc>
          <w:tcPr>
            <w:tcW w:w="1530" w:type="dxa"/>
            <w:shd w:val="clear" w:color="auto" w:fill="D9D9D9" w:themeFill="background1" w:themeFillShade="D9"/>
          </w:tcPr>
          <w:p w:rsidR="004564BF" w:rsidRPr="009022B4" w:rsidP="00AC7F7A" w14:paraId="7250C63D" w14:textId="77777777">
            <w:pPr>
              <w:jc w:val="center"/>
              <w:rPr>
                <w:b/>
                <w:sz w:val="20"/>
                <w:szCs w:val="20"/>
              </w:rPr>
            </w:pPr>
            <w:r w:rsidRPr="009022B4">
              <w:rPr>
                <w:b/>
                <w:sz w:val="20"/>
                <w:szCs w:val="20"/>
              </w:rPr>
              <w:t>Burden</w:t>
            </w:r>
          </w:p>
          <w:p w:rsidR="004564BF" w:rsidRPr="009022B4" w:rsidP="00AC7F7A" w14:paraId="7250C63E" w14:textId="77777777">
            <w:pPr>
              <w:jc w:val="center"/>
              <w:rPr>
                <w:b/>
                <w:sz w:val="20"/>
                <w:szCs w:val="20"/>
              </w:rPr>
            </w:pPr>
            <w:r w:rsidRPr="009022B4">
              <w:rPr>
                <w:b/>
                <w:sz w:val="20"/>
                <w:szCs w:val="20"/>
              </w:rPr>
              <w:t>(hours)</w:t>
            </w:r>
          </w:p>
        </w:tc>
      </w:tr>
      <w:tr w14:paraId="7250C646" w14:textId="77777777" w:rsidTr="004564BF">
        <w:tblPrEx>
          <w:tblW w:w="10368" w:type="dxa"/>
          <w:tblLayout w:type="fixed"/>
          <w:tblLook w:val="01E0"/>
        </w:tblPrEx>
        <w:trPr>
          <w:trHeight w:val="274"/>
        </w:trPr>
        <w:tc>
          <w:tcPr>
            <w:tcW w:w="2898" w:type="dxa"/>
          </w:tcPr>
          <w:p w:rsidR="004564BF" w:rsidRPr="009022B4" w:rsidP="00843796" w14:paraId="7250C640" w14:textId="5A4EF294">
            <w:pPr>
              <w:rPr>
                <w:sz w:val="20"/>
                <w:szCs w:val="20"/>
              </w:rPr>
            </w:pPr>
            <w:r w:rsidRPr="009022B4">
              <w:rPr>
                <w:sz w:val="20"/>
                <w:szCs w:val="20"/>
              </w:rPr>
              <w:t xml:space="preserve">Survey </w:t>
            </w:r>
          </w:p>
        </w:tc>
        <w:tc>
          <w:tcPr>
            <w:tcW w:w="1800" w:type="dxa"/>
          </w:tcPr>
          <w:p w:rsidR="004564BF" w:rsidRPr="009022B4" w:rsidP="008A0F11" w14:paraId="7250C641" w14:textId="68972C6E">
            <w:pPr>
              <w:jc w:val="center"/>
              <w:rPr>
                <w:sz w:val="20"/>
                <w:szCs w:val="20"/>
              </w:rPr>
            </w:pPr>
            <w:r w:rsidRPr="009022B4">
              <w:rPr>
                <w:sz w:val="20"/>
                <w:szCs w:val="20"/>
              </w:rPr>
              <w:t>1</w:t>
            </w:r>
            <w:r w:rsidRPr="009022B4" w:rsidR="00A02F12">
              <w:rPr>
                <w:sz w:val="20"/>
                <w:szCs w:val="20"/>
              </w:rPr>
              <w:t>000</w:t>
            </w:r>
          </w:p>
        </w:tc>
        <w:tc>
          <w:tcPr>
            <w:tcW w:w="1350" w:type="dxa"/>
          </w:tcPr>
          <w:p w:rsidR="004564BF" w:rsidRPr="009022B4" w:rsidP="008A0F11" w14:paraId="7250C642" w14:textId="1B1C5DC0">
            <w:pPr>
              <w:jc w:val="center"/>
              <w:rPr>
                <w:sz w:val="20"/>
                <w:szCs w:val="20"/>
              </w:rPr>
            </w:pPr>
            <w:r w:rsidRPr="009022B4">
              <w:rPr>
                <w:sz w:val="20"/>
                <w:szCs w:val="20"/>
              </w:rPr>
              <w:t>1</w:t>
            </w:r>
          </w:p>
        </w:tc>
        <w:tc>
          <w:tcPr>
            <w:tcW w:w="1350" w:type="dxa"/>
          </w:tcPr>
          <w:p w:rsidR="004564BF" w:rsidRPr="009022B4" w:rsidP="008A0F11" w14:paraId="7250C643" w14:textId="017F5EB1">
            <w:pPr>
              <w:jc w:val="center"/>
              <w:rPr>
                <w:sz w:val="20"/>
                <w:szCs w:val="20"/>
              </w:rPr>
            </w:pPr>
            <w:r w:rsidRPr="009022B4">
              <w:rPr>
                <w:sz w:val="20"/>
                <w:szCs w:val="20"/>
              </w:rPr>
              <w:t>1</w:t>
            </w:r>
            <w:r w:rsidRPr="009022B4" w:rsidR="00A02F12">
              <w:rPr>
                <w:sz w:val="20"/>
                <w:szCs w:val="20"/>
              </w:rPr>
              <w:t>000</w:t>
            </w:r>
          </w:p>
        </w:tc>
        <w:tc>
          <w:tcPr>
            <w:tcW w:w="1440" w:type="dxa"/>
          </w:tcPr>
          <w:p w:rsidR="004564BF" w:rsidRPr="009022B4" w:rsidP="008A0F11" w14:paraId="7250C644" w14:textId="4C82E094">
            <w:pPr>
              <w:jc w:val="center"/>
              <w:rPr>
                <w:sz w:val="20"/>
                <w:szCs w:val="20"/>
              </w:rPr>
            </w:pPr>
            <w:r w:rsidRPr="009022B4">
              <w:rPr>
                <w:sz w:val="20"/>
                <w:szCs w:val="20"/>
              </w:rPr>
              <w:t>0.</w:t>
            </w:r>
            <w:r w:rsidR="007B7BC4">
              <w:rPr>
                <w:sz w:val="20"/>
                <w:szCs w:val="20"/>
              </w:rPr>
              <w:t>2</w:t>
            </w:r>
            <w:r w:rsidRPr="009022B4" w:rsidR="00542E74">
              <w:rPr>
                <w:sz w:val="20"/>
                <w:szCs w:val="20"/>
              </w:rPr>
              <w:t>5</w:t>
            </w:r>
          </w:p>
        </w:tc>
        <w:tc>
          <w:tcPr>
            <w:tcW w:w="1530" w:type="dxa"/>
          </w:tcPr>
          <w:p w:rsidR="004564BF" w:rsidRPr="009022B4" w:rsidP="008A0F11" w14:paraId="7250C645" w14:textId="53EE5E9D">
            <w:pPr>
              <w:jc w:val="center"/>
              <w:rPr>
                <w:sz w:val="20"/>
                <w:szCs w:val="20"/>
              </w:rPr>
            </w:pPr>
            <w:r>
              <w:rPr>
                <w:sz w:val="20"/>
                <w:szCs w:val="20"/>
              </w:rPr>
              <w:t>250</w:t>
            </w:r>
          </w:p>
        </w:tc>
      </w:tr>
    </w:tbl>
    <w:p w:rsidR="00F3170F" w:rsidRPr="00713D29" w:rsidP="00F3170F" w14:paraId="7250C655" w14:textId="77777777"/>
    <w:p w:rsidR="00441434" w:rsidRPr="00713D29" w:rsidP="00F3170F" w14:paraId="7250C656" w14:textId="77777777"/>
    <w:p w:rsidR="005E714A" w:rsidRPr="00F74FAC" w:rsidP="0084040C" w14:paraId="7250C657" w14:textId="07B793D1">
      <w:pPr>
        <w:pStyle w:val="Heading2"/>
        <w:rPr>
          <w:b w:val="0"/>
          <w:bCs w:val="0"/>
        </w:rPr>
      </w:pPr>
      <w:r>
        <w:t>12</w:t>
      </w:r>
      <w:r w:rsidRPr="008222BD" w:rsidR="008C4E6C">
        <w:t xml:space="preserve">. </w:t>
      </w:r>
      <w:r w:rsidRPr="00410F81" w:rsidR="001C39F7">
        <w:t xml:space="preserve">FEDERAL </w:t>
      </w:r>
      <w:r w:rsidRPr="00AB78E0" w:rsidR="009F5923">
        <w:t>COST</w:t>
      </w:r>
      <w:r w:rsidRPr="008222BD" w:rsidR="00F06866">
        <w:t>:</w:t>
      </w:r>
      <w:r w:rsidRPr="008222BD" w:rsidR="00895229">
        <w:t xml:space="preserve"> </w:t>
      </w:r>
      <w:r w:rsidRPr="008222BD" w:rsidR="00C86E91">
        <w:t xml:space="preserve"> </w:t>
      </w:r>
      <w:r w:rsidRPr="00F74FAC" w:rsidR="00C86E91">
        <w:rPr>
          <w:b w:val="0"/>
          <w:bCs w:val="0"/>
        </w:rPr>
        <w:t>The estimated annual cost to the Fed</w:t>
      </w:r>
      <w:r w:rsidRPr="00F74FAC" w:rsidR="008C4E6C">
        <w:rPr>
          <w:b w:val="0"/>
          <w:bCs w:val="0"/>
        </w:rPr>
        <w:t xml:space="preserve">eral government is </w:t>
      </w:r>
      <w:r w:rsidRPr="00F74FAC" w:rsidR="008520C7">
        <w:rPr>
          <w:b w:val="0"/>
          <w:bCs w:val="0"/>
        </w:rPr>
        <w:t>$</w:t>
      </w:r>
      <w:r w:rsidRPr="00F74FAC" w:rsidR="00404E6E">
        <w:rPr>
          <w:b w:val="0"/>
          <w:bCs w:val="0"/>
        </w:rPr>
        <w:t>44,770</w:t>
      </w:r>
      <w:r w:rsidRPr="00F74FAC" w:rsidR="008C4E6C">
        <w:rPr>
          <w:b w:val="0"/>
          <w:bCs w:val="0"/>
        </w:rPr>
        <w:t>.</w:t>
      </w:r>
    </w:p>
    <w:p w:rsidR="0069403B" w:rsidRPr="00F74FAC" w:rsidP="00F06866" w14:paraId="7250C658" w14:textId="77777777">
      <w:pPr>
        <w:rPr>
          <w:u w:val="single"/>
        </w:rPr>
      </w:pPr>
      <w:r w:rsidRPr="00F74FAC">
        <w:rPr>
          <w:u w:val="single"/>
        </w:rPr>
        <w:br w:type="page"/>
      </w:r>
    </w:p>
    <w:p w:rsidR="00A403BB" w:rsidRPr="00410F81" w:rsidP="00A403BB" w14:paraId="7250C659" w14:textId="77777777"/>
    <w:p w:rsidR="007508E3" w:rsidRPr="008222BD" w:rsidP="0084040C" w14:paraId="7250C65A" w14:textId="73698A77">
      <w:pPr>
        <w:pStyle w:val="Heading2"/>
      </w:pPr>
      <w:r>
        <w:t>10</w:t>
      </w:r>
      <w:r w:rsidRPr="00713D29" w:rsidR="008C4E6C">
        <w:t xml:space="preserve">. </w:t>
      </w:r>
      <w:r w:rsidRPr="00AB78E0">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860488" w14:paraId="7250C661" w14:textId="77777777">
      <w:pPr>
        <w:pStyle w:val="ListParagraph"/>
        <w:spacing w:before="29"/>
        <w:ind w:right="-20" w:hanging="360"/>
      </w:pPr>
      <w:r w:rsidRPr="00713D29">
        <w:t xml:space="preserve">(a) It is necessary for the proper performance of agency </w:t>
      </w:r>
      <w:r w:rsidRPr="00713D29">
        <w:t>functions;</w:t>
      </w:r>
      <w:r w:rsidRPr="00713D29">
        <w:t xml:space="preserve"> </w:t>
      </w:r>
    </w:p>
    <w:p w:rsidR="00A95606" w:rsidRPr="00713D29" w:rsidP="00860488" w14:paraId="7250C662" w14:textId="77777777">
      <w:pPr>
        <w:pStyle w:val="ListParagraph"/>
        <w:spacing w:before="29"/>
        <w:ind w:right="-20" w:hanging="360"/>
      </w:pPr>
      <w:r w:rsidRPr="00713D29">
        <w:t xml:space="preserve">(b) It avoids unnecessary </w:t>
      </w:r>
      <w:r w:rsidRPr="00713D29">
        <w:t>duplication;</w:t>
      </w:r>
      <w:r w:rsidRPr="00713D29">
        <w:t xml:space="preserve"> </w:t>
      </w:r>
    </w:p>
    <w:p w:rsidR="00A95606" w:rsidRPr="00713D29" w:rsidP="00860488" w14:paraId="7250C663" w14:textId="77777777">
      <w:pPr>
        <w:pStyle w:val="ListParagraph"/>
        <w:spacing w:before="29"/>
        <w:ind w:right="-20" w:hanging="360"/>
      </w:pPr>
      <w:r w:rsidRPr="00713D29">
        <w:t xml:space="preserve">(c) It uses plain, coherent, and unambiguous terminology that is understandable to </w:t>
      </w:r>
      <w:r w:rsidRPr="00713D29">
        <w:t>respondents;</w:t>
      </w:r>
    </w:p>
    <w:p w:rsidR="00A95606" w:rsidRPr="00713D29" w:rsidP="00860488" w14:paraId="7250C664" w14:textId="77777777">
      <w:pPr>
        <w:pStyle w:val="ListParagraph"/>
        <w:spacing w:before="29"/>
        <w:ind w:right="-20" w:hanging="360"/>
      </w:pPr>
      <w:r w:rsidRPr="00713D29">
        <w:t xml:space="preserve">(d) Its implementation will be consistent and compatible with current reporting and recordkeeping </w:t>
      </w:r>
      <w:r w:rsidRPr="00713D29">
        <w:t>practices;</w:t>
      </w:r>
    </w:p>
    <w:p w:rsidR="00A95606" w:rsidRPr="00713D29" w:rsidP="00860488" w14:paraId="7250C665" w14:textId="77777777">
      <w:pPr>
        <w:pStyle w:val="ListParagraph"/>
        <w:spacing w:before="29"/>
        <w:ind w:right="-20" w:hanging="360"/>
      </w:pPr>
      <w:r w:rsidRPr="00713D29">
        <w:t xml:space="preserve">(e) It indicates the retention period for recordkeeping </w:t>
      </w:r>
      <w:r w:rsidRPr="00713D29">
        <w:t>requirements;</w:t>
      </w:r>
    </w:p>
    <w:p w:rsidR="00A95606" w:rsidRPr="00713D29" w:rsidP="00860488" w14:paraId="7250C666" w14:textId="77777777">
      <w:pPr>
        <w:pStyle w:val="ListParagraph"/>
        <w:spacing w:before="29"/>
        <w:ind w:right="-20" w:hanging="36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w:t>
      </w:r>
      <w:r w:rsidRPr="00713D29">
        <w:t>i</w:t>
      </w:r>
      <w:r w:rsidRPr="00713D29">
        <w:t xml:space="preserve">) Why the information is being </w:t>
      </w:r>
      <w:r w:rsidRPr="00713D29">
        <w:t>collected;</w:t>
      </w:r>
    </w:p>
    <w:p w:rsidR="00A95606" w:rsidRPr="00713D29" w:rsidP="00A95606" w14:paraId="7250C668" w14:textId="77777777">
      <w:pPr>
        <w:pStyle w:val="ListParagraph"/>
        <w:spacing w:before="29"/>
        <w:ind w:left="460" w:right="-20" w:firstLine="260"/>
      </w:pPr>
      <w:r w:rsidRPr="00713D29">
        <w:t xml:space="preserve">(ii) Use of </w:t>
      </w:r>
      <w:r w:rsidRPr="00713D29">
        <w:t>information;</w:t>
      </w:r>
    </w:p>
    <w:p w:rsidR="00A95606" w:rsidRPr="00713D29" w:rsidP="00A95606" w14:paraId="7250C669" w14:textId="77777777">
      <w:pPr>
        <w:pStyle w:val="ListParagraph"/>
        <w:spacing w:before="29"/>
        <w:ind w:left="460" w:right="-20" w:firstLine="260"/>
      </w:pPr>
      <w:r w:rsidRPr="00713D29">
        <w:t xml:space="preserve">(iii) Burden </w:t>
      </w:r>
      <w:r w:rsidRPr="00713D29">
        <w:t>estimate;</w:t>
      </w:r>
    </w:p>
    <w:p w:rsidR="00A95606" w:rsidRPr="00713D29" w:rsidP="00A95606" w14:paraId="7250C66A" w14:textId="77777777">
      <w:pPr>
        <w:pStyle w:val="ListParagraph"/>
        <w:spacing w:before="29"/>
        <w:ind w:left="460" w:right="-20" w:firstLine="260"/>
      </w:pPr>
      <w:r w:rsidRPr="00713D29">
        <w:t>(iv) Nature of response (voluntary</w:t>
      </w:r>
      <w:r w:rsidRPr="00713D29">
        <w:t>);</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 xml:space="preserve">(vi) Need to display currently valid OMB control </w:t>
      </w:r>
      <w:r w:rsidRPr="00713D29">
        <w:t>number;</w:t>
      </w:r>
    </w:p>
    <w:p w:rsidR="00A95606" w:rsidRPr="00713D29" w:rsidP="003A3720" w14:paraId="7250C66D" w14:textId="77777777">
      <w:pPr>
        <w:spacing w:before="29"/>
        <w:ind w:left="720" w:right="-20" w:hanging="370"/>
      </w:pPr>
      <w:r w:rsidRPr="00713D29">
        <w:t xml:space="preserve">(g) It was developed by an office that has planned and allocated resources for the efficient and effective management and use of the information to be </w:t>
      </w:r>
      <w:r w:rsidRPr="00713D29">
        <w:t>collected;</w:t>
      </w:r>
    </w:p>
    <w:p w:rsidR="00A95606" w:rsidRPr="00713D29" w:rsidP="003A3720" w14:paraId="7250C66E" w14:textId="77777777">
      <w:pPr>
        <w:pStyle w:val="ListParagraph"/>
        <w:spacing w:before="29"/>
        <w:ind w:right="-20" w:hanging="370"/>
      </w:pPr>
      <w:r w:rsidRPr="00713D29">
        <w:t>(h) It uses effective and efficient statistical survey methodology; and</w:t>
      </w:r>
    </w:p>
    <w:p w:rsidR="00A95606" w:rsidRPr="00713D29" w:rsidP="003A3720" w14:paraId="7250C66F" w14:textId="77777777">
      <w:pPr>
        <w:pStyle w:val="ListParagraph"/>
        <w:spacing w:before="29"/>
        <w:ind w:right="-20" w:hanging="370"/>
      </w:pPr>
      <w:r w:rsidRPr="00713D29">
        <w:t>(</w:t>
      </w:r>
      <w:r w:rsidRPr="00713D29">
        <w:t>i</w:t>
      </w:r>
      <w:r w:rsidRPr="00713D29">
        <w:t>)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 xml:space="preserve">The collection is </w:t>
      </w:r>
      <w:r w:rsidRPr="00713D29">
        <w:t>low-burden</w:t>
      </w:r>
      <w:r w:rsidRPr="00713D29">
        <w:t xml:space="preserve">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BC5" w:rsidP="00017641" w14:paraId="6D31CB2D" w14:textId="4C8DF097">
    <w:pPr>
      <w:pStyle w:val="Footer"/>
      <w:jc w:val="right"/>
    </w:pPr>
    <w:r w:rsidRPr="00017641">
      <w:t xml:space="preserve">Revised </w:t>
    </w:r>
    <w:r>
      <w:t>October</w:t>
    </w:r>
    <w:r w:rsidRPr="00017641">
      <w:t xml:space="preserve"> 2019</w:t>
    </w:r>
  </w:p>
  <w:p w:rsidR="008F50D4" w14:paraId="7250C681" w14:textId="32727CFD">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AFD36B3"/>
    <w:multiLevelType w:val="hybridMultilevel"/>
    <w:tmpl w:val="4B9E3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824B4F"/>
    <w:multiLevelType w:val="hybridMultilevel"/>
    <w:tmpl w:val="CFC20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6D2107"/>
    <w:multiLevelType w:val="hybridMultilevel"/>
    <w:tmpl w:val="B5062A36"/>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69B6F3F"/>
    <w:multiLevelType w:val="hybridMultilevel"/>
    <w:tmpl w:val="C066BD04"/>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CB31BF9"/>
    <w:multiLevelType w:val="hybridMultilevel"/>
    <w:tmpl w:val="BAAC0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0">
    <w:nsid w:val="347B01F0"/>
    <w:multiLevelType w:val="hybridMultilevel"/>
    <w:tmpl w:val="1B2A8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9CC6D46"/>
    <w:multiLevelType w:val="hybridMultilevel"/>
    <w:tmpl w:val="EC4A6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8">
    <w:nsid w:val="501C050A"/>
    <w:multiLevelType w:val="hybridMultilevel"/>
    <w:tmpl w:val="58CAAB98"/>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30">
    <w:nsid w:val="58021568"/>
    <w:multiLevelType w:val="hybridMultilevel"/>
    <w:tmpl w:val="F606E10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E046D3"/>
    <w:multiLevelType w:val="hybridMultilevel"/>
    <w:tmpl w:val="D62027A6"/>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2">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8D80352"/>
    <w:multiLevelType w:val="hybridMultilevel"/>
    <w:tmpl w:val="34B67AFA"/>
    <w:lvl w:ilvl="0">
      <w:start w:val="1"/>
      <w:numFmt w:val="decimal"/>
      <w:lvlText w:val="%1."/>
      <w:lvlJc w:val="left"/>
      <w:pPr>
        <w:ind w:left="1080" w:hanging="720"/>
      </w:pPr>
      <w:rPr>
        <w:rFonts w:hint="default"/>
      </w:rPr>
    </w:lvl>
    <w:lvl w:ilvl="1">
      <w:start w:val="0"/>
      <w:numFmt w:val="bullet"/>
      <w:lvlText w:val=""/>
      <w:lvlJc w:val="left"/>
      <w:pPr>
        <w:ind w:left="1440" w:hanging="360"/>
      </w:pPr>
      <w:rPr>
        <w:rFonts w:ascii="Symbol" w:hAnsi="Symbol"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6">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A14A55"/>
    <w:multiLevelType w:val="hybridMultilevel"/>
    <w:tmpl w:val="E8BE6770"/>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40"/>
  </w:num>
  <w:num w:numId="4">
    <w:abstractNumId w:val="42"/>
  </w:num>
  <w:num w:numId="5">
    <w:abstractNumId w:val="7"/>
  </w:num>
  <w:num w:numId="6">
    <w:abstractNumId w:val="1"/>
  </w:num>
  <w:num w:numId="7">
    <w:abstractNumId w:val="21"/>
  </w:num>
  <w:num w:numId="8">
    <w:abstractNumId w:val="35"/>
  </w:num>
  <w:num w:numId="9">
    <w:abstractNumId w:val="22"/>
  </w:num>
  <w:num w:numId="10">
    <w:abstractNumId w:val="2"/>
  </w:num>
  <w:num w:numId="11">
    <w:abstractNumId w:val="13"/>
  </w:num>
  <w:num w:numId="12">
    <w:abstractNumId w:val="15"/>
  </w:num>
  <w:num w:numId="13">
    <w:abstractNumId w:val="0"/>
  </w:num>
  <w:num w:numId="14">
    <w:abstractNumId w:val="39"/>
  </w:num>
  <w:num w:numId="15">
    <w:abstractNumId w:val="33"/>
  </w:num>
  <w:num w:numId="16">
    <w:abstractNumId w:val="26"/>
  </w:num>
  <w:num w:numId="17">
    <w:abstractNumId w:val="8"/>
  </w:num>
  <w:num w:numId="18">
    <w:abstractNumId w:val="11"/>
  </w:num>
  <w:num w:numId="19">
    <w:abstractNumId w:val="43"/>
  </w:num>
  <w:num w:numId="20">
    <w:abstractNumId w:val="16"/>
  </w:num>
  <w:num w:numId="21">
    <w:abstractNumId w:val="19"/>
  </w:num>
  <w:num w:numId="22">
    <w:abstractNumId w:val="4"/>
  </w:num>
  <w:num w:numId="23">
    <w:abstractNumId w:val="6"/>
  </w:num>
  <w:num w:numId="24">
    <w:abstractNumId w:val="27"/>
  </w:num>
  <w:num w:numId="25">
    <w:abstractNumId w:val="18"/>
  </w:num>
  <w:num w:numId="26">
    <w:abstractNumId w:val="24"/>
  </w:num>
  <w:num w:numId="27">
    <w:abstractNumId w:val="14"/>
  </w:num>
  <w:num w:numId="28">
    <w:abstractNumId w:val="37"/>
  </w:num>
  <w:num w:numId="29">
    <w:abstractNumId w:val="32"/>
  </w:num>
  <w:num w:numId="30">
    <w:abstractNumId w:val="29"/>
  </w:num>
  <w:num w:numId="31">
    <w:abstractNumId w:val="36"/>
  </w:num>
  <w:num w:numId="32">
    <w:abstractNumId w:val="3"/>
  </w:num>
  <w:num w:numId="33">
    <w:abstractNumId w:val="34"/>
  </w:num>
  <w:num w:numId="34">
    <w:abstractNumId w:val="17"/>
  </w:num>
  <w:num w:numId="35">
    <w:abstractNumId w:val="9"/>
  </w:num>
  <w:num w:numId="36">
    <w:abstractNumId w:val="20"/>
  </w:num>
  <w:num w:numId="37">
    <w:abstractNumId w:val="25"/>
  </w:num>
  <w:num w:numId="38">
    <w:abstractNumId w:val="30"/>
  </w:num>
  <w:num w:numId="39">
    <w:abstractNumId w:val="31"/>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0"/>
  </w:num>
  <w:num w:numId="43">
    <w:abstractNumId w:val="3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17ED0"/>
    <w:rsid w:val="00022D36"/>
    <w:rsid w:val="00023A57"/>
    <w:rsid w:val="00025C7D"/>
    <w:rsid w:val="0004039F"/>
    <w:rsid w:val="00040C31"/>
    <w:rsid w:val="000466E4"/>
    <w:rsid w:val="00047A64"/>
    <w:rsid w:val="0005105C"/>
    <w:rsid w:val="00051326"/>
    <w:rsid w:val="00057C1A"/>
    <w:rsid w:val="00061BDF"/>
    <w:rsid w:val="00067329"/>
    <w:rsid w:val="0006753A"/>
    <w:rsid w:val="000702CE"/>
    <w:rsid w:val="00075839"/>
    <w:rsid w:val="00075A04"/>
    <w:rsid w:val="00093E8E"/>
    <w:rsid w:val="000A1C35"/>
    <w:rsid w:val="000A7D3A"/>
    <w:rsid w:val="000B1742"/>
    <w:rsid w:val="000B2838"/>
    <w:rsid w:val="000B6866"/>
    <w:rsid w:val="000B77F7"/>
    <w:rsid w:val="000C0EDF"/>
    <w:rsid w:val="000C3C86"/>
    <w:rsid w:val="000C72EB"/>
    <w:rsid w:val="000D1973"/>
    <w:rsid w:val="000D2089"/>
    <w:rsid w:val="000D3707"/>
    <w:rsid w:val="000D44CA"/>
    <w:rsid w:val="000E200B"/>
    <w:rsid w:val="000E370B"/>
    <w:rsid w:val="000E57B4"/>
    <w:rsid w:val="000F02A4"/>
    <w:rsid w:val="000F3696"/>
    <w:rsid w:val="000F5892"/>
    <w:rsid w:val="000F68BE"/>
    <w:rsid w:val="00100E53"/>
    <w:rsid w:val="00101670"/>
    <w:rsid w:val="00120BE5"/>
    <w:rsid w:val="00125BA9"/>
    <w:rsid w:val="00127D3E"/>
    <w:rsid w:val="00134917"/>
    <w:rsid w:val="0013524D"/>
    <w:rsid w:val="00136875"/>
    <w:rsid w:val="0014578B"/>
    <w:rsid w:val="001459DA"/>
    <w:rsid w:val="001503AB"/>
    <w:rsid w:val="00150C8D"/>
    <w:rsid w:val="001513EC"/>
    <w:rsid w:val="0015289E"/>
    <w:rsid w:val="001661BF"/>
    <w:rsid w:val="001771CF"/>
    <w:rsid w:val="001927A4"/>
    <w:rsid w:val="0019369E"/>
    <w:rsid w:val="00194AC6"/>
    <w:rsid w:val="001A09E0"/>
    <w:rsid w:val="001A23B0"/>
    <w:rsid w:val="001A25CC"/>
    <w:rsid w:val="001A3129"/>
    <w:rsid w:val="001A4BC5"/>
    <w:rsid w:val="001A4C98"/>
    <w:rsid w:val="001A7479"/>
    <w:rsid w:val="001B0AAA"/>
    <w:rsid w:val="001B5CA1"/>
    <w:rsid w:val="001B64CB"/>
    <w:rsid w:val="001C39F7"/>
    <w:rsid w:val="001D0B48"/>
    <w:rsid w:val="001D305B"/>
    <w:rsid w:val="001D7A76"/>
    <w:rsid w:val="001E665B"/>
    <w:rsid w:val="001E713F"/>
    <w:rsid w:val="00200830"/>
    <w:rsid w:val="0020537A"/>
    <w:rsid w:val="00216543"/>
    <w:rsid w:val="00217376"/>
    <w:rsid w:val="00217562"/>
    <w:rsid w:val="00221809"/>
    <w:rsid w:val="0023215B"/>
    <w:rsid w:val="00233887"/>
    <w:rsid w:val="00237B48"/>
    <w:rsid w:val="002417BE"/>
    <w:rsid w:val="0024521E"/>
    <w:rsid w:val="00261919"/>
    <w:rsid w:val="00263C3D"/>
    <w:rsid w:val="00266D74"/>
    <w:rsid w:val="0027148F"/>
    <w:rsid w:val="00274D0B"/>
    <w:rsid w:val="00284F9D"/>
    <w:rsid w:val="00286C29"/>
    <w:rsid w:val="00292C71"/>
    <w:rsid w:val="00295147"/>
    <w:rsid w:val="002977FF"/>
    <w:rsid w:val="002A0D2B"/>
    <w:rsid w:val="002A4C8B"/>
    <w:rsid w:val="002B3C95"/>
    <w:rsid w:val="002C1D50"/>
    <w:rsid w:val="002D0B92"/>
    <w:rsid w:val="002D0D17"/>
    <w:rsid w:val="002D3AA5"/>
    <w:rsid w:val="002E235A"/>
    <w:rsid w:val="002E5B12"/>
    <w:rsid w:val="003037F2"/>
    <w:rsid w:val="003042EE"/>
    <w:rsid w:val="00306F1B"/>
    <w:rsid w:val="0030733D"/>
    <w:rsid w:val="00313175"/>
    <w:rsid w:val="00320250"/>
    <w:rsid w:val="00330687"/>
    <w:rsid w:val="00343AB3"/>
    <w:rsid w:val="003518DC"/>
    <w:rsid w:val="00372DBF"/>
    <w:rsid w:val="00374260"/>
    <w:rsid w:val="00374974"/>
    <w:rsid w:val="00390AF8"/>
    <w:rsid w:val="003959F7"/>
    <w:rsid w:val="003A12C2"/>
    <w:rsid w:val="003A15CE"/>
    <w:rsid w:val="003A306F"/>
    <w:rsid w:val="003A3720"/>
    <w:rsid w:val="003A40DB"/>
    <w:rsid w:val="003B3AB5"/>
    <w:rsid w:val="003C0C71"/>
    <w:rsid w:val="003C2F54"/>
    <w:rsid w:val="003C4504"/>
    <w:rsid w:val="003C4E67"/>
    <w:rsid w:val="003D4A36"/>
    <w:rsid w:val="003D5BBE"/>
    <w:rsid w:val="003D7B30"/>
    <w:rsid w:val="003E288E"/>
    <w:rsid w:val="003E3C61"/>
    <w:rsid w:val="003F1C5B"/>
    <w:rsid w:val="003F26CE"/>
    <w:rsid w:val="003F68E2"/>
    <w:rsid w:val="00404E6E"/>
    <w:rsid w:val="00410F81"/>
    <w:rsid w:val="00412095"/>
    <w:rsid w:val="00414078"/>
    <w:rsid w:val="00420917"/>
    <w:rsid w:val="00421676"/>
    <w:rsid w:val="00434E33"/>
    <w:rsid w:val="00441434"/>
    <w:rsid w:val="00443B8E"/>
    <w:rsid w:val="0045264C"/>
    <w:rsid w:val="004526CD"/>
    <w:rsid w:val="00453EBF"/>
    <w:rsid w:val="004564BF"/>
    <w:rsid w:val="0045745F"/>
    <w:rsid w:val="00460171"/>
    <w:rsid w:val="00460FE1"/>
    <w:rsid w:val="00474688"/>
    <w:rsid w:val="00476535"/>
    <w:rsid w:val="004809CE"/>
    <w:rsid w:val="004876EC"/>
    <w:rsid w:val="00494FEB"/>
    <w:rsid w:val="004952D6"/>
    <w:rsid w:val="0049617F"/>
    <w:rsid w:val="004A56AF"/>
    <w:rsid w:val="004B59B4"/>
    <w:rsid w:val="004C44B8"/>
    <w:rsid w:val="004C4DD6"/>
    <w:rsid w:val="004C5582"/>
    <w:rsid w:val="004C6071"/>
    <w:rsid w:val="004D2EBA"/>
    <w:rsid w:val="004D475D"/>
    <w:rsid w:val="004D6E14"/>
    <w:rsid w:val="005009B0"/>
    <w:rsid w:val="00505892"/>
    <w:rsid w:val="00510C4C"/>
    <w:rsid w:val="00514298"/>
    <w:rsid w:val="00514A52"/>
    <w:rsid w:val="00514B27"/>
    <w:rsid w:val="00522211"/>
    <w:rsid w:val="00531210"/>
    <w:rsid w:val="00534676"/>
    <w:rsid w:val="0054160A"/>
    <w:rsid w:val="00542E74"/>
    <w:rsid w:val="00562D62"/>
    <w:rsid w:val="00564118"/>
    <w:rsid w:val="00566AE5"/>
    <w:rsid w:val="005672CE"/>
    <w:rsid w:val="00576911"/>
    <w:rsid w:val="005804BB"/>
    <w:rsid w:val="00584072"/>
    <w:rsid w:val="005A1006"/>
    <w:rsid w:val="005A454A"/>
    <w:rsid w:val="005B051F"/>
    <w:rsid w:val="005B0733"/>
    <w:rsid w:val="005B6DB4"/>
    <w:rsid w:val="005B6E72"/>
    <w:rsid w:val="005C1704"/>
    <w:rsid w:val="005D2DAB"/>
    <w:rsid w:val="005E0336"/>
    <w:rsid w:val="005E714A"/>
    <w:rsid w:val="00600DBA"/>
    <w:rsid w:val="00604C65"/>
    <w:rsid w:val="00612975"/>
    <w:rsid w:val="006140A0"/>
    <w:rsid w:val="0061620B"/>
    <w:rsid w:val="0062494C"/>
    <w:rsid w:val="00630CF0"/>
    <w:rsid w:val="00631060"/>
    <w:rsid w:val="00632758"/>
    <w:rsid w:val="00635087"/>
    <w:rsid w:val="00636621"/>
    <w:rsid w:val="00642689"/>
    <w:rsid w:val="0064286D"/>
    <w:rsid w:val="00642B49"/>
    <w:rsid w:val="006647B5"/>
    <w:rsid w:val="00664A20"/>
    <w:rsid w:val="0066599F"/>
    <w:rsid w:val="00671686"/>
    <w:rsid w:val="006746A9"/>
    <w:rsid w:val="00675BA1"/>
    <w:rsid w:val="006805EB"/>
    <w:rsid w:val="006832D9"/>
    <w:rsid w:val="0069403B"/>
    <w:rsid w:val="006947B8"/>
    <w:rsid w:val="006A48D0"/>
    <w:rsid w:val="006A7914"/>
    <w:rsid w:val="006B2455"/>
    <w:rsid w:val="006B4CFB"/>
    <w:rsid w:val="006B4DB4"/>
    <w:rsid w:val="006B64EF"/>
    <w:rsid w:val="006C0CB3"/>
    <w:rsid w:val="006C7B4B"/>
    <w:rsid w:val="006D4FD2"/>
    <w:rsid w:val="006F3DDE"/>
    <w:rsid w:val="0070164B"/>
    <w:rsid w:val="007021C0"/>
    <w:rsid w:val="00704678"/>
    <w:rsid w:val="00713D29"/>
    <w:rsid w:val="0071453E"/>
    <w:rsid w:val="00716273"/>
    <w:rsid w:val="007173AA"/>
    <w:rsid w:val="00717A81"/>
    <w:rsid w:val="00722002"/>
    <w:rsid w:val="00730130"/>
    <w:rsid w:val="00731782"/>
    <w:rsid w:val="00733EAC"/>
    <w:rsid w:val="007353C3"/>
    <w:rsid w:val="007425E7"/>
    <w:rsid w:val="00744802"/>
    <w:rsid w:val="0074713F"/>
    <w:rsid w:val="007508E3"/>
    <w:rsid w:val="007525B0"/>
    <w:rsid w:val="00753F80"/>
    <w:rsid w:val="00762D12"/>
    <w:rsid w:val="0078313F"/>
    <w:rsid w:val="0078551E"/>
    <w:rsid w:val="0078752D"/>
    <w:rsid w:val="007877AF"/>
    <w:rsid w:val="00790747"/>
    <w:rsid w:val="0079095A"/>
    <w:rsid w:val="00796664"/>
    <w:rsid w:val="007A0098"/>
    <w:rsid w:val="007A0BCB"/>
    <w:rsid w:val="007A43AB"/>
    <w:rsid w:val="007B0AFF"/>
    <w:rsid w:val="007B1E60"/>
    <w:rsid w:val="007B23C0"/>
    <w:rsid w:val="007B6E80"/>
    <w:rsid w:val="007B7BC4"/>
    <w:rsid w:val="007D48D0"/>
    <w:rsid w:val="007D7F91"/>
    <w:rsid w:val="007E6496"/>
    <w:rsid w:val="007F0D33"/>
    <w:rsid w:val="0080014B"/>
    <w:rsid w:val="00800D11"/>
    <w:rsid w:val="00802607"/>
    <w:rsid w:val="00804A83"/>
    <w:rsid w:val="00806C5B"/>
    <w:rsid w:val="008101A5"/>
    <w:rsid w:val="00812DCA"/>
    <w:rsid w:val="00812F77"/>
    <w:rsid w:val="00815E90"/>
    <w:rsid w:val="008222BD"/>
    <w:rsid w:val="00822664"/>
    <w:rsid w:val="00832097"/>
    <w:rsid w:val="00833D24"/>
    <w:rsid w:val="008403EE"/>
    <w:rsid w:val="0084040C"/>
    <w:rsid w:val="008430E5"/>
    <w:rsid w:val="00843796"/>
    <w:rsid w:val="008520C7"/>
    <w:rsid w:val="00852F4F"/>
    <w:rsid w:val="00856416"/>
    <w:rsid w:val="00860488"/>
    <w:rsid w:val="00862F75"/>
    <w:rsid w:val="008635FB"/>
    <w:rsid w:val="00864A0B"/>
    <w:rsid w:val="00873F45"/>
    <w:rsid w:val="00894FDB"/>
    <w:rsid w:val="00895229"/>
    <w:rsid w:val="008A0F11"/>
    <w:rsid w:val="008A3C7A"/>
    <w:rsid w:val="008A79F5"/>
    <w:rsid w:val="008B6FED"/>
    <w:rsid w:val="008B7B23"/>
    <w:rsid w:val="008C4E6C"/>
    <w:rsid w:val="008D1977"/>
    <w:rsid w:val="008D7BE9"/>
    <w:rsid w:val="008E1773"/>
    <w:rsid w:val="008E24B7"/>
    <w:rsid w:val="008E2734"/>
    <w:rsid w:val="008E3100"/>
    <w:rsid w:val="008E3CD2"/>
    <w:rsid w:val="008E65B4"/>
    <w:rsid w:val="008E746E"/>
    <w:rsid w:val="008F0203"/>
    <w:rsid w:val="008F50D4"/>
    <w:rsid w:val="00900E40"/>
    <w:rsid w:val="009022B4"/>
    <w:rsid w:val="00902866"/>
    <w:rsid w:val="00904A95"/>
    <w:rsid w:val="009101EF"/>
    <w:rsid w:val="00914624"/>
    <w:rsid w:val="00915D18"/>
    <w:rsid w:val="009174CF"/>
    <w:rsid w:val="009176DD"/>
    <w:rsid w:val="00920A7A"/>
    <w:rsid w:val="0092218F"/>
    <w:rsid w:val="009239AA"/>
    <w:rsid w:val="009330D8"/>
    <w:rsid w:val="00933187"/>
    <w:rsid w:val="00935ADA"/>
    <w:rsid w:val="00941925"/>
    <w:rsid w:val="00943340"/>
    <w:rsid w:val="00946B6C"/>
    <w:rsid w:val="00953A24"/>
    <w:rsid w:val="00954940"/>
    <w:rsid w:val="00955A71"/>
    <w:rsid w:val="009607A9"/>
    <w:rsid w:val="0096108F"/>
    <w:rsid w:val="00970A0B"/>
    <w:rsid w:val="00980F7D"/>
    <w:rsid w:val="009A31A0"/>
    <w:rsid w:val="009A6BFC"/>
    <w:rsid w:val="009B2D15"/>
    <w:rsid w:val="009B45C3"/>
    <w:rsid w:val="009B4FF7"/>
    <w:rsid w:val="009C13B9"/>
    <w:rsid w:val="009C1916"/>
    <w:rsid w:val="009C33B0"/>
    <w:rsid w:val="009C61DB"/>
    <w:rsid w:val="009D01A2"/>
    <w:rsid w:val="009D4CD2"/>
    <w:rsid w:val="009D5494"/>
    <w:rsid w:val="009E03E4"/>
    <w:rsid w:val="009E2723"/>
    <w:rsid w:val="009E777A"/>
    <w:rsid w:val="009F2B79"/>
    <w:rsid w:val="009F5923"/>
    <w:rsid w:val="00A02F12"/>
    <w:rsid w:val="00A333BC"/>
    <w:rsid w:val="00A335C5"/>
    <w:rsid w:val="00A403BB"/>
    <w:rsid w:val="00A43A78"/>
    <w:rsid w:val="00A52743"/>
    <w:rsid w:val="00A61DEA"/>
    <w:rsid w:val="00A6364C"/>
    <w:rsid w:val="00A674DF"/>
    <w:rsid w:val="00A7081C"/>
    <w:rsid w:val="00A77758"/>
    <w:rsid w:val="00A83AA6"/>
    <w:rsid w:val="00A94E2D"/>
    <w:rsid w:val="00A95606"/>
    <w:rsid w:val="00A95E5B"/>
    <w:rsid w:val="00A96ADA"/>
    <w:rsid w:val="00A9748E"/>
    <w:rsid w:val="00AA1956"/>
    <w:rsid w:val="00AB78E0"/>
    <w:rsid w:val="00AC7F7A"/>
    <w:rsid w:val="00AD1142"/>
    <w:rsid w:val="00AD7207"/>
    <w:rsid w:val="00AE1809"/>
    <w:rsid w:val="00AE537A"/>
    <w:rsid w:val="00AE5FA9"/>
    <w:rsid w:val="00AE652E"/>
    <w:rsid w:val="00AE7EC7"/>
    <w:rsid w:val="00AE7FBC"/>
    <w:rsid w:val="00AF3374"/>
    <w:rsid w:val="00B040A0"/>
    <w:rsid w:val="00B112C3"/>
    <w:rsid w:val="00B11D8D"/>
    <w:rsid w:val="00B15360"/>
    <w:rsid w:val="00B1772C"/>
    <w:rsid w:val="00B17CB2"/>
    <w:rsid w:val="00B242DC"/>
    <w:rsid w:val="00B26DD5"/>
    <w:rsid w:val="00B40E97"/>
    <w:rsid w:val="00B412D4"/>
    <w:rsid w:val="00B442E1"/>
    <w:rsid w:val="00B67A8F"/>
    <w:rsid w:val="00B73502"/>
    <w:rsid w:val="00B73A21"/>
    <w:rsid w:val="00B75B06"/>
    <w:rsid w:val="00B80D76"/>
    <w:rsid w:val="00B84C86"/>
    <w:rsid w:val="00B95954"/>
    <w:rsid w:val="00BA2105"/>
    <w:rsid w:val="00BA4E13"/>
    <w:rsid w:val="00BA7E06"/>
    <w:rsid w:val="00BB3612"/>
    <w:rsid w:val="00BB3927"/>
    <w:rsid w:val="00BB3FAA"/>
    <w:rsid w:val="00BB43B5"/>
    <w:rsid w:val="00BB6085"/>
    <w:rsid w:val="00BB6219"/>
    <w:rsid w:val="00BC0AE5"/>
    <w:rsid w:val="00BD290F"/>
    <w:rsid w:val="00BD3EFE"/>
    <w:rsid w:val="00BE11E2"/>
    <w:rsid w:val="00BE26E4"/>
    <w:rsid w:val="00BF2C73"/>
    <w:rsid w:val="00BF321A"/>
    <w:rsid w:val="00C02578"/>
    <w:rsid w:val="00C030CA"/>
    <w:rsid w:val="00C05261"/>
    <w:rsid w:val="00C14CC4"/>
    <w:rsid w:val="00C16286"/>
    <w:rsid w:val="00C163F3"/>
    <w:rsid w:val="00C1797E"/>
    <w:rsid w:val="00C33C52"/>
    <w:rsid w:val="00C3400E"/>
    <w:rsid w:val="00C40D8B"/>
    <w:rsid w:val="00C47CE0"/>
    <w:rsid w:val="00C47E35"/>
    <w:rsid w:val="00C52350"/>
    <w:rsid w:val="00C5351E"/>
    <w:rsid w:val="00C613EB"/>
    <w:rsid w:val="00C712B1"/>
    <w:rsid w:val="00C73F96"/>
    <w:rsid w:val="00C8407A"/>
    <w:rsid w:val="00C8488C"/>
    <w:rsid w:val="00C86E91"/>
    <w:rsid w:val="00C93D8B"/>
    <w:rsid w:val="00C9483A"/>
    <w:rsid w:val="00C95ABA"/>
    <w:rsid w:val="00CA2650"/>
    <w:rsid w:val="00CB1078"/>
    <w:rsid w:val="00CB6A80"/>
    <w:rsid w:val="00CC3787"/>
    <w:rsid w:val="00CC6300"/>
    <w:rsid w:val="00CC6FAF"/>
    <w:rsid w:val="00CD6229"/>
    <w:rsid w:val="00CE2F94"/>
    <w:rsid w:val="00CE45F3"/>
    <w:rsid w:val="00CE5915"/>
    <w:rsid w:val="00CF42C1"/>
    <w:rsid w:val="00CF473B"/>
    <w:rsid w:val="00D06EAC"/>
    <w:rsid w:val="00D12AC1"/>
    <w:rsid w:val="00D2117C"/>
    <w:rsid w:val="00D219CD"/>
    <w:rsid w:val="00D23AFC"/>
    <w:rsid w:val="00D24698"/>
    <w:rsid w:val="00D25E0A"/>
    <w:rsid w:val="00D328F7"/>
    <w:rsid w:val="00D5251A"/>
    <w:rsid w:val="00D54592"/>
    <w:rsid w:val="00D6383F"/>
    <w:rsid w:val="00D6490E"/>
    <w:rsid w:val="00D73B61"/>
    <w:rsid w:val="00D75F4B"/>
    <w:rsid w:val="00D763EB"/>
    <w:rsid w:val="00D825CF"/>
    <w:rsid w:val="00D825DB"/>
    <w:rsid w:val="00D913A3"/>
    <w:rsid w:val="00D93A08"/>
    <w:rsid w:val="00D96361"/>
    <w:rsid w:val="00DB095F"/>
    <w:rsid w:val="00DB3092"/>
    <w:rsid w:val="00DB59D0"/>
    <w:rsid w:val="00DC1DD2"/>
    <w:rsid w:val="00DC33D3"/>
    <w:rsid w:val="00DD0E84"/>
    <w:rsid w:val="00DD2E52"/>
    <w:rsid w:val="00DD3F1D"/>
    <w:rsid w:val="00DD434B"/>
    <w:rsid w:val="00DE31CC"/>
    <w:rsid w:val="00DE7836"/>
    <w:rsid w:val="00DE7DB2"/>
    <w:rsid w:val="00E076F1"/>
    <w:rsid w:val="00E234AE"/>
    <w:rsid w:val="00E25128"/>
    <w:rsid w:val="00E26329"/>
    <w:rsid w:val="00E33801"/>
    <w:rsid w:val="00E404BE"/>
    <w:rsid w:val="00E40B50"/>
    <w:rsid w:val="00E40C43"/>
    <w:rsid w:val="00E46AC2"/>
    <w:rsid w:val="00E50293"/>
    <w:rsid w:val="00E647EA"/>
    <w:rsid w:val="00E65FFC"/>
    <w:rsid w:val="00E70E1F"/>
    <w:rsid w:val="00E74804"/>
    <w:rsid w:val="00E749FF"/>
    <w:rsid w:val="00E76D4B"/>
    <w:rsid w:val="00E80951"/>
    <w:rsid w:val="00E80E59"/>
    <w:rsid w:val="00E84BE0"/>
    <w:rsid w:val="00E84CF1"/>
    <w:rsid w:val="00E863BF"/>
    <w:rsid w:val="00E86CC6"/>
    <w:rsid w:val="00E92E6D"/>
    <w:rsid w:val="00E93610"/>
    <w:rsid w:val="00E97663"/>
    <w:rsid w:val="00EA33D7"/>
    <w:rsid w:val="00EA3DC6"/>
    <w:rsid w:val="00EB0B97"/>
    <w:rsid w:val="00EB56B3"/>
    <w:rsid w:val="00EB7EC9"/>
    <w:rsid w:val="00EC77BE"/>
    <w:rsid w:val="00ED6492"/>
    <w:rsid w:val="00EE30BF"/>
    <w:rsid w:val="00EE35C3"/>
    <w:rsid w:val="00EF2095"/>
    <w:rsid w:val="00EF45FB"/>
    <w:rsid w:val="00EF52A4"/>
    <w:rsid w:val="00EF6F37"/>
    <w:rsid w:val="00F002EF"/>
    <w:rsid w:val="00F00DAE"/>
    <w:rsid w:val="00F0258C"/>
    <w:rsid w:val="00F06866"/>
    <w:rsid w:val="00F11D92"/>
    <w:rsid w:val="00F15956"/>
    <w:rsid w:val="00F24CFC"/>
    <w:rsid w:val="00F3113D"/>
    <w:rsid w:val="00F3170F"/>
    <w:rsid w:val="00F3763B"/>
    <w:rsid w:val="00F4696C"/>
    <w:rsid w:val="00F51C43"/>
    <w:rsid w:val="00F532D1"/>
    <w:rsid w:val="00F54D86"/>
    <w:rsid w:val="00F56BB4"/>
    <w:rsid w:val="00F573EF"/>
    <w:rsid w:val="00F62F7A"/>
    <w:rsid w:val="00F63168"/>
    <w:rsid w:val="00F721D1"/>
    <w:rsid w:val="00F74FAC"/>
    <w:rsid w:val="00F77FE3"/>
    <w:rsid w:val="00F80475"/>
    <w:rsid w:val="00F81A35"/>
    <w:rsid w:val="00F8330F"/>
    <w:rsid w:val="00F85219"/>
    <w:rsid w:val="00F8707B"/>
    <w:rsid w:val="00F976B0"/>
    <w:rsid w:val="00FA01A5"/>
    <w:rsid w:val="00FA4147"/>
    <w:rsid w:val="00FA6DE7"/>
    <w:rsid w:val="00FA7432"/>
    <w:rsid w:val="00FC0A8E"/>
    <w:rsid w:val="00FC0C4F"/>
    <w:rsid w:val="00FC16D1"/>
    <w:rsid w:val="00FD669B"/>
    <w:rsid w:val="00FD710F"/>
    <w:rsid w:val="00FE2FA6"/>
    <w:rsid w:val="00FE3DF2"/>
    <w:rsid w:val="00FF0155"/>
    <w:rsid w:val="00FF2AEC"/>
    <w:rsid w:val="00FF6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4312679B-E3ED-49C1-A8B6-BA49197B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F8330F"/>
    <w:pPr>
      <w:keepNext/>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paragraph" w:customStyle="1" w:styleId="ICFTextwithspace">
    <w:name w:val="ICF Text with space"/>
    <w:basedOn w:val="Normal"/>
    <w:qFormat/>
    <w:rsid w:val="008A3C7A"/>
    <w:pPr>
      <w:spacing w:after="120" w:line="264" w:lineRule="auto"/>
    </w:pPr>
    <w:rPr>
      <w:rFonts w:ascii="DM Sans" w:hAnsi="DM Sans" w:eastAsiaTheme="minorHAnsi" w:cs="Times New Roman (Body CS)"/>
      <w:sz w:val="20"/>
      <w:szCs w:val="20"/>
    </w:rPr>
  </w:style>
  <w:style w:type="character" w:customStyle="1" w:styleId="normaltextrun">
    <w:name w:val="normaltextrun"/>
    <w:basedOn w:val="DefaultParagraphFont"/>
    <w:rsid w:val="008A3C7A"/>
  </w:style>
  <w:style w:type="character" w:customStyle="1" w:styleId="eop">
    <w:name w:val="eop"/>
    <w:basedOn w:val="DefaultParagraphFont"/>
    <w:rsid w:val="00057C1A"/>
  </w:style>
  <w:style w:type="paragraph" w:styleId="FootnoteText">
    <w:name w:val="footnote text"/>
    <w:basedOn w:val="Normal"/>
    <w:link w:val="FootnoteTextChar"/>
    <w:uiPriority w:val="99"/>
    <w:semiHidden/>
    <w:unhideWhenUsed/>
    <w:rsid w:val="003D7B30"/>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D7B3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D7B30"/>
    <w:rPr>
      <w:vertAlign w:val="superscript"/>
    </w:rPr>
  </w:style>
  <w:style w:type="paragraph" w:styleId="Revision">
    <w:name w:val="Revision"/>
    <w:hidden/>
    <w:uiPriority w:val="99"/>
    <w:semiHidden/>
    <w:rsid w:val="0019369E"/>
    <w:rPr>
      <w:sz w:val="24"/>
      <w:szCs w:val="24"/>
    </w:rPr>
  </w:style>
  <w:style w:type="character" w:customStyle="1" w:styleId="cf01">
    <w:name w:val="cf01"/>
    <w:basedOn w:val="DefaultParagraphFont"/>
    <w:rsid w:val="00941925"/>
    <w:rPr>
      <w:rFonts w:ascii="Segoe UI" w:hAnsi="Segoe UI" w:cs="Segoe UI" w:hint="default"/>
      <w:sz w:val="18"/>
      <w:szCs w:val="18"/>
    </w:rPr>
  </w:style>
  <w:style w:type="character" w:styleId="UnresolvedMention">
    <w:name w:val="Unresolved Mention"/>
    <w:basedOn w:val="DefaultParagraphFont"/>
    <w:uiPriority w:val="99"/>
    <w:semiHidden/>
    <w:unhideWhenUsed/>
    <w:rsid w:val="00233887"/>
    <w:rPr>
      <w:color w:val="605E5C"/>
      <w:shd w:val="clear" w:color="auto" w:fill="E1DFDD"/>
    </w:rPr>
  </w:style>
  <w:style w:type="character" w:customStyle="1" w:styleId="ListParagraphChar">
    <w:name w:val="List Paragraph Char"/>
    <w:basedOn w:val="DefaultParagraphFont"/>
    <w:link w:val="ListParagraph"/>
    <w:uiPriority w:val="34"/>
    <w:locked/>
    <w:rsid w:val="00EA3D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mfou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4" ma:contentTypeDescription="" ma:contentTypeScope="" ma:versionID="88cb6bf59e62d70df74db7a31c0294e2">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5d86e9199b1cea83eee99df699412ef0"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f6f73781-70c4-4328-acc7-2aa385702a57">
      <Terms xmlns="http://schemas.microsoft.com/office/infopath/2007/PartnerControls"/>
    </TaxKeywordTaxHTField>
    <TaxCatchAll xmlns="f6f73781-70c4-4328-acc7-2aa385702a57" xsi:nil="true"/>
    <_ip_UnifiedCompliancePolicyProperties xmlns="http://schemas.microsoft.com/sharepoint/v3" xsi:nil="true"/>
    <lcf76f155ced4ddcb4097134ff3c332f xmlns="b7b1617e-6a94-47af-ad6f-e20732201e63">
      <Terms xmlns="http://schemas.microsoft.com/office/infopath/2007/PartnerControls"/>
    </lcf76f155ced4ddcb4097134ff3c332f>
    <_dlc_DocId xmlns="5e6029f0-4cb2-4578-9dca-18ac3ce3eaca">CFPBCDO-2004683907-2136512</_dlc_DocId>
    <_dlc_DocIdUrl xmlns="5e6029f0-4cb2-4578-9dca-18ac3ce3eaca">
      <Url>https://bcfp365.sharepoint.com/sites/cdo/_layouts/15/DocIdRedir.aspx?ID=CFPBCDO-2004683907-2136512</Url>
      <Description>CFPBCDO-2004683907-2136512</Description>
    </_dlc_DocIdUrl>
  </documentManagement>
</p:properties>
</file>

<file path=customXml/itemProps1.xml><?xml version="1.0" encoding="utf-8"?>
<ds:datastoreItem xmlns:ds="http://schemas.openxmlformats.org/officeDocument/2006/customXml" ds:itemID="{D022544F-F1D3-470D-BF77-8B4292624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3.xml><?xml version="1.0" encoding="utf-8"?>
<ds:datastoreItem xmlns:ds="http://schemas.openxmlformats.org/officeDocument/2006/customXml" ds:itemID="{04D34830-0D88-489B-90CF-3AA8C9F80AA1}">
  <ds:schemaRefs>
    <ds:schemaRef ds:uri="Microsoft.SharePoint.Taxonomy.ContentTypeSync"/>
  </ds:schemaRefs>
</ds:datastoreItem>
</file>

<file path=customXml/itemProps4.xml><?xml version="1.0" encoding="utf-8"?>
<ds:datastoreItem xmlns:ds="http://schemas.openxmlformats.org/officeDocument/2006/customXml" ds:itemID="{EF6B6475-572A-40FB-9976-87798ECDE5BB}">
  <ds:schemaRefs>
    <ds:schemaRef ds:uri="http://schemas.microsoft.com/sharepoint/events"/>
  </ds:schemaRefs>
</ds:datastoreItem>
</file>

<file path=customXml/itemProps5.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 ds:uri="http://schemas.microsoft.com/sharepoint/v3"/>
    <ds:schemaRef ds:uri="f6f73781-70c4-4328-acc7-2aa385702a57"/>
    <ds:schemaRef ds:uri="b7b1617e-6a94-47af-ad6f-e20732201e63"/>
    <ds:schemaRef ds:uri="5e6029f0-4cb2-4578-9dca-18ac3ce3ea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Watkins, Pamela (CFPB)</cp:lastModifiedBy>
  <cp:revision>2</cp:revision>
  <cp:lastPrinted>2010-10-04T19:59:00Z</cp:lastPrinted>
  <dcterms:created xsi:type="dcterms:W3CDTF">2022-08-30T21:30:00Z</dcterms:created>
  <dcterms:modified xsi:type="dcterms:W3CDTF">2022-08-30T21:30:00Z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0x010100AF5D719A330BE9498B2C5974DBEAC038009C9D37B18119DC43A41D88F0709F2C93</vt:lpwstr>
  </property>
  <property fmtid="{D5CDD505-2E9C-101B-9397-08002B2CF9AE}" pid="4" name="MediaServiceImageTags">
    <vt:lpwstr/>
  </property>
  <property fmtid="{D5CDD505-2E9C-101B-9397-08002B2CF9AE}" pid="5" name="Order">
    <vt:r8>7421000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a130a7be-c1f6-4359-a44c-068fbdc476ad</vt:lpwstr>
  </property>
  <property fmtid="{D5CDD505-2E9C-101B-9397-08002B2CF9AE}" pid="9" name="_docset_NoMedatataSyncRequired">
    <vt:lpwstr>False</vt:lpwstr>
  </property>
  <property fmtid="{D5CDD505-2E9C-101B-9397-08002B2CF9AE}" pid="10" name="_NewReviewCycle">
    <vt:lpwstr/>
  </property>
</Properties>
</file>