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7A3A" w:rsidR="008F6F8D" w:rsidRDefault="008F6F8D" w14:paraId="7C1C2B48" w14:textId="77777777">
      <w:pPr>
        <w:pStyle w:val="Title"/>
        <w:rPr>
          <w:sz w:val="20"/>
        </w:rPr>
      </w:pPr>
      <w:r w:rsidRPr="00857A3A">
        <w:rPr>
          <w:sz w:val="20"/>
        </w:rPr>
        <w:t>SUPPORTING STATEMENT FOR REQUESTS FOR APPROVAL UNDER</w:t>
      </w:r>
    </w:p>
    <w:p w:rsidRPr="00857A3A" w:rsidR="008F6F8D" w:rsidRDefault="008F6F8D" w14:paraId="5FB55966" w14:textId="77777777">
      <w:pPr>
        <w:pStyle w:val="Subtitle"/>
        <w:rPr>
          <w:b/>
          <w:sz w:val="20"/>
        </w:rPr>
      </w:pPr>
      <w:r w:rsidRPr="00857A3A">
        <w:rPr>
          <w:b/>
          <w:sz w:val="20"/>
        </w:rPr>
        <w:t>THE PAPERWORK REDUCTION ACT AND 5 CFR 1320</w:t>
      </w:r>
    </w:p>
    <w:p w:rsidR="008F6F8D" w:rsidRDefault="00FE33CB" w14:paraId="4B337BCA" w14:textId="6813FF7F">
      <w:pPr>
        <w:jc w:val="center"/>
        <w:rPr>
          <w:rFonts w:ascii="Arial" w:hAnsi="Arial"/>
          <w:b/>
          <w:sz w:val="20"/>
        </w:rPr>
      </w:pPr>
      <w:r>
        <w:rPr>
          <w:rFonts w:ascii="Arial" w:hAnsi="Arial"/>
          <w:b/>
          <w:sz w:val="20"/>
        </w:rPr>
        <w:t>LPC FIRST Financial Reporting</w:t>
      </w:r>
      <w:r w:rsidRPr="00857A3A" w:rsidR="008F6F8D">
        <w:rPr>
          <w:rFonts w:ascii="Arial" w:hAnsi="Arial"/>
          <w:b/>
          <w:sz w:val="20"/>
        </w:rPr>
        <w:t xml:space="preserve"> </w:t>
      </w:r>
    </w:p>
    <w:p w:rsidRPr="00857A3A" w:rsidR="005A2100" w:rsidRDefault="005A2100" w14:paraId="1120D724" w14:textId="77777777">
      <w:pPr>
        <w:jc w:val="center"/>
        <w:rPr>
          <w:b/>
          <w:sz w:val="20"/>
        </w:rPr>
      </w:pPr>
    </w:p>
    <w:p w:rsidRPr="00375ABF" w:rsidR="008F6F8D" w:rsidRDefault="008F6F8D" w14:paraId="33EA42FD" w14:textId="77777777">
      <w:pPr>
        <w:rPr>
          <w:rFonts w:ascii="Arial" w:hAnsi="Arial" w:cs="Arial"/>
          <w:sz w:val="16"/>
          <w:szCs w:val="16"/>
        </w:rPr>
      </w:pPr>
    </w:p>
    <w:p w:rsidRPr="004134E5" w:rsidR="008F6F8D" w:rsidP="00917204" w:rsidRDefault="008F6F8D" w14:paraId="3D18C59E" w14:textId="77777777">
      <w:pPr>
        <w:pStyle w:val="List"/>
        <w:numPr>
          <w:ilvl w:val="0"/>
          <w:numId w:val="1"/>
        </w:numPr>
        <w:rPr>
          <w:rFonts w:ascii="Arial" w:hAnsi="Arial" w:cs="Arial"/>
          <w:sz w:val="20"/>
        </w:rPr>
      </w:pPr>
      <w:r w:rsidRPr="004134E5">
        <w:rPr>
          <w:rFonts w:ascii="Arial" w:hAnsi="Arial" w:cs="Arial"/>
          <w:sz w:val="20"/>
        </w:rPr>
        <w:t>Justification</w:t>
      </w:r>
    </w:p>
    <w:p w:rsidRPr="004134E5" w:rsidR="008F6F8D" w:rsidRDefault="008F6F8D" w14:paraId="7A6212D7" w14:textId="77777777">
      <w:pPr>
        <w:rPr>
          <w:rFonts w:ascii="Arial" w:hAnsi="Arial" w:cs="Arial"/>
          <w:sz w:val="20"/>
        </w:rPr>
      </w:pPr>
    </w:p>
    <w:p w:rsidRPr="004E0305" w:rsidR="004E0305" w:rsidP="004E0305" w:rsidRDefault="008F6F8D" w14:paraId="1F79B725" w14:textId="77777777">
      <w:pPr>
        <w:numPr>
          <w:ilvl w:val="0"/>
          <w:numId w:val="2"/>
        </w:numPr>
        <w:overflowPunct/>
        <w:autoSpaceDE/>
        <w:autoSpaceDN/>
        <w:adjustRightInd/>
        <w:textAlignment w:val="auto"/>
        <w:rPr>
          <w:rFonts w:ascii="Arial" w:hAnsi="Arial" w:cs="Arial"/>
          <w:sz w:val="20"/>
        </w:rPr>
      </w:pPr>
      <w:r w:rsidRPr="004134E5">
        <w:rPr>
          <w:rFonts w:ascii="Arial" w:hAnsi="Arial" w:cs="Arial"/>
          <w:b/>
          <w:sz w:val="20"/>
        </w:rPr>
        <w:t>Explain the circumstances that make the collec</w:t>
      </w:r>
      <w:r w:rsidR="00823D16">
        <w:rPr>
          <w:rFonts w:ascii="Arial" w:hAnsi="Arial" w:cs="Arial"/>
          <w:b/>
          <w:sz w:val="20"/>
        </w:rPr>
        <w:t xml:space="preserve">tion of information necessary. </w:t>
      </w:r>
      <w:r w:rsidRPr="004134E5">
        <w:rPr>
          <w:rFonts w:ascii="Arial" w:hAnsi="Arial" w:cs="Arial"/>
          <w:b/>
          <w:sz w:val="20"/>
        </w:rPr>
        <w:t>Identify any legal or administrative requirements th</w:t>
      </w:r>
      <w:r w:rsidR="002F5A38">
        <w:rPr>
          <w:rFonts w:ascii="Arial" w:hAnsi="Arial" w:cs="Arial"/>
          <w:b/>
          <w:sz w:val="20"/>
        </w:rPr>
        <w:t xml:space="preserve">at necessitate the collection. </w:t>
      </w:r>
      <w:r w:rsidRPr="004134E5">
        <w:rPr>
          <w:rFonts w:ascii="Arial" w:hAnsi="Arial" w:cs="Arial"/>
          <w:b/>
          <w:sz w:val="20"/>
        </w:rPr>
        <w:t>Attach a copy of the appropriate section of each statute and regulation mandating or authorizing the collection of information.</w:t>
      </w:r>
      <w:r w:rsidRPr="004134E5">
        <w:rPr>
          <w:rFonts w:ascii="Arial" w:hAnsi="Arial" w:cs="Arial"/>
          <w:b/>
          <w:sz w:val="20"/>
        </w:rPr>
        <w:br/>
      </w:r>
    </w:p>
    <w:p w:rsidR="002C677C" w:rsidP="001C09C0" w:rsidRDefault="002C677C" w14:paraId="7BB71003" w14:textId="2972D215">
      <w:pPr>
        <w:overflowPunct/>
        <w:autoSpaceDE/>
        <w:autoSpaceDN/>
        <w:adjustRightInd/>
        <w:ind w:left="720"/>
        <w:jc w:val="both"/>
        <w:textAlignment w:val="auto"/>
      </w:pPr>
      <w:r w:rsidRPr="002C677C">
        <w:rPr>
          <w:rFonts w:ascii="Arial" w:hAnsi="Arial" w:cs="Arial"/>
          <w:sz w:val="20"/>
        </w:rPr>
        <w:t>Currently 153 power distributors (local power companies</w:t>
      </w:r>
      <w:r>
        <w:rPr>
          <w:rFonts w:ascii="Arial" w:hAnsi="Arial" w:cs="Arial"/>
          <w:sz w:val="20"/>
        </w:rPr>
        <w:t xml:space="preserve"> (LPCs)</w:t>
      </w:r>
      <w:r w:rsidRPr="002C677C">
        <w:rPr>
          <w:rFonts w:ascii="Arial" w:hAnsi="Arial" w:cs="Arial"/>
          <w:sz w:val="20"/>
        </w:rPr>
        <w:t>) purchase electric power from TVA under contracts which specify the retail rates for the sale of electricity.  The TVA Act of 1933, Section 10, provides TVA the specific authority to develop these rates and administer the power contracts.</w:t>
      </w:r>
    </w:p>
    <w:p w:rsidR="002C677C" w:rsidP="001C09C0" w:rsidRDefault="002C677C" w14:paraId="26FD2CFA" w14:textId="77777777">
      <w:pPr>
        <w:overflowPunct/>
        <w:autoSpaceDE/>
        <w:autoSpaceDN/>
        <w:adjustRightInd/>
        <w:ind w:left="720"/>
        <w:textAlignment w:val="auto"/>
      </w:pPr>
    </w:p>
    <w:p w:rsidR="002C677C" w:rsidP="001C09C0" w:rsidRDefault="002C677C" w14:paraId="06724A50" w14:textId="34F244E6">
      <w:pPr>
        <w:overflowPunct/>
        <w:autoSpaceDE/>
        <w:autoSpaceDN/>
        <w:adjustRightInd/>
        <w:ind w:left="720"/>
        <w:textAlignment w:val="auto"/>
      </w:pPr>
      <w:r w:rsidRPr="002C677C">
        <w:rPr>
          <w:rFonts w:ascii="Arial" w:hAnsi="Arial" w:cs="Arial"/>
          <w:sz w:val="20"/>
        </w:rPr>
        <w:t>Public service commissions do not regulate TVA-served distributors; TVA is the sole regulatory authority.  The power contract between TVA and the power distributor is the vehicle by which power rates are established.  To ensure that each distributor is following acceptable accounting principles and procedures, and to assist in making management decisions concerning rates, finances, and other long-term plans, reporting of data is needed annually.  Thus, under the Financial and Accounting Policy Section of the Schedule of Terms and Conditions of the power contract with each distributor, provisions were made for the distributors (local power companies) to follow accounting as prescribed by TVA, and to submit an annual financial report to TVA.</w:t>
      </w:r>
    </w:p>
    <w:p w:rsidR="002C677C" w:rsidP="001C09C0" w:rsidRDefault="002C677C" w14:paraId="466EC916" w14:textId="77777777">
      <w:pPr>
        <w:overflowPunct/>
        <w:autoSpaceDE/>
        <w:autoSpaceDN/>
        <w:adjustRightInd/>
        <w:ind w:left="720"/>
        <w:textAlignment w:val="auto"/>
      </w:pPr>
    </w:p>
    <w:p w:rsidR="00BF1020" w:rsidP="00BF1020" w:rsidRDefault="00BF1020" w14:paraId="686EBA66" w14:textId="77777777">
      <w:pPr>
        <w:ind w:left="720"/>
        <w:rPr>
          <w:rFonts w:ascii="Arial" w:hAnsi="Arial" w:cs="Arial"/>
          <w:sz w:val="20"/>
        </w:rPr>
      </w:pPr>
      <w:r>
        <w:rPr>
          <w:rFonts w:ascii="Arial" w:hAnsi="Arial" w:cs="Arial"/>
          <w:sz w:val="20"/>
        </w:rPr>
        <w:t>The Financial Information &amp; Regulatory System Tool (FIRST) will be used by LPCs to submit monthly and annual financial data including schedules, balance sheets, income statements, and annual reports through data entry or automated integration.  FIRST streamlines data collection and reduces the burden on the public.</w:t>
      </w:r>
    </w:p>
    <w:p w:rsidRPr="004134E5" w:rsidR="008F6F8D" w:rsidP="00CD48EE" w:rsidRDefault="008F6F8D" w14:paraId="166D59CE" w14:textId="11A920B2">
      <w:pPr>
        <w:overflowPunct/>
        <w:autoSpaceDE/>
        <w:autoSpaceDN/>
        <w:adjustRightInd/>
        <w:ind w:left="720"/>
        <w:textAlignment w:val="auto"/>
        <w:rPr>
          <w:rFonts w:ascii="Arial" w:hAnsi="Arial" w:cs="Arial"/>
          <w:sz w:val="20"/>
        </w:rPr>
      </w:pPr>
      <w:r w:rsidRPr="004E0305">
        <w:rPr>
          <w:rFonts w:ascii="Arial" w:hAnsi="Arial" w:cs="Arial"/>
          <w:sz w:val="20"/>
        </w:rPr>
        <w:br/>
      </w:r>
    </w:p>
    <w:p w:rsidR="001C09C0" w:rsidP="001C09C0" w:rsidRDefault="008F6F8D" w14:paraId="0DF710C2" w14:textId="397ECE1E">
      <w:pPr>
        <w:pStyle w:val="List2"/>
        <w:numPr>
          <w:ilvl w:val="0"/>
          <w:numId w:val="2"/>
        </w:numPr>
        <w:rPr>
          <w:rFonts w:ascii="Arial" w:hAnsi="Arial" w:cs="Arial"/>
          <w:sz w:val="20"/>
        </w:rPr>
      </w:pPr>
      <w:r w:rsidRPr="004134E5">
        <w:rPr>
          <w:rFonts w:ascii="Arial" w:hAnsi="Arial" w:cs="Arial"/>
          <w:b/>
          <w:sz w:val="20"/>
        </w:rPr>
        <w:t xml:space="preserve">Indicate how, by whom, and for what purpose </w:t>
      </w:r>
      <w:r w:rsidR="00D80B76">
        <w:rPr>
          <w:rFonts w:ascii="Arial" w:hAnsi="Arial" w:cs="Arial"/>
          <w:b/>
          <w:sz w:val="20"/>
        </w:rPr>
        <w:t xml:space="preserve">the information is to be used. </w:t>
      </w:r>
      <w:r w:rsidRPr="004134E5">
        <w:rPr>
          <w:rFonts w:ascii="Arial" w:hAnsi="Arial" w:cs="Arial"/>
          <w:b/>
          <w:sz w:val="20"/>
        </w:rPr>
        <w:t>Except for a new collection, indicate the actual use the agency has made of the information received from the current collection.</w:t>
      </w:r>
      <w:r w:rsidRPr="004134E5">
        <w:rPr>
          <w:rFonts w:ascii="Arial" w:hAnsi="Arial" w:cs="Arial"/>
          <w:b/>
          <w:sz w:val="20"/>
        </w:rPr>
        <w:br/>
      </w:r>
      <w:r w:rsidRPr="004134E5">
        <w:rPr>
          <w:rFonts w:ascii="Arial" w:hAnsi="Arial" w:cs="Arial"/>
          <w:sz w:val="20"/>
        </w:rPr>
        <w:br/>
      </w:r>
      <w:r w:rsidRPr="001C09C0" w:rsidR="001C09C0">
        <w:rPr>
          <w:rFonts w:ascii="Arial" w:hAnsi="Arial" w:cs="Arial"/>
          <w:sz w:val="20"/>
        </w:rPr>
        <w:t>TVA, serving in its regulatory capacity, uses this financial and statistical information to monitor each distributor’s current financial position and to forecast requirements for reasonable levels of resources for renewals, replacements, and contingencies.</w:t>
      </w:r>
    </w:p>
    <w:p w:rsidRPr="001C09C0" w:rsidR="001C09C0" w:rsidP="001C09C0" w:rsidRDefault="001C09C0" w14:paraId="50B63555" w14:textId="77777777">
      <w:pPr>
        <w:pStyle w:val="List2"/>
        <w:ind w:firstLine="0"/>
        <w:rPr>
          <w:rFonts w:ascii="Arial" w:hAnsi="Arial" w:cs="Arial"/>
          <w:sz w:val="20"/>
        </w:rPr>
      </w:pPr>
    </w:p>
    <w:p w:rsidRPr="001C09C0" w:rsidR="001C09C0" w:rsidP="001C09C0" w:rsidRDefault="001C09C0" w14:paraId="5A4A9594" w14:textId="43798927">
      <w:pPr>
        <w:pStyle w:val="List2"/>
        <w:ind w:firstLine="0"/>
        <w:rPr>
          <w:rFonts w:ascii="Arial" w:hAnsi="Arial" w:cs="Arial"/>
          <w:sz w:val="20"/>
        </w:rPr>
      </w:pPr>
      <w:r w:rsidRPr="001C09C0">
        <w:rPr>
          <w:rFonts w:ascii="Arial" w:hAnsi="Arial" w:cs="Arial"/>
          <w:sz w:val="20"/>
        </w:rPr>
        <w:t>The data from this information collection is used by TVA organizations (Regulatory Assurance, Commercial Energy Solutions, Treasury</w:t>
      </w:r>
      <w:r w:rsidR="009A1411">
        <w:rPr>
          <w:rFonts w:ascii="Arial" w:hAnsi="Arial" w:cs="Arial"/>
          <w:sz w:val="20"/>
        </w:rPr>
        <w:t xml:space="preserve"> and Risk</w:t>
      </w:r>
      <w:r w:rsidRPr="001C09C0">
        <w:rPr>
          <w:rFonts w:ascii="Arial" w:hAnsi="Arial" w:cs="Arial"/>
          <w:sz w:val="20"/>
        </w:rPr>
        <w:t xml:space="preserve">, </w:t>
      </w:r>
      <w:r w:rsidR="004A297E">
        <w:rPr>
          <w:rFonts w:ascii="Arial" w:hAnsi="Arial" w:cs="Arial"/>
          <w:sz w:val="20"/>
        </w:rPr>
        <w:t>Regional Relations</w:t>
      </w:r>
      <w:r w:rsidR="009671FA">
        <w:rPr>
          <w:rFonts w:ascii="Arial" w:hAnsi="Arial" w:cs="Arial"/>
          <w:sz w:val="20"/>
        </w:rPr>
        <w:t>,</w:t>
      </w:r>
      <w:r w:rsidRPr="001C09C0">
        <w:rPr>
          <w:rFonts w:ascii="Arial" w:hAnsi="Arial" w:cs="Arial"/>
          <w:sz w:val="20"/>
        </w:rPr>
        <w:t xml:space="preserve"> and Transmission and Power Supply) and the TVA Board of Directors to assist in making management decisions concerning electric power rates, financing the TVA power generating and transmission system, and other long-term plans.</w:t>
      </w:r>
    </w:p>
    <w:p w:rsidR="001C09C0" w:rsidP="001C09C0" w:rsidRDefault="001C09C0" w14:paraId="2D982EA6" w14:textId="77777777">
      <w:pPr>
        <w:pStyle w:val="List2"/>
        <w:ind w:firstLine="0"/>
        <w:rPr>
          <w:rFonts w:ascii="Arial" w:hAnsi="Arial" w:cs="Arial"/>
          <w:sz w:val="20"/>
        </w:rPr>
      </w:pPr>
    </w:p>
    <w:p w:rsidRPr="004134E5" w:rsidR="008F6F8D" w:rsidP="001C09C0" w:rsidRDefault="001C09C0" w14:paraId="7C1AF9D1" w14:textId="7928CEF3">
      <w:pPr>
        <w:pStyle w:val="List2"/>
        <w:ind w:firstLine="0"/>
        <w:rPr>
          <w:rFonts w:ascii="Arial" w:hAnsi="Arial" w:cs="Arial"/>
          <w:sz w:val="20"/>
        </w:rPr>
      </w:pPr>
      <w:r w:rsidRPr="001C09C0">
        <w:rPr>
          <w:rFonts w:ascii="Arial" w:hAnsi="Arial" w:cs="Arial"/>
          <w:sz w:val="20"/>
        </w:rPr>
        <w:t>If this information collection is not conducted, TVA would be severely hampered in fulfilling its responsibilities to Congress under Section 11 of the TVA Act of 1933 to “permit domestic and rural use [of electricity] at the lowest possible rates.”</w:t>
      </w:r>
      <w:r w:rsidRPr="004134E5" w:rsidR="008F6F8D">
        <w:rPr>
          <w:rFonts w:ascii="Arial" w:hAnsi="Arial" w:cs="Arial"/>
          <w:sz w:val="20"/>
          <w:u w:val="single"/>
        </w:rPr>
        <w:br/>
      </w:r>
    </w:p>
    <w:p w:rsidR="001C09C0" w:rsidP="001C09C0" w:rsidRDefault="008F6F8D" w14:paraId="2CA487D8" w14:textId="29565175">
      <w:pPr>
        <w:pStyle w:val="List2"/>
        <w:numPr>
          <w:ilvl w:val="0"/>
          <w:numId w:val="2"/>
        </w:numPr>
        <w:rPr>
          <w:rFonts w:ascii="Arial" w:hAnsi="Arial" w:cs="Arial"/>
          <w:sz w:val="20"/>
        </w:rPr>
      </w:pPr>
      <w:r w:rsidRPr="000F6CBB">
        <w:rPr>
          <w:rFonts w:ascii="Arial" w:hAnsi="Arial" w:cs="Arial"/>
          <w:b/>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F6CBB" w:rsidR="002F5A38">
        <w:rPr>
          <w:rFonts w:ascii="Arial" w:hAnsi="Arial" w:cs="Arial"/>
          <w:b/>
          <w:sz w:val="20"/>
        </w:rPr>
        <w:t xml:space="preserve">. </w:t>
      </w:r>
      <w:r w:rsidRPr="000F6CBB">
        <w:rPr>
          <w:rFonts w:ascii="Arial" w:hAnsi="Arial" w:cs="Arial"/>
          <w:b/>
          <w:sz w:val="20"/>
        </w:rPr>
        <w:t>Also, describe any consideration of using information technology to reduce burden</w:t>
      </w:r>
      <w:r w:rsidRPr="000F6CBB">
        <w:rPr>
          <w:rFonts w:ascii="Arial" w:hAnsi="Arial" w:cs="Arial"/>
          <w:sz w:val="20"/>
        </w:rPr>
        <w:t>.</w:t>
      </w:r>
      <w:r w:rsidRPr="000F6CBB">
        <w:rPr>
          <w:rFonts w:ascii="Arial" w:hAnsi="Arial" w:cs="Arial"/>
          <w:sz w:val="20"/>
        </w:rPr>
        <w:br/>
      </w:r>
      <w:r w:rsidRPr="000F6CBB">
        <w:rPr>
          <w:rFonts w:ascii="Arial" w:hAnsi="Arial" w:cs="Arial"/>
          <w:sz w:val="20"/>
        </w:rPr>
        <w:br/>
      </w:r>
      <w:r w:rsidRPr="001C09C0" w:rsidR="001C09C0">
        <w:rPr>
          <w:rFonts w:ascii="Arial" w:hAnsi="Arial" w:cs="Arial"/>
          <w:sz w:val="20"/>
        </w:rPr>
        <w:t>Respondents use a web-based application known as the Financial Information &amp; Regulatory System Tool</w:t>
      </w:r>
      <w:r w:rsidR="001C09C0">
        <w:rPr>
          <w:rFonts w:ascii="Arial" w:hAnsi="Arial" w:cs="Arial"/>
          <w:sz w:val="20"/>
        </w:rPr>
        <w:t xml:space="preserve"> </w:t>
      </w:r>
      <w:r w:rsidRPr="001C09C0" w:rsidR="001C09C0">
        <w:rPr>
          <w:rFonts w:ascii="Arial" w:hAnsi="Arial" w:cs="Arial"/>
          <w:sz w:val="20"/>
        </w:rPr>
        <w:t>(FIRST) to provide the information to TVA</w:t>
      </w:r>
      <w:r w:rsidR="001C09C0">
        <w:rPr>
          <w:rFonts w:ascii="Arial" w:hAnsi="Arial" w:cs="Arial"/>
          <w:sz w:val="20"/>
        </w:rPr>
        <w:t xml:space="preserve"> (via data entry or automated data uploads)</w:t>
      </w:r>
      <w:r w:rsidRPr="001C09C0" w:rsidR="001C09C0">
        <w:rPr>
          <w:rFonts w:ascii="Arial" w:hAnsi="Arial" w:cs="Arial"/>
          <w:sz w:val="20"/>
        </w:rPr>
        <w:t xml:space="preserve">.  The system performs mathematical computations, uses monthly report data to automatically update annual </w:t>
      </w:r>
      <w:r w:rsidR="00811C4B">
        <w:rPr>
          <w:rFonts w:ascii="Arial" w:hAnsi="Arial" w:cs="Arial"/>
          <w:sz w:val="20"/>
        </w:rPr>
        <w:t>reporting</w:t>
      </w:r>
      <w:r w:rsidR="00E1653A">
        <w:rPr>
          <w:rFonts w:ascii="Arial" w:hAnsi="Arial" w:cs="Arial"/>
          <w:sz w:val="20"/>
        </w:rPr>
        <w:t xml:space="preserve">, </w:t>
      </w:r>
      <w:r w:rsidRPr="001C09C0" w:rsidR="001C09C0">
        <w:rPr>
          <w:rFonts w:ascii="Arial" w:hAnsi="Arial" w:cs="Arial"/>
          <w:sz w:val="20"/>
        </w:rPr>
        <w:t>and automatically imports previous years’ general information for updating.</w:t>
      </w:r>
    </w:p>
    <w:p w:rsidRPr="001C09C0" w:rsidR="001C09C0" w:rsidP="001C09C0" w:rsidRDefault="001C09C0" w14:paraId="337A8234" w14:textId="77777777">
      <w:pPr>
        <w:pStyle w:val="List2"/>
        <w:ind w:firstLine="0"/>
        <w:rPr>
          <w:rFonts w:ascii="Arial" w:hAnsi="Arial" w:cs="Arial"/>
          <w:sz w:val="20"/>
        </w:rPr>
      </w:pPr>
    </w:p>
    <w:p w:rsidR="003B47CF" w:rsidP="001C09C0" w:rsidRDefault="001C09C0" w14:paraId="31EEC54B" w14:textId="5547060B">
      <w:pPr>
        <w:pStyle w:val="List2"/>
        <w:ind w:firstLine="0"/>
        <w:rPr>
          <w:rFonts w:ascii="Arial" w:hAnsi="Arial" w:cs="Arial"/>
          <w:sz w:val="20"/>
        </w:rPr>
      </w:pPr>
      <w:r w:rsidRPr="001C09C0">
        <w:rPr>
          <w:rFonts w:ascii="Arial" w:hAnsi="Arial" w:cs="Arial"/>
          <w:sz w:val="20"/>
        </w:rPr>
        <w:t xml:space="preserve">Internal TVA staff periodically review the forms and the data requirements to determine whether any improvements can be made to make data collection easier and less time consuming.  </w:t>
      </w:r>
    </w:p>
    <w:p w:rsidR="002B6C3B" w:rsidP="001C09C0" w:rsidRDefault="002B6C3B" w14:paraId="20BFB687" w14:textId="77777777">
      <w:pPr>
        <w:pStyle w:val="List2"/>
        <w:ind w:firstLine="0"/>
        <w:rPr>
          <w:rFonts w:ascii="Arial" w:hAnsi="Arial" w:cs="Arial"/>
          <w:sz w:val="20"/>
        </w:rPr>
      </w:pPr>
    </w:p>
    <w:p w:rsidRPr="000F6CBB" w:rsidR="000F6CBB" w:rsidP="000F6CBB" w:rsidRDefault="000F6CBB" w14:paraId="3013A1F1" w14:textId="77777777">
      <w:pPr>
        <w:pStyle w:val="List2"/>
        <w:ind w:left="360" w:firstLine="0"/>
        <w:rPr>
          <w:rFonts w:ascii="Arial" w:hAnsi="Arial" w:cs="Arial"/>
          <w:sz w:val="20"/>
        </w:rPr>
      </w:pPr>
    </w:p>
    <w:p w:rsidRPr="001C09C0" w:rsidR="001C09C0" w:rsidP="001C09C0" w:rsidRDefault="008F6F8D" w14:paraId="49F58A79" w14:textId="7ABAE654">
      <w:pPr>
        <w:pStyle w:val="List2"/>
        <w:numPr>
          <w:ilvl w:val="0"/>
          <w:numId w:val="2"/>
        </w:numPr>
        <w:rPr>
          <w:rFonts w:ascii="Arial" w:hAnsi="Arial" w:cs="Arial"/>
          <w:sz w:val="20"/>
        </w:rPr>
      </w:pPr>
      <w:r w:rsidRPr="004134E5">
        <w:rPr>
          <w:rFonts w:ascii="Arial" w:hAnsi="Arial" w:cs="Arial"/>
          <w:b/>
          <w:sz w:val="20"/>
        </w:rPr>
        <w:lastRenderedPageBreak/>
        <w:t>Describe efforts to identify duplication</w:t>
      </w:r>
      <w:r w:rsidR="002F5A38">
        <w:rPr>
          <w:rFonts w:ascii="Arial" w:hAnsi="Arial" w:cs="Arial"/>
          <w:b/>
          <w:sz w:val="20"/>
        </w:rPr>
        <w:t xml:space="preserve">. </w:t>
      </w:r>
      <w:r w:rsidRPr="004134E5">
        <w:rPr>
          <w:rFonts w:ascii="Arial" w:hAnsi="Arial" w:cs="Arial"/>
          <w:b/>
          <w:sz w:val="20"/>
        </w:rPr>
        <w:t>Show specifically why any similar information already available cannot be used or modified for use for the purposes described in Item 2 above.</w:t>
      </w:r>
      <w:r w:rsidRPr="004134E5">
        <w:rPr>
          <w:rFonts w:ascii="Arial" w:hAnsi="Arial" w:cs="Arial"/>
          <w:b/>
          <w:sz w:val="20"/>
        </w:rPr>
        <w:br/>
      </w:r>
      <w:r w:rsidRPr="004134E5">
        <w:rPr>
          <w:rFonts w:ascii="Arial" w:hAnsi="Arial" w:cs="Arial"/>
          <w:b/>
          <w:sz w:val="20"/>
        </w:rPr>
        <w:br/>
      </w:r>
      <w:r w:rsidRPr="001C09C0" w:rsidR="001C09C0">
        <w:rPr>
          <w:rFonts w:ascii="Arial" w:hAnsi="Arial" w:cs="Arial"/>
          <w:sz w:val="20"/>
        </w:rPr>
        <w:t>With implementation</w:t>
      </w:r>
      <w:r w:rsidR="001C09C0">
        <w:rPr>
          <w:rFonts w:ascii="Arial" w:hAnsi="Arial" w:cs="Arial"/>
          <w:sz w:val="20"/>
        </w:rPr>
        <w:t xml:space="preserve"> </w:t>
      </w:r>
      <w:r w:rsidRPr="001C09C0" w:rsidR="001C09C0">
        <w:rPr>
          <w:rFonts w:ascii="Arial" w:hAnsi="Arial" w:cs="Arial"/>
          <w:sz w:val="20"/>
        </w:rPr>
        <w:t>of the FIRST system, TVA is reviewing ways to eliminate collection of duplica</w:t>
      </w:r>
      <w:r w:rsidR="00012B68">
        <w:rPr>
          <w:rFonts w:ascii="Arial" w:hAnsi="Arial" w:cs="Arial"/>
          <w:sz w:val="20"/>
        </w:rPr>
        <w:t>te</w:t>
      </w:r>
      <w:r w:rsidRPr="001C09C0" w:rsidR="001C09C0">
        <w:rPr>
          <w:rFonts w:ascii="Arial" w:hAnsi="Arial" w:cs="Arial"/>
          <w:sz w:val="20"/>
        </w:rPr>
        <w:t xml:space="preserve"> information from the LPCs.</w:t>
      </w:r>
    </w:p>
    <w:p w:rsidRPr="004134E5" w:rsidR="008F6F8D" w:rsidP="001C09C0" w:rsidRDefault="008F6F8D" w14:paraId="7C387044" w14:textId="0C3F5CF1">
      <w:pPr>
        <w:pStyle w:val="List2"/>
        <w:rPr>
          <w:rFonts w:ascii="Arial" w:hAnsi="Arial" w:cs="Arial"/>
          <w:sz w:val="20"/>
        </w:rPr>
      </w:pPr>
      <w:r w:rsidRPr="004134E5">
        <w:rPr>
          <w:rFonts w:ascii="Arial" w:hAnsi="Arial" w:cs="Arial"/>
          <w:sz w:val="20"/>
        </w:rPr>
        <w:br/>
      </w:r>
    </w:p>
    <w:p w:rsidRPr="00EB6B28" w:rsidR="00375ABF" w:rsidP="001C09C0" w:rsidRDefault="008F6F8D" w14:paraId="1C37D91E" w14:textId="6F230E03">
      <w:pPr>
        <w:pStyle w:val="List2"/>
        <w:numPr>
          <w:ilvl w:val="0"/>
          <w:numId w:val="2"/>
        </w:numPr>
        <w:rPr>
          <w:rFonts w:ascii="Arial" w:hAnsi="Arial" w:cs="Arial"/>
          <w:sz w:val="20"/>
        </w:rPr>
      </w:pPr>
      <w:r w:rsidRPr="004134E5">
        <w:rPr>
          <w:rFonts w:ascii="Arial" w:hAnsi="Arial" w:cs="Arial"/>
          <w:b/>
          <w:sz w:val="20"/>
        </w:rPr>
        <w:t>If the collection of information impacts small business or other small entities (Item 5 of OMB Form 83-I), describe any methods used to minimize burden</w:t>
      </w:r>
      <w:r w:rsidRPr="004134E5">
        <w:rPr>
          <w:rFonts w:ascii="Arial" w:hAnsi="Arial" w:cs="Arial"/>
          <w:sz w:val="20"/>
        </w:rPr>
        <w:t>.</w:t>
      </w:r>
      <w:r w:rsidRPr="004134E5">
        <w:rPr>
          <w:rFonts w:ascii="Arial" w:hAnsi="Arial" w:cs="Arial"/>
          <w:sz w:val="20"/>
        </w:rPr>
        <w:br/>
      </w:r>
      <w:r w:rsidRPr="004134E5">
        <w:rPr>
          <w:rFonts w:ascii="Arial" w:hAnsi="Arial" w:cs="Arial"/>
          <w:sz w:val="20"/>
        </w:rPr>
        <w:br/>
      </w:r>
      <w:r w:rsidRPr="001C09C0" w:rsidR="001C09C0">
        <w:rPr>
          <w:rFonts w:ascii="Arial" w:hAnsi="Arial" w:cs="Arial"/>
          <w:sz w:val="20"/>
        </w:rPr>
        <w:t xml:space="preserve">The FIRST system includes data validations and automatic calculations that were not included in the </w:t>
      </w:r>
      <w:r w:rsidR="001C09C0">
        <w:rPr>
          <w:rFonts w:ascii="Arial" w:hAnsi="Arial" w:cs="Arial"/>
          <w:sz w:val="20"/>
        </w:rPr>
        <w:t xml:space="preserve">previous </w:t>
      </w:r>
      <w:r w:rsidRPr="001C09C0" w:rsidR="001C09C0">
        <w:rPr>
          <w:rFonts w:ascii="Arial" w:hAnsi="Arial" w:cs="Arial"/>
          <w:sz w:val="20"/>
        </w:rPr>
        <w:t>DARS system and will make the entering of data more efficient and less time-consuming. FIRST is more user-friendly for the LPC users ease of entry and provides more robust data upload options</w:t>
      </w:r>
      <w:r w:rsidR="00AD702D">
        <w:rPr>
          <w:rFonts w:ascii="Arial" w:hAnsi="Arial" w:cs="Arial"/>
          <w:sz w:val="20"/>
        </w:rPr>
        <w:t>, including some pages on the Annual Report (vs. only the Monthly Report previously)</w:t>
      </w:r>
      <w:r w:rsidRPr="001C09C0" w:rsidR="001C09C0">
        <w:rPr>
          <w:rFonts w:ascii="Arial" w:hAnsi="Arial" w:cs="Arial"/>
          <w:sz w:val="20"/>
        </w:rPr>
        <w:t>.</w:t>
      </w:r>
    </w:p>
    <w:p w:rsidRPr="00EB6B28" w:rsidR="003B47CF" w:rsidP="003B47CF" w:rsidRDefault="003B47CF" w14:paraId="2591037B" w14:textId="77777777">
      <w:pPr>
        <w:pStyle w:val="List2"/>
        <w:ind w:left="360" w:firstLine="0"/>
        <w:rPr>
          <w:rFonts w:ascii="Arial" w:hAnsi="Arial" w:cs="Arial"/>
          <w:sz w:val="20"/>
        </w:rPr>
      </w:pPr>
    </w:p>
    <w:p w:rsidRPr="00EB6B28" w:rsidR="00EB6B28" w:rsidP="00EB6B28" w:rsidRDefault="00375ABF" w14:paraId="473F4646" w14:textId="77777777">
      <w:pPr>
        <w:pStyle w:val="List2"/>
        <w:numPr>
          <w:ilvl w:val="0"/>
          <w:numId w:val="2"/>
        </w:numPr>
        <w:rPr>
          <w:rFonts w:ascii="Arial" w:hAnsi="Arial" w:cs="Arial"/>
          <w:b/>
          <w:sz w:val="20"/>
        </w:rPr>
      </w:pPr>
      <w:r w:rsidRPr="00EB6B28">
        <w:rPr>
          <w:rFonts w:ascii="Arial" w:hAnsi="Arial" w:cs="Arial"/>
          <w:b/>
          <w:sz w:val="20"/>
        </w:rPr>
        <w:t>Describe the consequence to Federal program or policy activities if the collection is not conducted or is conducted less frequently, as well as any technical or legal obstacles to reducing burden.</w:t>
      </w:r>
    </w:p>
    <w:p w:rsidRPr="00EB6B28" w:rsidR="008F6F8D" w:rsidP="00EB6B28" w:rsidRDefault="00375ABF" w14:paraId="6177B4EF" w14:textId="6F5E1EF6">
      <w:pPr>
        <w:pStyle w:val="List2"/>
        <w:ind w:firstLine="0"/>
        <w:rPr>
          <w:rFonts w:ascii="Arial" w:hAnsi="Arial" w:cs="Arial"/>
          <w:sz w:val="20"/>
        </w:rPr>
      </w:pPr>
      <w:r w:rsidRPr="00EB6B28">
        <w:rPr>
          <w:rFonts w:ascii="Arial" w:hAnsi="Arial" w:cs="Arial"/>
          <w:b/>
          <w:sz w:val="20"/>
        </w:rPr>
        <w:br/>
      </w:r>
      <w:r w:rsidRPr="00AD702D" w:rsidR="00AD702D">
        <w:rPr>
          <w:rFonts w:ascii="Arial" w:hAnsi="Arial" w:cs="Arial"/>
          <w:sz w:val="20"/>
        </w:rPr>
        <w:t>If this information collection is not conducted, TVA could not fulfill its responsibilities of reporting distributor operations to Congress as outlined under the TVA Act of 1933.</w:t>
      </w:r>
      <w:r w:rsidRPr="00EB6B28" w:rsidR="00EB6B28">
        <w:rPr>
          <w:rFonts w:ascii="Arial" w:hAnsi="Arial" w:cs="Arial"/>
          <w:sz w:val="20"/>
        </w:rPr>
        <w:br/>
      </w:r>
    </w:p>
    <w:p w:rsidRPr="004134E5" w:rsidR="008F6F8D" w:rsidP="00917204" w:rsidRDefault="008F6F8D" w14:paraId="486515EE" w14:textId="35D5E9EE">
      <w:pPr>
        <w:pStyle w:val="List2"/>
        <w:numPr>
          <w:ilvl w:val="0"/>
          <w:numId w:val="2"/>
        </w:numPr>
        <w:rPr>
          <w:rFonts w:ascii="Arial" w:hAnsi="Arial" w:cs="Arial"/>
          <w:sz w:val="20"/>
        </w:rPr>
      </w:pPr>
      <w:r w:rsidRPr="00EB6B28">
        <w:rPr>
          <w:rFonts w:ascii="Arial" w:hAnsi="Arial" w:cs="Arial"/>
          <w:b/>
          <w:sz w:val="20"/>
        </w:rPr>
        <w:t>Explain any special circumstances that would cause an information collection to be con</w:t>
      </w:r>
      <w:r w:rsidRPr="004134E5">
        <w:rPr>
          <w:rFonts w:ascii="Arial" w:hAnsi="Arial" w:cs="Arial"/>
          <w:b/>
          <w:sz w:val="20"/>
        </w:rPr>
        <w:t>ducted in a manner:</w:t>
      </w:r>
      <w:r w:rsidRPr="004134E5">
        <w:rPr>
          <w:rFonts w:ascii="Arial" w:hAnsi="Arial" w:cs="Arial"/>
          <w:b/>
          <w:sz w:val="20"/>
        </w:rPr>
        <w:br/>
      </w:r>
      <w:r w:rsidRPr="004134E5">
        <w:rPr>
          <w:rFonts w:ascii="Arial" w:hAnsi="Arial" w:cs="Arial"/>
          <w:b/>
          <w:sz w:val="20"/>
        </w:rPr>
        <w:br/>
        <w:t>- requiring respondents to report information to the agency more often than quarterly;</w:t>
      </w:r>
      <w:r w:rsidRPr="004134E5">
        <w:rPr>
          <w:rFonts w:ascii="Arial" w:hAnsi="Arial" w:cs="Arial"/>
          <w:b/>
          <w:sz w:val="20"/>
        </w:rPr>
        <w:br/>
        <w:t>- requiring respondents to prepare a written response to a collection of information in fewer than 30 days after receipt of it;</w:t>
      </w:r>
      <w:r w:rsidRPr="004134E5">
        <w:rPr>
          <w:rFonts w:ascii="Arial" w:hAnsi="Arial" w:cs="Arial"/>
          <w:b/>
          <w:sz w:val="20"/>
        </w:rPr>
        <w:br/>
        <w:t>- requiring respondents to submit more than an original and two copies of any document;</w:t>
      </w:r>
      <w:r w:rsidRPr="004134E5">
        <w:rPr>
          <w:rFonts w:ascii="Arial" w:hAnsi="Arial" w:cs="Arial"/>
          <w:b/>
          <w:sz w:val="20"/>
        </w:rPr>
        <w:br/>
        <w:t>- requiring respondents to retain records, other than health, medical, government contract, grant-in-aid, or tax records for more than three years;</w:t>
      </w:r>
      <w:r w:rsidRPr="004134E5">
        <w:rPr>
          <w:rFonts w:ascii="Arial" w:hAnsi="Arial" w:cs="Arial"/>
          <w:b/>
          <w:sz w:val="20"/>
        </w:rPr>
        <w:br/>
        <w:t>- in connection with a statistical survey, that is not designed to produce valid and reliable results that can be generalized to the universe of study;</w:t>
      </w:r>
      <w:r w:rsidRPr="004134E5">
        <w:rPr>
          <w:rFonts w:ascii="Arial" w:hAnsi="Arial" w:cs="Arial"/>
          <w:b/>
          <w:sz w:val="20"/>
        </w:rPr>
        <w:br/>
        <w:t>- requiring the use of statistical data classification that has not been reviewed and approved by OMB;</w:t>
      </w:r>
      <w:r w:rsidRPr="004134E5">
        <w:rPr>
          <w:rFonts w:ascii="Arial" w:hAnsi="Arial" w:cs="Arial"/>
          <w:b/>
          <w:sz w:val="20"/>
        </w:rPr>
        <w:b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4134E5">
        <w:rPr>
          <w:rFonts w:ascii="Arial" w:hAnsi="Arial" w:cs="Arial"/>
          <w:b/>
          <w:sz w:val="20"/>
        </w:rPr>
        <w:br/>
        <w:t>- requiring respondents to submit proprietary trade secret, or other confidential information unless the agency can demonstrate that it has instituted procedures to protect the information’s confidentiality to the extent permitted by law.</w:t>
      </w:r>
      <w:r w:rsidRPr="004134E5">
        <w:rPr>
          <w:rFonts w:ascii="Arial" w:hAnsi="Arial" w:cs="Arial"/>
          <w:b/>
          <w:sz w:val="20"/>
        </w:rPr>
        <w:br/>
      </w:r>
      <w:r w:rsidRPr="004134E5">
        <w:rPr>
          <w:rFonts w:ascii="Arial" w:hAnsi="Arial" w:cs="Arial"/>
          <w:sz w:val="20"/>
        </w:rPr>
        <w:br/>
      </w:r>
      <w:r w:rsidRPr="00AD702D" w:rsidR="00AD702D">
        <w:rPr>
          <w:rFonts w:ascii="Arial" w:hAnsi="Arial" w:cs="Arial"/>
          <w:sz w:val="20"/>
        </w:rPr>
        <w:t>Respondents use Form 4171 in monthly presentations to their governing boards and have previously expressed to TVA the desire for Form 4171 to remain a monthly collection rather than quarterly.  A change to quarterly would create a greater burden to the respondents.</w:t>
      </w:r>
      <w:r w:rsidRPr="004134E5">
        <w:rPr>
          <w:rFonts w:ascii="Arial" w:hAnsi="Arial" w:cs="Arial"/>
          <w:sz w:val="20"/>
        </w:rPr>
        <w:br/>
      </w:r>
    </w:p>
    <w:p w:rsidRPr="00823D16" w:rsidR="00823D16" w:rsidP="00917204" w:rsidRDefault="008F6F8D" w14:paraId="690734E2" w14:textId="77777777">
      <w:pPr>
        <w:pStyle w:val="List2"/>
        <w:numPr>
          <w:ilvl w:val="0"/>
          <w:numId w:val="2"/>
        </w:numPr>
        <w:rPr>
          <w:rFonts w:ascii="Arial" w:hAnsi="Arial" w:cs="Arial"/>
          <w:sz w:val="20"/>
        </w:rPr>
      </w:pPr>
      <w:r w:rsidRPr="004134E5">
        <w:rPr>
          <w:rFonts w:ascii="Arial" w:hAnsi="Arial" w:cs="Arial"/>
          <w:b/>
          <w:sz w:val="20"/>
        </w:rPr>
        <w:t>If applicable, provide a copy and identify the date and page number of publication in the Federal Register of the agency’s notice, required by 5 CFR 1320.8(d), soliciting comments on the information collecti</w:t>
      </w:r>
      <w:r w:rsidR="00823D16">
        <w:rPr>
          <w:rFonts w:ascii="Arial" w:hAnsi="Arial" w:cs="Arial"/>
          <w:b/>
          <w:sz w:val="20"/>
        </w:rPr>
        <w:t xml:space="preserve">on prior to submission to OMB. </w:t>
      </w:r>
      <w:r w:rsidRPr="004134E5">
        <w:rPr>
          <w:rFonts w:ascii="Arial" w:hAnsi="Arial" w:cs="Arial"/>
          <w:b/>
          <w:sz w:val="20"/>
        </w:rPr>
        <w:t xml:space="preserve">Summarize public comments received in response to that notice and describe actions taken by the agency </w:t>
      </w:r>
      <w:r w:rsidR="00823D16">
        <w:rPr>
          <w:rFonts w:ascii="Arial" w:hAnsi="Arial" w:cs="Arial"/>
          <w:b/>
          <w:sz w:val="20"/>
        </w:rPr>
        <w:t xml:space="preserve">in response to these comments. </w:t>
      </w:r>
      <w:r w:rsidRPr="004134E5">
        <w:rPr>
          <w:rFonts w:ascii="Arial" w:hAnsi="Arial" w:cs="Arial"/>
          <w:b/>
          <w:sz w:val="20"/>
        </w:rPr>
        <w:t>Specifically address comments r</w:t>
      </w:r>
      <w:r w:rsidR="00823D16">
        <w:rPr>
          <w:rFonts w:ascii="Arial" w:hAnsi="Arial" w:cs="Arial"/>
          <w:b/>
          <w:sz w:val="20"/>
        </w:rPr>
        <w:t>eceived on cost and hour burden.</w:t>
      </w:r>
    </w:p>
    <w:p w:rsidRPr="004134E5" w:rsidR="008F6F8D" w:rsidP="00AD702D" w:rsidRDefault="008F6F8D" w14:paraId="5484B1BE" w14:textId="59A47514">
      <w:pPr>
        <w:pStyle w:val="List2"/>
        <w:ind w:firstLine="0"/>
        <w:rPr>
          <w:rFonts w:ascii="Arial" w:hAnsi="Arial" w:cs="Arial"/>
          <w:sz w:val="20"/>
        </w:rPr>
      </w:pPr>
      <w:r w:rsidRPr="004134E5">
        <w:rPr>
          <w:rFonts w:ascii="Arial" w:hAnsi="Arial" w:cs="Arial"/>
          <w:b/>
          <w:sz w:val="20"/>
        </w:rPr>
        <w:b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34E5">
        <w:rPr>
          <w:rFonts w:ascii="Arial" w:hAnsi="Arial" w:cs="Arial"/>
          <w:b/>
          <w:sz w:val="20"/>
        </w:rPr>
        <w:br/>
      </w:r>
      <w:r w:rsidRPr="004134E5">
        <w:rPr>
          <w:rFonts w:ascii="Arial" w:hAnsi="Arial" w:cs="Arial"/>
          <w:b/>
          <w:sz w:val="20"/>
        </w:rPr>
        <w:br/>
        <w:t>Consultation with representatives of those from whom information is to be obtained or those who must compile records should occur at least once every 3 years—even if the collection of information activity is the same as in prior periods</w:t>
      </w:r>
      <w:r w:rsidR="002F5A38">
        <w:rPr>
          <w:rFonts w:ascii="Arial" w:hAnsi="Arial" w:cs="Arial"/>
          <w:b/>
          <w:sz w:val="20"/>
        </w:rPr>
        <w:t xml:space="preserve">. </w:t>
      </w:r>
      <w:r w:rsidRPr="004134E5">
        <w:rPr>
          <w:rFonts w:ascii="Arial" w:hAnsi="Arial" w:cs="Arial"/>
          <w:b/>
          <w:sz w:val="20"/>
        </w:rPr>
        <w:t>There may be circumstances that may preclude consult</w:t>
      </w:r>
      <w:r w:rsidR="00823D16">
        <w:rPr>
          <w:rFonts w:ascii="Arial" w:hAnsi="Arial" w:cs="Arial"/>
          <w:b/>
          <w:sz w:val="20"/>
        </w:rPr>
        <w:t xml:space="preserve">ation in a specific situation. </w:t>
      </w:r>
      <w:r w:rsidRPr="004134E5">
        <w:rPr>
          <w:rFonts w:ascii="Arial" w:hAnsi="Arial" w:cs="Arial"/>
          <w:b/>
          <w:sz w:val="20"/>
        </w:rPr>
        <w:t>These circumstances should be explained.</w:t>
      </w:r>
      <w:r w:rsidRPr="004134E5">
        <w:rPr>
          <w:rFonts w:ascii="Arial" w:hAnsi="Arial" w:cs="Arial"/>
          <w:b/>
          <w:sz w:val="20"/>
        </w:rPr>
        <w:br/>
      </w:r>
      <w:r w:rsidRPr="004134E5">
        <w:rPr>
          <w:rFonts w:ascii="Arial" w:hAnsi="Arial" w:cs="Arial"/>
          <w:b/>
          <w:sz w:val="20"/>
        </w:rPr>
        <w:br/>
      </w:r>
      <w:r w:rsidRPr="009705F8" w:rsidR="00AD702D">
        <w:rPr>
          <w:rFonts w:ascii="Arial" w:hAnsi="Arial" w:cs="Arial"/>
          <w:sz w:val="20"/>
        </w:rPr>
        <w:t xml:space="preserve">A copy of the Federal Register Notices are attached to the information collection submission.  There were no </w:t>
      </w:r>
      <w:r w:rsidRPr="009705F8" w:rsidR="00AD702D">
        <w:rPr>
          <w:rFonts w:ascii="Arial" w:hAnsi="Arial" w:cs="Arial"/>
          <w:sz w:val="20"/>
        </w:rPr>
        <w:lastRenderedPageBreak/>
        <w:t>public comments.</w:t>
      </w:r>
      <w:r w:rsidRPr="00AD702D" w:rsidR="00AD702D">
        <w:rPr>
          <w:rFonts w:ascii="Arial" w:hAnsi="Arial" w:cs="Arial"/>
          <w:sz w:val="20"/>
        </w:rPr>
        <w:t xml:space="preserve">  </w:t>
      </w:r>
      <w:r w:rsidRPr="004134E5">
        <w:rPr>
          <w:rFonts w:ascii="Arial" w:hAnsi="Arial" w:cs="Arial"/>
          <w:sz w:val="20"/>
        </w:rPr>
        <w:br/>
      </w:r>
    </w:p>
    <w:p w:rsidRPr="004134E5" w:rsidR="00CB6B0E" w:rsidP="00917204" w:rsidRDefault="008F6F8D" w14:paraId="01A3B898" w14:textId="1C8E78EF">
      <w:pPr>
        <w:pStyle w:val="List2"/>
        <w:numPr>
          <w:ilvl w:val="0"/>
          <w:numId w:val="2"/>
        </w:numPr>
        <w:rPr>
          <w:rFonts w:ascii="Arial" w:hAnsi="Arial" w:cs="Arial"/>
          <w:sz w:val="20"/>
        </w:rPr>
      </w:pPr>
      <w:r w:rsidRPr="004134E5">
        <w:rPr>
          <w:rFonts w:ascii="Arial" w:hAnsi="Arial" w:cs="Arial"/>
          <w:b/>
          <w:sz w:val="20"/>
        </w:rPr>
        <w:t>Explain any decision to provide any payment or gift to respondents, other than re</w:t>
      </w:r>
      <w:r w:rsidR="00181338">
        <w:rPr>
          <w:rFonts w:ascii="Arial" w:hAnsi="Arial" w:cs="Arial"/>
          <w:b/>
          <w:sz w:val="20"/>
        </w:rPr>
        <w:t>mun</w:t>
      </w:r>
      <w:r w:rsidRPr="004134E5">
        <w:rPr>
          <w:rFonts w:ascii="Arial" w:hAnsi="Arial" w:cs="Arial"/>
          <w:b/>
          <w:sz w:val="20"/>
        </w:rPr>
        <w:t>eration of contractors or grantees</w:t>
      </w:r>
      <w:r w:rsidRPr="004134E5">
        <w:rPr>
          <w:rFonts w:ascii="Arial" w:hAnsi="Arial" w:cs="Arial"/>
          <w:sz w:val="20"/>
        </w:rPr>
        <w:t>.</w:t>
      </w:r>
      <w:r w:rsidRPr="004134E5">
        <w:rPr>
          <w:rFonts w:ascii="Arial" w:hAnsi="Arial" w:cs="Arial"/>
          <w:sz w:val="20"/>
        </w:rPr>
        <w:br/>
      </w:r>
      <w:r w:rsidRPr="004134E5">
        <w:rPr>
          <w:rFonts w:ascii="Arial" w:hAnsi="Arial" w:cs="Arial"/>
          <w:sz w:val="20"/>
        </w:rPr>
        <w:br/>
      </w:r>
      <w:r w:rsidR="00AD702D">
        <w:rPr>
          <w:rFonts w:ascii="Arial" w:hAnsi="Arial" w:cs="Arial"/>
          <w:sz w:val="20"/>
        </w:rPr>
        <w:t>Not applicable.</w:t>
      </w:r>
      <w:r w:rsidRPr="004134E5">
        <w:rPr>
          <w:rFonts w:ascii="Arial" w:hAnsi="Arial" w:cs="Arial"/>
          <w:sz w:val="20"/>
        </w:rPr>
        <w:br/>
      </w:r>
    </w:p>
    <w:p w:rsidR="00D87B9E" w:rsidP="00AD702D" w:rsidRDefault="008F6F8D" w14:paraId="07758136" w14:textId="26086B08">
      <w:pPr>
        <w:pStyle w:val="List2"/>
        <w:numPr>
          <w:ilvl w:val="0"/>
          <w:numId w:val="2"/>
        </w:numPr>
        <w:rPr>
          <w:rFonts w:ascii="Arial" w:hAnsi="Arial" w:cs="Arial"/>
          <w:sz w:val="20"/>
        </w:rPr>
      </w:pPr>
      <w:r w:rsidRPr="004134E5">
        <w:rPr>
          <w:rFonts w:ascii="Arial" w:hAnsi="Arial" w:cs="Arial"/>
          <w:b/>
          <w:sz w:val="20"/>
        </w:rPr>
        <w:t>Describe any assurance of confidentiality provided to respondents and the basis for the assurance in statute, regulation, or agency policy.</w:t>
      </w:r>
      <w:r w:rsidRPr="004134E5">
        <w:rPr>
          <w:rFonts w:ascii="Arial" w:hAnsi="Arial" w:cs="Arial"/>
          <w:b/>
          <w:sz w:val="20"/>
        </w:rPr>
        <w:br/>
      </w:r>
      <w:r w:rsidRPr="004134E5">
        <w:rPr>
          <w:rFonts w:ascii="Arial" w:hAnsi="Arial" w:cs="Arial"/>
          <w:sz w:val="20"/>
        </w:rPr>
        <w:br/>
      </w:r>
      <w:r w:rsidR="009C669B">
        <w:rPr>
          <w:rFonts w:ascii="Arial" w:hAnsi="Arial" w:cs="Arial"/>
          <w:sz w:val="20"/>
        </w:rPr>
        <w:t xml:space="preserve">The </w:t>
      </w:r>
      <w:r w:rsidR="00455F86">
        <w:rPr>
          <w:rFonts w:ascii="Arial" w:hAnsi="Arial" w:cs="Arial"/>
          <w:sz w:val="20"/>
        </w:rPr>
        <w:t>majority of information provided is not confidential.  Most information collected describes an LPC’s current state o</w:t>
      </w:r>
      <w:r w:rsidR="00743969">
        <w:rPr>
          <w:rFonts w:ascii="Arial" w:hAnsi="Arial" w:cs="Arial"/>
          <w:sz w:val="20"/>
        </w:rPr>
        <w:t>r potential future plans and is not of a sensitive or personal nature.</w:t>
      </w:r>
      <w:r w:rsidRPr="004134E5">
        <w:rPr>
          <w:rFonts w:ascii="Arial" w:hAnsi="Arial" w:cs="Arial"/>
          <w:sz w:val="20"/>
        </w:rPr>
        <w:br/>
      </w:r>
    </w:p>
    <w:p w:rsidRPr="004134E5" w:rsidR="008F6F8D" w:rsidP="00917204" w:rsidRDefault="008F6F8D" w14:paraId="41EAA9BE" w14:textId="2285D509">
      <w:pPr>
        <w:pStyle w:val="List2"/>
        <w:numPr>
          <w:ilvl w:val="0"/>
          <w:numId w:val="2"/>
        </w:numPr>
        <w:rPr>
          <w:rFonts w:ascii="Arial" w:hAnsi="Arial" w:cs="Arial"/>
          <w:b/>
          <w:sz w:val="20"/>
        </w:rPr>
      </w:pPr>
      <w:r w:rsidRPr="004134E5">
        <w:rPr>
          <w:rFonts w:ascii="Arial" w:hAnsi="Arial" w:cs="Arial"/>
          <w:b/>
          <w:sz w:val="20"/>
        </w:rPr>
        <w:t>Provide additional justification for any questions of a sensitive nature, such as sexual behavior and attitudes, religious beliefs, and other matters that ar</w:t>
      </w:r>
      <w:r w:rsidR="00B64F1E">
        <w:rPr>
          <w:rFonts w:ascii="Arial" w:hAnsi="Arial" w:cs="Arial"/>
          <w:b/>
          <w:sz w:val="20"/>
        </w:rPr>
        <w:t xml:space="preserve">e commonly considered private. </w:t>
      </w:r>
      <w:r w:rsidRPr="004134E5">
        <w:rPr>
          <w:rFonts w:ascii="Arial" w:hAnsi="Arial" w:cs="Arial"/>
          <w:b/>
          <w:sz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134E5">
        <w:rPr>
          <w:rFonts w:ascii="Arial" w:hAnsi="Arial" w:cs="Arial"/>
          <w:b/>
          <w:sz w:val="20"/>
        </w:rPr>
        <w:br/>
      </w:r>
      <w:r w:rsidRPr="004134E5">
        <w:rPr>
          <w:rFonts w:ascii="Arial" w:hAnsi="Arial" w:cs="Arial"/>
          <w:b/>
          <w:sz w:val="20"/>
        </w:rPr>
        <w:br/>
      </w:r>
      <w:r w:rsidRPr="00AD702D" w:rsidR="00AD702D">
        <w:rPr>
          <w:rFonts w:ascii="Arial" w:hAnsi="Arial" w:cs="Arial"/>
          <w:sz w:val="20"/>
        </w:rPr>
        <w:t>This information collection asks no questions of a sensitive nature.</w:t>
      </w:r>
      <w:r w:rsidRPr="004134E5">
        <w:rPr>
          <w:rFonts w:ascii="Arial" w:hAnsi="Arial" w:cs="Arial"/>
          <w:sz w:val="20"/>
        </w:rPr>
        <w:br/>
      </w:r>
    </w:p>
    <w:p w:rsidRPr="004134E5" w:rsidR="006F0898" w:rsidP="006F0898" w:rsidRDefault="008F6F8D" w14:paraId="627EAF8B" w14:textId="77777777">
      <w:pPr>
        <w:pStyle w:val="List2"/>
        <w:numPr>
          <w:ilvl w:val="0"/>
          <w:numId w:val="2"/>
        </w:numPr>
        <w:rPr>
          <w:rFonts w:ascii="Arial" w:hAnsi="Arial" w:cs="Arial"/>
          <w:sz w:val="20"/>
        </w:rPr>
      </w:pPr>
      <w:r w:rsidRPr="004134E5">
        <w:rPr>
          <w:rFonts w:ascii="Arial" w:hAnsi="Arial" w:cs="Arial"/>
          <w:b/>
          <w:sz w:val="20"/>
        </w:rPr>
        <w:t xml:space="preserve">Provide estimates of the hour burden of </w:t>
      </w:r>
      <w:r w:rsidR="00B64F1E">
        <w:rPr>
          <w:rFonts w:ascii="Arial" w:hAnsi="Arial" w:cs="Arial"/>
          <w:b/>
          <w:sz w:val="20"/>
        </w:rPr>
        <w:t xml:space="preserve">the collection of information. </w:t>
      </w:r>
      <w:r w:rsidRPr="004134E5">
        <w:rPr>
          <w:rFonts w:ascii="Arial" w:hAnsi="Arial" w:cs="Arial"/>
          <w:b/>
          <w:sz w:val="20"/>
        </w:rPr>
        <w:t>The statement should</w:t>
      </w:r>
      <w:r w:rsidRPr="004134E5">
        <w:rPr>
          <w:rFonts w:ascii="Arial" w:hAnsi="Arial" w:cs="Arial"/>
          <w:sz w:val="20"/>
        </w:rPr>
        <w:t>:</w:t>
      </w:r>
    </w:p>
    <w:p w:rsidRPr="004134E5" w:rsidR="00B22C3E" w:rsidP="006F0898" w:rsidRDefault="006F0898" w14:paraId="31215950" w14:textId="64C11604">
      <w:pPr>
        <w:pStyle w:val="List2"/>
        <w:ind w:firstLine="0"/>
        <w:rPr>
          <w:rFonts w:ascii="Arial" w:hAnsi="Arial" w:cs="Arial"/>
          <w:sz w:val="20"/>
        </w:rPr>
      </w:pPr>
      <w:r w:rsidRPr="004134E5">
        <w:rPr>
          <w:rFonts w:ascii="Arial" w:hAnsi="Arial" w:cs="Arial"/>
          <w:sz w:val="20"/>
        </w:rPr>
        <w:t xml:space="preserve">-  </w:t>
      </w:r>
      <w:r w:rsidRPr="004134E5" w:rsidR="008F6F8D">
        <w:rPr>
          <w:rFonts w:ascii="Arial" w:hAnsi="Arial" w:cs="Arial"/>
          <w:b/>
          <w:sz w:val="20"/>
        </w:rPr>
        <w:t>Indicate the number of respondents, frequency of response, annual hour burden, and an explanation of</w:t>
      </w:r>
      <w:r w:rsidR="00B64F1E">
        <w:rPr>
          <w:rFonts w:ascii="Arial" w:hAnsi="Arial" w:cs="Arial"/>
          <w:b/>
          <w:sz w:val="20"/>
        </w:rPr>
        <w:t xml:space="preserve"> how the burden was estimated. </w:t>
      </w:r>
      <w:r w:rsidRPr="004134E5" w:rsidR="008F6F8D">
        <w:rPr>
          <w:rFonts w:ascii="Arial" w:hAnsi="Arial" w:cs="Arial"/>
          <w:b/>
          <w:sz w:val="20"/>
        </w:rPr>
        <w:t xml:space="preserve">Unless directed to do so, agencies should not conduct special surveys to obtain information on which </w:t>
      </w:r>
      <w:r w:rsidR="00B64F1E">
        <w:rPr>
          <w:rFonts w:ascii="Arial" w:hAnsi="Arial" w:cs="Arial"/>
          <w:b/>
          <w:sz w:val="20"/>
        </w:rPr>
        <w:t xml:space="preserve">to base hour burden estimates. </w:t>
      </w:r>
      <w:r w:rsidRPr="004134E5" w:rsidR="008F6F8D">
        <w:rPr>
          <w:rFonts w:ascii="Arial" w:hAnsi="Arial" w:cs="Arial"/>
          <w:b/>
          <w:sz w:val="20"/>
        </w:rPr>
        <w:t>Consultation with a sample (fewer than 10) of poten</w:t>
      </w:r>
      <w:r w:rsidR="00B64F1E">
        <w:rPr>
          <w:rFonts w:ascii="Arial" w:hAnsi="Arial" w:cs="Arial"/>
          <w:b/>
          <w:sz w:val="20"/>
        </w:rPr>
        <w:t xml:space="preserve">tial respondents is desirable. </w:t>
      </w:r>
      <w:r w:rsidRPr="004134E5" w:rsidR="008F6F8D">
        <w:rPr>
          <w:rFonts w:ascii="Arial" w:hAnsi="Arial" w:cs="Arial"/>
          <w:b/>
          <w:sz w:val="20"/>
        </w:rPr>
        <w:t>If the hour burden on respondents is expected to vary widely because of differences in activity, size, or complexity, show the range of estimated hour burden, and explain the re</w:t>
      </w:r>
      <w:r w:rsidR="00B64F1E">
        <w:rPr>
          <w:rFonts w:ascii="Arial" w:hAnsi="Arial" w:cs="Arial"/>
          <w:b/>
          <w:sz w:val="20"/>
        </w:rPr>
        <w:t xml:space="preserve">asons for the variance. </w:t>
      </w:r>
      <w:r w:rsidRPr="004134E5" w:rsidR="008F6F8D">
        <w:rPr>
          <w:rFonts w:ascii="Arial" w:hAnsi="Arial" w:cs="Arial"/>
          <w:b/>
          <w:sz w:val="20"/>
        </w:rPr>
        <w:t>Generally, estimates should not include burden hours for customary and usual business practices.</w:t>
      </w:r>
      <w:r w:rsidRPr="004134E5" w:rsidR="008F6F8D">
        <w:rPr>
          <w:rFonts w:ascii="Arial" w:hAnsi="Arial" w:cs="Arial"/>
          <w:b/>
          <w:sz w:val="20"/>
        </w:rPr>
        <w:br/>
      </w:r>
      <w:r w:rsidRPr="004134E5" w:rsidR="008F6F8D">
        <w:rPr>
          <w:rFonts w:ascii="Arial" w:hAnsi="Arial" w:cs="Arial"/>
          <w:b/>
          <w:sz w:val="20"/>
        </w:rPr>
        <w:br/>
      </w:r>
      <w:r w:rsidRPr="004134E5" w:rsidR="00FB0DA5">
        <w:rPr>
          <w:rFonts w:ascii="Arial" w:hAnsi="Arial" w:cs="Arial"/>
          <w:b/>
          <w:sz w:val="20"/>
        </w:rPr>
        <w:t>- If</w:t>
      </w:r>
      <w:r w:rsidRPr="004134E5" w:rsidR="008F6F8D">
        <w:rPr>
          <w:rFonts w:ascii="Arial" w:hAnsi="Arial" w:cs="Arial"/>
          <w:b/>
          <w:sz w:val="20"/>
        </w:rPr>
        <w:t xml:space="preserve"> this request for approval covers more than one form, provide separate hour burden estimates for each form and aggregate the hour burdens in Item 13 of OMB Form 83-I</w:t>
      </w:r>
      <w:r w:rsidRPr="004134E5" w:rsidR="008F6F8D">
        <w:rPr>
          <w:rFonts w:ascii="Arial" w:hAnsi="Arial" w:cs="Arial"/>
          <w:sz w:val="20"/>
        </w:rPr>
        <w:t>.</w:t>
      </w:r>
    </w:p>
    <w:p w:rsidRPr="004134E5" w:rsidR="00B22C3E" w:rsidP="006F0898" w:rsidRDefault="00B22C3E" w14:paraId="676C2887" w14:textId="77777777">
      <w:pPr>
        <w:pStyle w:val="List2"/>
        <w:ind w:firstLine="0"/>
        <w:rPr>
          <w:rFonts w:ascii="Arial" w:hAnsi="Arial" w:cs="Arial"/>
          <w:sz w:val="20"/>
        </w:rPr>
      </w:pPr>
    </w:p>
    <w:p w:rsidRPr="004134E5" w:rsidR="005923DE" w:rsidP="00EF489A" w:rsidRDefault="008F6F8D" w14:paraId="3B5BB469" w14:textId="77777777">
      <w:pPr>
        <w:pStyle w:val="List2"/>
        <w:ind w:firstLine="0"/>
        <w:rPr>
          <w:rFonts w:ascii="Arial" w:hAnsi="Arial" w:cs="Arial"/>
          <w:sz w:val="20"/>
        </w:rPr>
      </w:pPr>
      <w:r w:rsidRPr="004134E5">
        <w:rPr>
          <w:rFonts w:ascii="Arial" w:hAnsi="Arial" w:cs="Arial"/>
          <w:sz w:val="20"/>
        </w:rPr>
        <w:t xml:space="preserve"> </w:t>
      </w:r>
      <w:r w:rsidRPr="004134E5">
        <w:rPr>
          <w:rFonts w:ascii="Arial" w:hAnsi="Arial" w:cs="Arial"/>
          <w:b/>
          <w:sz w:val="20"/>
        </w:rPr>
        <w:t>-  Provide estimates of annualized cost to respondents for the hour burdens for collections of information, identifying and using app</w:t>
      </w:r>
      <w:r w:rsidR="00B64F1E">
        <w:rPr>
          <w:rFonts w:ascii="Arial" w:hAnsi="Arial" w:cs="Arial"/>
          <w:b/>
          <w:sz w:val="20"/>
        </w:rPr>
        <w:t xml:space="preserve">ropriate wage rate categories. </w:t>
      </w:r>
      <w:r w:rsidRPr="004134E5">
        <w:rPr>
          <w:rFonts w:ascii="Arial" w:hAnsi="Arial" w:cs="Arial"/>
          <w:b/>
          <w:sz w:val="20"/>
        </w:rPr>
        <w:t>The cost of contracting out or paying outside parties for information collection activitie</w:t>
      </w:r>
      <w:r w:rsidR="00B64F1E">
        <w:rPr>
          <w:rFonts w:ascii="Arial" w:hAnsi="Arial" w:cs="Arial"/>
          <w:b/>
          <w:sz w:val="20"/>
        </w:rPr>
        <w:t xml:space="preserve">s should not be included here. </w:t>
      </w:r>
      <w:r w:rsidRPr="004134E5">
        <w:rPr>
          <w:rFonts w:ascii="Arial" w:hAnsi="Arial" w:cs="Arial"/>
          <w:b/>
          <w:sz w:val="20"/>
        </w:rPr>
        <w:t>Instead this cost should be included in Item 14</w:t>
      </w:r>
      <w:r w:rsidRPr="004134E5">
        <w:rPr>
          <w:rFonts w:ascii="Arial" w:hAnsi="Arial" w:cs="Arial"/>
          <w:sz w:val="20"/>
        </w:rPr>
        <w:t>.</w:t>
      </w:r>
      <w:r w:rsidRPr="004134E5">
        <w:rPr>
          <w:rFonts w:ascii="Arial" w:hAnsi="Arial" w:cs="Arial"/>
          <w:sz w:val="20"/>
        </w:rPr>
        <w:br/>
      </w:r>
      <w:r w:rsidRPr="004134E5">
        <w:rPr>
          <w:rFonts w:ascii="Arial" w:hAnsi="Arial" w:cs="Arial"/>
          <w:sz w:val="20"/>
        </w:rPr>
        <w:br/>
      </w:r>
    </w:p>
    <w:tbl>
      <w:tblPr>
        <w:tblStyle w:val="TableGrid"/>
        <w:tblW w:w="366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44"/>
        <w:gridCol w:w="1532"/>
        <w:gridCol w:w="1540"/>
        <w:gridCol w:w="1172"/>
        <w:gridCol w:w="1428"/>
      </w:tblGrid>
      <w:tr w:rsidRPr="0089456D" w:rsidR="00AD702D" w:rsidTr="006F4221" w14:paraId="781AAAD0" w14:textId="050F7B7F">
        <w:trPr>
          <w:jc w:val="center"/>
        </w:trPr>
        <w:tc>
          <w:tcPr>
            <w:tcW w:w="1417" w:type="pct"/>
            <w:shd w:val="clear" w:color="auto" w:fill="DAEEF3" w:themeFill="accent5" w:themeFillTint="33"/>
          </w:tcPr>
          <w:p w:rsidRPr="004134E5" w:rsidR="00AD702D" w:rsidP="00EF489A" w:rsidRDefault="00AD702D" w14:paraId="4C9175FD" w14:textId="77777777">
            <w:pPr>
              <w:pStyle w:val="List2"/>
              <w:ind w:left="0" w:firstLine="0"/>
              <w:rPr>
                <w:rFonts w:ascii="Arial" w:hAnsi="Arial" w:cs="Arial"/>
                <w:sz w:val="20"/>
              </w:rPr>
            </w:pPr>
          </w:p>
        </w:tc>
        <w:tc>
          <w:tcPr>
            <w:tcW w:w="967" w:type="pct"/>
            <w:shd w:val="clear" w:color="auto" w:fill="DAEEF3" w:themeFill="accent5" w:themeFillTint="33"/>
          </w:tcPr>
          <w:p w:rsidRPr="0089456D" w:rsidR="00AD702D" w:rsidP="00BD3930" w:rsidRDefault="00AD702D" w14:paraId="03683BB0" w14:textId="031D1687">
            <w:pPr>
              <w:pStyle w:val="List2"/>
              <w:ind w:left="0" w:firstLine="0"/>
              <w:jc w:val="center"/>
              <w:rPr>
                <w:rFonts w:ascii="Arial" w:hAnsi="Arial" w:cs="Arial"/>
                <w:b/>
                <w:sz w:val="20"/>
              </w:rPr>
            </w:pPr>
            <w:r>
              <w:rPr>
                <w:rFonts w:ascii="Arial" w:hAnsi="Arial" w:cs="Arial"/>
                <w:b/>
                <w:sz w:val="20"/>
              </w:rPr>
              <w:t>Number of Respondents</w:t>
            </w:r>
          </w:p>
        </w:tc>
        <w:tc>
          <w:tcPr>
            <w:tcW w:w="973" w:type="pct"/>
            <w:shd w:val="clear" w:color="auto" w:fill="DAEEF3" w:themeFill="accent5" w:themeFillTint="33"/>
          </w:tcPr>
          <w:p w:rsidRPr="0089456D" w:rsidR="00AD702D" w:rsidP="00453837" w:rsidRDefault="00AD702D" w14:paraId="50C67B12" w14:textId="1D72E0A4">
            <w:pPr>
              <w:pStyle w:val="List2"/>
              <w:ind w:left="0" w:firstLine="0"/>
              <w:jc w:val="center"/>
              <w:rPr>
                <w:rFonts w:ascii="Arial" w:hAnsi="Arial" w:cs="Arial"/>
                <w:b/>
                <w:sz w:val="20"/>
              </w:rPr>
            </w:pPr>
            <w:r>
              <w:rPr>
                <w:rFonts w:ascii="Arial" w:hAnsi="Arial" w:cs="Arial"/>
                <w:b/>
                <w:sz w:val="20"/>
              </w:rPr>
              <w:t>Number of Responses</w:t>
            </w:r>
          </w:p>
        </w:tc>
        <w:tc>
          <w:tcPr>
            <w:tcW w:w="740" w:type="pct"/>
            <w:shd w:val="clear" w:color="auto" w:fill="DAEEF3" w:themeFill="accent5" w:themeFillTint="33"/>
          </w:tcPr>
          <w:p w:rsidRPr="0089456D" w:rsidR="00AD702D" w:rsidP="00453837" w:rsidRDefault="006F4221" w14:paraId="696C3ADA" w14:textId="0C24F832">
            <w:pPr>
              <w:pStyle w:val="List2"/>
              <w:ind w:left="0" w:firstLine="0"/>
              <w:jc w:val="center"/>
              <w:rPr>
                <w:rFonts w:ascii="Arial" w:hAnsi="Arial" w:cs="Arial"/>
                <w:b/>
                <w:sz w:val="20"/>
              </w:rPr>
            </w:pPr>
            <w:r>
              <w:rPr>
                <w:rFonts w:ascii="Arial" w:hAnsi="Arial" w:cs="Arial"/>
                <w:b/>
                <w:sz w:val="20"/>
              </w:rPr>
              <w:t>*</w:t>
            </w:r>
            <w:r w:rsidR="00AD702D">
              <w:rPr>
                <w:rFonts w:ascii="Arial" w:hAnsi="Arial" w:cs="Arial"/>
                <w:b/>
                <w:sz w:val="20"/>
              </w:rPr>
              <w:t>Burden per Response</w:t>
            </w:r>
          </w:p>
        </w:tc>
        <w:tc>
          <w:tcPr>
            <w:tcW w:w="902" w:type="pct"/>
            <w:shd w:val="clear" w:color="auto" w:fill="DAEEF3" w:themeFill="accent5" w:themeFillTint="33"/>
          </w:tcPr>
          <w:p w:rsidR="00AD702D" w:rsidP="00453837" w:rsidRDefault="006F4221" w14:paraId="3E016F69" w14:textId="01524C1E">
            <w:pPr>
              <w:pStyle w:val="List2"/>
              <w:ind w:left="0" w:firstLine="0"/>
              <w:jc w:val="center"/>
              <w:rPr>
                <w:rFonts w:ascii="Arial" w:hAnsi="Arial" w:cs="Arial"/>
                <w:b/>
                <w:sz w:val="20"/>
              </w:rPr>
            </w:pPr>
            <w:r>
              <w:rPr>
                <w:rFonts w:ascii="Arial" w:hAnsi="Arial" w:cs="Arial"/>
                <w:b/>
                <w:sz w:val="20"/>
              </w:rPr>
              <w:t>*</w:t>
            </w:r>
            <w:r w:rsidR="00AD702D">
              <w:rPr>
                <w:rFonts w:ascii="Arial" w:hAnsi="Arial" w:cs="Arial"/>
                <w:b/>
                <w:sz w:val="20"/>
              </w:rPr>
              <w:t>Annual Burden</w:t>
            </w:r>
          </w:p>
        </w:tc>
      </w:tr>
      <w:tr w:rsidRPr="0089456D" w:rsidR="00AD702D" w:rsidTr="006F4221" w14:paraId="1F77EFA4" w14:textId="581BD26E">
        <w:trPr>
          <w:jc w:val="center"/>
        </w:trPr>
        <w:tc>
          <w:tcPr>
            <w:tcW w:w="1417" w:type="pct"/>
            <w:shd w:val="clear" w:color="auto" w:fill="DAEEF3" w:themeFill="accent5" w:themeFillTint="33"/>
          </w:tcPr>
          <w:p w:rsidRPr="0089456D" w:rsidR="00AD702D" w:rsidP="004134E5" w:rsidRDefault="00AD702D" w14:paraId="598AFB39" w14:textId="210C3AA3">
            <w:pPr>
              <w:pStyle w:val="List2"/>
              <w:ind w:left="0" w:firstLine="0"/>
              <w:rPr>
                <w:rFonts w:ascii="Arial" w:hAnsi="Arial" w:cs="Arial"/>
                <w:b/>
                <w:sz w:val="20"/>
              </w:rPr>
            </w:pPr>
            <w:r>
              <w:rPr>
                <w:rFonts w:ascii="Arial" w:hAnsi="Arial" w:cs="Arial"/>
                <w:b/>
                <w:sz w:val="20"/>
              </w:rPr>
              <w:t>Annual Report</w:t>
            </w:r>
          </w:p>
        </w:tc>
        <w:tc>
          <w:tcPr>
            <w:tcW w:w="967" w:type="pct"/>
          </w:tcPr>
          <w:p w:rsidRPr="0067183A" w:rsidR="00AD702D" w:rsidP="004134E5" w:rsidRDefault="00AD702D" w14:paraId="43D4AC0C" w14:textId="443E5B1B">
            <w:pPr>
              <w:pStyle w:val="List2"/>
              <w:ind w:left="0" w:firstLine="0"/>
              <w:rPr>
                <w:rFonts w:ascii="Arial" w:hAnsi="Arial" w:cs="Arial"/>
                <w:sz w:val="20"/>
              </w:rPr>
            </w:pPr>
            <w:r>
              <w:rPr>
                <w:rFonts w:ascii="Arial" w:hAnsi="Arial" w:cs="Arial"/>
                <w:sz w:val="20"/>
              </w:rPr>
              <w:t>153</w:t>
            </w:r>
          </w:p>
        </w:tc>
        <w:tc>
          <w:tcPr>
            <w:tcW w:w="973" w:type="pct"/>
          </w:tcPr>
          <w:p w:rsidRPr="0067183A" w:rsidR="00AD702D" w:rsidP="00453837" w:rsidRDefault="00AD702D" w14:paraId="50D9293E" w14:textId="5CF80695">
            <w:pPr>
              <w:pStyle w:val="List2"/>
              <w:ind w:left="0" w:firstLine="0"/>
              <w:rPr>
                <w:rFonts w:ascii="Arial" w:hAnsi="Arial" w:cs="Arial"/>
                <w:sz w:val="20"/>
              </w:rPr>
            </w:pPr>
            <w:r>
              <w:rPr>
                <w:rFonts w:ascii="Arial" w:hAnsi="Arial" w:cs="Arial"/>
                <w:sz w:val="20"/>
              </w:rPr>
              <w:t>1</w:t>
            </w:r>
          </w:p>
        </w:tc>
        <w:tc>
          <w:tcPr>
            <w:tcW w:w="740" w:type="pct"/>
          </w:tcPr>
          <w:p w:rsidRPr="0067183A" w:rsidR="00AD702D" w:rsidP="00453837" w:rsidRDefault="00AD702D" w14:paraId="3610040B" w14:textId="4C60089A">
            <w:pPr>
              <w:pStyle w:val="List2"/>
              <w:ind w:left="0" w:firstLine="0"/>
              <w:rPr>
                <w:rFonts w:ascii="Arial" w:hAnsi="Arial" w:cs="Arial"/>
                <w:sz w:val="20"/>
              </w:rPr>
            </w:pPr>
            <w:r w:rsidRPr="0067183A">
              <w:rPr>
                <w:rFonts w:ascii="Arial" w:hAnsi="Arial" w:cs="Arial"/>
                <w:sz w:val="20"/>
              </w:rPr>
              <w:t>1</w:t>
            </w:r>
            <w:r w:rsidR="006F4221">
              <w:rPr>
                <w:rFonts w:ascii="Arial" w:hAnsi="Arial" w:cs="Arial"/>
                <w:sz w:val="20"/>
              </w:rPr>
              <w:t>4 hours</w:t>
            </w:r>
          </w:p>
        </w:tc>
        <w:tc>
          <w:tcPr>
            <w:tcW w:w="902" w:type="pct"/>
          </w:tcPr>
          <w:p w:rsidRPr="0067183A" w:rsidR="00AD702D" w:rsidP="00453837" w:rsidRDefault="006F4221" w14:paraId="3E64A425" w14:textId="55B342AE">
            <w:pPr>
              <w:pStyle w:val="List2"/>
              <w:ind w:left="0" w:firstLine="0"/>
              <w:rPr>
                <w:rFonts w:ascii="Arial" w:hAnsi="Arial" w:cs="Arial"/>
                <w:sz w:val="20"/>
              </w:rPr>
            </w:pPr>
            <w:r>
              <w:rPr>
                <w:rFonts w:ascii="Arial" w:hAnsi="Arial" w:cs="Arial"/>
                <w:sz w:val="20"/>
              </w:rPr>
              <w:t>2,142 hours</w:t>
            </w:r>
          </w:p>
        </w:tc>
      </w:tr>
      <w:tr w:rsidRPr="0089456D" w:rsidR="00AD702D" w:rsidTr="006F4221" w14:paraId="7E4E8F5D" w14:textId="35FA05A5">
        <w:trPr>
          <w:jc w:val="center"/>
        </w:trPr>
        <w:tc>
          <w:tcPr>
            <w:tcW w:w="1417" w:type="pct"/>
            <w:shd w:val="clear" w:color="auto" w:fill="DAEEF3" w:themeFill="accent5" w:themeFillTint="33"/>
          </w:tcPr>
          <w:p w:rsidRPr="0089456D" w:rsidR="00AD702D" w:rsidP="00EF489A" w:rsidRDefault="00AD702D" w14:paraId="154AD406" w14:textId="2C1C2D2C">
            <w:pPr>
              <w:pStyle w:val="List2"/>
              <w:ind w:left="0" w:firstLine="0"/>
              <w:rPr>
                <w:rFonts w:ascii="Arial" w:hAnsi="Arial" w:cs="Arial"/>
                <w:b/>
                <w:sz w:val="20"/>
              </w:rPr>
            </w:pPr>
            <w:r>
              <w:rPr>
                <w:rFonts w:ascii="Arial" w:hAnsi="Arial" w:cs="Arial"/>
                <w:b/>
                <w:sz w:val="20"/>
              </w:rPr>
              <w:t>Monthly Report</w:t>
            </w:r>
          </w:p>
        </w:tc>
        <w:tc>
          <w:tcPr>
            <w:tcW w:w="967" w:type="pct"/>
            <w:shd w:val="clear" w:color="auto" w:fill="auto"/>
          </w:tcPr>
          <w:p w:rsidRPr="0067183A" w:rsidR="00AD702D" w:rsidP="00EF489A" w:rsidRDefault="00AD702D" w14:paraId="72B4A36C" w14:textId="0FBA1F4C">
            <w:pPr>
              <w:pStyle w:val="List2"/>
              <w:ind w:left="0" w:firstLine="0"/>
              <w:rPr>
                <w:rFonts w:ascii="Arial" w:hAnsi="Arial" w:cs="Arial"/>
                <w:sz w:val="20"/>
              </w:rPr>
            </w:pPr>
            <w:r>
              <w:rPr>
                <w:rFonts w:ascii="Arial" w:hAnsi="Arial" w:cs="Arial"/>
                <w:sz w:val="20"/>
              </w:rPr>
              <w:t>153</w:t>
            </w:r>
          </w:p>
        </w:tc>
        <w:tc>
          <w:tcPr>
            <w:tcW w:w="973" w:type="pct"/>
            <w:shd w:val="clear" w:color="auto" w:fill="auto"/>
          </w:tcPr>
          <w:p w:rsidRPr="0067183A" w:rsidR="00AD702D" w:rsidP="00453837" w:rsidRDefault="00AD702D" w14:paraId="16EE5DBF" w14:textId="60813A00">
            <w:pPr>
              <w:pStyle w:val="List2"/>
              <w:ind w:left="0" w:firstLine="0"/>
              <w:rPr>
                <w:rFonts w:ascii="Arial" w:hAnsi="Arial" w:cs="Arial"/>
                <w:sz w:val="20"/>
              </w:rPr>
            </w:pPr>
            <w:r>
              <w:rPr>
                <w:rFonts w:ascii="Arial" w:hAnsi="Arial" w:cs="Arial"/>
                <w:sz w:val="20"/>
              </w:rPr>
              <w:t>12</w:t>
            </w:r>
          </w:p>
        </w:tc>
        <w:tc>
          <w:tcPr>
            <w:tcW w:w="740" w:type="pct"/>
            <w:shd w:val="clear" w:color="auto" w:fill="auto"/>
          </w:tcPr>
          <w:p w:rsidRPr="0067183A" w:rsidR="00AD702D" w:rsidP="00453837" w:rsidRDefault="006F4221" w14:paraId="518F376F" w14:textId="318ACC39">
            <w:pPr>
              <w:pStyle w:val="List2"/>
              <w:ind w:left="0" w:firstLine="0"/>
              <w:rPr>
                <w:rFonts w:ascii="Arial" w:hAnsi="Arial" w:cs="Arial"/>
                <w:sz w:val="20"/>
              </w:rPr>
            </w:pPr>
            <w:r>
              <w:rPr>
                <w:rFonts w:ascii="Arial" w:hAnsi="Arial" w:cs="Arial"/>
                <w:sz w:val="20"/>
              </w:rPr>
              <w:t>.3 hour</w:t>
            </w:r>
          </w:p>
        </w:tc>
        <w:tc>
          <w:tcPr>
            <w:tcW w:w="902" w:type="pct"/>
          </w:tcPr>
          <w:p w:rsidRPr="0067183A" w:rsidR="00AD702D" w:rsidP="00453837" w:rsidRDefault="00F44970" w14:paraId="53B75B7D" w14:textId="7FD0407F">
            <w:pPr>
              <w:pStyle w:val="List2"/>
              <w:ind w:left="0" w:firstLine="0"/>
              <w:rPr>
                <w:rFonts w:ascii="Arial" w:hAnsi="Arial" w:cs="Arial"/>
                <w:sz w:val="20"/>
              </w:rPr>
            </w:pPr>
            <w:r>
              <w:rPr>
                <w:rFonts w:ascii="Arial" w:hAnsi="Arial" w:cs="Arial"/>
                <w:sz w:val="20"/>
              </w:rPr>
              <w:t xml:space="preserve">   551</w:t>
            </w:r>
            <w:r w:rsidR="006F4221">
              <w:rPr>
                <w:rFonts w:ascii="Arial" w:hAnsi="Arial" w:cs="Arial"/>
                <w:sz w:val="20"/>
              </w:rPr>
              <w:t xml:space="preserve"> hours</w:t>
            </w:r>
          </w:p>
        </w:tc>
      </w:tr>
      <w:tr w:rsidRPr="0089456D" w:rsidR="00AD702D" w:rsidTr="006F4221" w14:paraId="74F2F479" w14:textId="3C3DAE5D">
        <w:trPr>
          <w:jc w:val="center"/>
        </w:trPr>
        <w:tc>
          <w:tcPr>
            <w:tcW w:w="1417" w:type="pct"/>
            <w:shd w:val="clear" w:color="auto" w:fill="DAEEF3" w:themeFill="accent5" w:themeFillTint="33"/>
          </w:tcPr>
          <w:p w:rsidRPr="0089456D" w:rsidR="00AD702D" w:rsidP="00EF489A" w:rsidRDefault="00AD702D" w14:paraId="4C97B99C" w14:textId="1622E2CA">
            <w:pPr>
              <w:pStyle w:val="List2"/>
              <w:ind w:left="0" w:firstLine="0"/>
              <w:rPr>
                <w:rFonts w:ascii="Arial" w:hAnsi="Arial" w:cs="Arial"/>
                <w:b/>
                <w:sz w:val="20"/>
              </w:rPr>
            </w:pPr>
            <w:r>
              <w:rPr>
                <w:rFonts w:ascii="Arial" w:hAnsi="Arial" w:cs="Arial"/>
                <w:b/>
                <w:sz w:val="20"/>
              </w:rPr>
              <w:t>Total Annual Burden</w:t>
            </w:r>
          </w:p>
        </w:tc>
        <w:tc>
          <w:tcPr>
            <w:tcW w:w="967" w:type="pct"/>
            <w:shd w:val="clear" w:color="auto" w:fill="auto"/>
          </w:tcPr>
          <w:p w:rsidRPr="0067183A" w:rsidR="00AD702D" w:rsidP="00315464" w:rsidRDefault="00AD702D" w14:paraId="73B870C8" w14:textId="589AEFF5">
            <w:pPr>
              <w:pStyle w:val="List2"/>
              <w:ind w:left="0" w:firstLine="0"/>
              <w:rPr>
                <w:rFonts w:ascii="Arial" w:hAnsi="Arial" w:cs="Arial"/>
                <w:sz w:val="20"/>
              </w:rPr>
            </w:pPr>
          </w:p>
        </w:tc>
        <w:tc>
          <w:tcPr>
            <w:tcW w:w="973" w:type="pct"/>
            <w:shd w:val="clear" w:color="auto" w:fill="auto"/>
          </w:tcPr>
          <w:p w:rsidRPr="0067183A" w:rsidR="00AD702D" w:rsidP="00453837" w:rsidRDefault="00AD702D" w14:paraId="05CBA411" w14:textId="4AF481AA">
            <w:pPr>
              <w:pStyle w:val="List2"/>
              <w:ind w:left="0" w:firstLine="0"/>
              <w:rPr>
                <w:rFonts w:ascii="Arial" w:hAnsi="Arial" w:cs="Arial"/>
                <w:sz w:val="20"/>
              </w:rPr>
            </w:pPr>
          </w:p>
        </w:tc>
        <w:tc>
          <w:tcPr>
            <w:tcW w:w="740" w:type="pct"/>
            <w:shd w:val="clear" w:color="auto" w:fill="auto"/>
          </w:tcPr>
          <w:p w:rsidRPr="0067183A" w:rsidR="00AD702D" w:rsidP="00453837" w:rsidRDefault="00AD702D" w14:paraId="7061D9F1" w14:textId="450E09F4">
            <w:pPr>
              <w:pStyle w:val="List2"/>
              <w:ind w:left="0" w:firstLine="0"/>
              <w:rPr>
                <w:rFonts w:ascii="Arial" w:hAnsi="Arial" w:cs="Arial"/>
                <w:sz w:val="20"/>
              </w:rPr>
            </w:pPr>
          </w:p>
        </w:tc>
        <w:tc>
          <w:tcPr>
            <w:tcW w:w="902" w:type="pct"/>
          </w:tcPr>
          <w:p w:rsidRPr="0067183A" w:rsidR="00AD702D" w:rsidP="00453837" w:rsidRDefault="006F4221" w14:paraId="25570B77" w14:textId="7E3DAEE4">
            <w:pPr>
              <w:pStyle w:val="List2"/>
              <w:ind w:left="0" w:firstLine="0"/>
              <w:rPr>
                <w:rFonts w:ascii="Arial" w:hAnsi="Arial" w:cs="Arial"/>
                <w:sz w:val="20"/>
              </w:rPr>
            </w:pPr>
            <w:r>
              <w:rPr>
                <w:rFonts w:ascii="Arial" w:hAnsi="Arial" w:cs="Arial"/>
                <w:sz w:val="20"/>
              </w:rPr>
              <w:t>2,</w:t>
            </w:r>
            <w:r w:rsidR="00F44970">
              <w:rPr>
                <w:rFonts w:ascii="Arial" w:hAnsi="Arial" w:cs="Arial"/>
                <w:sz w:val="20"/>
              </w:rPr>
              <w:t>693</w:t>
            </w:r>
            <w:r>
              <w:rPr>
                <w:rFonts w:ascii="Arial" w:hAnsi="Arial" w:cs="Arial"/>
                <w:sz w:val="20"/>
              </w:rPr>
              <w:t xml:space="preserve"> hours</w:t>
            </w:r>
          </w:p>
        </w:tc>
      </w:tr>
    </w:tbl>
    <w:p w:rsidRPr="00AB3B1C" w:rsidR="009773E5" w:rsidP="00454F98" w:rsidRDefault="009773E5" w14:paraId="44DC5C93" w14:textId="77777777">
      <w:pPr>
        <w:pStyle w:val="List2"/>
        <w:ind w:left="0" w:firstLine="0"/>
        <w:rPr>
          <w:rFonts w:ascii="Arial" w:hAnsi="Arial" w:cs="Arial"/>
          <w:sz w:val="20"/>
          <w:highlight w:val="yellow"/>
        </w:rPr>
      </w:pPr>
    </w:p>
    <w:p w:rsidR="00CD70FD" w:rsidP="009F5E6C" w:rsidRDefault="00CD70FD" w14:paraId="19B2962C" w14:textId="77777777">
      <w:pPr>
        <w:pStyle w:val="List2"/>
        <w:ind w:left="1080"/>
        <w:rPr>
          <w:rFonts w:ascii="Arial" w:hAnsi="Arial" w:cs="Arial"/>
          <w:sz w:val="20"/>
        </w:rPr>
      </w:pPr>
    </w:p>
    <w:p w:rsidR="00BA0E5D" w:rsidP="00786ACE" w:rsidRDefault="00BA0E5D" w14:paraId="0C653FA6" w14:textId="77777777">
      <w:pPr>
        <w:pStyle w:val="List2"/>
        <w:jc w:val="both"/>
        <w:rPr>
          <w:rFonts w:ascii="Arial" w:hAnsi="Arial" w:cs="Arial"/>
          <w:sz w:val="20"/>
        </w:rPr>
      </w:pPr>
    </w:p>
    <w:p w:rsidR="009F5E6C" w:rsidP="00786ACE" w:rsidRDefault="00BA0E5D" w14:paraId="3AF2E010" w14:textId="61D6B112">
      <w:pPr>
        <w:pStyle w:val="List2"/>
        <w:jc w:val="both"/>
        <w:rPr>
          <w:rFonts w:ascii="Arial" w:hAnsi="Arial" w:cs="Arial"/>
          <w:sz w:val="20"/>
        </w:rPr>
      </w:pPr>
      <w:r>
        <w:rPr>
          <w:rFonts w:ascii="Arial" w:hAnsi="Arial" w:cs="Arial"/>
          <w:sz w:val="20"/>
        </w:rPr>
        <w:t xml:space="preserve">      </w:t>
      </w:r>
      <w:r w:rsidRPr="00521316" w:rsidR="009F5E6C">
        <w:rPr>
          <w:rFonts w:ascii="Arial" w:hAnsi="Arial" w:cs="Arial"/>
          <w:sz w:val="20"/>
        </w:rPr>
        <w:t>Total annualized cost for respondents to prepare information and respond to the information collection is</w:t>
      </w:r>
      <w:r w:rsidR="00CD70FD">
        <w:rPr>
          <w:rFonts w:ascii="Arial" w:hAnsi="Arial" w:cs="Arial"/>
          <w:sz w:val="20"/>
        </w:rPr>
        <w:t xml:space="preserve"> </w:t>
      </w:r>
      <w:r w:rsidRPr="00521316" w:rsidR="009F5E6C">
        <w:rPr>
          <w:rFonts w:ascii="Arial" w:hAnsi="Arial" w:cs="Arial"/>
          <w:sz w:val="20"/>
        </w:rPr>
        <w:t>estimated</w:t>
      </w:r>
      <w:r w:rsidR="00786ACE">
        <w:rPr>
          <w:rFonts w:ascii="Arial" w:hAnsi="Arial" w:cs="Arial"/>
          <w:sz w:val="20"/>
        </w:rPr>
        <w:t xml:space="preserve"> </w:t>
      </w:r>
      <w:r w:rsidRPr="00521316" w:rsidR="009F5E6C">
        <w:rPr>
          <w:rFonts w:ascii="Arial" w:hAnsi="Arial" w:cs="Arial"/>
          <w:sz w:val="20"/>
        </w:rPr>
        <w:t>to be $</w:t>
      </w:r>
      <w:r w:rsidR="00BC36E7">
        <w:rPr>
          <w:rFonts w:ascii="Arial" w:hAnsi="Arial" w:cs="Arial"/>
          <w:sz w:val="20"/>
        </w:rPr>
        <w:t>74,811.54</w:t>
      </w:r>
      <w:r w:rsidRPr="00521316" w:rsidR="009F5E6C">
        <w:rPr>
          <w:rFonts w:ascii="Arial" w:hAnsi="Arial" w:cs="Arial"/>
          <w:sz w:val="20"/>
        </w:rPr>
        <w:t xml:space="preserve"> (</w:t>
      </w:r>
      <w:r w:rsidR="00BC36E7">
        <w:rPr>
          <w:rFonts w:ascii="Arial" w:hAnsi="Arial" w:cs="Arial"/>
          <w:sz w:val="20"/>
        </w:rPr>
        <w:t>2693</w:t>
      </w:r>
      <w:r w:rsidRPr="00521316" w:rsidR="009F5E6C">
        <w:rPr>
          <w:rFonts w:ascii="Arial" w:hAnsi="Arial" w:cs="Arial"/>
          <w:sz w:val="20"/>
        </w:rPr>
        <w:t xml:space="preserve"> hours x $</w:t>
      </w:r>
      <w:r w:rsidR="00CD70FD">
        <w:rPr>
          <w:rFonts w:ascii="Arial" w:hAnsi="Arial" w:cs="Arial"/>
          <w:sz w:val="20"/>
        </w:rPr>
        <w:t>2</w:t>
      </w:r>
      <w:r w:rsidR="00D44378">
        <w:rPr>
          <w:rFonts w:ascii="Arial" w:hAnsi="Arial" w:cs="Arial"/>
          <w:sz w:val="20"/>
        </w:rPr>
        <w:t>7.78</w:t>
      </w:r>
      <w:r w:rsidRPr="00521316" w:rsidR="009F5E6C">
        <w:rPr>
          <w:rFonts w:ascii="Arial" w:hAnsi="Arial" w:cs="Arial"/>
          <w:sz w:val="20"/>
        </w:rPr>
        <w:t xml:space="preserve"> per hour).</w:t>
      </w:r>
    </w:p>
    <w:p w:rsidR="005F2BD3" w:rsidP="00EF489A" w:rsidRDefault="005F2BD3" w14:paraId="7A179DD3" w14:textId="77777777">
      <w:pPr>
        <w:pStyle w:val="List2"/>
        <w:ind w:firstLine="0"/>
        <w:rPr>
          <w:rFonts w:ascii="Arial" w:hAnsi="Arial" w:cs="Arial"/>
          <w:sz w:val="20"/>
          <w:highlight w:val="yellow"/>
        </w:rPr>
      </w:pPr>
    </w:p>
    <w:p w:rsidRPr="00521316" w:rsidR="00BE01CA" w:rsidP="00EF489A" w:rsidRDefault="006F4221" w14:paraId="0F7355A0" w14:textId="59CF3F54">
      <w:pPr>
        <w:pStyle w:val="List2"/>
        <w:ind w:firstLine="0"/>
        <w:rPr>
          <w:rFonts w:ascii="Arial" w:hAnsi="Arial" w:cs="Arial"/>
          <w:sz w:val="20"/>
        </w:rPr>
      </w:pPr>
      <w:r w:rsidRPr="00521316">
        <w:rPr>
          <w:rFonts w:ascii="Arial" w:hAnsi="Arial" w:cs="Arial"/>
          <w:sz w:val="20"/>
        </w:rPr>
        <w:t>*Note: Estimates only: With the new FIRST system, it is unknown how many LPCs will select the option of uploading data instead of data entry. Therefore, actual amounts may be less than estimates.</w:t>
      </w:r>
    </w:p>
    <w:p w:rsidRPr="005923DE" w:rsidR="00323243" w:rsidP="00323243" w:rsidRDefault="00323243" w14:paraId="1CB69D38" w14:textId="77777777">
      <w:pPr>
        <w:pStyle w:val="List2"/>
        <w:numPr>
          <w:ilvl w:val="12"/>
          <w:numId w:val="0"/>
        </w:numPr>
        <w:ind w:left="720" w:hanging="360"/>
        <w:rPr>
          <w:rFonts w:ascii="Arial" w:hAnsi="Arial" w:cs="Arial"/>
          <w:sz w:val="20"/>
        </w:rPr>
      </w:pPr>
      <w:r w:rsidRPr="005923DE">
        <w:rPr>
          <w:rFonts w:ascii="Arial" w:hAnsi="Arial" w:cs="Arial"/>
          <w:sz w:val="20"/>
        </w:rPr>
        <w:t xml:space="preserve">  </w:t>
      </w:r>
    </w:p>
    <w:p w:rsidRPr="000E2537" w:rsidR="004108F3" w:rsidP="000E156A" w:rsidRDefault="004108F3" w14:paraId="316DC925" w14:textId="77777777">
      <w:pPr>
        <w:ind w:left="720" w:right="720"/>
        <w:rPr>
          <w:rFonts w:ascii="Arial" w:hAnsi="Arial" w:cs="Arial"/>
          <w:sz w:val="20"/>
        </w:rPr>
      </w:pPr>
      <w:r w:rsidRPr="000E2537">
        <w:rPr>
          <w:rFonts w:ascii="Arial" w:hAnsi="Arial" w:cs="Arial"/>
          <w:sz w:val="20"/>
          <w:u w:val="single"/>
        </w:rPr>
        <w:t>Annualized cost per applicant:</w:t>
      </w:r>
      <w:r w:rsidRPr="000E2537">
        <w:rPr>
          <w:rFonts w:ascii="Arial" w:hAnsi="Arial" w:cs="Arial"/>
          <w:sz w:val="20"/>
        </w:rPr>
        <w:t xml:space="preserve">  The average hourly wage for the states in the TVA service area is $27.78 and</w:t>
      </w:r>
      <w:r w:rsidRPr="000E2537">
        <w:rPr>
          <w:rFonts w:ascii="Arial" w:hAnsi="Arial" w:cs="Arial"/>
          <w:color w:val="000000"/>
          <w:sz w:val="20"/>
        </w:rPr>
        <w:t xml:space="preserve"> represents an increase in the average hourly wage from the previous approval.  This estimate </w:t>
      </w:r>
      <w:r w:rsidRPr="000E2537">
        <w:rPr>
          <w:rFonts w:ascii="Arial" w:hAnsi="Arial" w:cs="Arial"/>
          <w:sz w:val="20"/>
        </w:rPr>
        <w:t>was calculated using a snapshot of data taken on 12-31-2021 from the 2021 Bureau of Labor Statistics National Compensation Survey on Wages from the following sources:</w:t>
      </w:r>
    </w:p>
    <w:p w:rsidRPr="000E2537" w:rsidR="004108F3" w:rsidP="000E156A" w:rsidRDefault="004108F3" w14:paraId="5BCA5620" w14:textId="77777777">
      <w:pPr>
        <w:pStyle w:val="List2"/>
        <w:numPr>
          <w:ilvl w:val="12"/>
          <w:numId w:val="0"/>
        </w:numPr>
        <w:ind w:left="720" w:right="720" w:hanging="360"/>
        <w:rPr>
          <w:rFonts w:ascii="Arial" w:hAnsi="Arial" w:cs="Arial"/>
          <w:sz w:val="20"/>
        </w:rPr>
      </w:pPr>
    </w:p>
    <w:p w:rsidRPr="000E2537" w:rsidR="004108F3" w:rsidP="000E156A" w:rsidRDefault="00E85C81" w14:paraId="7C56E09D" w14:textId="77777777">
      <w:pPr>
        <w:ind w:left="720" w:right="720"/>
        <w:rPr>
          <w:rFonts w:ascii="Arial" w:hAnsi="Arial" w:cs="Arial"/>
          <w:sz w:val="20"/>
        </w:rPr>
      </w:pPr>
      <w:hyperlink w:history="1" r:id="rId8">
        <w:r w:rsidRPr="000E2537" w:rsidR="004108F3">
          <w:rPr>
            <w:rFonts w:ascii="Arial" w:hAnsi="Arial" w:cs="Arial"/>
            <w:color w:val="0000FF"/>
            <w:sz w:val="20"/>
            <w:u w:val="single"/>
          </w:rPr>
          <w:t>https://www.bls.gov/regions/southeast/news-release/countyemploymentandwages_mississippi.htm</w:t>
        </w:r>
      </w:hyperlink>
    </w:p>
    <w:p w:rsidRPr="000E2537" w:rsidR="004108F3" w:rsidP="000E156A" w:rsidRDefault="00E85C81" w14:paraId="2BF3E2D1" w14:textId="77777777">
      <w:pPr>
        <w:ind w:left="720" w:right="720"/>
        <w:rPr>
          <w:rFonts w:ascii="Arial" w:hAnsi="Arial" w:cs="Arial"/>
          <w:sz w:val="20"/>
        </w:rPr>
      </w:pPr>
      <w:hyperlink w:history="1" r:id="rId9">
        <w:r w:rsidRPr="000E2537" w:rsidR="004108F3">
          <w:rPr>
            <w:rFonts w:ascii="Arial" w:hAnsi="Arial" w:cs="Arial"/>
            <w:color w:val="0000FF"/>
            <w:sz w:val="20"/>
            <w:u w:val="single"/>
          </w:rPr>
          <w:t>https://www.bls.gov/regions/southeast/news-release/countyemploymentandwages_kentucky.htm</w:t>
        </w:r>
      </w:hyperlink>
    </w:p>
    <w:p w:rsidRPr="000E2537" w:rsidR="004108F3" w:rsidP="000E156A" w:rsidRDefault="00E85C81" w14:paraId="46514876" w14:textId="77777777">
      <w:pPr>
        <w:ind w:left="720" w:right="720"/>
        <w:rPr>
          <w:rFonts w:ascii="Arial" w:hAnsi="Arial" w:cs="Arial"/>
          <w:sz w:val="20"/>
        </w:rPr>
      </w:pPr>
      <w:hyperlink w:history="1" r:id="rId10">
        <w:r w:rsidRPr="000E2537" w:rsidR="004108F3">
          <w:rPr>
            <w:rFonts w:ascii="Arial" w:hAnsi="Arial" w:cs="Arial"/>
            <w:color w:val="0000FF"/>
            <w:sz w:val="20"/>
            <w:u w:val="single"/>
          </w:rPr>
          <w:t>https://www.bls.gov/regions/southeast/news-release/countyemploymentandwages_alabama.htm</w:t>
        </w:r>
      </w:hyperlink>
    </w:p>
    <w:p w:rsidRPr="000E2537" w:rsidR="004108F3" w:rsidP="000E156A" w:rsidRDefault="00E85C81" w14:paraId="3755BD38" w14:textId="77777777">
      <w:pPr>
        <w:ind w:left="720" w:right="720"/>
        <w:rPr>
          <w:rFonts w:ascii="Arial" w:hAnsi="Arial" w:cs="Arial"/>
          <w:sz w:val="20"/>
        </w:rPr>
      </w:pPr>
      <w:hyperlink w:history="1" r:id="rId11">
        <w:r w:rsidRPr="000E2537" w:rsidR="004108F3">
          <w:rPr>
            <w:rFonts w:ascii="Arial" w:hAnsi="Arial" w:cs="Arial"/>
            <w:color w:val="0000FF"/>
            <w:sz w:val="20"/>
            <w:u w:val="single"/>
          </w:rPr>
          <w:t>https://www.bls.gov/regions/southeast/news-release/countyemploymentandwages_tennessee.htm</w:t>
        </w:r>
      </w:hyperlink>
    </w:p>
    <w:p w:rsidRPr="000E2537" w:rsidR="004108F3" w:rsidP="000E156A" w:rsidRDefault="00E85C81" w14:paraId="6F48EBD3" w14:textId="77777777">
      <w:pPr>
        <w:ind w:left="720" w:right="720"/>
        <w:rPr>
          <w:rFonts w:ascii="Arial" w:hAnsi="Arial" w:cs="Arial"/>
          <w:sz w:val="20"/>
        </w:rPr>
      </w:pPr>
      <w:hyperlink w:history="1" r:id="rId12">
        <w:r w:rsidRPr="000E2537" w:rsidR="004108F3">
          <w:rPr>
            <w:rFonts w:ascii="Arial" w:hAnsi="Arial" w:cs="Arial"/>
            <w:color w:val="0000FF"/>
            <w:sz w:val="20"/>
            <w:u w:val="single"/>
          </w:rPr>
          <w:t>https://www.bls.gov/regions/southeast/news-release/countyemploymentandwages_georgia.htm</w:t>
        </w:r>
      </w:hyperlink>
    </w:p>
    <w:p w:rsidRPr="000E2537" w:rsidR="004108F3" w:rsidP="000E156A" w:rsidRDefault="00E85C81" w14:paraId="5B8BFFBA" w14:textId="77777777">
      <w:pPr>
        <w:ind w:left="720" w:right="720"/>
        <w:rPr>
          <w:rFonts w:ascii="Arial" w:hAnsi="Arial" w:cs="Arial"/>
          <w:sz w:val="20"/>
        </w:rPr>
      </w:pPr>
      <w:hyperlink w:history="1" r:id="rId13">
        <w:r w:rsidRPr="000E2537" w:rsidR="004108F3">
          <w:rPr>
            <w:rFonts w:ascii="Arial" w:hAnsi="Arial" w:cs="Arial"/>
            <w:color w:val="0000FF"/>
            <w:sz w:val="20"/>
            <w:u w:val="single"/>
          </w:rPr>
          <w:t>https://www.bls.gov/regions/southeast/news-release/countyemploymentandwages_northcarolina.htm</w:t>
        </w:r>
      </w:hyperlink>
    </w:p>
    <w:p w:rsidRPr="000E2537" w:rsidR="004108F3" w:rsidP="000E156A" w:rsidRDefault="00E85C81" w14:paraId="24DE6900" w14:textId="77777777">
      <w:pPr>
        <w:ind w:left="720" w:right="720"/>
        <w:rPr>
          <w:rFonts w:ascii="Arial" w:hAnsi="Arial" w:cs="Arial"/>
          <w:sz w:val="20"/>
        </w:rPr>
      </w:pPr>
      <w:hyperlink w:history="1" r:id="rId14">
        <w:r w:rsidRPr="000E2537" w:rsidR="004108F3">
          <w:rPr>
            <w:rStyle w:val="Hyperlink"/>
            <w:rFonts w:ascii="Arial" w:hAnsi="Arial" w:cs="Arial"/>
            <w:sz w:val="20"/>
          </w:rPr>
          <w:t>https://www.bls.gov/regions/mid-atlantic/news-release/countyemploymentandwages_virginia.htm</w:t>
        </w:r>
      </w:hyperlink>
    </w:p>
    <w:p w:rsidRPr="006C354D" w:rsidR="004108F3" w:rsidP="004108F3" w:rsidRDefault="004108F3" w14:paraId="036EE418" w14:textId="77777777">
      <w:pPr>
        <w:rPr>
          <w:rFonts w:ascii="Arial" w:hAnsi="Arial" w:cs="Arial"/>
        </w:rPr>
      </w:pPr>
    </w:p>
    <w:p w:rsidR="00323243" w:rsidP="00323243" w:rsidRDefault="00323243" w14:paraId="24BA1E6C" w14:textId="5DCCA9BF">
      <w:pPr>
        <w:pStyle w:val="List2"/>
        <w:numPr>
          <w:ilvl w:val="12"/>
          <w:numId w:val="0"/>
        </w:numPr>
        <w:ind w:left="720" w:hanging="360"/>
        <w:rPr>
          <w:rFonts w:ascii="Arial" w:hAnsi="Arial" w:cs="Arial"/>
          <w:sz w:val="20"/>
        </w:rPr>
      </w:pPr>
    </w:p>
    <w:p w:rsidRPr="004134E5" w:rsidR="00323243" w:rsidP="00917204" w:rsidRDefault="00323243" w14:paraId="132DEE1A" w14:textId="77777777">
      <w:pPr>
        <w:pStyle w:val="List2"/>
        <w:numPr>
          <w:ilvl w:val="12"/>
          <w:numId w:val="0"/>
        </w:numPr>
        <w:ind w:left="720" w:hanging="360"/>
        <w:rPr>
          <w:rFonts w:ascii="Arial" w:hAnsi="Arial" w:cs="Arial"/>
          <w:sz w:val="20"/>
        </w:rPr>
      </w:pPr>
    </w:p>
    <w:p w:rsidRPr="004134E5" w:rsidR="00B41020" w:rsidP="00875008" w:rsidRDefault="008F6F8D" w14:paraId="64141F41" w14:textId="77777777">
      <w:pPr>
        <w:pStyle w:val="List2"/>
        <w:numPr>
          <w:ilvl w:val="0"/>
          <w:numId w:val="2"/>
        </w:numPr>
        <w:rPr>
          <w:rFonts w:ascii="Arial" w:hAnsi="Arial" w:cs="Arial"/>
          <w:sz w:val="20"/>
        </w:rPr>
      </w:pPr>
      <w:r w:rsidRPr="004134E5">
        <w:rPr>
          <w:rFonts w:ascii="Arial" w:hAnsi="Arial" w:cs="Arial"/>
          <w:b/>
          <w:sz w:val="20"/>
        </w:rPr>
        <w:t>Provide an estimate of the total annual cost burden to respondents or record</w:t>
      </w:r>
      <w:r w:rsidR="00F32AE2">
        <w:rPr>
          <w:rFonts w:ascii="Arial" w:hAnsi="Arial" w:cs="Arial"/>
          <w:b/>
          <w:sz w:val="20"/>
        </w:rPr>
        <w:t xml:space="preserve"> </w:t>
      </w:r>
      <w:r w:rsidRPr="004134E5">
        <w:rPr>
          <w:rFonts w:ascii="Arial" w:hAnsi="Arial" w:cs="Arial"/>
          <w:b/>
          <w:sz w:val="20"/>
        </w:rPr>
        <w:t xml:space="preserve">keepers resulting from </w:t>
      </w:r>
      <w:r w:rsidR="00F32AE2">
        <w:rPr>
          <w:rFonts w:ascii="Arial" w:hAnsi="Arial" w:cs="Arial"/>
          <w:b/>
          <w:sz w:val="20"/>
        </w:rPr>
        <w:t xml:space="preserve">the collection of information. </w:t>
      </w:r>
      <w:r w:rsidRPr="004134E5">
        <w:rPr>
          <w:rFonts w:ascii="Arial" w:hAnsi="Arial" w:cs="Arial"/>
          <w:b/>
          <w:sz w:val="20"/>
        </w:rPr>
        <w:t>(Do not include the cost of any hour burden shown in Items 12 and 14).</w:t>
      </w:r>
      <w:r w:rsidRPr="004134E5">
        <w:rPr>
          <w:rFonts w:ascii="Arial" w:hAnsi="Arial" w:cs="Arial"/>
          <w:b/>
          <w:sz w:val="20"/>
        </w:rPr>
        <w:br/>
      </w:r>
      <w:r w:rsidRPr="004134E5">
        <w:rPr>
          <w:rFonts w:ascii="Arial" w:hAnsi="Arial" w:cs="Arial"/>
          <w:b/>
          <w:sz w:val="20"/>
        </w:rPr>
        <w:br/>
        <w:t xml:space="preserve"> The cost estimate should be split into two components:  (a) a total capital and start-up cost component (annualized over its expected useful life); and (b) a total operation and maintenance and p</w:t>
      </w:r>
      <w:r w:rsidR="00F32AE2">
        <w:rPr>
          <w:rFonts w:ascii="Arial" w:hAnsi="Arial" w:cs="Arial"/>
          <w:b/>
          <w:sz w:val="20"/>
        </w:rPr>
        <w:t xml:space="preserve">urchase of services component. </w:t>
      </w:r>
      <w:r w:rsidRPr="004134E5">
        <w:rPr>
          <w:rFonts w:ascii="Arial" w:hAnsi="Arial" w:cs="Arial"/>
          <w:b/>
          <w:sz w:val="20"/>
        </w:rPr>
        <w:t>The estimates should take into account costs associated with generating, maintaining, and disclosing</w:t>
      </w:r>
      <w:r w:rsidR="00F32AE2">
        <w:rPr>
          <w:rFonts w:ascii="Arial" w:hAnsi="Arial" w:cs="Arial"/>
          <w:b/>
          <w:sz w:val="20"/>
        </w:rPr>
        <w:t xml:space="preserve"> or providing the information. </w:t>
      </w:r>
      <w:r w:rsidRPr="004134E5">
        <w:rPr>
          <w:rFonts w:ascii="Arial" w:hAnsi="Arial" w:cs="Arial"/>
          <w:b/>
          <w:sz w:val="20"/>
        </w:rPr>
        <w:t>Include descriptions of methods used to estimate major cost factors including system and technology acquisition, expected useful life of capital equipment</w:t>
      </w:r>
      <w:r w:rsidRPr="004134E5">
        <w:rPr>
          <w:rFonts w:ascii="Arial" w:hAnsi="Arial" w:cs="Arial"/>
          <w:sz w:val="20"/>
        </w:rPr>
        <w:t>,</w:t>
      </w:r>
      <w:r w:rsidRPr="004134E5">
        <w:rPr>
          <w:rFonts w:ascii="Arial" w:hAnsi="Arial" w:cs="Arial"/>
          <w:b/>
          <w:sz w:val="20"/>
        </w:rPr>
        <w:t xml:space="preserve"> the discount rate(s), and the time period over</w:t>
      </w:r>
      <w:r w:rsidR="00F32AE2">
        <w:rPr>
          <w:rFonts w:ascii="Arial" w:hAnsi="Arial" w:cs="Arial"/>
          <w:b/>
          <w:sz w:val="20"/>
        </w:rPr>
        <w:t xml:space="preserve"> which costs will be incurred. </w:t>
      </w:r>
      <w:r w:rsidRPr="004134E5">
        <w:rPr>
          <w:rFonts w:ascii="Arial" w:hAnsi="Arial" w:cs="Arial"/>
          <w:b/>
          <w:sz w:val="20"/>
        </w:rPr>
        <w:t>Capital and start-up costs include, among other items, preparations for collecting information such as purchasing computers and software; monitoring, sampling, drilling and testing equipment; and record storage facilities.</w:t>
      </w:r>
      <w:r w:rsidRPr="004134E5">
        <w:rPr>
          <w:rFonts w:ascii="Arial" w:hAnsi="Arial" w:cs="Arial"/>
          <w:b/>
          <w:sz w:val="20"/>
        </w:rPr>
        <w:br/>
      </w:r>
      <w:r w:rsidRPr="004134E5">
        <w:rPr>
          <w:rFonts w:ascii="Arial" w:hAnsi="Arial" w:cs="Arial"/>
          <w:b/>
          <w:sz w:val="20"/>
        </w:rPr>
        <w:br/>
        <w:t xml:space="preserve"> If cost estimates are expected to vary widely, agencies should present rates of cost burdens and explain</w:t>
      </w:r>
      <w:r w:rsidR="00F32AE2">
        <w:rPr>
          <w:rFonts w:ascii="Arial" w:hAnsi="Arial" w:cs="Arial"/>
          <w:b/>
          <w:sz w:val="20"/>
        </w:rPr>
        <w:t xml:space="preserve"> the reasons for the variance. </w:t>
      </w:r>
      <w:r w:rsidRPr="004134E5">
        <w:rPr>
          <w:rFonts w:ascii="Arial" w:hAnsi="Arial" w:cs="Arial"/>
          <w:b/>
          <w:sz w:val="20"/>
        </w:rPr>
        <w:t>The cost of purchasing or contracting out information collection services should be a part</w:t>
      </w:r>
      <w:r w:rsidR="00F32AE2">
        <w:rPr>
          <w:rFonts w:ascii="Arial" w:hAnsi="Arial" w:cs="Arial"/>
          <w:b/>
          <w:sz w:val="20"/>
        </w:rPr>
        <w:t xml:space="preserve"> of this cost burden estimate. </w:t>
      </w:r>
      <w:r w:rsidRPr="004134E5">
        <w:rPr>
          <w:rFonts w:ascii="Arial" w:hAnsi="Arial" w:cs="Arial"/>
          <w:b/>
          <w:sz w:val="20"/>
        </w:rPr>
        <w:t>In developing cost burden estimates, agencies may consult with a sample of respondents (fewer than 10), utilize the 60-day pre-OMB submission public comment process and use existing economic or</w:t>
      </w:r>
      <w:r w:rsidRPr="004134E5">
        <w:rPr>
          <w:rFonts w:ascii="Arial" w:hAnsi="Arial" w:cs="Arial"/>
          <w:sz w:val="20"/>
        </w:rPr>
        <w:t xml:space="preserve"> </w:t>
      </w:r>
      <w:r w:rsidRPr="004134E5">
        <w:rPr>
          <w:rFonts w:ascii="Arial" w:hAnsi="Arial" w:cs="Arial"/>
          <w:b/>
          <w:sz w:val="20"/>
        </w:rPr>
        <w:t>regulatory impact analysis associated with the rulemaking containing the information collection, as appropriate.</w:t>
      </w:r>
    </w:p>
    <w:p w:rsidRPr="004134E5" w:rsidR="00485173" w:rsidP="00485173" w:rsidRDefault="00485173" w14:paraId="72FFE936" w14:textId="77777777">
      <w:pPr>
        <w:pStyle w:val="List2"/>
        <w:rPr>
          <w:rFonts w:ascii="Arial" w:hAnsi="Arial" w:cs="Arial"/>
          <w:b/>
          <w:sz w:val="20"/>
        </w:rPr>
      </w:pPr>
    </w:p>
    <w:p w:rsidRPr="004134E5" w:rsidR="00485173" w:rsidP="00875008" w:rsidRDefault="00485173" w14:paraId="5EA2AC55" w14:textId="77777777">
      <w:pPr>
        <w:pStyle w:val="List2"/>
        <w:ind w:left="1080"/>
        <w:rPr>
          <w:rFonts w:ascii="Arial" w:hAnsi="Arial" w:cs="Arial"/>
          <w:b/>
          <w:sz w:val="20"/>
        </w:rPr>
      </w:pPr>
      <w:r w:rsidRPr="004134E5">
        <w:rPr>
          <w:rFonts w:ascii="Arial" w:hAnsi="Arial" w:cs="Arial"/>
          <w:b/>
          <w:sz w:val="20"/>
        </w:rPr>
        <w:t xml:space="preserve">Generally, estimates should not include purchases of equipment or services, or portions </w:t>
      </w:r>
    </w:p>
    <w:p w:rsidRPr="004134E5" w:rsidR="00485173" w:rsidP="00875008" w:rsidRDefault="00485173" w14:paraId="21BA327D" w14:textId="77777777">
      <w:pPr>
        <w:pStyle w:val="List2"/>
        <w:ind w:left="1080"/>
        <w:rPr>
          <w:rFonts w:ascii="Arial" w:hAnsi="Arial" w:cs="Arial"/>
          <w:b/>
          <w:sz w:val="20"/>
        </w:rPr>
      </w:pPr>
      <w:r w:rsidRPr="004134E5">
        <w:rPr>
          <w:rFonts w:ascii="Arial" w:hAnsi="Arial" w:cs="Arial"/>
          <w:b/>
          <w:sz w:val="20"/>
        </w:rPr>
        <w:t xml:space="preserve">thereof, made:  (1) prior to October 1, 1995, (2) to achieve regulatory compliance with </w:t>
      </w:r>
    </w:p>
    <w:p w:rsidRPr="004134E5" w:rsidR="00485173" w:rsidP="00875008" w:rsidRDefault="00485173" w14:paraId="7F2FB7AE" w14:textId="77777777">
      <w:pPr>
        <w:pStyle w:val="List2"/>
        <w:ind w:left="1080"/>
        <w:rPr>
          <w:rFonts w:ascii="Arial" w:hAnsi="Arial" w:cs="Arial"/>
          <w:b/>
          <w:sz w:val="20"/>
        </w:rPr>
      </w:pPr>
      <w:r w:rsidRPr="004134E5">
        <w:rPr>
          <w:rFonts w:ascii="Arial" w:hAnsi="Arial" w:cs="Arial"/>
          <w:b/>
          <w:sz w:val="20"/>
        </w:rPr>
        <w:t xml:space="preserve">requirements not associated with the information collection, (3) for reasons other than to </w:t>
      </w:r>
    </w:p>
    <w:p w:rsidRPr="004134E5" w:rsidR="00875008" w:rsidP="00875008" w:rsidRDefault="00485173" w14:paraId="64A678FB" w14:textId="77777777">
      <w:pPr>
        <w:pStyle w:val="List2"/>
        <w:ind w:left="1080"/>
        <w:rPr>
          <w:rFonts w:ascii="Arial" w:hAnsi="Arial" w:cs="Arial"/>
          <w:b/>
          <w:sz w:val="20"/>
        </w:rPr>
      </w:pPr>
      <w:r w:rsidRPr="004134E5">
        <w:rPr>
          <w:rFonts w:ascii="Arial" w:hAnsi="Arial" w:cs="Arial"/>
          <w:b/>
          <w:sz w:val="20"/>
        </w:rPr>
        <w:t>provide information or keep records for the government, or (4) as part of customary and</w:t>
      </w:r>
      <w:r w:rsidRPr="004134E5" w:rsidR="00875008">
        <w:rPr>
          <w:rFonts w:ascii="Arial" w:hAnsi="Arial" w:cs="Arial"/>
          <w:b/>
          <w:sz w:val="20"/>
        </w:rPr>
        <w:t xml:space="preserve"> </w:t>
      </w:r>
    </w:p>
    <w:p w:rsidRPr="004134E5" w:rsidR="00485173" w:rsidP="00875008" w:rsidRDefault="00485173" w14:paraId="617C2F3D" w14:textId="77777777">
      <w:pPr>
        <w:pStyle w:val="List2"/>
        <w:ind w:left="1080"/>
        <w:rPr>
          <w:rFonts w:ascii="Arial" w:hAnsi="Arial" w:cs="Arial"/>
          <w:sz w:val="20"/>
        </w:rPr>
      </w:pPr>
      <w:r w:rsidRPr="004134E5">
        <w:rPr>
          <w:rFonts w:ascii="Arial" w:hAnsi="Arial" w:cs="Arial"/>
          <w:b/>
          <w:sz w:val="20"/>
        </w:rPr>
        <w:t>usual business or private practices</w:t>
      </w:r>
      <w:r w:rsidRPr="004134E5">
        <w:rPr>
          <w:rFonts w:ascii="Arial" w:hAnsi="Arial" w:cs="Arial"/>
          <w:sz w:val="20"/>
        </w:rPr>
        <w:t>.</w:t>
      </w:r>
    </w:p>
    <w:p w:rsidRPr="004134E5" w:rsidR="00485173" w:rsidP="00485173" w:rsidRDefault="00485173" w14:paraId="742D333D" w14:textId="77777777">
      <w:pPr>
        <w:pStyle w:val="List2"/>
        <w:rPr>
          <w:rFonts w:ascii="Arial" w:hAnsi="Arial" w:cs="Arial"/>
          <w:sz w:val="20"/>
        </w:rPr>
      </w:pPr>
    </w:p>
    <w:p w:rsidRPr="004134E5" w:rsidR="004C0B1E" w:rsidP="00AD0BAA" w:rsidRDefault="00AC488D" w14:paraId="0513A393" w14:textId="5CD5F551">
      <w:pPr>
        <w:pStyle w:val="List2"/>
        <w:ind w:left="1080" w:firstLine="0"/>
        <w:rPr>
          <w:rFonts w:ascii="Arial" w:hAnsi="Arial" w:cs="Arial"/>
          <w:sz w:val="20"/>
        </w:rPr>
      </w:pPr>
      <w:r>
        <w:rPr>
          <w:rFonts w:ascii="Arial" w:hAnsi="Arial" w:cs="Arial"/>
          <w:sz w:val="20"/>
        </w:rPr>
        <w:t>No</w:t>
      </w:r>
      <w:r w:rsidR="00AD0BAA">
        <w:rPr>
          <w:rFonts w:ascii="Arial" w:hAnsi="Arial" w:cs="Arial"/>
          <w:sz w:val="20"/>
        </w:rPr>
        <w:t>ne</w:t>
      </w:r>
      <w:r>
        <w:rPr>
          <w:rFonts w:ascii="Arial" w:hAnsi="Arial" w:cs="Arial"/>
          <w:sz w:val="20"/>
        </w:rPr>
        <w:t xml:space="preserve">. </w:t>
      </w:r>
      <w:r w:rsidRPr="004134E5" w:rsidR="00485173">
        <w:rPr>
          <w:rFonts w:ascii="Arial" w:hAnsi="Arial" w:cs="Arial"/>
          <w:sz w:val="20"/>
        </w:rPr>
        <w:br/>
      </w:r>
    </w:p>
    <w:p w:rsidRPr="004134E5" w:rsidR="00875008" w:rsidP="00932024" w:rsidRDefault="004C0B1E" w14:paraId="5D76EDFB" w14:textId="77777777">
      <w:pPr>
        <w:pStyle w:val="List2"/>
        <w:numPr>
          <w:ilvl w:val="0"/>
          <w:numId w:val="2"/>
        </w:numPr>
        <w:rPr>
          <w:rFonts w:ascii="Arial" w:hAnsi="Arial" w:cs="Arial"/>
          <w:sz w:val="20"/>
        </w:rPr>
      </w:pPr>
      <w:r w:rsidRPr="004134E5">
        <w:rPr>
          <w:rFonts w:ascii="Arial" w:hAnsi="Arial" w:cs="Arial"/>
          <w:b/>
          <w:sz w:val="20"/>
        </w:rPr>
        <w:t>Provide estimates of annualized c</w:t>
      </w:r>
      <w:r w:rsidR="00F32AE2">
        <w:rPr>
          <w:rFonts w:ascii="Arial" w:hAnsi="Arial" w:cs="Arial"/>
          <w:b/>
          <w:sz w:val="20"/>
        </w:rPr>
        <w:t xml:space="preserve">ost to the Federal government. </w:t>
      </w:r>
      <w:r w:rsidRPr="004134E5">
        <w:rPr>
          <w:rFonts w:ascii="Arial" w:hAnsi="Arial" w:cs="Arial"/>
          <w:b/>
          <w:sz w:val="20"/>
        </w:rPr>
        <w:t>Also, provide a description of the method used to estimate cost, which should include quantification of hours, operational expenses (such as equipment, overhead, printing, and support staff), and any other expense that would not have been incurred without t</w:t>
      </w:r>
      <w:r w:rsidR="00F32AE2">
        <w:rPr>
          <w:rFonts w:ascii="Arial" w:hAnsi="Arial" w:cs="Arial"/>
          <w:b/>
          <w:sz w:val="20"/>
        </w:rPr>
        <w:t xml:space="preserve">his collection of information. </w:t>
      </w:r>
      <w:r w:rsidRPr="004134E5">
        <w:rPr>
          <w:rFonts w:ascii="Arial" w:hAnsi="Arial" w:cs="Arial"/>
          <w:b/>
          <w:sz w:val="20"/>
        </w:rPr>
        <w:t>Agencies also may aggregate cost estimates from Items 12, 13, and 14 in a single table.</w:t>
      </w:r>
    </w:p>
    <w:p w:rsidR="00521316" w:rsidP="00E17108" w:rsidRDefault="00521316" w14:paraId="743F53EE" w14:textId="77777777">
      <w:pPr>
        <w:pStyle w:val="List2"/>
        <w:ind w:firstLine="0"/>
        <w:rPr>
          <w:rFonts w:ascii="Arial" w:hAnsi="Arial" w:cs="Arial"/>
          <w:b/>
          <w:sz w:val="20"/>
        </w:rPr>
      </w:pPr>
    </w:p>
    <w:p w:rsidRPr="00521316" w:rsidR="00521316" w:rsidP="00521316" w:rsidRDefault="00521316" w14:paraId="5DE680AB" w14:textId="74707E36">
      <w:pPr>
        <w:pStyle w:val="List2"/>
        <w:ind w:left="1440" w:firstLine="720"/>
        <w:rPr>
          <w:rFonts w:ascii="Arial" w:hAnsi="Arial" w:cs="Arial"/>
          <w:bCs/>
          <w:sz w:val="20"/>
        </w:rPr>
      </w:pPr>
      <w:r w:rsidRPr="00521316">
        <w:rPr>
          <w:rFonts w:ascii="Arial" w:hAnsi="Arial" w:cs="Arial"/>
          <w:bCs/>
          <w:sz w:val="20"/>
        </w:rPr>
        <w:t>Estimated Infrastructure Costs: avg $1</w:t>
      </w:r>
      <w:r>
        <w:rPr>
          <w:rFonts w:ascii="Arial" w:hAnsi="Arial" w:cs="Arial"/>
          <w:bCs/>
          <w:sz w:val="20"/>
        </w:rPr>
        <w:t>,</w:t>
      </w:r>
      <w:r w:rsidRPr="00521316">
        <w:rPr>
          <w:rFonts w:ascii="Arial" w:hAnsi="Arial" w:cs="Arial"/>
          <w:bCs/>
          <w:sz w:val="20"/>
        </w:rPr>
        <w:t>250 per month (based on first 3 months of Azure</w:t>
      </w:r>
    </w:p>
    <w:p w:rsidRPr="00521316" w:rsidR="00521316" w:rsidP="00521316" w:rsidRDefault="00521316" w14:paraId="6EE301FA" w14:textId="1EBC6E44">
      <w:pPr>
        <w:pStyle w:val="List2"/>
        <w:ind w:left="2160" w:firstLine="0"/>
        <w:rPr>
          <w:rFonts w:ascii="Arial" w:hAnsi="Arial" w:cs="Arial"/>
          <w:bCs/>
          <w:sz w:val="20"/>
        </w:rPr>
      </w:pPr>
      <w:r w:rsidRPr="00521316">
        <w:rPr>
          <w:rFonts w:ascii="Arial" w:hAnsi="Arial" w:cs="Arial"/>
          <w:bCs/>
          <w:sz w:val="20"/>
        </w:rPr>
        <w:t xml:space="preserve">usage </w:t>
      </w:r>
      <w:r w:rsidR="00EB68E2">
        <w:rPr>
          <w:rFonts w:ascii="Arial" w:hAnsi="Arial" w:cs="Arial"/>
          <w:bCs/>
          <w:sz w:val="20"/>
        </w:rPr>
        <w:t xml:space="preserve">- </w:t>
      </w:r>
      <w:r w:rsidRPr="00521316" w:rsidR="00EB68E2">
        <w:rPr>
          <w:rFonts w:ascii="Arial" w:hAnsi="Arial" w:cs="Arial"/>
          <w:bCs/>
          <w:sz w:val="20"/>
        </w:rPr>
        <w:t>Feb</w:t>
      </w:r>
      <w:r w:rsidRPr="00521316">
        <w:rPr>
          <w:rFonts w:ascii="Arial" w:hAnsi="Arial" w:cs="Arial"/>
          <w:bCs/>
          <w:sz w:val="20"/>
        </w:rPr>
        <w:t>/Mar/April 2021</w:t>
      </w:r>
      <w:r>
        <w:rPr>
          <w:rFonts w:ascii="Arial" w:hAnsi="Arial" w:cs="Arial"/>
          <w:bCs/>
          <w:sz w:val="20"/>
        </w:rPr>
        <w:t xml:space="preserve"> as basis</w:t>
      </w:r>
    </w:p>
    <w:p w:rsidRPr="00521316" w:rsidR="00521316" w:rsidP="00521316" w:rsidRDefault="00521316" w14:paraId="5C8DAF66" w14:textId="1E410C26">
      <w:pPr>
        <w:pStyle w:val="List2"/>
        <w:ind w:left="2160" w:firstLine="0"/>
        <w:rPr>
          <w:rFonts w:ascii="Arial" w:hAnsi="Arial" w:cs="Arial"/>
          <w:bCs/>
          <w:sz w:val="20"/>
        </w:rPr>
      </w:pPr>
      <w:r w:rsidRPr="00521316">
        <w:rPr>
          <w:rFonts w:ascii="Arial" w:hAnsi="Arial" w:cs="Arial"/>
          <w:bCs/>
          <w:sz w:val="20"/>
        </w:rPr>
        <w:t xml:space="preserve">Estimated labor contract support costs: $11k per month (based off of </w:t>
      </w:r>
      <w:r>
        <w:rPr>
          <w:rFonts w:ascii="Arial" w:hAnsi="Arial" w:cs="Arial"/>
          <w:bCs/>
          <w:sz w:val="20"/>
        </w:rPr>
        <w:t xml:space="preserve">technology </w:t>
      </w:r>
      <w:r w:rsidRPr="00521316">
        <w:rPr>
          <w:rFonts w:ascii="Arial" w:hAnsi="Arial" w:cs="Arial"/>
          <w:bCs/>
          <w:sz w:val="20"/>
        </w:rPr>
        <w:t>S</w:t>
      </w:r>
      <w:r>
        <w:rPr>
          <w:rFonts w:ascii="Arial" w:hAnsi="Arial" w:cs="Arial"/>
          <w:bCs/>
          <w:sz w:val="20"/>
        </w:rPr>
        <w:t xml:space="preserve">tatement </w:t>
      </w:r>
      <w:r w:rsidRPr="00521316" w:rsidR="00EB68E2">
        <w:rPr>
          <w:rFonts w:ascii="Arial" w:hAnsi="Arial" w:cs="Arial"/>
          <w:bCs/>
          <w:sz w:val="20"/>
        </w:rPr>
        <w:t>of</w:t>
      </w:r>
      <w:r>
        <w:rPr>
          <w:rFonts w:ascii="Arial" w:hAnsi="Arial" w:cs="Arial"/>
          <w:bCs/>
          <w:sz w:val="20"/>
        </w:rPr>
        <w:t xml:space="preserve"> </w:t>
      </w:r>
      <w:r w:rsidRPr="00521316">
        <w:rPr>
          <w:rFonts w:ascii="Arial" w:hAnsi="Arial" w:cs="Arial"/>
          <w:bCs/>
          <w:sz w:val="20"/>
        </w:rPr>
        <w:t>W</w:t>
      </w:r>
      <w:r>
        <w:rPr>
          <w:rFonts w:ascii="Arial" w:hAnsi="Arial" w:cs="Arial"/>
          <w:bCs/>
          <w:sz w:val="20"/>
        </w:rPr>
        <w:t>ork (SOW)</w:t>
      </w:r>
      <w:r w:rsidRPr="00521316">
        <w:rPr>
          <w:rFonts w:ascii="Arial" w:hAnsi="Arial" w:cs="Arial"/>
          <w:bCs/>
          <w:sz w:val="20"/>
        </w:rPr>
        <w:t>)</w:t>
      </w:r>
    </w:p>
    <w:p w:rsidRPr="00521316" w:rsidR="00521316" w:rsidP="00521316" w:rsidRDefault="00521316" w14:paraId="79570E19" w14:textId="25DF82E2">
      <w:pPr>
        <w:pStyle w:val="List2"/>
        <w:ind w:left="2160" w:firstLine="0"/>
        <w:rPr>
          <w:rFonts w:ascii="Arial" w:hAnsi="Arial" w:cs="Arial"/>
          <w:bCs/>
          <w:sz w:val="20"/>
        </w:rPr>
      </w:pPr>
      <w:r w:rsidRPr="00521316">
        <w:rPr>
          <w:rFonts w:ascii="Arial" w:hAnsi="Arial" w:cs="Arial"/>
          <w:bCs/>
          <w:sz w:val="20"/>
        </w:rPr>
        <w:t>TOTAL: ($1</w:t>
      </w:r>
      <w:r>
        <w:rPr>
          <w:rFonts w:ascii="Arial" w:hAnsi="Arial" w:cs="Arial"/>
          <w:bCs/>
          <w:sz w:val="20"/>
        </w:rPr>
        <w:t>,</w:t>
      </w:r>
      <w:r w:rsidRPr="00521316">
        <w:rPr>
          <w:rFonts w:ascii="Arial" w:hAnsi="Arial" w:cs="Arial"/>
          <w:bCs/>
          <w:sz w:val="20"/>
        </w:rPr>
        <w:t>250*12) + ($11k*12) = $</w:t>
      </w:r>
      <w:r>
        <w:rPr>
          <w:rFonts w:ascii="Arial" w:hAnsi="Arial" w:cs="Arial"/>
          <w:bCs/>
          <w:sz w:val="20"/>
        </w:rPr>
        <w:t>147</w:t>
      </w:r>
      <w:r w:rsidRPr="00521316">
        <w:rPr>
          <w:rFonts w:ascii="Arial" w:hAnsi="Arial" w:cs="Arial"/>
          <w:bCs/>
          <w:sz w:val="20"/>
        </w:rPr>
        <w:t>k</w:t>
      </w:r>
    </w:p>
    <w:p w:rsidR="00521316" w:rsidP="00E17108" w:rsidRDefault="00521316" w14:paraId="65576FF5" w14:textId="77777777">
      <w:pPr>
        <w:pStyle w:val="List2"/>
        <w:ind w:firstLine="0"/>
        <w:rPr>
          <w:rFonts w:ascii="Arial" w:hAnsi="Arial" w:cs="Arial"/>
          <w:b/>
          <w:sz w:val="20"/>
        </w:rPr>
      </w:pPr>
    </w:p>
    <w:p w:rsidRPr="004134E5" w:rsidR="0007039E" w:rsidP="00521316" w:rsidRDefault="0007039E" w14:paraId="007999D4" w14:textId="3B6A9D25">
      <w:pPr>
        <w:pStyle w:val="List2"/>
        <w:ind w:firstLine="0"/>
        <w:rPr>
          <w:rFonts w:ascii="Arial" w:hAnsi="Arial" w:cs="Arial"/>
          <w:sz w:val="20"/>
        </w:rPr>
      </w:pPr>
    </w:p>
    <w:p w:rsidRPr="000E5B7A" w:rsidR="00EF489A" w:rsidP="00E17108" w:rsidRDefault="007E678A" w14:paraId="540F13C9" w14:textId="77777777">
      <w:pPr>
        <w:pStyle w:val="List2"/>
        <w:numPr>
          <w:ilvl w:val="0"/>
          <w:numId w:val="2"/>
        </w:numPr>
        <w:rPr>
          <w:rFonts w:ascii="Arial" w:hAnsi="Arial" w:cs="Arial"/>
          <w:sz w:val="20"/>
        </w:rPr>
      </w:pPr>
      <w:r w:rsidRPr="000E5B7A">
        <w:rPr>
          <w:rFonts w:ascii="Arial" w:hAnsi="Arial" w:cs="Arial"/>
          <w:b/>
          <w:sz w:val="20"/>
        </w:rPr>
        <w:t>Explain the reasons for any program changes or adjustment reported in Items 13 or 14 of the OMB Form 83-I.</w:t>
      </w:r>
      <w:r w:rsidRPr="000E5B7A">
        <w:rPr>
          <w:rFonts w:ascii="Arial" w:hAnsi="Arial" w:cs="Arial"/>
          <w:b/>
          <w:sz w:val="20"/>
        </w:rPr>
        <w:br/>
      </w:r>
      <w:r w:rsidRPr="000E5B7A">
        <w:rPr>
          <w:rFonts w:ascii="Arial" w:hAnsi="Arial" w:cs="Arial"/>
          <w:sz w:val="20"/>
        </w:rPr>
        <w:br/>
      </w:r>
      <w:r w:rsidRPr="000E5B7A" w:rsidR="000E5B7A">
        <w:rPr>
          <w:rFonts w:ascii="Arial" w:hAnsi="Arial" w:cs="Arial"/>
          <w:sz w:val="20"/>
        </w:rPr>
        <w:t>Not applicable.</w:t>
      </w:r>
    </w:p>
    <w:p w:rsidRPr="004134E5" w:rsidR="007E678A" w:rsidP="00EF489A" w:rsidRDefault="007E678A" w14:paraId="6176E195" w14:textId="77777777">
      <w:pPr>
        <w:pStyle w:val="List2"/>
        <w:ind w:firstLine="0"/>
        <w:rPr>
          <w:rFonts w:ascii="Arial" w:hAnsi="Arial" w:cs="Arial"/>
          <w:strike/>
          <w:sz w:val="20"/>
        </w:rPr>
      </w:pPr>
      <w:r w:rsidRPr="004134E5">
        <w:rPr>
          <w:rFonts w:ascii="Arial" w:hAnsi="Arial" w:cs="Arial"/>
          <w:strike/>
          <w:sz w:val="20"/>
        </w:rPr>
        <w:br/>
      </w:r>
    </w:p>
    <w:p w:rsidRPr="004134E5" w:rsidR="00330A65" w:rsidP="00E17108" w:rsidRDefault="008F6F8D" w14:paraId="28B8F516" w14:textId="763B9D86">
      <w:pPr>
        <w:pStyle w:val="List2"/>
        <w:numPr>
          <w:ilvl w:val="0"/>
          <w:numId w:val="2"/>
        </w:numPr>
        <w:rPr>
          <w:rFonts w:ascii="Arial" w:hAnsi="Arial" w:cs="Arial"/>
          <w:sz w:val="20"/>
        </w:rPr>
      </w:pPr>
      <w:r w:rsidRPr="004134E5">
        <w:rPr>
          <w:rFonts w:ascii="Arial" w:hAnsi="Arial" w:cs="Arial"/>
          <w:b/>
          <w:sz w:val="20"/>
        </w:rPr>
        <w:t>For collections of information whose results will be published, outline plans for tabulation, and publication</w:t>
      </w:r>
      <w:r w:rsidR="002F5A38">
        <w:rPr>
          <w:rFonts w:ascii="Arial" w:hAnsi="Arial" w:cs="Arial"/>
          <w:b/>
          <w:sz w:val="20"/>
        </w:rPr>
        <w:t xml:space="preserve">. </w:t>
      </w:r>
      <w:r w:rsidRPr="004134E5">
        <w:rPr>
          <w:rFonts w:ascii="Arial" w:hAnsi="Arial" w:cs="Arial"/>
          <w:b/>
          <w:sz w:val="20"/>
        </w:rPr>
        <w:t>Address any complex analytical</w:t>
      </w:r>
      <w:r w:rsidR="00210B32">
        <w:rPr>
          <w:rFonts w:ascii="Arial" w:hAnsi="Arial" w:cs="Arial"/>
          <w:b/>
          <w:sz w:val="20"/>
        </w:rPr>
        <w:t xml:space="preserve"> techniques that will be used. </w:t>
      </w:r>
      <w:r w:rsidRPr="004134E5">
        <w:rPr>
          <w:rFonts w:ascii="Arial" w:hAnsi="Arial" w:cs="Arial"/>
          <w:b/>
          <w:sz w:val="20"/>
        </w:rPr>
        <w:t>Provide the time schedule for the entire project, including beginning and ending dates of the collection of information, completion of report, publication dates, and other actions.</w:t>
      </w:r>
      <w:r w:rsidRPr="004134E5">
        <w:rPr>
          <w:rFonts w:ascii="Arial" w:hAnsi="Arial" w:cs="Arial"/>
          <w:b/>
          <w:sz w:val="20"/>
        </w:rPr>
        <w:br/>
      </w:r>
      <w:r w:rsidRPr="004134E5">
        <w:rPr>
          <w:rFonts w:ascii="Arial" w:hAnsi="Arial" w:cs="Arial"/>
          <w:b/>
          <w:sz w:val="20"/>
        </w:rPr>
        <w:br/>
      </w:r>
      <w:r w:rsidRPr="004134E5">
        <w:rPr>
          <w:rFonts w:ascii="Arial" w:hAnsi="Arial" w:cs="Arial"/>
          <w:sz w:val="20"/>
        </w:rPr>
        <w:lastRenderedPageBreak/>
        <w:t>Not applicable.</w:t>
      </w:r>
      <w:r w:rsidRPr="00521316" w:rsidR="00521316">
        <w:t xml:space="preserve"> </w:t>
      </w:r>
      <w:r w:rsidRPr="00521316" w:rsidR="00521316">
        <w:rPr>
          <w:rFonts w:ascii="Arial" w:hAnsi="Arial" w:cs="Arial"/>
          <w:sz w:val="20"/>
        </w:rPr>
        <w:t>The results of this information collection are not planned for publication or statistical use.</w:t>
      </w:r>
      <w:r w:rsidRPr="004134E5">
        <w:rPr>
          <w:rFonts w:ascii="Arial" w:hAnsi="Arial" w:cs="Arial"/>
          <w:sz w:val="20"/>
        </w:rPr>
        <w:br/>
      </w:r>
    </w:p>
    <w:p w:rsidRPr="004134E5" w:rsidR="008F6F8D" w:rsidP="00330A65" w:rsidRDefault="008F6F8D" w14:paraId="5A9F0C4E" w14:textId="77777777">
      <w:pPr>
        <w:pStyle w:val="List2"/>
        <w:ind w:left="360" w:firstLine="0"/>
        <w:rPr>
          <w:rFonts w:ascii="Arial" w:hAnsi="Arial" w:cs="Arial"/>
          <w:sz w:val="20"/>
        </w:rPr>
      </w:pPr>
    </w:p>
    <w:p w:rsidRPr="004134E5" w:rsidR="008F6F8D" w:rsidP="00E17108" w:rsidRDefault="008F6F8D" w14:paraId="22A7F8D6" w14:textId="77777777">
      <w:pPr>
        <w:pStyle w:val="List2"/>
        <w:numPr>
          <w:ilvl w:val="0"/>
          <w:numId w:val="2"/>
        </w:numPr>
        <w:rPr>
          <w:rFonts w:ascii="Arial" w:hAnsi="Arial" w:cs="Arial"/>
          <w:sz w:val="20"/>
        </w:rPr>
      </w:pPr>
      <w:r w:rsidRPr="004134E5">
        <w:rPr>
          <w:rFonts w:ascii="Arial" w:hAnsi="Arial" w:cs="Arial"/>
          <w:b/>
          <w:sz w:val="20"/>
        </w:rPr>
        <w:t>If seeking approval to not display the expiration date for OMB approval of the information collection, explain the reasons that display would be inappropriate</w:t>
      </w:r>
      <w:r w:rsidR="00210B32">
        <w:rPr>
          <w:rFonts w:ascii="Arial" w:hAnsi="Arial" w:cs="Arial"/>
          <w:sz w:val="20"/>
        </w:rPr>
        <w:t>.</w:t>
      </w:r>
      <w:r w:rsidRPr="004134E5">
        <w:rPr>
          <w:rFonts w:ascii="Arial" w:hAnsi="Arial" w:cs="Arial"/>
          <w:sz w:val="20"/>
        </w:rPr>
        <w:br/>
      </w:r>
      <w:r w:rsidRPr="004134E5">
        <w:rPr>
          <w:rFonts w:ascii="Arial" w:hAnsi="Arial" w:cs="Arial"/>
          <w:sz w:val="20"/>
        </w:rPr>
        <w:br/>
        <w:t>Not applicable.</w:t>
      </w:r>
      <w:r w:rsidRPr="004134E5">
        <w:rPr>
          <w:rFonts w:ascii="Arial" w:hAnsi="Arial" w:cs="Arial"/>
          <w:sz w:val="20"/>
        </w:rPr>
        <w:br/>
      </w:r>
    </w:p>
    <w:p w:rsidRPr="004134E5" w:rsidR="008F6F8D" w:rsidP="00E17108" w:rsidRDefault="008F6F8D" w14:paraId="2101DDD2" w14:textId="77777777">
      <w:pPr>
        <w:pStyle w:val="List2"/>
        <w:numPr>
          <w:ilvl w:val="0"/>
          <w:numId w:val="2"/>
        </w:numPr>
        <w:rPr>
          <w:rFonts w:ascii="Arial" w:hAnsi="Arial" w:cs="Arial"/>
          <w:sz w:val="20"/>
        </w:rPr>
      </w:pPr>
      <w:r w:rsidRPr="004134E5">
        <w:rPr>
          <w:rFonts w:ascii="Arial" w:hAnsi="Arial" w:cs="Arial"/>
          <w:b/>
          <w:sz w:val="20"/>
        </w:rPr>
        <w:t>Explain each exception to the certification statement identified in Item 19, “Certification for Paperwork Reduction Act Submissions,” of OMB Form 83-I.</w:t>
      </w:r>
      <w:r w:rsidRPr="004134E5">
        <w:rPr>
          <w:rFonts w:ascii="Arial" w:hAnsi="Arial" w:cs="Arial"/>
          <w:b/>
          <w:sz w:val="20"/>
        </w:rPr>
        <w:br/>
      </w:r>
      <w:r w:rsidRPr="004134E5">
        <w:rPr>
          <w:rFonts w:ascii="Arial" w:hAnsi="Arial" w:cs="Arial"/>
          <w:sz w:val="20"/>
        </w:rPr>
        <w:br/>
        <w:t>Not applicable.</w:t>
      </w:r>
      <w:r w:rsidRPr="004134E5">
        <w:rPr>
          <w:rFonts w:ascii="Arial" w:hAnsi="Arial" w:cs="Arial"/>
          <w:sz w:val="20"/>
        </w:rPr>
        <w:br/>
      </w:r>
    </w:p>
    <w:p w:rsidRPr="004134E5" w:rsidR="006F7289" w:rsidP="006F7289" w:rsidRDefault="006F7289" w14:paraId="5FA77DFB" w14:textId="77777777">
      <w:pPr>
        <w:pStyle w:val="List2"/>
        <w:ind w:left="360"/>
        <w:rPr>
          <w:rFonts w:ascii="Arial" w:hAnsi="Arial" w:cs="Arial"/>
          <w:b/>
          <w:sz w:val="20"/>
        </w:rPr>
      </w:pPr>
    </w:p>
    <w:p w:rsidR="00040844" w:rsidRDefault="00040844" w14:paraId="3798E4F8" w14:textId="77777777">
      <w:pPr>
        <w:overflowPunct/>
        <w:autoSpaceDE/>
        <w:autoSpaceDN/>
        <w:adjustRightInd/>
        <w:textAlignment w:val="auto"/>
        <w:rPr>
          <w:rFonts w:ascii="Arial" w:hAnsi="Arial" w:cs="Arial"/>
          <w:b/>
          <w:bCs/>
          <w:sz w:val="20"/>
        </w:rPr>
      </w:pPr>
      <w:r>
        <w:rPr>
          <w:rFonts w:ascii="Arial" w:hAnsi="Arial" w:cs="Arial"/>
          <w:b/>
          <w:bCs/>
          <w:sz w:val="20"/>
        </w:rPr>
        <w:br w:type="page"/>
      </w:r>
    </w:p>
    <w:p w:rsidRPr="004134E5" w:rsidR="006F7289" w:rsidP="006F7289" w:rsidRDefault="006F7289" w14:paraId="7F94CF50" w14:textId="77777777">
      <w:pPr>
        <w:rPr>
          <w:rFonts w:ascii="Arial" w:hAnsi="Arial" w:cs="Arial"/>
          <w:b/>
          <w:bCs/>
          <w:sz w:val="20"/>
        </w:rPr>
      </w:pPr>
      <w:r w:rsidRPr="004134E5">
        <w:rPr>
          <w:rFonts w:ascii="Arial" w:hAnsi="Arial" w:cs="Arial"/>
          <w:b/>
          <w:bCs/>
          <w:sz w:val="20"/>
        </w:rPr>
        <w:lastRenderedPageBreak/>
        <w:t xml:space="preserve">B. Collections of Information Employing Statistical Methods </w:t>
      </w:r>
    </w:p>
    <w:p w:rsidRPr="004134E5" w:rsidR="00A873E2" w:rsidP="006F7289" w:rsidRDefault="00A873E2" w14:paraId="0AE22C5F" w14:textId="77777777">
      <w:pPr>
        <w:rPr>
          <w:rFonts w:ascii="Arial" w:hAnsi="Arial" w:cs="Arial"/>
          <w:b/>
          <w:bCs/>
          <w:sz w:val="20"/>
        </w:rPr>
      </w:pPr>
    </w:p>
    <w:p w:rsidRPr="00B54BD4" w:rsidR="00A873E2" w:rsidP="006F7289" w:rsidRDefault="00A873E2" w14:paraId="21CCF92D" w14:textId="6CF9B49B">
      <w:pPr>
        <w:rPr>
          <w:rFonts w:ascii="Arial" w:hAnsi="Arial" w:cs="Arial"/>
          <w:bCs/>
          <w:sz w:val="20"/>
        </w:rPr>
      </w:pPr>
      <w:r w:rsidRPr="004134E5">
        <w:rPr>
          <w:rFonts w:ascii="Arial" w:hAnsi="Arial" w:cs="Arial"/>
          <w:b/>
          <w:bCs/>
          <w:sz w:val="20"/>
        </w:rPr>
        <w:t xml:space="preserve">       </w:t>
      </w:r>
      <w:r w:rsidR="002C2C46">
        <w:rPr>
          <w:rFonts w:ascii="Arial" w:hAnsi="Arial" w:cs="Arial"/>
          <w:bCs/>
          <w:sz w:val="20"/>
        </w:rPr>
        <w:t>N</w:t>
      </w:r>
      <w:r w:rsidRPr="00521316" w:rsidR="00521316">
        <w:rPr>
          <w:rFonts w:ascii="Arial" w:hAnsi="Arial" w:cs="Arial"/>
          <w:bCs/>
          <w:sz w:val="20"/>
        </w:rPr>
        <w:t>ot applicable.  This information collection does not employ statistical methods.</w:t>
      </w:r>
    </w:p>
    <w:p w:rsidRPr="004134E5" w:rsidR="00A873E2" w:rsidP="006F7289" w:rsidRDefault="00A873E2" w14:paraId="4F8003D2" w14:textId="77777777">
      <w:pPr>
        <w:rPr>
          <w:rFonts w:ascii="Arial" w:hAnsi="Arial" w:cs="Arial"/>
          <w:b/>
          <w:bCs/>
          <w:sz w:val="20"/>
        </w:rPr>
      </w:pPr>
    </w:p>
    <w:p w:rsidRPr="00EB2D17" w:rsidR="006F7289" w:rsidP="006F7289" w:rsidRDefault="006F7289" w14:paraId="7D1F6C46" w14:textId="77777777">
      <w:pPr>
        <w:rPr>
          <w:rFonts w:ascii="Arial" w:hAnsi="Arial" w:cs="Arial"/>
          <w:b/>
          <w:sz w:val="20"/>
        </w:rPr>
      </w:pPr>
      <w:r w:rsidRPr="00EB2D17">
        <w:rPr>
          <w:rFonts w:ascii="Arial" w:hAnsi="Arial" w:cs="Arial"/>
          <w:b/>
          <w:sz w:val="2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w:t>
      </w:r>
      <w:r w:rsidR="00FE6FB6">
        <w:rPr>
          <w:rFonts w:ascii="Arial" w:hAnsi="Arial" w:cs="Arial"/>
          <w:b/>
          <w:sz w:val="20"/>
        </w:rPr>
        <w:t xml:space="preserve">pporting Statement to the extent </w:t>
      </w:r>
      <w:r w:rsidRPr="00EB2D17">
        <w:rPr>
          <w:rFonts w:ascii="Arial" w:hAnsi="Arial" w:cs="Arial"/>
          <w:b/>
          <w:sz w:val="20"/>
        </w:rPr>
        <w:t xml:space="preserve">that it applies to the methods proposed: </w:t>
      </w:r>
    </w:p>
    <w:p w:rsidRPr="00EB2D17" w:rsidR="006F7289" w:rsidP="006F7289" w:rsidRDefault="006F7289" w14:paraId="3989A33B" w14:textId="77777777">
      <w:pPr>
        <w:rPr>
          <w:rFonts w:ascii="Arial" w:hAnsi="Arial" w:cs="Arial"/>
          <w:b/>
          <w:sz w:val="20"/>
        </w:rPr>
      </w:pPr>
    </w:p>
    <w:p w:rsidRPr="00EB2D17" w:rsidR="006F7289" w:rsidP="006F7289" w:rsidRDefault="006F7289" w14:paraId="7047D430" w14:textId="77777777">
      <w:pPr>
        <w:rPr>
          <w:rFonts w:ascii="Arial" w:hAnsi="Arial" w:cs="Arial"/>
          <w:b/>
          <w:sz w:val="20"/>
        </w:rPr>
      </w:pPr>
      <w:r w:rsidRPr="00EB2D17">
        <w:rPr>
          <w:rFonts w:ascii="Arial" w:hAnsi="Arial" w:cs="Arial"/>
          <w:b/>
          <w:sz w:val="20"/>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EB2D17" w:rsidR="006F7289" w:rsidP="006F7289" w:rsidRDefault="006F7289" w14:paraId="0EA439C4" w14:textId="77777777">
      <w:pPr>
        <w:rPr>
          <w:rFonts w:ascii="Arial" w:hAnsi="Arial" w:cs="Arial"/>
          <w:b/>
          <w:sz w:val="20"/>
        </w:rPr>
      </w:pPr>
    </w:p>
    <w:p w:rsidRPr="00EB2D17" w:rsidR="006F7289" w:rsidP="006F7289" w:rsidRDefault="006F7289" w14:paraId="4D48BF49" w14:textId="77777777">
      <w:pPr>
        <w:rPr>
          <w:rFonts w:ascii="Arial" w:hAnsi="Arial" w:cs="Arial"/>
          <w:b/>
          <w:sz w:val="20"/>
        </w:rPr>
      </w:pPr>
      <w:r w:rsidRPr="00EB2D17">
        <w:rPr>
          <w:rFonts w:ascii="Arial" w:hAnsi="Arial" w:cs="Arial"/>
          <w:b/>
          <w:sz w:val="20"/>
        </w:rPr>
        <w:t xml:space="preserve">2. Describe the procedures for the collection of information including: </w:t>
      </w:r>
    </w:p>
    <w:p w:rsidRPr="00EB2D17" w:rsidR="006F7289" w:rsidP="006F7289" w:rsidRDefault="006F7289" w14:paraId="7ADF3E5D" w14:textId="77777777">
      <w:pPr>
        <w:rPr>
          <w:rFonts w:ascii="Arial" w:hAnsi="Arial" w:cs="Arial"/>
          <w:b/>
          <w:sz w:val="20"/>
        </w:rPr>
      </w:pPr>
      <w:r w:rsidRPr="00EB2D17">
        <w:rPr>
          <w:rFonts w:ascii="Arial" w:hAnsi="Arial" w:cs="Arial"/>
          <w:b/>
          <w:sz w:val="20"/>
        </w:rPr>
        <w:t xml:space="preserve">* Statistical methodology for stratification and sample selection, </w:t>
      </w:r>
    </w:p>
    <w:p w:rsidRPr="00EB2D17" w:rsidR="006F7289" w:rsidP="006F7289" w:rsidRDefault="006F7289" w14:paraId="616876BC" w14:textId="77777777">
      <w:pPr>
        <w:rPr>
          <w:rFonts w:ascii="Arial" w:hAnsi="Arial" w:cs="Arial"/>
          <w:b/>
          <w:sz w:val="20"/>
        </w:rPr>
      </w:pPr>
      <w:r w:rsidRPr="00EB2D17">
        <w:rPr>
          <w:rFonts w:ascii="Arial" w:hAnsi="Arial" w:cs="Arial"/>
          <w:b/>
          <w:sz w:val="20"/>
        </w:rPr>
        <w:t xml:space="preserve">* Estimation procedure, </w:t>
      </w:r>
    </w:p>
    <w:p w:rsidRPr="00EB2D17" w:rsidR="006F7289" w:rsidP="006F7289" w:rsidRDefault="006F7289" w14:paraId="7F9FFB5C" w14:textId="77777777">
      <w:pPr>
        <w:rPr>
          <w:rFonts w:ascii="Arial" w:hAnsi="Arial" w:cs="Arial"/>
          <w:b/>
          <w:sz w:val="20"/>
        </w:rPr>
      </w:pPr>
      <w:r w:rsidRPr="00EB2D17">
        <w:rPr>
          <w:rFonts w:ascii="Arial" w:hAnsi="Arial" w:cs="Arial"/>
          <w:b/>
          <w:sz w:val="20"/>
        </w:rPr>
        <w:t xml:space="preserve">* Degree of accuracy needed for the purpose described in the justification, </w:t>
      </w:r>
    </w:p>
    <w:p w:rsidRPr="00EB2D17" w:rsidR="006F7289" w:rsidP="006F7289" w:rsidRDefault="006F7289" w14:paraId="377AFC4C" w14:textId="77777777">
      <w:pPr>
        <w:rPr>
          <w:rFonts w:ascii="Arial" w:hAnsi="Arial" w:cs="Arial"/>
          <w:b/>
          <w:sz w:val="20"/>
        </w:rPr>
      </w:pPr>
      <w:r w:rsidRPr="00EB2D17">
        <w:rPr>
          <w:rFonts w:ascii="Arial" w:hAnsi="Arial" w:cs="Arial"/>
          <w:b/>
          <w:sz w:val="20"/>
        </w:rPr>
        <w:t xml:space="preserve">* Unusual problems requiring specialized sampling procedures, and </w:t>
      </w:r>
    </w:p>
    <w:p w:rsidRPr="00EB2D17" w:rsidR="006F7289" w:rsidP="006F7289" w:rsidRDefault="006F7289" w14:paraId="042DBD77" w14:textId="77777777">
      <w:pPr>
        <w:rPr>
          <w:rFonts w:ascii="Arial" w:hAnsi="Arial" w:cs="Arial"/>
          <w:b/>
          <w:sz w:val="20"/>
        </w:rPr>
      </w:pPr>
      <w:r w:rsidRPr="00EB2D17">
        <w:rPr>
          <w:rFonts w:ascii="Arial" w:hAnsi="Arial" w:cs="Arial"/>
          <w:b/>
          <w:sz w:val="20"/>
        </w:rPr>
        <w:t xml:space="preserve">* Any use of periodic (less frequent than annual) data collection cycles to reduce burden. </w:t>
      </w:r>
    </w:p>
    <w:p w:rsidRPr="00EB2D17" w:rsidR="006F7289" w:rsidP="006F7289" w:rsidRDefault="006F7289" w14:paraId="69CA2724" w14:textId="77777777">
      <w:pPr>
        <w:rPr>
          <w:rFonts w:ascii="Arial" w:hAnsi="Arial" w:cs="Arial"/>
          <w:b/>
          <w:sz w:val="20"/>
        </w:rPr>
      </w:pPr>
    </w:p>
    <w:p w:rsidRPr="00EB2D17" w:rsidR="006F7289" w:rsidP="006F7289" w:rsidRDefault="006F7289" w14:paraId="0B4C70AA" w14:textId="77777777">
      <w:pPr>
        <w:rPr>
          <w:rFonts w:ascii="Arial" w:hAnsi="Arial" w:cs="Arial"/>
          <w:b/>
          <w:sz w:val="20"/>
        </w:rPr>
      </w:pPr>
      <w:r w:rsidRPr="00EB2D17">
        <w:rPr>
          <w:rFonts w:ascii="Arial" w:hAnsi="Arial" w:cs="Arial"/>
          <w:b/>
          <w:sz w:val="20"/>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EB2D17" w:rsidR="006F7289" w:rsidP="006F7289" w:rsidRDefault="006F7289" w14:paraId="0E8AE268" w14:textId="77777777">
      <w:pPr>
        <w:rPr>
          <w:rFonts w:ascii="Arial" w:hAnsi="Arial" w:cs="Arial"/>
          <w:b/>
          <w:sz w:val="20"/>
        </w:rPr>
      </w:pPr>
    </w:p>
    <w:p w:rsidRPr="00EB2D17" w:rsidR="006F7289" w:rsidP="006F7289" w:rsidRDefault="006F7289" w14:paraId="011C6F8D" w14:textId="77777777">
      <w:pPr>
        <w:rPr>
          <w:rFonts w:ascii="Arial" w:hAnsi="Arial" w:cs="Arial"/>
          <w:b/>
          <w:sz w:val="20"/>
        </w:rPr>
      </w:pPr>
      <w:r w:rsidRPr="00EB2D17">
        <w:rPr>
          <w:rFonts w:ascii="Arial" w:hAnsi="Arial" w:cs="Arial"/>
          <w:b/>
          <w:sz w:val="20"/>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EB2D17" w:rsidR="006F7289" w:rsidP="006F7289" w:rsidRDefault="006F7289" w14:paraId="3AF01771" w14:textId="77777777">
      <w:pPr>
        <w:rPr>
          <w:rFonts w:ascii="Arial" w:hAnsi="Arial" w:cs="Arial"/>
          <w:b/>
          <w:sz w:val="20"/>
        </w:rPr>
      </w:pPr>
    </w:p>
    <w:p w:rsidRPr="00EB2D17" w:rsidR="006F7289" w:rsidP="006F7289" w:rsidRDefault="006F7289" w14:paraId="27C00BC4" w14:textId="77777777">
      <w:pPr>
        <w:rPr>
          <w:rFonts w:ascii="Arial" w:hAnsi="Arial" w:cs="Arial"/>
          <w:b/>
          <w:sz w:val="20"/>
        </w:rPr>
      </w:pPr>
      <w:r w:rsidRPr="00EB2D17">
        <w:rPr>
          <w:rFonts w:ascii="Arial" w:hAnsi="Arial" w:cs="Arial"/>
          <w:b/>
          <w:sz w:val="20"/>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4134E5" w:rsidR="006F7289" w:rsidP="006F7289" w:rsidRDefault="006F7289" w14:paraId="0D90289C" w14:textId="77777777">
      <w:pPr>
        <w:rPr>
          <w:rFonts w:ascii="Arial" w:hAnsi="Arial" w:cs="Arial"/>
          <w:sz w:val="20"/>
        </w:rPr>
      </w:pPr>
    </w:p>
    <w:p w:rsidRPr="004134E5" w:rsidR="006F7289" w:rsidP="006F7289" w:rsidRDefault="006F7289" w14:paraId="6E72AA4E" w14:textId="77777777">
      <w:pPr>
        <w:pStyle w:val="List2"/>
        <w:rPr>
          <w:rFonts w:ascii="Arial" w:hAnsi="Arial" w:cs="Arial"/>
          <w:sz w:val="20"/>
        </w:rPr>
      </w:pPr>
    </w:p>
    <w:sectPr w:rsidRPr="004134E5" w:rsidR="006F7289" w:rsidSect="006977DA">
      <w:headerReference w:type="default" r:id="rId15"/>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B65E" w14:textId="77777777" w:rsidR="00E85C81" w:rsidRDefault="00E85C81">
      <w:r>
        <w:separator/>
      </w:r>
    </w:p>
  </w:endnote>
  <w:endnote w:type="continuationSeparator" w:id="0">
    <w:p w14:paraId="0CC7FE6A" w14:textId="77777777" w:rsidR="00E85C81" w:rsidRDefault="00E8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0E64" w14:textId="77777777" w:rsidR="00E85C81" w:rsidRDefault="00E85C81">
      <w:r>
        <w:separator/>
      </w:r>
    </w:p>
  </w:footnote>
  <w:footnote w:type="continuationSeparator" w:id="0">
    <w:p w14:paraId="19E46C0B" w14:textId="77777777" w:rsidR="00E85C81" w:rsidRDefault="00E8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3BB1" w14:textId="77777777" w:rsidR="005A2100" w:rsidRPr="00F723A6" w:rsidRDefault="005A2100" w:rsidP="00857A3A">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CA3"/>
    <w:multiLevelType w:val="singleLevel"/>
    <w:tmpl w:val="EEA25E0C"/>
    <w:lvl w:ilvl="0">
      <w:start w:val="1"/>
      <w:numFmt w:val="upperLetter"/>
      <w:lvlText w:val="%1. "/>
      <w:legacy w:legacy="1" w:legacySpace="0" w:legacyIndent="360"/>
      <w:lvlJc w:val="left"/>
      <w:pPr>
        <w:ind w:left="360" w:hanging="360"/>
      </w:pPr>
      <w:rPr>
        <w:b w:val="0"/>
        <w:i w:val="0"/>
        <w:sz w:val="18"/>
        <w:szCs w:val="18"/>
      </w:rPr>
    </w:lvl>
  </w:abstractNum>
  <w:abstractNum w:abstractNumId="1" w15:restartNumberingAfterBreak="0">
    <w:nsid w:val="19E474F7"/>
    <w:multiLevelType w:val="hybridMultilevel"/>
    <w:tmpl w:val="D1BEDB98"/>
    <w:lvl w:ilvl="0" w:tplc="2CF4E48C">
      <w:start w:val="1"/>
      <w:numFmt w:val="decimal"/>
      <w:lvlText w:val="%1. "/>
      <w:legacy w:legacy="1" w:legacySpace="0" w:legacyIndent="360"/>
      <w:lvlJc w:val="left"/>
      <w:pPr>
        <w:ind w:left="720" w:hanging="360"/>
      </w:pPr>
      <w:rPr>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3C7F08"/>
    <w:multiLevelType w:val="hybridMultilevel"/>
    <w:tmpl w:val="4CDE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06FC0"/>
    <w:multiLevelType w:val="hybridMultilevel"/>
    <w:tmpl w:val="AE46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51ECE"/>
    <w:multiLevelType w:val="singleLevel"/>
    <w:tmpl w:val="ECEA75C8"/>
    <w:lvl w:ilvl="0">
      <w:start w:val="1"/>
      <w:numFmt w:val="decimal"/>
      <w:lvlText w:val="%1. "/>
      <w:legacy w:legacy="1" w:legacySpace="0" w:legacyIndent="360"/>
      <w:lvlJc w:val="left"/>
      <w:pPr>
        <w:ind w:left="360" w:hanging="360"/>
      </w:pPr>
      <w:rPr>
        <w:rFonts w:ascii="Arial" w:hAnsi="Arial" w:cs="Arial" w:hint="default"/>
        <w:b w:val="0"/>
        <w:i w:val="0"/>
        <w:sz w:val="18"/>
        <w:szCs w:val="18"/>
      </w:rPr>
    </w:lvl>
  </w:abstractNum>
  <w:abstractNum w:abstractNumId="5" w15:restartNumberingAfterBreak="0">
    <w:nsid w:val="51D53155"/>
    <w:multiLevelType w:val="hybridMultilevel"/>
    <w:tmpl w:val="6DEA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24325"/>
    <w:multiLevelType w:val="singleLevel"/>
    <w:tmpl w:val="2CF4E48C"/>
    <w:lvl w:ilvl="0">
      <w:start w:val="1"/>
      <w:numFmt w:val="decimal"/>
      <w:lvlText w:val="%1. "/>
      <w:legacy w:legacy="1" w:legacySpace="0" w:legacyIndent="360"/>
      <w:lvlJc w:val="left"/>
      <w:pPr>
        <w:ind w:left="720" w:hanging="360"/>
      </w:pPr>
      <w:rPr>
        <w:b w:val="0"/>
        <w:i w:val="0"/>
        <w:sz w:val="18"/>
        <w:szCs w:val="18"/>
      </w:rPr>
    </w:lvl>
  </w:abstractNum>
  <w:abstractNum w:abstractNumId="7" w15:restartNumberingAfterBreak="0">
    <w:nsid w:val="7F98466B"/>
    <w:multiLevelType w:val="hybridMultilevel"/>
    <w:tmpl w:val="FA923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426042">
    <w:abstractNumId w:val="0"/>
  </w:num>
  <w:num w:numId="2" w16cid:durableId="397752360">
    <w:abstractNumId w:val="6"/>
  </w:num>
  <w:num w:numId="3" w16cid:durableId="1693265315">
    <w:abstractNumId w:val="4"/>
  </w:num>
  <w:num w:numId="4" w16cid:durableId="1863473622">
    <w:abstractNumId w:val="7"/>
  </w:num>
  <w:num w:numId="5" w16cid:durableId="323976827">
    <w:abstractNumId w:val="1"/>
  </w:num>
  <w:num w:numId="6" w16cid:durableId="805004304">
    <w:abstractNumId w:val="5"/>
  </w:num>
  <w:num w:numId="7" w16cid:durableId="385690665">
    <w:abstractNumId w:val="3"/>
  </w:num>
  <w:num w:numId="8" w16cid:durableId="198365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4"/>
    <w:rsid w:val="0000218A"/>
    <w:rsid w:val="00012B68"/>
    <w:rsid w:val="00015D76"/>
    <w:rsid w:val="00022796"/>
    <w:rsid w:val="000305B5"/>
    <w:rsid w:val="00040844"/>
    <w:rsid w:val="00062BE8"/>
    <w:rsid w:val="0007039E"/>
    <w:rsid w:val="000A0567"/>
    <w:rsid w:val="000B0733"/>
    <w:rsid w:val="000E0A3E"/>
    <w:rsid w:val="000E156A"/>
    <w:rsid w:val="000E2537"/>
    <w:rsid w:val="000E5B7A"/>
    <w:rsid w:val="000F59E9"/>
    <w:rsid w:val="000F6CBB"/>
    <w:rsid w:val="00113BF1"/>
    <w:rsid w:val="00115CF1"/>
    <w:rsid w:val="00122ED9"/>
    <w:rsid w:val="00150038"/>
    <w:rsid w:val="0017473D"/>
    <w:rsid w:val="00181338"/>
    <w:rsid w:val="00193AE4"/>
    <w:rsid w:val="001C09C0"/>
    <w:rsid w:val="001C24F2"/>
    <w:rsid w:val="001C2D48"/>
    <w:rsid w:val="001E1281"/>
    <w:rsid w:val="001E749B"/>
    <w:rsid w:val="00210684"/>
    <w:rsid w:val="00210B32"/>
    <w:rsid w:val="00212F3C"/>
    <w:rsid w:val="002340BD"/>
    <w:rsid w:val="00234F98"/>
    <w:rsid w:val="002547AB"/>
    <w:rsid w:val="00261C87"/>
    <w:rsid w:val="002658E8"/>
    <w:rsid w:val="002675F9"/>
    <w:rsid w:val="00274796"/>
    <w:rsid w:val="002915B0"/>
    <w:rsid w:val="002B6C3B"/>
    <w:rsid w:val="002C2C46"/>
    <w:rsid w:val="002C677C"/>
    <w:rsid w:val="002C6A4F"/>
    <w:rsid w:val="002F5A38"/>
    <w:rsid w:val="0030132A"/>
    <w:rsid w:val="00315464"/>
    <w:rsid w:val="00315496"/>
    <w:rsid w:val="00316809"/>
    <w:rsid w:val="00323243"/>
    <w:rsid w:val="00330A65"/>
    <w:rsid w:val="0034653A"/>
    <w:rsid w:val="00355CCC"/>
    <w:rsid w:val="00357681"/>
    <w:rsid w:val="00373362"/>
    <w:rsid w:val="00375ABF"/>
    <w:rsid w:val="003B47CF"/>
    <w:rsid w:val="003C385A"/>
    <w:rsid w:val="003E2E8C"/>
    <w:rsid w:val="003F0796"/>
    <w:rsid w:val="004108F3"/>
    <w:rsid w:val="004134E5"/>
    <w:rsid w:val="004218C2"/>
    <w:rsid w:val="004318BE"/>
    <w:rsid w:val="004376EF"/>
    <w:rsid w:val="0044372D"/>
    <w:rsid w:val="00454F98"/>
    <w:rsid w:val="00455F86"/>
    <w:rsid w:val="00457B96"/>
    <w:rsid w:val="0047248E"/>
    <w:rsid w:val="00483FDE"/>
    <w:rsid w:val="00485173"/>
    <w:rsid w:val="00486455"/>
    <w:rsid w:val="00494A0E"/>
    <w:rsid w:val="00497F92"/>
    <w:rsid w:val="004A297E"/>
    <w:rsid w:val="004A3700"/>
    <w:rsid w:val="004B1CA6"/>
    <w:rsid w:val="004B6EB2"/>
    <w:rsid w:val="004C0B1E"/>
    <w:rsid w:val="004C3004"/>
    <w:rsid w:val="004C6700"/>
    <w:rsid w:val="004D41AA"/>
    <w:rsid w:val="004D5718"/>
    <w:rsid w:val="004D7C62"/>
    <w:rsid w:val="004E0305"/>
    <w:rsid w:val="004E4CE6"/>
    <w:rsid w:val="004F2A85"/>
    <w:rsid w:val="00521316"/>
    <w:rsid w:val="00551008"/>
    <w:rsid w:val="00552296"/>
    <w:rsid w:val="0055291F"/>
    <w:rsid w:val="00591CF2"/>
    <w:rsid w:val="005923DE"/>
    <w:rsid w:val="005A13BD"/>
    <w:rsid w:val="005A2100"/>
    <w:rsid w:val="005C6E0C"/>
    <w:rsid w:val="005D5319"/>
    <w:rsid w:val="005E38D0"/>
    <w:rsid w:val="005E4D23"/>
    <w:rsid w:val="005F1E26"/>
    <w:rsid w:val="005F2BD3"/>
    <w:rsid w:val="005F7012"/>
    <w:rsid w:val="0061291A"/>
    <w:rsid w:val="00623532"/>
    <w:rsid w:val="00631799"/>
    <w:rsid w:val="006332F7"/>
    <w:rsid w:val="006341E9"/>
    <w:rsid w:val="00635182"/>
    <w:rsid w:val="006378C7"/>
    <w:rsid w:val="00655270"/>
    <w:rsid w:val="0067183A"/>
    <w:rsid w:val="006774B1"/>
    <w:rsid w:val="0069559A"/>
    <w:rsid w:val="006977DA"/>
    <w:rsid w:val="006B3679"/>
    <w:rsid w:val="006B3B9F"/>
    <w:rsid w:val="006E23E2"/>
    <w:rsid w:val="006F0898"/>
    <w:rsid w:val="006F4221"/>
    <w:rsid w:val="006F557A"/>
    <w:rsid w:val="006F7289"/>
    <w:rsid w:val="00725BFA"/>
    <w:rsid w:val="0073436A"/>
    <w:rsid w:val="0074338A"/>
    <w:rsid w:val="00743969"/>
    <w:rsid w:val="007677AF"/>
    <w:rsid w:val="00786ACE"/>
    <w:rsid w:val="007A560C"/>
    <w:rsid w:val="007A5994"/>
    <w:rsid w:val="007B0BDE"/>
    <w:rsid w:val="007B0F30"/>
    <w:rsid w:val="007C7199"/>
    <w:rsid w:val="007D573D"/>
    <w:rsid w:val="007E678A"/>
    <w:rsid w:val="008021E0"/>
    <w:rsid w:val="00811832"/>
    <w:rsid w:val="00811C4B"/>
    <w:rsid w:val="00823D16"/>
    <w:rsid w:val="00823FB8"/>
    <w:rsid w:val="00834ADF"/>
    <w:rsid w:val="0083795F"/>
    <w:rsid w:val="0085333B"/>
    <w:rsid w:val="0085695E"/>
    <w:rsid w:val="00857A3A"/>
    <w:rsid w:val="00875008"/>
    <w:rsid w:val="00880812"/>
    <w:rsid w:val="0088590B"/>
    <w:rsid w:val="0089456D"/>
    <w:rsid w:val="00894B37"/>
    <w:rsid w:val="008B1770"/>
    <w:rsid w:val="008B3AB8"/>
    <w:rsid w:val="008B72F0"/>
    <w:rsid w:val="008C2BBE"/>
    <w:rsid w:val="008C7DAE"/>
    <w:rsid w:val="008C7E31"/>
    <w:rsid w:val="008F6F8D"/>
    <w:rsid w:val="008F7A1E"/>
    <w:rsid w:val="00903A8F"/>
    <w:rsid w:val="00917204"/>
    <w:rsid w:val="00932024"/>
    <w:rsid w:val="009322C1"/>
    <w:rsid w:val="0093253D"/>
    <w:rsid w:val="009671FA"/>
    <w:rsid w:val="009705F8"/>
    <w:rsid w:val="0097235E"/>
    <w:rsid w:val="009773E5"/>
    <w:rsid w:val="009A1411"/>
    <w:rsid w:val="009A3FDD"/>
    <w:rsid w:val="009B1D4B"/>
    <w:rsid w:val="009C4922"/>
    <w:rsid w:val="009C669B"/>
    <w:rsid w:val="009D5D12"/>
    <w:rsid w:val="009F5E6C"/>
    <w:rsid w:val="009F6AC8"/>
    <w:rsid w:val="00A17E01"/>
    <w:rsid w:val="00A241A7"/>
    <w:rsid w:val="00A57804"/>
    <w:rsid w:val="00A63AD0"/>
    <w:rsid w:val="00A873E2"/>
    <w:rsid w:val="00AA69D2"/>
    <w:rsid w:val="00AB06A3"/>
    <w:rsid w:val="00AB3B1C"/>
    <w:rsid w:val="00AC29D8"/>
    <w:rsid w:val="00AC488D"/>
    <w:rsid w:val="00AD0BAA"/>
    <w:rsid w:val="00AD702D"/>
    <w:rsid w:val="00B02F5F"/>
    <w:rsid w:val="00B13861"/>
    <w:rsid w:val="00B22C3E"/>
    <w:rsid w:val="00B339DD"/>
    <w:rsid w:val="00B41020"/>
    <w:rsid w:val="00B54BD4"/>
    <w:rsid w:val="00B64F1E"/>
    <w:rsid w:val="00BA0E5D"/>
    <w:rsid w:val="00BA6E7C"/>
    <w:rsid w:val="00BB2E94"/>
    <w:rsid w:val="00BB59CD"/>
    <w:rsid w:val="00BC36E7"/>
    <w:rsid w:val="00BD3930"/>
    <w:rsid w:val="00BE01CA"/>
    <w:rsid w:val="00BF1020"/>
    <w:rsid w:val="00BF58D1"/>
    <w:rsid w:val="00C3079B"/>
    <w:rsid w:val="00C441EA"/>
    <w:rsid w:val="00C5234F"/>
    <w:rsid w:val="00C66EDC"/>
    <w:rsid w:val="00C76ADB"/>
    <w:rsid w:val="00C85002"/>
    <w:rsid w:val="00C8757C"/>
    <w:rsid w:val="00C87739"/>
    <w:rsid w:val="00CB6B0E"/>
    <w:rsid w:val="00CC40CD"/>
    <w:rsid w:val="00CD21C7"/>
    <w:rsid w:val="00CD48EE"/>
    <w:rsid w:val="00CD70FD"/>
    <w:rsid w:val="00CE5EC6"/>
    <w:rsid w:val="00CF2093"/>
    <w:rsid w:val="00CF44E0"/>
    <w:rsid w:val="00D14D46"/>
    <w:rsid w:val="00D20434"/>
    <w:rsid w:val="00D44378"/>
    <w:rsid w:val="00D46581"/>
    <w:rsid w:val="00D541E4"/>
    <w:rsid w:val="00D54924"/>
    <w:rsid w:val="00D66381"/>
    <w:rsid w:val="00D70F5D"/>
    <w:rsid w:val="00D723DB"/>
    <w:rsid w:val="00D77D56"/>
    <w:rsid w:val="00D80B76"/>
    <w:rsid w:val="00D87B9E"/>
    <w:rsid w:val="00DA668B"/>
    <w:rsid w:val="00DA68F2"/>
    <w:rsid w:val="00DD4AFF"/>
    <w:rsid w:val="00DD74E1"/>
    <w:rsid w:val="00DE39FC"/>
    <w:rsid w:val="00DF194A"/>
    <w:rsid w:val="00E06502"/>
    <w:rsid w:val="00E125CC"/>
    <w:rsid w:val="00E1653A"/>
    <w:rsid w:val="00E17108"/>
    <w:rsid w:val="00E225F4"/>
    <w:rsid w:val="00E50D1A"/>
    <w:rsid w:val="00E85C81"/>
    <w:rsid w:val="00E91B9B"/>
    <w:rsid w:val="00EA3A4D"/>
    <w:rsid w:val="00EA7EA3"/>
    <w:rsid w:val="00EB2D17"/>
    <w:rsid w:val="00EB4CF5"/>
    <w:rsid w:val="00EB68E2"/>
    <w:rsid w:val="00EB6B28"/>
    <w:rsid w:val="00EE348A"/>
    <w:rsid w:val="00EF489A"/>
    <w:rsid w:val="00F037CB"/>
    <w:rsid w:val="00F108DC"/>
    <w:rsid w:val="00F32AE2"/>
    <w:rsid w:val="00F35D75"/>
    <w:rsid w:val="00F41795"/>
    <w:rsid w:val="00F44970"/>
    <w:rsid w:val="00F723A6"/>
    <w:rsid w:val="00F80365"/>
    <w:rsid w:val="00F84A66"/>
    <w:rsid w:val="00F97D1E"/>
    <w:rsid w:val="00FA07AC"/>
    <w:rsid w:val="00FA3C41"/>
    <w:rsid w:val="00FB0DA5"/>
    <w:rsid w:val="00FC1019"/>
    <w:rsid w:val="00FD59BD"/>
    <w:rsid w:val="00FE33CB"/>
    <w:rsid w:val="00FE5F1F"/>
    <w:rsid w:val="00FE64AB"/>
    <w:rsid w:val="00FE67F9"/>
    <w:rsid w:val="00FE6FB6"/>
    <w:rsid w:val="00FF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83014"/>
  <w15:docId w15:val="{F252A9DD-3F49-492D-9BAF-410631BB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E2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F1E26"/>
    <w:pPr>
      <w:ind w:left="360" w:hanging="360"/>
    </w:pPr>
  </w:style>
  <w:style w:type="paragraph" w:styleId="List2">
    <w:name w:val="List 2"/>
    <w:basedOn w:val="Normal"/>
    <w:rsid w:val="005F1E26"/>
    <w:pPr>
      <w:ind w:left="720" w:hanging="360"/>
    </w:pPr>
  </w:style>
  <w:style w:type="paragraph" w:styleId="Title">
    <w:name w:val="Title"/>
    <w:basedOn w:val="Normal"/>
    <w:qFormat/>
    <w:rsid w:val="001E749B"/>
    <w:pPr>
      <w:spacing w:before="240" w:after="60"/>
      <w:jc w:val="center"/>
    </w:pPr>
    <w:rPr>
      <w:rFonts w:ascii="Arial" w:hAnsi="Arial"/>
      <w:b/>
      <w:kern w:val="28"/>
      <w:sz w:val="32"/>
    </w:rPr>
  </w:style>
  <w:style w:type="paragraph" w:styleId="Subtitle">
    <w:name w:val="Subtitle"/>
    <w:basedOn w:val="Normal"/>
    <w:qFormat/>
    <w:rsid w:val="001E749B"/>
    <w:pPr>
      <w:spacing w:after="60"/>
      <w:jc w:val="center"/>
    </w:pPr>
    <w:rPr>
      <w:rFonts w:ascii="Arial" w:hAnsi="Arial"/>
    </w:rPr>
  </w:style>
  <w:style w:type="paragraph" w:styleId="BalloonText">
    <w:name w:val="Balloon Text"/>
    <w:basedOn w:val="Normal"/>
    <w:rsid w:val="001E749B"/>
    <w:rPr>
      <w:rFonts w:ascii="Tahoma" w:hAnsi="Tahoma"/>
      <w:sz w:val="16"/>
    </w:rPr>
  </w:style>
  <w:style w:type="paragraph" w:styleId="Header">
    <w:name w:val="header"/>
    <w:basedOn w:val="Normal"/>
    <w:rsid w:val="00857A3A"/>
    <w:pPr>
      <w:tabs>
        <w:tab w:val="center" w:pos="4320"/>
        <w:tab w:val="right" w:pos="8640"/>
      </w:tabs>
    </w:pPr>
  </w:style>
  <w:style w:type="paragraph" w:styleId="Footer">
    <w:name w:val="footer"/>
    <w:basedOn w:val="Normal"/>
    <w:rsid w:val="00857A3A"/>
    <w:pPr>
      <w:tabs>
        <w:tab w:val="center" w:pos="4320"/>
        <w:tab w:val="right" w:pos="8640"/>
      </w:tabs>
    </w:pPr>
  </w:style>
  <w:style w:type="character" w:styleId="PageNumber">
    <w:name w:val="page number"/>
    <w:basedOn w:val="DefaultParagraphFont"/>
    <w:rsid w:val="00F723A6"/>
  </w:style>
  <w:style w:type="paragraph" w:styleId="Revision">
    <w:name w:val="Revision"/>
    <w:hidden/>
    <w:uiPriority w:val="99"/>
    <w:semiHidden/>
    <w:rsid w:val="004A3700"/>
    <w:rPr>
      <w:sz w:val="24"/>
    </w:rPr>
  </w:style>
  <w:style w:type="table" w:styleId="TableGrid">
    <w:name w:val="Table Grid"/>
    <w:basedOn w:val="TableNormal"/>
    <w:rsid w:val="00EF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F92"/>
    <w:rPr>
      <w:color w:val="0000FF"/>
      <w:u w:val="single"/>
    </w:rPr>
  </w:style>
  <w:style w:type="character" w:styleId="FollowedHyperlink">
    <w:name w:val="FollowedHyperlink"/>
    <w:basedOn w:val="DefaultParagraphFont"/>
    <w:rsid w:val="00497F92"/>
    <w:rPr>
      <w:color w:val="800080" w:themeColor="followedHyperlink"/>
      <w:u w:val="single"/>
    </w:rPr>
  </w:style>
  <w:style w:type="paragraph" w:styleId="ListParagraph">
    <w:name w:val="List Paragraph"/>
    <w:basedOn w:val="Normal"/>
    <w:uiPriority w:val="34"/>
    <w:qFormat/>
    <w:rsid w:val="00BB59CD"/>
    <w:pPr>
      <w:ind w:left="720"/>
      <w:contextualSpacing/>
    </w:pPr>
  </w:style>
  <w:style w:type="character" w:styleId="CommentReference">
    <w:name w:val="annotation reference"/>
    <w:basedOn w:val="DefaultParagraphFont"/>
    <w:semiHidden/>
    <w:unhideWhenUsed/>
    <w:rsid w:val="002547AB"/>
    <w:rPr>
      <w:sz w:val="16"/>
      <w:szCs w:val="16"/>
    </w:rPr>
  </w:style>
  <w:style w:type="paragraph" w:styleId="CommentText">
    <w:name w:val="annotation text"/>
    <w:basedOn w:val="Normal"/>
    <w:link w:val="CommentTextChar"/>
    <w:semiHidden/>
    <w:unhideWhenUsed/>
    <w:rsid w:val="002547AB"/>
    <w:rPr>
      <w:sz w:val="20"/>
    </w:rPr>
  </w:style>
  <w:style w:type="character" w:customStyle="1" w:styleId="CommentTextChar">
    <w:name w:val="Comment Text Char"/>
    <w:basedOn w:val="DefaultParagraphFont"/>
    <w:link w:val="CommentText"/>
    <w:semiHidden/>
    <w:rsid w:val="002547AB"/>
  </w:style>
  <w:style w:type="paragraph" w:styleId="CommentSubject">
    <w:name w:val="annotation subject"/>
    <w:basedOn w:val="CommentText"/>
    <w:next w:val="CommentText"/>
    <w:link w:val="CommentSubjectChar"/>
    <w:semiHidden/>
    <w:unhideWhenUsed/>
    <w:rsid w:val="002547AB"/>
    <w:rPr>
      <w:b/>
      <w:bCs/>
    </w:rPr>
  </w:style>
  <w:style w:type="character" w:customStyle="1" w:styleId="CommentSubjectChar">
    <w:name w:val="Comment Subject Char"/>
    <w:basedOn w:val="CommentTextChar"/>
    <w:link w:val="CommentSubject"/>
    <w:semiHidden/>
    <w:rsid w:val="00254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99645">
      <w:bodyDiv w:val="1"/>
      <w:marLeft w:val="0"/>
      <w:marRight w:val="0"/>
      <w:marTop w:val="0"/>
      <w:marBottom w:val="0"/>
      <w:divBdr>
        <w:top w:val="none" w:sz="0" w:space="0" w:color="auto"/>
        <w:left w:val="none" w:sz="0" w:space="0" w:color="auto"/>
        <w:bottom w:val="none" w:sz="0" w:space="0" w:color="auto"/>
        <w:right w:val="none" w:sz="0" w:space="0" w:color="auto"/>
      </w:divBdr>
    </w:div>
    <w:div w:id="1361780154">
      <w:bodyDiv w:val="1"/>
      <w:marLeft w:val="0"/>
      <w:marRight w:val="0"/>
      <w:marTop w:val="0"/>
      <w:marBottom w:val="0"/>
      <w:divBdr>
        <w:top w:val="none" w:sz="0" w:space="0" w:color="auto"/>
        <w:left w:val="none" w:sz="0" w:space="0" w:color="auto"/>
        <w:bottom w:val="none" w:sz="0" w:space="0" w:color="auto"/>
        <w:right w:val="none" w:sz="0" w:space="0" w:color="auto"/>
      </w:divBdr>
    </w:div>
    <w:div w:id="16675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regions/southeast/news-release/countyemploymentandwages_mississippi.htm" TargetMode="External"/><Relationship Id="rId13" Type="http://schemas.openxmlformats.org/officeDocument/2006/relationships/hyperlink" Target="http://www.bls.gov/regions/southeast/news-release/countyemploymentandwages_northcarolin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regions/southeast/news-release/countyemploymentandwages_georgia.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regions/southeast/news-release/countyemploymentandwages_tennessee.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s.gov/regions/southeast/news-release/countyemploymentandwages_alabama.htm" TargetMode="External"/><Relationship Id="rId4" Type="http://schemas.openxmlformats.org/officeDocument/2006/relationships/settings" Target="settings.xml"/><Relationship Id="rId9" Type="http://schemas.openxmlformats.org/officeDocument/2006/relationships/hyperlink" Target="http://www.bls.gov/regions/southeast/news-release/countyemploymentandwages_kentucky.htm" TargetMode="External"/><Relationship Id="rId14" Type="http://schemas.openxmlformats.org/officeDocument/2006/relationships/hyperlink" Target="https://www.bls.gov/regions/mid-atlantic/news-release/countyemploymentandwages_virgi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7CEA-A9E6-45B4-9A8E-1E87059B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REQUESTS FOR APPROVAL UNDER</vt:lpstr>
    </vt:vector>
  </TitlesOfParts>
  <Company>TVA</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APPROVAL UNDER</dc:title>
  <dc:creator>Employee of</dc:creator>
  <cp:lastModifiedBy>Wilds, Jennifer Anne</cp:lastModifiedBy>
  <cp:revision>57</cp:revision>
  <cp:lastPrinted>2020-03-16T14:56:00Z</cp:lastPrinted>
  <dcterms:created xsi:type="dcterms:W3CDTF">2021-09-09T19:26:00Z</dcterms:created>
  <dcterms:modified xsi:type="dcterms:W3CDTF">2022-08-23T16:51:00Z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