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02FC" w:rsidRDefault="005C2D5A" w14:paraId="2207085C"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2502FC" w:rsidRDefault="005C2D5A" w14:paraId="02D876CF"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2502FC" w:rsidRDefault="005C2D5A" w14:paraId="45529E51" w14:textId="77777777">
      <w:pPr>
        <w:jc w:val="center"/>
        <w:rPr>
          <w:rFonts w:ascii="Courier New" w:hAnsi="Courier New" w:eastAsia="Courier New" w:cs="Courier New"/>
          <w:b/>
          <w:sz w:val="24"/>
          <w:szCs w:val="24"/>
        </w:rPr>
      </w:pPr>
      <w:r>
        <w:rPr>
          <w:rFonts w:ascii="Courier New" w:hAnsi="Courier New" w:eastAsia="Courier New" w:cs="Courier New"/>
          <w:b/>
          <w:sz w:val="24"/>
          <w:szCs w:val="24"/>
        </w:rPr>
        <w:t>OMB CONTROL NO. 9000-0045</w:t>
      </w:r>
    </w:p>
    <w:p w:rsidR="002502FC" w:rsidRDefault="005C2D5A" w14:paraId="0D906F56" w14:textId="77777777">
      <w:pPr>
        <w:jc w:val="center"/>
        <w:rPr>
          <w:rFonts w:ascii="Courier New" w:hAnsi="Courier New" w:eastAsia="Courier New" w:cs="Courier New"/>
          <w:b/>
          <w:sz w:val="24"/>
          <w:szCs w:val="24"/>
        </w:rPr>
      </w:pPr>
      <w:r w:rsidRPr="00E7472B">
        <w:rPr>
          <w:rFonts w:ascii="Courier New" w:hAnsi="Courier New" w:eastAsia="Courier New" w:cs="Courier New"/>
          <w:b/>
          <w:sz w:val="24"/>
          <w:szCs w:val="24"/>
        </w:rPr>
        <w:t>BID GUARANTEES, PERFORMANCE AND PAYMENT BONDS, AND ALTERNATIVE</w:t>
      </w:r>
      <w:r>
        <w:rPr>
          <w:rFonts w:ascii="Courier New" w:hAnsi="Courier New" w:eastAsia="Courier New" w:cs="Courier New"/>
          <w:b/>
          <w:sz w:val="24"/>
          <w:szCs w:val="24"/>
        </w:rPr>
        <w:t xml:space="preserve"> PAYMENT PROTECTION</w:t>
      </w:r>
    </w:p>
    <w:p w:rsidR="002502FC" w:rsidRDefault="002502FC" w14:paraId="790BDB8E" w14:textId="77777777">
      <w:pPr>
        <w:rPr>
          <w:rFonts w:ascii="Courier New" w:hAnsi="Courier New" w:eastAsia="Courier New" w:cs="Courier New"/>
          <w:b/>
          <w:sz w:val="24"/>
          <w:szCs w:val="24"/>
          <w:u w:val="single"/>
        </w:rPr>
      </w:pPr>
    </w:p>
    <w:p w:rsidR="002502FC" w:rsidRDefault="005C2D5A" w14:paraId="56F2C1F5"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sz w:val="24"/>
          <w:szCs w:val="24"/>
        </w:rPr>
        <w:t>52.228-1, 52.228-2, 52.228-13, 52.228-14, 52.228-15, 52.228-16; Standard Forms (SF</w:t>
      </w:r>
      <w:r w:rsidRPr="005C2D5A">
        <w:rPr>
          <w:rFonts w:ascii="Courier New" w:hAnsi="Courier New" w:eastAsia="Courier New" w:cs="Courier New"/>
          <w:sz w:val="24"/>
          <w:szCs w:val="24"/>
        </w:rPr>
        <w:t xml:space="preserve">) 24, 25, 25-A, 25-B, 34, 35, 273, 274, 275, 1414, 1415, 1416, and </w:t>
      </w:r>
      <w:proofErr w:type="gramStart"/>
      <w:r w:rsidRPr="005C2D5A">
        <w:rPr>
          <w:rFonts w:ascii="Courier New" w:hAnsi="Courier New" w:eastAsia="Courier New" w:cs="Courier New"/>
          <w:sz w:val="24"/>
          <w:szCs w:val="24"/>
        </w:rPr>
        <w:t>1418;</w:t>
      </w:r>
      <w:proofErr w:type="gramEnd"/>
      <w:r>
        <w:rPr>
          <w:rFonts w:ascii="Courier New" w:hAnsi="Courier New" w:eastAsia="Courier New" w:cs="Courier New"/>
          <w:sz w:val="24"/>
          <w:szCs w:val="24"/>
        </w:rPr>
        <w:t xml:space="preserve">  </w:t>
      </w:r>
    </w:p>
    <w:p w:rsidR="002502FC" w:rsidRDefault="002502FC" w14:paraId="3A07B915" w14:textId="77777777">
      <w:pPr>
        <w:rPr>
          <w:rFonts w:ascii="Courier New" w:hAnsi="Courier New" w:eastAsia="Courier New" w:cs="Courier New"/>
          <w:b/>
          <w:sz w:val="24"/>
          <w:szCs w:val="24"/>
        </w:rPr>
      </w:pPr>
    </w:p>
    <w:p w:rsidR="002502FC" w:rsidRDefault="005C2D5A" w14:paraId="555435BE"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2502FC" w:rsidRDefault="002502FC" w14:paraId="1A9E8F12" w14:textId="77777777">
      <w:pPr>
        <w:rPr>
          <w:rFonts w:ascii="Courier New" w:hAnsi="Courier New" w:eastAsia="Courier New" w:cs="Courier New"/>
          <w:b/>
          <w:sz w:val="24"/>
          <w:szCs w:val="24"/>
        </w:rPr>
      </w:pPr>
    </w:p>
    <w:p w:rsidR="002502FC" w:rsidRDefault="005C2D5A" w14:paraId="4FE35F3C"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This justification supports an extension of the expiration date of OMB Control No. 9000-0045. This clearance covers the information that offerors or contractors must submit to comply with the following Federal Acquisition Regulation (FAR) requirements: </w:t>
      </w:r>
    </w:p>
    <w:p w:rsidR="002502FC" w:rsidRDefault="002502FC" w14:paraId="60C95564" w14:textId="77777777">
      <w:pPr>
        <w:rPr>
          <w:rFonts w:ascii="Courier New" w:hAnsi="Courier New" w:eastAsia="Courier New" w:cs="Courier New"/>
          <w:sz w:val="24"/>
          <w:szCs w:val="24"/>
        </w:rPr>
      </w:pPr>
    </w:p>
    <w:p w:rsidR="002502FC" w:rsidRDefault="005C2D5A" w14:paraId="26DDB9F1" w14:textId="77777777">
      <w:pPr>
        <w:rPr>
          <w:rFonts w:ascii="Courier New" w:hAnsi="Courier New" w:eastAsia="Courier New" w:cs="Courier New"/>
          <w:sz w:val="24"/>
          <w:szCs w:val="24"/>
        </w:rPr>
      </w:pPr>
      <w:r>
        <w:rPr>
          <w:rFonts w:ascii="Courier New" w:hAnsi="Courier New" w:eastAsia="Courier New" w:cs="Courier New"/>
          <w:sz w:val="24"/>
          <w:szCs w:val="24"/>
        </w:rPr>
        <w:t>FAR 52.228-1, Bid Guarantee. This provision (or clause) requires offerors or contractors to furnish a bid guarantee in the proper form and amount when a performance bond or a performance and payment bond is also required. (SF 24, Bid Bond; SF 34, Annual Bid Bond).</w:t>
      </w:r>
    </w:p>
    <w:p w:rsidR="002502FC" w:rsidRDefault="005C2D5A" w14:paraId="23331983"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7A666A9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FAR 52.228-2, Additional Bond Security. This clause requires contractors to furnish additional bond security under certain circumstances.  This clause is used both for construction and other than construction contracts. (SF 1414 Consent of Surety and SF 1415, </w:t>
      </w:r>
      <w:r>
        <w:rPr>
          <w:rFonts w:ascii="Courier New" w:hAnsi="Courier New" w:eastAsia="Courier New" w:cs="Courier New"/>
          <w:sz w:val="24"/>
          <w:szCs w:val="24"/>
          <w:highlight w:val="white"/>
        </w:rPr>
        <w:t xml:space="preserve">Consent of </w:t>
      </w:r>
      <w:proofErr w:type="gramStart"/>
      <w:r>
        <w:rPr>
          <w:rFonts w:ascii="Courier New" w:hAnsi="Courier New" w:eastAsia="Courier New" w:cs="Courier New"/>
          <w:sz w:val="24"/>
          <w:szCs w:val="24"/>
          <w:highlight w:val="white"/>
        </w:rPr>
        <w:t>Surety</w:t>
      </w:r>
      <w:proofErr w:type="gramEnd"/>
      <w:r>
        <w:rPr>
          <w:rFonts w:ascii="Courier New" w:hAnsi="Courier New" w:eastAsia="Courier New" w:cs="Courier New"/>
          <w:sz w:val="24"/>
          <w:szCs w:val="24"/>
          <w:highlight w:val="white"/>
        </w:rPr>
        <w:t xml:space="preserve"> and Increase of Penalty).</w:t>
      </w:r>
    </w:p>
    <w:p w:rsidR="002502FC" w:rsidRDefault="005C2D5A" w14:paraId="4613FEF1"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08284689" w14:textId="77777777">
      <w:pPr>
        <w:rPr>
          <w:rFonts w:ascii="Courier New" w:hAnsi="Courier New" w:eastAsia="Courier New" w:cs="Courier New"/>
          <w:sz w:val="24"/>
          <w:szCs w:val="24"/>
        </w:rPr>
      </w:pPr>
      <w:r>
        <w:rPr>
          <w:rFonts w:ascii="Courier New" w:hAnsi="Courier New" w:eastAsia="Courier New" w:cs="Courier New"/>
          <w:sz w:val="24"/>
          <w:szCs w:val="24"/>
        </w:rPr>
        <w:t>FAR 52.228-13, Alternative Payment Protections. This clause requires contractors to submit one of the payment protections listed in the clause by the contracting officer, in construction contracts greater than $35,000 but not exceeding $150,000.</w:t>
      </w:r>
    </w:p>
    <w:p w:rsidR="002502FC" w:rsidRDefault="002502FC" w14:paraId="0C26A73A" w14:textId="77777777">
      <w:pPr>
        <w:rPr>
          <w:rFonts w:ascii="Courier New" w:hAnsi="Courier New" w:eastAsia="Courier New" w:cs="Courier New"/>
          <w:sz w:val="24"/>
          <w:szCs w:val="24"/>
        </w:rPr>
      </w:pPr>
    </w:p>
    <w:p w:rsidR="002502FC" w:rsidRDefault="005C2D5A" w14:paraId="41EA0B0D" w14:textId="77777777">
      <w:pPr>
        <w:rPr>
          <w:rFonts w:ascii="Courier New" w:hAnsi="Courier New" w:eastAsia="Courier New" w:cs="Courier New"/>
          <w:sz w:val="24"/>
          <w:szCs w:val="24"/>
        </w:rPr>
      </w:pPr>
      <w:r>
        <w:rPr>
          <w:rFonts w:ascii="Courier New" w:hAnsi="Courier New" w:eastAsia="Courier New" w:cs="Courier New"/>
          <w:sz w:val="24"/>
          <w:szCs w:val="24"/>
        </w:rPr>
        <w:t xml:space="preserve">FAR 52.228-14, </w:t>
      </w:r>
      <w:r>
        <w:rPr>
          <w:rFonts w:ascii="Courier New" w:hAnsi="Courier New" w:eastAsia="Courier New" w:cs="Courier New"/>
          <w:sz w:val="24"/>
          <w:szCs w:val="24"/>
          <w:highlight w:val="white"/>
        </w:rPr>
        <w:t xml:space="preserve">Irrevocable Letter of Credit. This clause requires offerors or contractors to provide certain information when they intend to use an irrevocable letter of credit (ILC) in lieu of a required bid bond, or to secure other types of required bonds such as performance and payment bonds. This clause is required in solicitations and contracts when a bid </w:t>
      </w:r>
      <w:r>
        <w:rPr>
          <w:rFonts w:ascii="Courier New" w:hAnsi="Courier New" w:eastAsia="Courier New" w:cs="Courier New"/>
          <w:sz w:val="24"/>
          <w:szCs w:val="24"/>
          <w:highlight w:val="white"/>
        </w:rPr>
        <w:lastRenderedPageBreak/>
        <w:t>guarantee, or performance bond, or performance and payment bonds are required.</w:t>
      </w:r>
    </w:p>
    <w:p w:rsidR="002502FC" w:rsidRDefault="005C2D5A" w14:paraId="4AB6C74A"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61084C5B" w14:textId="77777777">
      <w:pPr>
        <w:rPr>
          <w:rFonts w:ascii="Courier New" w:hAnsi="Courier New" w:eastAsia="Courier New" w:cs="Courier New"/>
          <w:sz w:val="24"/>
          <w:szCs w:val="24"/>
        </w:rPr>
      </w:pPr>
      <w:r>
        <w:rPr>
          <w:rFonts w:ascii="Courier New" w:hAnsi="Courier New" w:eastAsia="Courier New" w:cs="Courier New"/>
          <w:sz w:val="24"/>
          <w:szCs w:val="24"/>
        </w:rPr>
        <w:t xml:space="preserve">FAR 52.228-15, Performance and Payment Bonds-Construction. This clause requires contractors to provide performance and payment bonds in construction contracts exceeding $150,000 </w:t>
      </w:r>
      <w:bookmarkStart w:name="_Hlk107914305" w:id="0"/>
      <w:r>
        <w:rPr>
          <w:rFonts w:ascii="Courier New" w:hAnsi="Courier New" w:eastAsia="Courier New" w:cs="Courier New"/>
          <w:sz w:val="24"/>
          <w:szCs w:val="24"/>
        </w:rPr>
        <w:t>(SF 25, Performance Bond; SF 25-A, Payment Bond; SF 25-B, Continuation Sheet (for SF's 24, 25, and 25-A); SF 273, Reinsurance Agreement for a Bonds Statute Performance Bond; SF 274, Reinsurance Agreement for a Bonds Statute Payment Bond).</w:t>
      </w:r>
    </w:p>
    <w:bookmarkEnd w:id="0"/>
    <w:p w:rsidR="002502FC" w:rsidRDefault="005C2D5A" w14:paraId="16661D2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6679D9DA" w14:textId="77777777">
      <w:pPr>
        <w:rPr>
          <w:rFonts w:ascii="Courier New" w:hAnsi="Courier New" w:eastAsia="Courier New" w:cs="Courier New"/>
          <w:sz w:val="24"/>
          <w:szCs w:val="24"/>
        </w:rPr>
      </w:pPr>
      <w:r>
        <w:rPr>
          <w:rFonts w:ascii="Courier New" w:hAnsi="Courier New" w:eastAsia="Courier New" w:cs="Courier New"/>
          <w:sz w:val="24"/>
          <w:szCs w:val="24"/>
        </w:rPr>
        <w:t>FAR 52.228-16, Performance and Payment Bonds-Other Than Construction. This clause requires contractors to furnish performance and payment bonds for other than construction contracts exceeding the simplified acquisition threshold only in certain circumstances. (SF 35, Annual Performance Bond; SF 275, Reinsurance Agreement in Favor of the United States; SF 1416, Payment Bond for Other Than Construction Contracts; SF 1418, Performance Bond for Other Than Construction Contracts).</w:t>
      </w:r>
    </w:p>
    <w:p w:rsidR="002502FC" w:rsidRDefault="002502FC" w14:paraId="6BA77B3A" w14:textId="77777777">
      <w:pPr>
        <w:rPr>
          <w:rFonts w:ascii="Courier New" w:hAnsi="Courier New" w:eastAsia="Courier New" w:cs="Courier New"/>
          <w:b/>
          <w:sz w:val="24"/>
          <w:szCs w:val="24"/>
        </w:rPr>
      </w:pPr>
    </w:p>
    <w:p w:rsidR="002502FC" w:rsidRDefault="005C2D5A" w14:paraId="132F43A7"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bid guarantees, bonds, or alternative payment protections are retained by the Government until the contractor’s obligation is fulfilled.</w:t>
      </w:r>
    </w:p>
    <w:p w:rsidR="002502FC" w:rsidRDefault="002502FC" w14:paraId="17432095" w14:textId="77777777">
      <w:pPr>
        <w:rPr>
          <w:rFonts w:ascii="Courier New" w:hAnsi="Courier New" w:eastAsia="Courier New" w:cs="Courier New"/>
          <w:sz w:val="24"/>
          <w:szCs w:val="24"/>
        </w:rPr>
      </w:pPr>
    </w:p>
    <w:p w:rsidR="002502FC" w:rsidRDefault="005C2D5A" w14:paraId="0545AF7A"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Federal agencies use information technology to the maximum extent practicable. Where both the Government agency and contractors are capable of electronic interchange, the contractors may submit this information collection requirement electronically.</w:t>
      </w:r>
      <w:r>
        <w:rPr>
          <w:rFonts w:ascii="Courier New" w:hAnsi="Courier New" w:eastAsia="Courier New" w:cs="Courier New"/>
          <w:sz w:val="24"/>
          <w:szCs w:val="24"/>
        </w:rPr>
        <w:br/>
        <w:t xml:space="preserve"> </w:t>
      </w:r>
      <w:r>
        <w:rPr>
          <w:rFonts w:ascii="Courier New" w:hAnsi="Courier New" w:eastAsia="Courier New" w:cs="Courier New"/>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p>
    <w:p w:rsidR="002502FC" w:rsidRDefault="005C2D5A" w14:paraId="5D698966" w14:textId="77777777">
      <w:pPr>
        <w:rPr>
          <w:rFonts w:ascii="Courier New" w:hAnsi="Courier New" w:eastAsia="Courier New" w:cs="Courier New"/>
          <w:sz w:val="24"/>
          <w:szCs w:val="24"/>
        </w:rPr>
      </w:pPr>
      <w:r>
        <w:rPr>
          <w:rFonts w:ascii="Courier New" w:hAnsi="Courier New" w:eastAsia="Courier New" w:cs="Courier New"/>
          <w:sz w:val="24"/>
          <w:szCs w:val="24"/>
        </w:rPr>
        <w:br/>
      </w: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2502FC" w:rsidRDefault="002502FC" w14:paraId="34C90318" w14:textId="77777777">
      <w:pPr>
        <w:rPr>
          <w:rFonts w:ascii="Courier New" w:hAnsi="Courier New" w:eastAsia="Courier New" w:cs="Courier New"/>
          <w:sz w:val="24"/>
          <w:szCs w:val="24"/>
        </w:rPr>
      </w:pPr>
    </w:p>
    <w:p w:rsidR="002502FC" w:rsidRDefault="005C2D5A" w14:paraId="1E887EEC" w14:textId="77777777">
      <w:pPr>
        <w:rPr>
          <w:rFonts w:ascii="Courier New" w:hAnsi="Courier New" w:eastAsia="Courier New" w:cs="Courier New"/>
          <w:sz w:val="24"/>
          <w:szCs w:val="24"/>
        </w:rPr>
      </w:pPr>
      <w:r>
        <w:rPr>
          <w:rFonts w:ascii="Courier New" w:hAnsi="Courier New" w:eastAsia="Courier New" w:cs="Courier New"/>
          <w:b/>
          <w:sz w:val="24"/>
          <w:szCs w:val="24"/>
        </w:rPr>
        <w:lastRenderedPageBreak/>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 xml:space="preserve"> Collection of information on a basis other than solicitation-by-solicitation or contract-by-contract is not practical.  </w:t>
      </w:r>
    </w:p>
    <w:p w:rsidR="002502FC" w:rsidRDefault="002502FC" w14:paraId="7579D6FB" w14:textId="77777777">
      <w:pPr>
        <w:rPr>
          <w:rFonts w:ascii="Courier New" w:hAnsi="Courier New" w:eastAsia="Courier New" w:cs="Courier New"/>
          <w:sz w:val="24"/>
          <w:szCs w:val="24"/>
        </w:rPr>
      </w:pPr>
    </w:p>
    <w:p w:rsidR="002502FC" w:rsidRDefault="005C2D5A" w14:paraId="5E3964AD"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1320.5(d)(2). </w:t>
      </w:r>
    </w:p>
    <w:p w:rsidR="002502FC" w:rsidRDefault="002502FC" w14:paraId="5AD826AD" w14:textId="77777777">
      <w:pPr>
        <w:rPr>
          <w:rFonts w:ascii="Courier New" w:hAnsi="Courier New" w:eastAsia="Courier New" w:cs="Courier New"/>
          <w:sz w:val="24"/>
          <w:szCs w:val="24"/>
        </w:rPr>
      </w:pPr>
    </w:p>
    <w:p w:rsidR="002502FC" w:rsidRDefault="005C2D5A" w14:paraId="31508EE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2502FC" w:rsidRDefault="005C2D5A" w14:paraId="7A879F90" w14:textId="77777777">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87 FR 25487, on April 29, 2022. No comments were received.</w:t>
      </w:r>
    </w:p>
    <w:p w:rsidR="002502FC" w:rsidRDefault="005C2D5A" w14:paraId="4001617B" w14:textId="083813A1">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Federal Register at </w:t>
      </w:r>
      <w:r w:rsidR="0067052F">
        <w:rPr>
          <w:rFonts w:ascii="Courier New" w:hAnsi="Courier New" w:eastAsia="Courier New" w:cs="Courier New"/>
          <w:sz w:val="24"/>
          <w:szCs w:val="24"/>
        </w:rPr>
        <w:t>87</w:t>
      </w:r>
      <w:r>
        <w:rPr>
          <w:rFonts w:ascii="Courier New" w:hAnsi="Courier New" w:eastAsia="Courier New" w:cs="Courier New"/>
          <w:sz w:val="24"/>
          <w:szCs w:val="24"/>
        </w:rPr>
        <w:t xml:space="preserve"> FR </w:t>
      </w:r>
      <w:r w:rsidR="0067052F">
        <w:rPr>
          <w:rFonts w:ascii="Courier New" w:hAnsi="Courier New" w:eastAsia="Courier New" w:cs="Courier New"/>
          <w:sz w:val="24"/>
          <w:szCs w:val="24"/>
        </w:rPr>
        <w:t>40243</w:t>
      </w:r>
      <w:r>
        <w:rPr>
          <w:rFonts w:ascii="Courier New" w:hAnsi="Courier New" w:eastAsia="Courier New" w:cs="Courier New"/>
          <w:sz w:val="24"/>
          <w:szCs w:val="24"/>
        </w:rPr>
        <w:t xml:space="preserve">, on </w:t>
      </w:r>
      <w:r w:rsidR="0067052F">
        <w:rPr>
          <w:rFonts w:ascii="Courier New" w:hAnsi="Courier New" w:eastAsia="Courier New" w:cs="Courier New"/>
          <w:sz w:val="24"/>
          <w:szCs w:val="24"/>
        </w:rPr>
        <w:t>July 6, 2022</w:t>
      </w:r>
      <w:r>
        <w:rPr>
          <w:rFonts w:ascii="Courier New" w:hAnsi="Courier New" w:eastAsia="Courier New" w:cs="Courier New"/>
          <w:sz w:val="24"/>
          <w:szCs w:val="24"/>
        </w:rPr>
        <w:t>.</w:t>
      </w:r>
    </w:p>
    <w:p w:rsidR="002502FC" w:rsidRDefault="002502FC" w14:paraId="1005836E" w14:textId="77777777">
      <w:pPr>
        <w:rPr>
          <w:rFonts w:ascii="Courier New" w:hAnsi="Courier New" w:eastAsia="Courier New" w:cs="Courier New"/>
          <w:sz w:val="24"/>
          <w:szCs w:val="24"/>
        </w:rPr>
      </w:pPr>
    </w:p>
    <w:p w:rsidR="002502FC" w:rsidRDefault="005C2D5A" w14:paraId="3E8FBAF9"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2502FC" w:rsidRDefault="005C2D5A" w14:paraId="2B04BC2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6FB2C18A"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2502FC" w:rsidRDefault="005C2D5A" w14:paraId="37B7ACC4"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1C6BA8C2" w14:textId="77777777">
      <w:pPr>
        <w:rPr>
          <w:rFonts w:ascii="Courier New" w:hAnsi="Courier New" w:eastAsia="Courier New" w:cs="Courier New"/>
          <w:sz w:val="24"/>
          <w:szCs w:val="24"/>
        </w:rPr>
      </w:pPr>
      <w:r>
        <w:rPr>
          <w:rFonts w:ascii="Courier New" w:hAnsi="Courier New" w:eastAsia="Courier New" w:cs="Courier New"/>
          <w:b/>
          <w:sz w:val="24"/>
          <w:szCs w:val="24"/>
        </w:rPr>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2502FC" w:rsidRDefault="002502FC" w14:paraId="6935CDE0" w14:textId="77777777">
      <w:pPr>
        <w:rPr>
          <w:rFonts w:ascii="Courier New" w:hAnsi="Courier New" w:eastAsia="Courier New" w:cs="Courier New"/>
          <w:sz w:val="24"/>
          <w:szCs w:val="24"/>
        </w:rPr>
      </w:pPr>
    </w:p>
    <w:p w:rsidR="002502FC" w:rsidRDefault="005C2D5A" w14:paraId="5027FB71"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2502FC" w:rsidRDefault="002502FC" w14:paraId="28E5FB90" w14:textId="77777777">
      <w:pPr>
        <w:rPr>
          <w:rFonts w:ascii="Courier New" w:hAnsi="Courier New" w:eastAsia="Courier New" w:cs="Courier New"/>
          <w:sz w:val="24"/>
          <w:szCs w:val="24"/>
        </w:rPr>
      </w:pPr>
    </w:p>
    <w:p w:rsidR="002502FC" w:rsidRDefault="005C2D5A" w14:paraId="19F0912A" w14:textId="77777777">
      <w:pPr>
        <w:rPr>
          <w:rFonts w:ascii="Courier New" w:hAnsi="Courier New" w:eastAsia="Courier New" w:cs="Courier New"/>
          <w:sz w:val="24"/>
          <w:szCs w:val="24"/>
        </w:rPr>
      </w:pPr>
      <w:r>
        <w:rPr>
          <w:rFonts w:ascii="Courier New" w:hAnsi="Courier New" w:eastAsia="Courier New" w:cs="Courier New"/>
          <w:sz w:val="24"/>
          <w:szCs w:val="24"/>
        </w:rPr>
        <w:t>The following estimates are based on averages of historical award data available in the Federal Procurement Data System (FPDS) for fiscal years 2019 through 2021. For construction contracts, Product and Service Codes (PSC) beginning with Y and Z2 were utilized. These estimates exclude contracts for the acquisition of commercial products and commercial services.</w:t>
      </w:r>
    </w:p>
    <w:p w:rsidR="002502FC" w:rsidRDefault="002502FC" w14:paraId="3CFDC788" w14:textId="77777777">
      <w:pPr>
        <w:rPr>
          <w:rFonts w:ascii="Courier New" w:hAnsi="Courier New" w:eastAsia="Courier New" w:cs="Courier New"/>
          <w:sz w:val="24"/>
          <w:szCs w:val="24"/>
        </w:rPr>
      </w:pPr>
    </w:p>
    <w:p w:rsidR="002502FC" w:rsidRDefault="005C2D5A" w14:paraId="6EDC8CFC" w14:textId="3F08E9C4">
      <w:pPr>
        <w:rPr>
          <w:rFonts w:ascii="Courier New" w:hAnsi="Courier New" w:eastAsia="Courier New" w:cs="Courier New"/>
          <w:sz w:val="24"/>
          <w:szCs w:val="24"/>
        </w:rPr>
      </w:pPr>
      <w:r>
        <w:rPr>
          <w:rFonts w:ascii="Courier New" w:hAnsi="Courier New" w:eastAsia="Courier New" w:cs="Courier New"/>
          <w:sz w:val="24"/>
          <w:szCs w:val="24"/>
          <w:u w:val="single"/>
        </w:rPr>
        <w:t>FAR 52.228-1 Bid Guarante</w:t>
      </w:r>
      <w:r w:rsidR="00E7472B">
        <w:rPr>
          <w:rFonts w:ascii="Courier New" w:hAnsi="Courier New" w:eastAsia="Courier New" w:cs="Courier New"/>
          <w:sz w:val="24"/>
          <w:szCs w:val="24"/>
          <w:u w:val="single"/>
        </w:rPr>
        <w:t xml:space="preserve">e, and </w:t>
      </w:r>
      <w:r w:rsidRPr="00E7472B" w:rsidR="00E7472B">
        <w:rPr>
          <w:rFonts w:ascii="Courier New" w:hAnsi="Courier New" w:eastAsia="Courier New" w:cs="Courier New"/>
          <w:sz w:val="24"/>
          <w:szCs w:val="24"/>
          <w:u w:val="single"/>
        </w:rPr>
        <w:t>SF</w:t>
      </w:r>
      <w:r w:rsidR="00E7472B">
        <w:rPr>
          <w:rFonts w:ascii="Courier New" w:hAnsi="Courier New" w:eastAsia="Courier New" w:cs="Courier New"/>
          <w:sz w:val="24"/>
          <w:szCs w:val="24"/>
          <w:u w:val="single"/>
        </w:rPr>
        <w:t>s</w:t>
      </w:r>
      <w:r w:rsidRPr="00E7472B" w:rsidR="00E7472B">
        <w:rPr>
          <w:rFonts w:ascii="Courier New" w:hAnsi="Courier New" w:eastAsia="Courier New" w:cs="Courier New"/>
          <w:sz w:val="24"/>
          <w:szCs w:val="24"/>
          <w:u w:val="single"/>
        </w:rPr>
        <w:t xml:space="preserve"> 24</w:t>
      </w:r>
      <w:r w:rsidR="00E7472B">
        <w:rPr>
          <w:rFonts w:ascii="Courier New" w:hAnsi="Courier New" w:eastAsia="Courier New" w:cs="Courier New"/>
          <w:sz w:val="24"/>
          <w:szCs w:val="24"/>
          <w:u w:val="single"/>
        </w:rPr>
        <w:t xml:space="preserve"> and </w:t>
      </w:r>
      <w:r w:rsidRPr="00E7472B" w:rsidR="00E7472B">
        <w:rPr>
          <w:rFonts w:ascii="Courier New" w:hAnsi="Courier New" w:eastAsia="Courier New" w:cs="Courier New"/>
          <w:sz w:val="24"/>
          <w:szCs w:val="24"/>
          <w:u w:val="single"/>
        </w:rPr>
        <w:t>34</w:t>
      </w:r>
      <w:r>
        <w:rPr>
          <w:rFonts w:ascii="Courier New" w:hAnsi="Courier New" w:eastAsia="Courier New" w:cs="Courier New"/>
          <w:sz w:val="24"/>
          <w:szCs w:val="24"/>
        </w:rPr>
        <w:t xml:space="preserve">:  This provision (or clause) requires a bid guarantee only if a performance bond or a performance and payment bond is also required.  Therefore, the total number of unique respondents is based on the sum of </w:t>
      </w:r>
      <w:r>
        <w:rPr>
          <w:rFonts w:ascii="Courier New" w:hAnsi="Courier New" w:eastAsia="Courier New" w:cs="Courier New"/>
          <w:sz w:val="24"/>
          <w:szCs w:val="24"/>
        </w:rPr>
        <w:lastRenderedPageBreak/>
        <w:t xml:space="preserve">respondents per year identified for FAR 52.228-15 and FAR 52.228-16, or </w:t>
      </w:r>
      <w:r>
        <w:rPr>
          <w:rFonts w:ascii="Courier New" w:hAnsi="Courier New" w:eastAsia="Courier New" w:cs="Courier New"/>
          <w:sz w:val="24"/>
          <w:szCs w:val="24"/>
          <w:u w:val="single"/>
        </w:rPr>
        <w:t>2,499</w:t>
      </w:r>
      <w:r>
        <w:rPr>
          <w:rFonts w:ascii="Courier New" w:hAnsi="Courier New" w:eastAsia="Courier New" w:cs="Courier New"/>
          <w:sz w:val="24"/>
          <w:szCs w:val="24"/>
        </w:rPr>
        <w:t xml:space="preserve"> respondents per year.</w:t>
      </w:r>
    </w:p>
    <w:p w:rsidR="002502FC" w:rsidRDefault="005C2D5A" w14:paraId="1E19A4E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58D8B17F" w14:textId="604E43B7">
      <w:pPr>
        <w:rPr>
          <w:rFonts w:ascii="Courier New" w:hAnsi="Courier New" w:eastAsia="Courier New" w:cs="Courier New"/>
          <w:sz w:val="24"/>
          <w:szCs w:val="24"/>
        </w:rPr>
      </w:pPr>
      <w:r>
        <w:rPr>
          <w:rFonts w:ascii="Courier New" w:hAnsi="Courier New" w:eastAsia="Courier New" w:cs="Courier New"/>
          <w:sz w:val="24"/>
          <w:szCs w:val="24"/>
          <w:u w:val="single"/>
        </w:rPr>
        <w:t>FAR 52.228-2 Additional Bond Securit</w:t>
      </w:r>
      <w:r w:rsidR="00E7472B">
        <w:rPr>
          <w:rFonts w:ascii="Courier New" w:hAnsi="Courier New" w:eastAsia="Courier New" w:cs="Courier New"/>
          <w:sz w:val="24"/>
          <w:szCs w:val="24"/>
          <w:u w:val="single"/>
        </w:rPr>
        <w:t xml:space="preserve">y, and </w:t>
      </w:r>
      <w:r w:rsidRPr="00E7472B" w:rsidR="00E7472B">
        <w:rPr>
          <w:rFonts w:ascii="Courier New" w:hAnsi="Courier New" w:eastAsia="Courier New" w:cs="Courier New"/>
          <w:sz w:val="24"/>
          <w:szCs w:val="24"/>
          <w:u w:val="single"/>
        </w:rPr>
        <w:t>SF</w:t>
      </w:r>
      <w:r w:rsidR="00E7472B">
        <w:rPr>
          <w:rFonts w:ascii="Courier New" w:hAnsi="Courier New" w:eastAsia="Courier New" w:cs="Courier New"/>
          <w:sz w:val="24"/>
          <w:szCs w:val="24"/>
          <w:u w:val="single"/>
        </w:rPr>
        <w:t>s</w:t>
      </w:r>
      <w:r w:rsidRPr="00E7472B" w:rsidR="00E7472B">
        <w:rPr>
          <w:rFonts w:ascii="Courier New" w:hAnsi="Courier New" w:eastAsia="Courier New" w:cs="Courier New"/>
          <w:sz w:val="24"/>
          <w:szCs w:val="24"/>
          <w:u w:val="single"/>
        </w:rPr>
        <w:t xml:space="preserve"> 1414 and 1415</w:t>
      </w:r>
      <w:r>
        <w:rPr>
          <w:rFonts w:ascii="Courier New" w:hAnsi="Courier New" w:eastAsia="Courier New" w:cs="Courier New"/>
          <w:sz w:val="24"/>
          <w:szCs w:val="24"/>
        </w:rPr>
        <w:t xml:space="preserve">: This clause applies in limited circumstances in both construction contracts and other than construction contracts when bonds are required. The total number of unique entities is based on the sum of unique entities identified for FAR 52.228-15 and FAR 52.228-16.  However, this data was analyzed further because this clause is only required when the surety furnished becomes unacceptable to the Government, the surety fails to furnish reports on its financial condition, the contract price is increased so that the bond becomes inadequate, or the irrevocable letter of credit expires.  Based on this, the total number of unique entities was filtered based on the reason for contract modification including for additional work, supplemental agreement for work within scope, and change orders.  Therefore, the estimated number of respondents per year is </w:t>
      </w:r>
      <w:r>
        <w:rPr>
          <w:rFonts w:ascii="Courier New" w:hAnsi="Courier New" w:eastAsia="Courier New" w:cs="Courier New"/>
          <w:sz w:val="24"/>
          <w:szCs w:val="24"/>
          <w:u w:val="single"/>
        </w:rPr>
        <w:t>960</w:t>
      </w:r>
      <w:r>
        <w:rPr>
          <w:rFonts w:ascii="Courier New" w:hAnsi="Courier New" w:eastAsia="Courier New" w:cs="Courier New"/>
          <w:sz w:val="24"/>
          <w:szCs w:val="24"/>
        </w:rPr>
        <w:t>.</w:t>
      </w:r>
    </w:p>
    <w:p w:rsidR="002502FC" w:rsidRDefault="005C2D5A" w14:paraId="0C1E4515"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004CF858" w14:textId="77777777">
      <w:pPr>
        <w:rPr>
          <w:rFonts w:ascii="Courier New" w:hAnsi="Courier New" w:eastAsia="Courier New" w:cs="Courier New"/>
          <w:sz w:val="24"/>
          <w:szCs w:val="24"/>
        </w:rPr>
      </w:pPr>
      <w:r>
        <w:rPr>
          <w:rFonts w:ascii="Courier New" w:hAnsi="Courier New" w:eastAsia="Courier New" w:cs="Courier New"/>
          <w:sz w:val="24"/>
          <w:szCs w:val="24"/>
          <w:u w:val="single"/>
        </w:rPr>
        <w:t>FAR 52.228-13 Alternative Payment Protections</w:t>
      </w:r>
      <w:r>
        <w:rPr>
          <w:rFonts w:ascii="Courier New" w:hAnsi="Courier New" w:eastAsia="Courier New" w:cs="Courier New"/>
          <w:sz w:val="24"/>
          <w:szCs w:val="24"/>
        </w:rPr>
        <w:t xml:space="preserve">:  This clause only applies to construction contracts exceeding $35,000 but not exceeding $150,000.  Therefore, the estimated number of respondents per year is </w:t>
      </w:r>
      <w:r>
        <w:rPr>
          <w:rFonts w:ascii="Courier New" w:hAnsi="Courier New" w:eastAsia="Courier New" w:cs="Courier New"/>
          <w:sz w:val="24"/>
          <w:szCs w:val="24"/>
          <w:u w:val="single"/>
        </w:rPr>
        <w:t>321</w:t>
      </w:r>
      <w:r>
        <w:rPr>
          <w:rFonts w:ascii="Courier New" w:hAnsi="Courier New" w:eastAsia="Courier New" w:cs="Courier New"/>
          <w:sz w:val="24"/>
          <w:szCs w:val="24"/>
        </w:rPr>
        <w:t xml:space="preserve">. </w:t>
      </w:r>
    </w:p>
    <w:p w:rsidR="002502FC" w:rsidRDefault="002502FC" w14:paraId="23E006E9" w14:textId="77777777">
      <w:pPr>
        <w:rPr>
          <w:rFonts w:ascii="Courier New" w:hAnsi="Courier New" w:eastAsia="Courier New" w:cs="Courier New"/>
          <w:sz w:val="24"/>
          <w:szCs w:val="24"/>
        </w:rPr>
      </w:pPr>
    </w:p>
    <w:p w:rsidR="002502FC" w:rsidRDefault="005C2D5A" w14:paraId="6475E24C" w14:textId="77777777">
      <w:pPr>
        <w:rPr>
          <w:rFonts w:ascii="Courier New" w:hAnsi="Courier New" w:eastAsia="Courier New" w:cs="Courier New"/>
          <w:sz w:val="24"/>
          <w:szCs w:val="24"/>
          <w:u w:val="single"/>
        </w:rPr>
      </w:pPr>
      <w:r>
        <w:rPr>
          <w:rFonts w:ascii="Courier New" w:hAnsi="Courier New" w:eastAsia="Courier New" w:cs="Courier New"/>
          <w:sz w:val="24"/>
          <w:szCs w:val="24"/>
          <w:u w:val="single"/>
        </w:rPr>
        <w:t>FAR 52.228-14 Irrevocable Letter of Credit:</w:t>
      </w:r>
      <w:r>
        <w:rPr>
          <w:rFonts w:ascii="Courier New" w:hAnsi="Courier New" w:eastAsia="Courier New" w:cs="Courier New"/>
          <w:sz w:val="24"/>
          <w:szCs w:val="24"/>
        </w:rPr>
        <w:t xml:space="preserve"> Since this clause</w:t>
      </w:r>
      <w:r>
        <w:rPr>
          <w:rFonts w:ascii="Courier New" w:hAnsi="Courier New" w:eastAsia="Courier New" w:cs="Courier New"/>
          <w:sz w:val="24"/>
          <w:szCs w:val="24"/>
          <w:highlight w:val="white"/>
        </w:rPr>
        <w:t xml:space="preserve"> is used by an offeror or contractor in lieu of the requirements of FAR 52.228-1, 52.228-15, or 52.228-16, instead of in addition to, burden for this clause is not accounted for separately in this information collection. </w:t>
      </w:r>
    </w:p>
    <w:p w:rsidR="002502FC" w:rsidRDefault="002502FC" w14:paraId="19777B0B" w14:textId="77777777">
      <w:pPr>
        <w:rPr>
          <w:rFonts w:ascii="Courier New" w:hAnsi="Courier New" w:eastAsia="Courier New" w:cs="Courier New"/>
          <w:sz w:val="24"/>
          <w:szCs w:val="24"/>
          <w:u w:val="single"/>
        </w:rPr>
      </w:pPr>
    </w:p>
    <w:p w:rsidR="002502FC" w:rsidRDefault="005C2D5A" w14:paraId="17B80B06" w14:textId="549A6D3B">
      <w:pPr>
        <w:rPr>
          <w:rFonts w:ascii="Courier New" w:hAnsi="Courier New" w:eastAsia="Courier New" w:cs="Courier New"/>
          <w:sz w:val="24"/>
          <w:szCs w:val="24"/>
        </w:rPr>
      </w:pPr>
      <w:r>
        <w:rPr>
          <w:rFonts w:ascii="Courier New" w:hAnsi="Courier New" w:eastAsia="Courier New" w:cs="Courier New"/>
          <w:sz w:val="24"/>
          <w:szCs w:val="24"/>
          <w:u w:val="single"/>
        </w:rPr>
        <w:t xml:space="preserve">FAR 52.228-15 Performance and Payment Bonds </w:t>
      </w:r>
      <w:r w:rsidR="00E7472B">
        <w:rPr>
          <w:rFonts w:ascii="Courier New" w:hAnsi="Courier New" w:eastAsia="Courier New" w:cs="Courier New"/>
          <w:sz w:val="24"/>
          <w:szCs w:val="24"/>
          <w:u w:val="single"/>
        </w:rPr>
        <w:t>–</w:t>
      </w:r>
      <w:r>
        <w:rPr>
          <w:rFonts w:ascii="Courier New" w:hAnsi="Courier New" w:eastAsia="Courier New" w:cs="Courier New"/>
          <w:sz w:val="24"/>
          <w:szCs w:val="24"/>
          <w:u w:val="single"/>
        </w:rPr>
        <w:t xml:space="preserve"> Construction</w:t>
      </w:r>
      <w:r w:rsidR="00E7472B">
        <w:rPr>
          <w:rFonts w:ascii="Courier New" w:hAnsi="Courier New" w:eastAsia="Courier New" w:cs="Courier New"/>
          <w:sz w:val="24"/>
          <w:szCs w:val="24"/>
          <w:u w:val="single"/>
        </w:rPr>
        <w:t xml:space="preserve">, and </w:t>
      </w:r>
      <w:r w:rsidRPr="00E7472B" w:rsidR="00E7472B">
        <w:rPr>
          <w:rFonts w:ascii="Courier New" w:hAnsi="Courier New" w:eastAsia="Courier New" w:cs="Courier New"/>
          <w:sz w:val="24"/>
          <w:szCs w:val="24"/>
          <w:u w:val="single"/>
        </w:rPr>
        <w:t>SF</w:t>
      </w:r>
      <w:r w:rsidR="00E7472B">
        <w:rPr>
          <w:rFonts w:ascii="Courier New" w:hAnsi="Courier New" w:eastAsia="Courier New" w:cs="Courier New"/>
          <w:sz w:val="24"/>
          <w:szCs w:val="24"/>
          <w:u w:val="single"/>
        </w:rPr>
        <w:t>s</w:t>
      </w:r>
      <w:r w:rsidRPr="00E7472B" w:rsidR="00E7472B">
        <w:rPr>
          <w:rFonts w:ascii="Courier New" w:hAnsi="Courier New" w:eastAsia="Courier New" w:cs="Courier New"/>
          <w:sz w:val="24"/>
          <w:szCs w:val="24"/>
          <w:u w:val="single"/>
        </w:rPr>
        <w:t xml:space="preserve"> 25, 25-A, 25-B, 273, </w:t>
      </w:r>
      <w:r w:rsidR="00E7472B">
        <w:rPr>
          <w:rFonts w:ascii="Courier New" w:hAnsi="Courier New" w:eastAsia="Courier New" w:cs="Courier New"/>
          <w:sz w:val="24"/>
          <w:szCs w:val="24"/>
          <w:u w:val="single"/>
        </w:rPr>
        <w:t>and</w:t>
      </w:r>
      <w:r w:rsidRPr="00E7472B" w:rsidR="00E7472B">
        <w:rPr>
          <w:rFonts w:ascii="Courier New" w:hAnsi="Courier New" w:eastAsia="Courier New" w:cs="Courier New"/>
          <w:sz w:val="24"/>
          <w:szCs w:val="24"/>
          <w:u w:val="single"/>
        </w:rPr>
        <w:t xml:space="preserve"> 274</w:t>
      </w:r>
      <w:r>
        <w:rPr>
          <w:rFonts w:ascii="Courier New" w:hAnsi="Courier New" w:eastAsia="Courier New" w:cs="Courier New"/>
          <w:sz w:val="24"/>
          <w:szCs w:val="24"/>
          <w:u w:val="single"/>
        </w:rPr>
        <w:t>:</w:t>
      </w:r>
      <w:r>
        <w:rPr>
          <w:rFonts w:ascii="Courier New" w:hAnsi="Courier New" w:eastAsia="Courier New" w:cs="Courier New"/>
          <w:sz w:val="24"/>
          <w:szCs w:val="24"/>
        </w:rPr>
        <w:t xml:space="preserve"> This clause only applies to construction contracts exceeding $150,000.</w:t>
      </w:r>
      <w:r>
        <w:rPr>
          <w:rFonts w:ascii="Courier New" w:hAnsi="Courier New" w:eastAsia="Courier New" w:cs="Courier New"/>
          <w:b/>
          <w:sz w:val="24"/>
          <w:szCs w:val="24"/>
        </w:rPr>
        <w:t xml:space="preserve"> </w:t>
      </w:r>
      <w:r>
        <w:rPr>
          <w:rFonts w:ascii="Courier New" w:hAnsi="Courier New" w:eastAsia="Courier New" w:cs="Courier New"/>
          <w:sz w:val="24"/>
          <w:szCs w:val="24"/>
        </w:rPr>
        <w:t xml:space="preserve">The estimated number of respondents per year is </w:t>
      </w:r>
      <w:r>
        <w:rPr>
          <w:rFonts w:ascii="Courier New" w:hAnsi="Courier New" w:eastAsia="Courier New" w:cs="Courier New"/>
          <w:sz w:val="24"/>
          <w:szCs w:val="24"/>
          <w:u w:val="single"/>
        </w:rPr>
        <w:t>781</w:t>
      </w:r>
      <w:r>
        <w:rPr>
          <w:rFonts w:ascii="Courier New" w:hAnsi="Courier New" w:eastAsia="Courier New" w:cs="Courier New"/>
          <w:sz w:val="24"/>
          <w:szCs w:val="24"/>
        </w:rPr>
        <w:t>.</w:t>
      </w:r>
    </w:p>
    <w:p w:rsidR="002502FC" w:rsidRDefault="005C2D5A" w14:paraId="0A8B973C" w14:textId="77777777">
      <w:pPr>
        <w:rPr>
          <w:rFonts w:ascii="Courier New" w:hAnsi="Courier New" w:eastAsia="Courier New" w:cs="Courier New"/>
          <w:sz w:val="24"/>
          <w:szCs w:val="24"/>
        </w:rPr>
      </w:pPr>
      <w:r>
        <w:rPr>
          <w:rFonts w:ascii="Courier New" w:hAnsi="Courier New" w:eastAsia="Courier New" w:cs="Courier New"/>
          <w:sz w:val="24"/>
          <w:szCs w:val="24"/>
          <w:u w:val="single"/>
        </w:rPr>
        <w:t xml:space="preserve"> </w:t>
      </w:r>
    </w:p>
    <w:p w:rsidR="002502FC" w:rsidRDefault="005C2D5A" w14:paraId="28359929" w14:textId="227B916E">
      <w:pPr>
        <w:rPr>
          <w:rFonts w:ascii="Courier New" w:hAnsi="Courier New" w:eastAsia="Courier New" w:cs="Courier New"/>
          <w:sz w:val="24"/>
          <w:szCs w:val="24"/>
        </w:rPr>
      </w:pPr>
      <w:r>
        <w:rPr>
          <w:rFonts w:ascii="Courier New" w:hAnsi="Courier New" w:eastAsia="Courier New" w:cs="Courier New"/>
          <w:sz w:val="24"/>
          <w:szCs w:val="24"/>
          <w:u w:val="single"/>
        </w:rPr>
        <w:t xml:space="preserve">FAR 52.228-16 Performance and Payment Bonds – Other Than Construction, and </w:t>
      </w:r>
      <w:r w:rsidRPr="005C2D5A">
        <w:rPr>
          <w:rFonts w:ascii="Courier New" w:hAnsi="Courier New" w:eastAsia="Courier New" w:cs="Courier New"/>
          <w:sz w:val="24"/>
          <w:szCs w:val="24"/>
          <w:u w:val="single"/>
        </w:rPr>
        <w:t>SF</w:t>
      </w:r>
      <w:r>
        <w:rPr>
          <w:rFonts w:ascii="Courier New" w:hAnsi="Courier New" w:eastAsia="Courier New" w:cs="Courier New"/>
          <w:sz w:val="24"/>
          <w:szCs w:val="24"/>
          <w:u w:val="single"/>
        </w:rPr>
        <w:t>s</w:t>
      </w:r>
      <w:r w:rsidRPr="005C2D5A">
        <w:rPr>
          <w:rFonts w:ascii="Courier New" w:hAnsi="Courier New" w:eastAsia="Courier New" w:cs="Courier New"/>
          <w:sz w:val="24"/>
          <w:szCs w:val="24"/>
          <w:u w:val="single"/>
        </w:rPr>
        <w:t xml:space="preserve"> 35, 275, 1416, </w:t>
      </w:r>
      <w:r>
        <w:rPr>
          <w:rFonts w:ascii="Courier New" w:hAnsi="Courier New" w:eastAsia="Courier New" w:cs="Courier New"/>
          <w:sz w:val="24"/>
          <w:szCs w:val="24"/>
          <w:u w:val="single"/>
        </w:rPr>
        <w:t xml:space="preserve">and </w:t>
      </w:r>
      <w:r w:rsidRPr="005C2D5A">
        <w:rPr>
          <w:rFonts w:ascii="Courier New" w:hAnsi="Courier New" w:eastAsia="Courier New" w:cs="Courier New"/>
          <w:sz w:val="24"/>
          <w:szCs w:val="24"/>
          <w:u w:val="single"/>
        </w:rPr>
        <w:t>1418</w:t>
      </w:r>
      <w:r>
        <w:rPr>
          <w:rFonts w:ascii="Courier New" w:hAnsi="Courier New" w:eastAsia="Courier New" w:cs="Courier New"/>
          <w:sz w:val="24"/>
          <w:szCs w:val="24"/>
        </w:rPr>
        <w:t xml:space="preserve">: This clause applies to non-construction contracts exceeding the SAT ($250,000) in limited circumstances including for when government property will be provided to the contractor for use in performing the contract, when a contractor merges with </w:t>
      </w:r>
      <w:r>
        <w:rPr>
          <w:rFonts w:ascii="Courier New" w:hAnsi="Courier New" w:eastAsia="Courier New" w:cs="Courier New"/>
          <w:sz w:val="24"/>
          <w:szCs w:val="24"/>
        </w:rPr>
        <w:lastRenderedPageBreak/>
        <w:t xml:space="preserve">another concern, when substantial progress payments are made before the delivery of end items starts, and contracts for dismantling, demolition or removal of improvements.  Therefore, the estimated number of respondents per year is </w:t>
      </w:r>
      <w:r>
        <w:rPr>
          <w:rFonts w:ascii="Courier New" w:hAnsi="Courier New" w:eastAsia="Courier New" w:cs="Courier New"/>
          <w:sz w:val="24"/>
          <w:szCs w:val="24"/>
          <w:u w:val="single"/>
        </w:rPr>
        <w:t>1,718</w:t>
      </w:r>
      <w:r>
        <w:rPr>
          <w:rFonts w:ascii="Courier New" w:hAnsi="Courier New" w:eastAsia="Courier New" w:cs="Courier New"/>
          <w:sz w:val="24"/>
          <w:szCs w:val="24"/>
        </w:rPr>
        <w:t xml:space="preserve">.       </w:t>
      </w:r>
    </w:p>
    <w:p w:rsidR="002502FC" w:rsidRDefault="005C2D5A" w14:paraId="2B4194DC"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0DF88308" w14:textId="77777777">
      <w:pPr>
        <w:rPr>
          <w:rFonts w:ascii="Courier New" w:hAnsi="Courier New" w:eastAsia="Courier New" w:cs="Courier New"/>
          <w:sz w:val="24"/>
          <w:szCs w:val="24"/>
        </w:rPr>
      </w:pPr>
      <w:r>
        <w:rPr>
          <w:rFonts w:ascii="Courier New" w:hAnsi="Courier New" w:eastAsia="Courier New" w:cs="Courier New"/>
          <w:sz w:val="24"/>
          <w:szCs w:val="24"/>
        </w:rPr>
        <w:t>In all cases, it is estimated that only one response would be submitted annually per respondent.  The amount of time required to read, prepare the information, and populate the forms is estimated at one hour per response.</w:t>
      </w:r>
    </w:p>
    <w:p w:rsidR="002502FC" w:rsidRDefault="005C2D5A" w14:paraId="11C78BD9" w14:textId="77777777">
      <w:pPr>
        <w:jc w:val="cente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2F4CB151"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number of respondents/yr................... 6,279</w:t>
      </w:r>
    </w:p>
    <w:p w:rsidR="002502FC" w:rsidRDefault="005C2D5A" w14:paraId="2C3B2DB8"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per respondent..............................  </w:t>
      </w:r>
      <w:r>
        <w:rPr>
          <w:rFonts w:ascii="Courier New" w:hAnsi="Courier New" w:eastAsia="Courier New" w:cs="Courier New"/>
          <w:sz w:val="24"/>
          <w:szCs w:val="24"/>
          <w:u w:val="single"/>
        </w:rPr>
        <w:t>x 1</w:t>
      </w:r>
    </w:p>
    <w:p w:rsidR="002502FC" w:rsidRDefault="005C2D5A" w14:paraId="7555B5A5"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6,279</w:t>
      </w:r>
    </w:p>
    <w:p w:rsidR="002502FC" w:rsidRDefault="005C2D5A" w14:paraId="742677EB"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 1</w:t>
      </w:r>
    </w:p>
    <w:p w:rsidR="002502FC" w:rsidRDefault="005C2D5A" w14:paraId="02D371AE"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burden hours........................ 6,279</w:t>
      </w:r>
    </w:p>
    <w:p w:rsidR="002502FC" w:rsidRDefault="005C2D5A" w14:paraId="04BCC4B4"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$59</w:t>
      </w:r>
    </w:p>
    <w:p w:rsidR="002502FC" w:rsidRDefault="005C2D5A" w14:paraId="58D2F27A"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annual cost to the public............... $370,461</w:t>
      </w:r>
    </w:p>
    <w:p w:rsidR="002502FC" w:rsidRDefault="002502FC" w14:paraId="2FAD0EEC" w14:textId="77777777">
      <w:pPr>
        <w:rPr>
          <w:rFonts w:ascii="Courier New" w:hAnsi="Courier New" w:eastAsia="Courier New" w:cs="Courier New"/>
          <w:sz w:val="24"/>
          <w:szCs w:val="24"/>
        </w:rPr>
      </w:pPr>
    </w:p>
    <w:p w:rsidR="002502FC" w:rsidRDefault="005C2D5A" w14:paraId="1D2251C6" w14:textId="77777777">
      <w:pPr>
        <w:rPr>
          <w:rFonts w:ascii="Courier New" w:hAnsi="Courier New" w:eastAsia="Courier New" w:cs="Courier New"/>
          <w:strike/>
          <w:sz w:val="26"/>
          <w:szCs w:val="26"/>
        </w:rPr>
      </w:pPr>
      <w:r>
        <w:rPr>
          <w:rFonts w:ascii="Courier New" w:hAnsi="Courier New" w:eastAsia="Courier New" w:cs="Courier New"/>
          <w:sz w:val="24"/>
          <w:szCs w:val="24"/>
        </w:rPr>
        <w:t xml:space="preserve">*Based on the Office of Personnel Management (OPM) 2022 General Schedule (GS) 12/step 5 salary for the rest of the United States ($43.10 per hour) plus a 36.25 percent </w:t>
      </w:r>
      <w:r>
        <w:rPr>
          <w:rFonts w:ascii="Courier New" w:hAnsi="Courier New" w:eastAsia="Courier New" w:cs="Courier New"/>
          <w:sz w:val="24"/>
          <w:szCs w:val="24"/>
          <w:highlight w:val="white"/>
        </w:rPr>
        <w:t xml:space="preserve">overhead and benefits fringe </w:t>
      </w:r>
      <w:r>
        <w:rPr>
          <w:rFonts w:ascii="Courier New" w:hAnsi="Courier New" w:eastAsia="Courier New" w:cs="Courier New"/>
          <w:sz w:val="24"/>
          <w:szCs w:val="24"/>
        </w:rPr>
        <w:t>factor per OMB, rounded to the nearest whole dollar.</w:t>
      </w:r>
      <w:r>
        <w:t xml:space="preserve"> </w:t>
      </w:r>
      <w:r>
        <w:rPr>
          <w:rFonts w:ascii="Courier New" w:hAnsi="Courier New" w:eastAsia="Courier New" w:cs="Courier New"/>
          <w:sz w:val="24"/>
          <w:szCs w:val="24"/>
        </w:rPr>
        <w:t>The fringe factor used is pursuant to the rate provided in OMB memorandum M-08-13 for use in public-private competition.</w:t>
      </w:r>
    </w:p>
    <w:p w:rsidR="002502FC" w:rsidRDefault="002502FC" w14:paraId="48A7CAD5" w14:textId="77777777">
      <w:pPr>
        <w:rPr>
          <w:rFonts w:ascii="Courier New" w:hAnsi="Courier New" w:eastAsia="Courier New" w:cs="Courier New"/>
          <w:sz w:val="24"/>
          <w:szCs w:val="24"/>
        </w:rPr>
      </w:pPr>
    </w:p>
    <w:p w:rsidR="002502FC" w:rsidRDefault="005C2D5A" w14:paraId="681D262B"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2502FC" w:rsidRDefault="005C2D5A" w14:paraId="414E22D4" w14:textId="77777777">
      <w:pPr>
        <w:rPr>
          <w:rFonts w:ascii="Courier New" w:hAnsi="Courier New" w:eastAsia="Courier New" w:cs="Courier New"/>
          <w:sz w:val="24"/>
          <w:szCs w:val="24"/>
        </w:rPr>
      </w:pPr>
      <w:r>
        <w:rPr>
          <w:rFonts w:ascii="Courier New" w:hAnsi="Courier New" w:eastAsia="Courier New" w:cs="Courier New"/>
          <w:sz w:val="24"/>
          <w:szCs w:val="24"/>
        </w:rPr>
        <w:t>Time required for Governmentwide review is estimated at 15 minutes per response.</w:t>
      </w:r>
    </w:p>
    <w:p w:rsidR="002502FC" w:rsidRDefault="005C2D5A" w14:paraId="6D9AE55F"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6A5E5CDA" w14:textId="77777777">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6,279</w:t>
      </w:r>
    </w:p>
    <w:p w:rsidR="002502FC" w:rsidRDefault="005C2D5A" w14:paraId="411D1467"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x   .25</w:t>
      </w:r>
    </w:p>
    <w:p w:rsidR="002502FC" w:rsidRDefault="005C2D5A" w14:paraId="13A47AE7"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1,570</w:t>
      </w:r>
    </w:p>
    <w:p w:rsidR="002502FC" w:rsidRDefault="005C2D5A" w14:paraId="280BAE56"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$59</w:t>
      </w:r>
    </w:p>
    <w:p w:rsidR="002502FC" w:rsidRDefault="005C2D5A" w14:paraId="632BD87B" w14:textId="77777777">
      <w:pPr>
        <w:ind w:right="-40"/>
        <w:rPr>
          <w:rFonts w:ascii="Courier New" w:hAnsi="Courier New" w:eastAsia="Courier New" w:cs="Courier New"/>
          <w:sz w:val="24"/>
          <w:szCs w:val="24"/>
        </w:rPr>
      </w:pPr>
      <w:r>
        <w:rPr>
          <w:rFonts w:ascii="Courier New" w:hAnsi="Courier New" w:eastAsia="Courier New" w:cs="Courier New"/>
          <w:sz w:val="24"/>
          <w:szCs w:val="24"/>
        </w:rPr>
        <w:t>Estimated annual cost to the Government.............   $92,630</w:t>
      </w:r>
    </w:p>
    <w:p w:rsidR="002502FC" w:rsidRDefault="002502FC" w14:paraId="241CCC37" w14:textId="77777777">
      <w:pPr>
        <w:rPr>
          <w:rFonts w:ascii="Courier New" w:hAnsi="Courier New" w:eastAsia="Courier New" w:cs="Courier New"/>
          <w:sz w:val="24"/>
          <w:szCs w:val="24"/>
        </w:rPr>
      </w:pPr>
    </w:p>
    <w:p w:rsidR="002502FC" w:rsidRDefault="005C2D5A" w14:paraId="7FD3122C" w14:textId="77777777">
      <w:pPr>
        <w:ind w:right="-40"/>
        <w:rPr>
          <w:rFonts w:ascii="Courier New" w:hAnsi="Courier New" w:eastAsia="Courier New" w:cs="Courier New"/>
          <w:b/>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xml:space="preserve">.  There are no program changes. The FAR requirements remain the same.  The total number of annual responses and the annual burden hours increased as follows:  </w:t>
      </w:r>
    </w:p>
    <w:p w:rsidR="002502FC" w:rsidRDefault="002502FC" w14:paraId="5F6D2B07" w14:textId="77777777">
      <w:pPr>
        <w:ind w:right="-40"/>
        <w:rPr>
          <w:rFonts w:ascii="Courier New" w:hAnsi="Courier New" w:eastAsia="Courier New" w:cs="Courier New"/>
          <w:b/>
          <w:sz w:val="24"/>
          <w:szCs w:val="24"/>
        </w:rPr>
      </w:pPr>
    </w:p>
    <w:p w:rsidR="002502FC" w:rsidRDefault="005C2D5A" w14:paraId="7A188DEC" w14:textId="77777777">
      <w:pPr>
        <w:spacing w:before="240" w:after="240"/>
        <w:rPr>
          <w:rFonts w:ascii="Courier New" w:hAnsi="Courier New" w:eastAsia="Courier New" w:cs="Courier New"/>
          <w:b/>
          <w:sz w:val="24"/>
          <w:szCs w:val="24"/>
        </w:rPr>
      </w:pPr>
      <w:r>
        <w:rPr>
          <w:rFonts w:ascii="Courier New" w:hAnsi="Courier New" w:eastAsia="Courier New" w:cs="Courier New"/>
          <w:b/>
          <w:sz w:val="24"/>
          <w:szCs w:val="24"/>
        </w:rPr>
        <w:t xml:space="preserve"> </w:t>
      </w:r>
    </w:p>
    <w:tbl>
      <w:tblPr>
        <w:tblStyle w:val="a"/>
        <w:tblW w:w="5640" w:type="dxa"/>
        <w:tblInd w:w="25" w:type="dxa"/>
        <w:tblBorders>
          <w:top w:val="nil"/>
          <w:left w:val="nil"/>
          <w:bottom w:val="nil"/>
          <w:right w:val="nil"/>
          <w:insideH w:val="nil"/>
          <w:insideV w:val="nil"/>
        </w:tblBorders>
        <w:tblLayout w:type="fixed"/>
        <w:tblLook w:val="0600" w:firstRow="0" w:lastRow="0" w:firstColumn="0" w:lastColumn="0" w:noHBand="1" w:noVBand="1"/>
      </w:tblPr>
      <w:tblGrid>
        <w:gridCol w:w="1710"/>
        <w:gridCol w:w="1260"/>
        <w:gridCol w:w="1260"/>
        <w:gridCol w:w="1410"/>
      </w:tblGrid>
      <w:tr w:rsidR="002502FC" w14:paraId="30293411" w14:textId="77777777">
        <w:trPr>
          <w:trHeight w:val="720"/>
        </w:trPr>
        <w:tc>
          <w:tcPr>
            <w:tcW w:w="171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bottom"/>
          </w:tcPr>
          <w:p w:rsidR="002502FC" w:rsidRDefault="005C2D5A" w14:paraId="1B098388" w14:textId="77777777">
            <w:pPr>
              <w:spacing w:before="240"/>
              <w:rPr>
                <w:rFonts w:ascii="Courier New" w:hAnsi="Courier New" w:eastAsia="Courier New" w:cs="Courier New"/>
                <w:sz w:val="24"/>
                <w:szCs w:val="24"/>
              </w:rPr>
            </w:pPr>
            <w:r>
              <w:rPr>
                <w:rFonts w:ascii="Courier New" w:hAnsi="Courier New" w:eastAsia="Courier New" w:cs="Courier New"/>
                <w:sz w:val="24"/>
                <w:szCs w:val="24"/>
              </w:rPr>
              <w:lastRenderedPageBreak/>
              <w:t>OMB Control # 9000-0045</w:t>
            </w:r>
          </w:p>
        </w:tc>
        <w:tc>
          <w:tcPr>
            <w:tcW w:w="1260" w:type="dxa"/>
            <w:tcBorders>
              <w:top w:val="single" w:color="000000" w:sz="8" w:space="0"/>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5707C85B"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2019 Estimate</w:t>
            </w:r>
          </w:p>
        </w:tc>
        <w:tc>
          <w:tcPr>
            <w:tcW w:w="1260" w:type="dxa"/>
            <w:tcBorders>
              <w:top w:val="single" w:color="000000" w:sz="8" w:space="0"/>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609E1DA1"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2022 Estimate</w:t>
            </w:r>
          </w:p>
        </w:tc>
        <w:tc>
          <w:tcPr>
            <w:tcW w:w="1410" w:type="dxa"/>
            <w:tcBorders>
              <w:top w:val="single" w:color="000000" w:sz="8" w:space="0"/>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2CE389C6"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Change in Burden</w:t>
            </w:r>
          </w:p>
        </w:tc>
      </w:tr>
      <w:tr w:rsidR="002502FC" w14:paraId="6C5BA8BB" w14:textId="77777777">
        <w:trPr>
          <w:trHeight w:val="615"/>
        </w:trPr>
        <w:tc>
          <w:tcPr>
            <w:tcW w:w="1710" w:type="dxa"/>
            <w:tcBorders>
              <w:top w:val="nil"/>
              <w:left w:val="single" w:color="000000" w:sz="8" w:space="0"/>
              <w:bottom w:val="single" w:color="000000" w:sz="8" w:space="0"/>
              <w:right w:val="single" w:color="000000" w:sz="8" w:space="0"/>
            </w:tcBorders>
            <w:tcMar>
              <w:top w:w="40" w:type="dxa"/>
              <w:left w:w="40" w:type="dxa"/>
              <w:bottom w:w="40" w:type="dxa"/>
              <w:right w:w="40" w:type="dxa"/>
            </w:tcMar>
            <w:vAlign w:val="bottom"/>
          </w:tcPr>
          <w:p w:rsidR="002502FC" w:rsidRDefault="005C2D5A" w14:paraId="37BF406D" w14:textId="77777777">
            <w:pPr>
              <w:spacing w:before="240"/>
              <w:rPr>
                <w:rFonts w:ascii="Courier New" w:hAnsi="Courier New" w:eastAsia="Courier New" w:cs="Courier New"/>
                <w:sz w:val="24"/>
                <w:szCs w:val="24"/>
              </w:rPr>
            </w:pPr>
            <w:r>
              <w:rPr>
                <w:rFonts w:ascii="Courier New" w:hAnsi="Courier New" w:eastAsia="Courier New" w:cs="Courier New"/>
                <w:sz w:val="24"/>
                <w:szCs w:val="24"/>
              </w:rPr>
              <w:t>Number of respondents</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3F175DAE"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803</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7E71AC02"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6,279</w:t>
            </w:r>
          </w:p>
        </w:tc>
        <w:tc>
          <w:tcPr>
            <w:tcW w:w="141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69E0B3B9"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5,476</w:t>
            </w:r>
          </w:p>
        </w:tc>
      </w:tr>
      <w:tr w:rsidR="002502FC" w14:paraId="28563C2F" w14:textId="77777777">
        <w:trPr>
          <w:trHeight w:val="885"/>
        </w:trPr>
        <w:tc>
          <w:tcPr>
            <w:tcW w:w="1710" w:type="dxa"/>
            <w:tcBorders>
              <w:top w:val="nil"/>
              <w:left w:val="single" w:color="000000" w:sz="8" w:space="0"/>
              <w:bottom w:val="single" w:color="000000" w:sz="8" w:space="0"/>
              <w:right w:val="single" w:color="000000" w:sz="8" w:space="0"/>
            </w:tcBorders>
            <w:tcMar>
              <w:top w:w="40" w:type="dxa"/>
              <w:left w:w="40" w:type="dxa"/>
              <w:bottom w:w="40" w:type="dxa"/>
              <w:right w:w="40" w:type="dxa"/>
            </w:tcMar>
            <w:vAlign w:val="bottom"/>
          </w:tcPr>
          <w:p w:rsidR="002502FC" w:rsidRDefault="005C2D5A" w14:paraId="1364F6B0" w14:textId="77777777">
            <w:pPr>
              <w:spacing w:before="24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23586F05"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803</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12A7C552"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6,279</w:t>
            </w:r>
          </w:p>
        </w:tc>
        <w:tc>
          <w:tcPr>
            <w:tcW w:w="141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49499E99"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5,476</w:t>
            </w:r>
          </w:p>
        </w:tc>
      </w:tr>
      <w:tr w:rsidR="002502FC" w14:paraId="009BAE82" w14:textId="77777777">
        <w:trPr>
          <w:trHeight w:val="885"/>
        </w:trPr>
        <w:tc>
          <w:tcPr>
            <w:tcW w:w="1710" w:type="dxa"/>
            <w:tcBorders>
              <w:top w:val="nil"/>
              <w:left w:val="single" w:color="000000" w:sz="8" w:space="0"/>
              <w:bottom w:val="single" w:color="000000" w:sz="8" w:space="0"/>
              <w:right w:val="single" w:color="000000" w:sz="8" w:space="0"/>
            </w:tcBorders>
            <w:tcMar>
              <w:top w:w="40" w:type="dxa"/>
              <w:left w:w="40" w:type="dxa"/>
              <w:bottom w:w="40" w:type="dxa"/>
              <w:right w:w="40" w:type="dxa"/>
            </w:tcMar>
            <w:vAlign w:val="bottom"/>
          </w:tcPr>
          <w:p w:rsidR="002502FC" w:rsidRDefault="005C2D5A" w14:paraId="0F4FA06F" w14:textId="77777777">
            <w:pPr>
              <w:spacing w:before="240"/>
              <w:rPr>
                <w:rFonts w:ascii="Courier New" w:hAnsi="Courier New" w:eastAsia="Courier New" w:cs="Courier New"/>
                <w:sz w:val="24"/>
                <w:szCs w:val="24"/>
              </w:rPr>
            </w:pPr>
            <w:r>
              <w:rPr>
                <w:rFonts w:ascii="Courier New" w:hAnsi="Courier New" w:eastAsia="Courier New" w:cs="Courier New"/>
                <w:sz w:val="24"/>
                <w:szCs w:val="24"/>
              </w:rPr>
              <w:t>Total burden hours</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7CCA6F21"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803</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7D1636A7"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6,279</w:t>
            </w:r>
          </w:p>
        </w:tc>
        <w:tc>
          <w:tcPr>
            <w:tcW w:w="141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583B93A3"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5,476</w:t>
            </w:r>
          </w:p>
        </w:tc>
      </w:tr>
      <w:tr w:rsidR="002502FC" w14:paraId="13DCEE55" w14:textId="77777777">
        <w:trPr>
          <w:trHeight w:val="885"/>
        </w:trPr>
        <w:tc>
          <w:tcPr>
            <w:tcW w:w="1710" w:type="dxa"/>
            <w:tcBorders>
              <w:top w:val="nil"/>
              <w:left w:val="single" w:color="000000" w:sz="8" w:space="0"/>
              <w:bottom w:val="single" w:color="000000" w:sz="8" w:space="0"/>
              <w:right w:val="single" w:color="000000" w:sz="8" w:space="0"/>
            </w:tcBorders>
            <w:tcMar>
              <w:top w:w="40" w:type="dxa"/>
              <w:left w:w="40" w:type="dxa"/>
              <w:bottom w:w="40" w:type="dxa"/>
              <w:right w:w="40" w:type="dxa"/>
            </w:tcMar>
            <w:vAlign w:val="bottom"/>
          </w:tcPr>
          <w:p w:rsidR="002502FC" w:rsidRDefault="005C2D5A" w14:paraId="6F825FFB" w14:textId="77777777">
            <w:pPr>
              <w:spacing w:before="240"/>
              <w:rPr>
                <w:rFonts w:ascii="Courier New" w:hAnsi="Courier New" w:eastAsia="Courier New" w:cs="Courier New"/>
                <w:sz w:val="24"/>
                <w:szCs w:val="24"/>
              </w:rPr>
            </w:pPr>
            <w:r>
              <w:rPr>
                <w:rFonts w:ascii="Courier New" w:hAnsi="Courier New" w:eastAsia="Courier New" w:cs="Courier New"/>
                <w:sz w:val="24"/>
                <w:szCs w:val="24"/>
              </w:rPr>
              <w:t>Total annual cost to public</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77A90735"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$43,362</w:t>
            </w:r>
          </w:p>
        </w:tc>
        <w:tc>
          <w:tcPr>
            <w:tcW w:w="126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2A867EB5"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$370,461</w:t>
            </w:r>
          </w:p>
        </w:tc>
        <w:tc>
          <w:tcPr>
            <w:tcW w:w="1410" w:type="dxa"/>
            <w:tcBorders>
              <w:top w:val="nil"/>
              <w:left w:val="nil"/>
              <w:bottom w:val="single" w:color="000000" w:sz="8" w:space="0"/>
              <w:right w:val="single" w:color="000000" w:sz="8" w:space="0"/>
            </w:tcBorders>
            <w:tcMar>
              <w:top w:w="40" w:type="dxa"/>
              <w:left w:w="40" w:type="dxa"/>
              <w:bottom w:w="40" w:type="dxa"/>
              <w:right w:w="40" w:type="dxa"/>
            </w:tcMar>
            <w:vAlign w:val="bottom"/>
          </w:tcPr>
          <w:p w:rsidR="002502FC" w:rsidRDefault="005C2D5A" w14:paraId="04B7A260" w14:textId="77777777">
            <w:pPr>
              <w:spacing w:before="240"/>
              <w:jc w:val="right"/>
              <w:rPr>
                <w:rFonts w:ascii="Courier New" w:hAnsi="Courier New" w:eastAsia="Courier New" w:cs="Courier New"/>
                <w:sz w:val="24"/>
                <w:szCs w:val="24"/>
              </w:rPr>
            </w:pPr>
            <w:r>
              <w:rPr>
                <w:rFonts w:ascii="Courier New" w:hAnsi="Courier New" w:eastAsia="Courier New" w:cs="Courier New"/>
                <w:sz w:val="24"/>
                <w:szCs w:val="24"/>
              </w:rPr>
              <w:t>$327,099</w:t>
            </w:r>
          </w:p>
        </w:tc>
      </w:tr>
    </w:tbl>
    <w:p w:rsidR="002502FC" w:rsidRDefault="002502FC" w14:paraId="1DAFE1DD" w14:textId="77777777">
      <w:pPr>
        <w:ind w:right="-40"/>
        <w:rPr>
          <w:rFonts w:ascii="Courier New" w:hAnsi="Courier New" w:eastAsia="Courier New" w:cs="Courier New"/>
          <w:b/>
          <w:sz w:val="24"/>
          <w:szCs w:val="24"/>
        </w:rPr>
      </w:pPr>
    </w:p>
    <w:p w:rsidR="002502FC" w:rsidRDefault="005C2D5A" w14:paraId="7F788A7D"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The increase in responses and the associated increase in burden hours is an adjustment due to the use of the most current data available and a reassessment of the assumptions for which the burden was calculated as follows: </w:t>
      </w:r>
    </w:p>
    <w:p w:rsidR="002502FC" w:rsidRDefault="002502FC" w14:paraId="4E65C7E2" w14:textId="77777777">
      <w:pPr>
        <w:ind w:right="-40"/>
        <w:rPr>
          <w:rFonts w:ascii="Courier New" w:hAnsi="Courier New" w:eastAsia="Courier New" w:cs="Courier New"/>
          <w:sz w:val="24"/>
          <w:szCs w:val="24"/>
        </w:rPr>
      </w:pPr>
    </w:p>
    <w:p w:rsidR="002502FC" w:rsidRDefault="005C2D5A" w14:paraId="31B2074A" w14:textId="77777777">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rPr>
        <w:t xml:space="preserve">FAR 52.228-1.  The annual burden was previously calculated assuming that this clause is only required for construction contracts.  However, a bid guarantee may be required for other than construction contracts.  </w:t>
      </w:r>
    </w:p>
    <w:p w:rsidR="002502FC" w:rsidRDefault="005C2D5A" w14:paraId="15CE61BA" w14:textId="2562B7DA">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rPr>
        <w:t xml:space="preserve">FAR 52.228-2.  The annual burden was previously calculated assuming that this clause applies only for construction contracts.  However, this clause may be required for other than construction contracts.  The annual burden was previously calculated based on a percentage of total number of actions.  </w:t>
      </w:r>
      <w:r w:rsidR="004B32EF">
        <w:rPr>
          <w:rFonts w:ascii="Courier New" w:hAnsi="Courier New" w:eastAsia="Courier New" w:cs="Courier New"/>
          <w:sz w:val="24"/>
          <w:szCs w:val="24"/>
        </w:rPr>
        <w:t>Instead</w:t>
      </w:r>
      <w:r>
        <w:rPr>
          <w:rFonts w:ascii="Courier New" w:hAnsi="Courier New" w:eastAsia="Courier New" w:cs="Courier New"/>
          <w:sz w:val="24"/>
          <w:szCs w:val="24"/>
        </w:rPr>
        <w:t xml:space="preserve">, additional data from FPDS was gathered to further identify when a surety is required. </w:t>
      </w:r>
    </w:p>
    <w:p w:rsidR="002502FC" w:rsidRDefault="005C2D5A" w14:paraId="2987C6C2" w14:textId="24586A23">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rPr>
        <w:t>FAR 52.228-13.  The annual burden was previously calculated using a limited number of PSC codes.  This was revised to identify all construction contracts beginning with PSC c</w:t>
      </w:r>
      <w:r w:rsidR="00B73F2F">
        <w:rPr>
          <w:rFonts w:ascii="Courier New" w:hAnsi="Courier New" w:eastAsia="Courier New" w:cs="Courier New"/>
          <w:sz w:val="24"/>
          <w:szCs w:val="24"/>
        </w:rPr>
        <w:t xml:space="preserve"> </w:t>
      </w:r>
      <w:r>
        <w:rPr>
          <w:rFonts w:ascii="Courier New" w:hAnsi="Courier New" w:eastAsia="Courier New" w:cs="Courier New"/>
          <w:sz w:val="24"/>
          <w:szCs w:val="24"/>
        </w:rPr>
        <w:t xml:space="preserve">odes Y and Z2.  Additionally, the threshold was tailored to align with the clause. </w:t>
      </w:r>
    </w:p>
    <w:p w:rsidR="002502FC" w:rsidRDefault="005C2D5A" w14:paraId="58E0BE11" w14:textId="77777777">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rPr>
        <w:lastRenderedPageBreak/>
        <w:t xml:space="preserve">FAR 52.228-15.  The annual burden was previously combined with FAR 52.228-1.  Instead, the annual burden for each clause was calculated separately. </w:t>
      </w:r>
    </w:p>
    <w:p w:rsidR="002502FC" w:rsidRDefault="005C2D5A" w14:paraId="40E877DB" w14:textId="520BE0FB">
      <w:pPr>
        <w:numPr>
          <w:ilvl w:val="0"/>
          <w:numId w:val="2"/>
        </w:numPr>
        <w:ind w:right="-40"/>
        <w:rPr>
          <w:rFonts w:ascii="Courier New" w:hAnsi="Courier New" w:eastAsia="Courier New" w:cs="Courier New"/>
          <w:sz w:val="24"/>
          <w:szCs w:val="24"/>
        </w:rPr>
      </w:pPr>
      <w:r>
        <w:rPr>
          <w:rFonts w:ascii="Courier New" w:hAnsi="Courier New" w:eastAsia="Courier New" w:cs="Courier New"/>
          <w:sz w:val="24"/>
          <w:szCs w:val="24"/>
        </w:rPr>
        <w:t xml:space="preserve">FAR 52.228-16.  The annual burden was previously calculated based on a percentage of total number of actions.  </w:t>
      </w:r>
      <w:r w:rsidR="004B32EF">
        <w:rPr>
          <w:rFonts w:ascii="Courier New" w:hAnsi="Courier New" w:eastAsia="Courier New" w:cs="Courier New"/>
          <w:sz w:val="24"/>
          <w:szCs w:val="24"/>
        </w:rPr>
        <w:t>Instead</w:t>
      </w:r>
      <w:r>
        <w:rPr>
          <w:rFonts w:ascii="Courier New" w:hAnsi="Courier New" w:eastAsia="Courier New" w:cs="Courier New"/>
          <w:sz w:val="24"/>
          <w:szCs w:val="24"/>
        </w:rPr>
        <w:t xml:space="preserve">, additional data from FPDS was gathered to further identify when this clause is required. </w:t>
      </w:r>
    </w:p>
    <w:p w:rsidR="002502FC" w:rsidRDefault="002502FC" w14:paraId="314AD2B1" w14:textId="77777777">
      <w:pPr>
        <w:ind w:left="720" w:right="-40"/>
        <w:rPr>
          <w:rFonts w:ascii="Courier New" w:hAnsi="Courier New" w:eastAsia="Courier New" w:cs="Courier New"/>
          <w:sz w:val="24"/>
          <w:szCs w:val="24"/>
        </w:rPr>
      </w:pPr>
    </w:p>
    <w:p w:rsidR="002502FC" w:rsidRDefault="005C2D5A" w14:paraId="1E81AABE" w14:textId="77777777">
      <w:pPr>
        <w:ind w:right="-40"/>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2502FC" w:rsidRDefault="005C2D5A" w14:paraId="6F7FF7B6"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1B4F0644"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2502FC" w:rsidRDefault="005C2D5A" w14:paraId="41B03000" w14:textId="77777777">
      <w:pPr>
        <w:rPr>
          <w:rFonts w:ascii="Courier New" w:hAnsi="Courier New" w:eastAsia="Courier New" w:cs="Courier New"/>
          <w:b/>
          <w:sz w:val="24"/>
          <w:szCs w:val="24"/>
        </w:rPr>
      </w:pPr>
      <w:r>
        <w:rPr>
          <w:rFonts w:ascii="Courier New" w:hAnsi="Courier New" w:eastAsia="Courier New" w:cs="Courier New"/>
          <w:b/>
          <w:sz w:val="24"/>
          <w:szCs w:val="24"/>
        </w:rPr>
        <w:t xml:space="preserve"> </w:t>
      </w:r>
    </w:p>
    <w:p w:rsidR="002502FC" w:rsidRDefault="005C2D5A" w14:paraId="1F2E4CEA"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2502FC" w:rsidRDefault="005C2D5A" w14:paraId="4E496979"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2502FC" w:rsidRDefault="005C2D5A" w14:paraId="71603732"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2502FC" w:rsidRDefault="005C2D5A" w14:paraId="13327D1E" w14:textId="77777777">
      <w:pPr>
        <w:rPr>
          <w:rFonts w:ascii="Courier New" w:hAnsi="Courier New" w:eastAsia="Courier New" w:cs="Courier New"/>
          <w:b/>
          <w:sz w:val="24"/>
          <w:szCs w:val="24"/>
        </w:rPr>
      </w:pPr>
      <w:r>
        <w:rPr>
          <w:rFonts w:ascii="Courier New" w:hAnsi="Courier New" w:eastAsia="Courier New" w:cs="Courier New"/>
          <w:sz w:val="24"/>
          <w:szCs w:val="24"/>
        </w:rPr>
        <w:t>Statistical methods are not used in this information collection.</w:t>
      </w:r>
    </w:p>
    <w:p w:rsidR="002502FC" w:rsidRDefault="002502FC" w14:paraId="12F6966F" w14:textId="77777777">
      <w:pPr>
        <w:rPr>
          <w:rFonts w:ascii="Courier New" w:hAnsi="Courier New" w:eastAsia="Courier New" w:cs="Courier New"/>
          <w:sz w:val="24"/>
          <w:szCs w:val="24"/>
        </w:rPr>
      </w:pPr>
    </w:p>
    <w:sectPr w:rsidR="002502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D6FE0"/>
    <w:multiLevelType w:val="multilevel"/>
    <w:tmpl w:val="7256D4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C62C1F"/>
    <w:multiLevelType w:val="multilevel"/>
    <w:tmpl w:val="DAFA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4713227">
    <w:abstractNumId w:val="0"/>
  </w:num>
  <w:num w:numId="2" w16cid:durableId="14189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FC"/>
    <w:rsid w:val="002502FC"/>
    <w:rsid w:val="004B32EF"/>
    <w:rsid w:val="005C2D5A"/>
    <w:rsid w:val="0067052F"/>
    <w:rsid w:val="00B73F2F"/>
    <w:rsid w:val="00E7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1E78"/>
  <w15:docId w15:val="{677B428F-2E10-4B93-A092-6CD5D109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2022-07-05T15:47:00Z</dcterms:created>
  <dcterms:modified xsi:type="dcterms:W3CDTF">2022-07-06T17:26:00Z</dcterms:modified>
</cp:coreProperties>
</file>