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D82DCD" w:rsidR="00D82DCD" w:rsidP="00D82DCD" w:rsidRDefault="00D82DCD" w14:paraId="606022A2" w14:textId="77777777">
      <w:pPr>
        <w:jc w:val="center"/>
        <w:rPr>
          <w:rFonts w:ascii="Arial" w:hAnsi="Arial" w:cs="Arial"/>
          <w:b/>
          <w:color w:val="1F497D"/>
          <w:sz w:val="24"/>
          <w:szCs w:val="24"/>
        </w:rPr>
      </w:pPr>
      <w:r w:rsidRPr="00D82DCD">
        <w:rPr>
          <w:rFonts w:ascii="Arial" w:hAnsi="Arial" w:cs="Arial"/>
          <w:b/>
          <w:color w:val="1F497D"/>
          <w:sz w:val="24"/>
          <w:szCs w:val="24"/>
        </w:rPr>
        <w:t xml:space="preserve">Relationship between the Census of Agriculture and Fruit, Nut and Specialty </w:t>
      </w:r>
      <w:r>
        <w:rPr>
          <w:rFonts w:ascii="Arial" w:hAnsi="Arial" w:cs="Arial"/>
          <w:b/>
          <w:color w:val="1F497D"/>
          <w:sz w:val="24"/>
          <w:szCs w:val="24"/>
        </w:rPr>
        <w:t xml:space="preserve">Commodity </w:t>
      </w:r>
      <w:r w:rsidRPr="00D82DCD">
        <w:rPr>
          <w:rFonts w:ascii="Arial" w:hAnsi="Arial" w:cs="Arial"/>
          <w:b/>
          <w:color w:val="1F497D"/>
          <w:sz w:val="24"/>
          <w:szCs w:val="24"/>
        </w:rPr>
        <w:t>Surveys</w:t>
      </w:r>
    </w:p>
    <w:p w:rsidRPr="00D82DCD" w:rsidR="00D82DCD" w:rsidP="00BB41E3" w:rsidRDefault="00D82DCD" w14:paraId="631D9AE8" w14:textId="77777777">
      <w:pPr>
        <w:rPr>
          <w:rFonts w:ascii="Arial" w:hAnsi="Arial" w:cs="Arial"/>
          <w:color w:val="1F497D"/>
          <w:sz w:val="24"/>
          <w:szCs w:val="24"/>
        </w:rPr>
      </w:pPr>
    </w:p>
    <w:p w:rsidRPr="00D82DCD" w:rsidR="00BB41E3" w:rsidP="00BB41E3" w:rsidRDefault="00D82DCD" w14:paraId="01CCB25E" w14:textId="2FF61AA6">
      <w:pPr>
        <w:rPr>
          <w:rFonts w:ascii="Arial" w:hAnsi="Arial" w:cs="Arial"/>
          <w:color w:val="1F497D"/>
          <w:sz w:val="24"/>
          <w:szCs w:val="24"/>
        </w:rPr>
      </w:pPr>
      <w:r w:rsidRPr="00D82DCD">
        <w:rPr>
          <w:rFonts w:ascii="Arial" w:hAnsi="Arial" w:cs="Arial"/>
          <w:color w:val="1F497D"/>
          <w:sz w:val="24"/>
          <w:szCs w:val="24"/>
        </w:rPr>
        <w:t xml:space="preserve">The Census of Agriculture </w:t>
      </w:r>
      <w:r w:rsidR="000F612F">
        <w:rPr>
          <w:rFonts w:ascii="Arial" w:hAnsi="Arial" w:cs="Arial"/>
          <w:color w:val="1F497D"/>
          <w:sz w:val="24"/>
          <w:szCs w:val="24"/>
        </w:rPr>
        <w:t xml:space="preserve">(CoA) </w:t>
      </w:r>
      <w:r w:rsidRPr="00D82DCD">
        <w:rPr>
          <w:rFonts w:ascii="Arial" w:hAnsi="Arial" w:cs="Arial"/>
          <w:color w:val="1F497D"/>
          <w:sz w:val="24"/>
          <w:szCs w:val="24"/>
        </w:rPr>
        <w:t>is conducted once every five years</w:t>
      </w:r>
      <w:r w:rsidR="000F612F">
        <w:rPr>
          <w:rFonts w:ascii="Arial" w:hAnsi="Arial" w:cs="Arial"/>
          <w:color w:val="1F497D"/>
          <w:sz w:val="24"/>
          <w:szCs w:val="24"/>
        </w:rPr>
        <w:t xml:space="preserve"> (with reference years ending in 2 or 7)</w:t>
      </w:r>
      <w:r w:rsidRPr="00D82DCD">
        <w:rPr>
          <w:rFonts w:ascii="Arial" w:hAnsi="Arial" w:cs="Arial"/>
          <w:color w:val="1F497D"/>
          <w:sz w:val="24"/>
          <w:szCs w:val="24"/>
        </w:rPr>
        <w:t>. It is used as a</w:t>
      </w:r>
      <w:r w:rsidR="000F612F">
        <w:rPr>
          <w:rFonts w:ascii="Arial" w:hAnsi="Arial" w:cs="Arial"/>
          <w:color w:val="1F497D"/>
          <w:sz w:val="24"/>
          <w:szCs w:val="24"/>
        </w:rPr>
        <w:t>n acreage and production</w:t>
      </w:r>
      <w:r w:rsidRPr="00D82DCD">
        <w:rPr>
          <w:rFonts w:ascii="Arial" w:hAnsi="Arial" w:cs="Arial"/>
          <w:color w:val="1F497D"/>
          <w:sz w:val="24"/>
          <w:szCs w:val="24"/>
        </w:rPr>
        <w:t xml:space="preserve"> benchmark for commodities like fruit, nuts and berries</w:t>
      </w:r>
      <w:r w:rsidR="000F612F">
        <w:rPr>
          <w:rFonts w:ascii="Arial" w:hAnsi="Arial" w:cs="Arial"/>
          <w:color w:val="1F497D"/>
          <w:sz w:val="24"/>
          <w:szCs w:val="24"/>
        </w:rPr>
        <w:t>.  The CoA is</w:t>
      </w:r>
      <w:r w:rsidR="00787905">
        <w:rPr>
          <w:rFonts w:ascii="Arial" w:hAnsi="Arial" w:cs="Arial"/>
          <w:color w:val="1F497D"/>
          <w:sz w:val="24"/>
          <w:szCs w:val="24"/>
        </w:rPr>
        <w:t xml:space="preserve"> </w:t>
      </w:r>
      <w:r w:rsidR="000F612F">
        <w:rPr>
          <w:rFonts w:ascii="Arial" w:hAnsi="Arial" w:cs="Arial"/>
          <w:color w:val="1F497D"/>
          <w:sz w:val="24"/>
          <w:szCs w:val="24"/>
        </w:rPr>
        <w:t>also used to</w:t>
      </w:r>
      <w:bookmarkStart w:name="_GoBack" w:id="0"/>
      <w:bookmarkEnd w:id="0"/>
      <w:r w:rsidRPr="00D82DCD">
        <w:rPr>
          <w:rFonts w:ascii="Arial" w:hAnsi="Arial" w:cs="Arial"/>
          <w:color w:val="1F497D"/>
          <w:sz w:val="24"/>
          <w:szCs w:val="24"/>
        </w:rPr>
        <w:t xml:space="preserve"> identify </w:t>
      </w:r>
      <w:r w:rsidR="000F612F">
        <w:rPr>
          <w:rFonts w:ascii="Arial" w:hAnsi="Arial" w:cs="Arial"/>
          <w:color w:val="1F497D"/>
          <w:sz w:val="24"/>
          <w:szCs w:val="24"/>
        </w:rPr>
        <w:t>farms</w:t>
      </w:r>
      <w:r w:rsidR="00BF0B7F">
        <w:rPr>
          <w:rFonts w:ascii="Arial" w:hAnsi="Arial" w:cs="Arial"/>
          <w:color w:val="1F497D"/>
          <w:sz w:val="24"/>
          <w:szCs w:val="24"/>
        </w:rPr>
        <w:t xml:space="preserve"> </w:t>
      </w:r>
      <w:r w:rsidR="000F612F">
        <w:rPr>
          <w:rFonts w:ascii="Arial" w:hAnsi="Arial" w:cs="Arial"/>
          <w:color w:val="1F497D"/>
          <w:sz w:val="24"/>
          <w:szCs w:val="24"/>
        </w:rPr>
        <w:t>that</w:t>
      </w:r>
      <w:r w:rsidR="00BF0B7F">
        <w:rPr>
          <w:rFonts w:ascii="Arial" w:hAnsi="Arial" w:cs="Arial"/>
          <w:color w:val="1F497D"/>
          <w:sz w:val="24"/>
          <w:szCs w:val="24"/>
        </w:rPr>
        <w:t xml:space="preserve"> produce these commodities</w:t>
      </w:r>
      <w:r w:rsidR="000F612F">
        <w:rPr>
          <w:rFonts w:ascii="Arial" w:hAnsi="Arial" w:cs="Arial"/>
          <w:color w:val="1F497D"/>
          <w:sz w:val="24"/>
          <w:szCs w:val="24"/>
        </w:rPr>
        <w:t>, to be used to sample for annual surveys</w:t>
      </w:r>
      <w:r w:rsidR="00BF0B7F">
        <w:rPr>
          <w:rFonts w:ascii="Arial" w:hAnsi="Arial" w:cs="Arial"/>
          <w:color w:val="1F497D"/>
          <w:sz w:val="24"/>
          <w:szCs w:val="24"/>
        </w:rPr>
        <w:t xml:space="preserve">. The following table is an example of the type of questions that will be asked in the 2022 Census of Agriculture. This image is from the Census of Agriculture </w:t>
      </w:r>
      <w:r w:rsidR="000F612F">
        <w:rPr>
          <w:rFonts w:ascii="Arial" w:hAnsi="Arial" w:cs="Arial"/>
          <w:color w:val="1F497D"/>
          <w:sz w:val="24"/>
          <w:szCs w:val="24"/>
        </w:rPr>
        <w:t xml:space="preserve">2020 </w:t>
      </w:r>
      <w:r w:rsidR="00BF0B7F">
        <w:rPr>
          <w:rFonts w:ascii="Arial" w:hAnsi="Arial" w:cs="Arial"/>
          <w:color w:val="1F497D"/>
          <w:sz w:val="24"/>
          <w:szCs w:val="24"/>
        </w:rPr>
        <w:t>Content Test (OMB # 0535-0243).</w:t>
      </w:r>
      <w:r w:rsidR="00D213FA">
        <w:rPr>
          <w:rFonts w:ascii="Arial" w:hAnsi="Arial" w:cs="Arial"/>
          <w:color w:val="1F497D"/>
          <w:sz w:val="24"/>
          <w:szCs w:val="24"/>
        </w:rPr>
        <w:t xml:space="preserve"> The acreage data will be used to create stratified samples for annual fruit, nut and specialty crop surveys.</w:t>
      </w:r>
    </w:p>
    <w:p w:rsidRPr="00D82DCD" w:rsidR="00D82DCD" w:rsidP="00BB41E3" w:rsidRDefault="00D82DCD" w14:paraId="24E36BD5" w14:textId="77777777">
      <w:pPr>
        <w:rPr>
          <w:rFonts w:ascii="Arial" w:hAnsi="Arial" w:cs="Arial"/>
          <w:color w:val="1F497D"/>
          <w:sz w:val="24"/>
          <w:szCs w:val="24"/>
        </w:rPr>
      </w:pPr>
    </w:p>
    <w:p w:rsidR="00BB41E3" w:rsidP="00BB41E3" w:rsidRDefault="00BB41E3" w14:paraId="43ACA040" w14:textId="77777777">
      <w:pPr>
        <w:rPr>
          <w:color w:val="1F497D"/>
        </w:rPr>
      </w:pPr>
      <w:r>
        <w:rPr>
          <w:noProof/>
        </w:rPr>
        <w:drawing>
          <wp:inline distT="0" distB="0" distL="0" distR="0" wp14:anchorId="4B8CC521" wp14:editId="7273618C">
            <wp:extent cx="5997948" cy="3895725"/>
            <wp:effectExtent l="0" t="0" r="3175" b="0"/>
            <wp:docPr id="3" name="Picture 3" descr="cid:image001.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6FA2B.E413AA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6040567" cy="3923406"/>
                    </a:xfrm>
                    <a:prstGeom prst="rect">
                      <a:avLst/>
                    </a:prstGeom>
                    <a:noFill/>
                    <a:ln>
                      <a:noFill/>
                    </a:ln>
                  </pic:spPr>
                </pic:pic>
              </a:graphicData>
            </a:graphic>
          </wp:inline>
        </w:drawing>
      </w:r>
    </w:p>
    <w:p w:rsidR="00BB41E3" w:rsidP="00BB41E3" w:rsidRDefault="00BB41E3" w14:paraId="508C87DF" w14:textId="77777777">
      <w:pPr>
        <w:rPr>
          <w:color w:val="1F497D"/>
        </w:rPr>
      </w:pPr>
    </w:p>
    <w:p w:rsidR="00D213FA" w:rsidP="00BB41E3" w:rsidRDefault="00D213FA" w14:paraId="3A4560EF" w14:textId="77777777">
      <w:pPr>
        <w:rPr>
          <w:rFonts w:ascii="Arial" w:hAnsi="Arial" w:cs="Arial"/>
          <w:color w:val="1F497D"/>
          <w:sz w:val="24"/>
          <w:szCs w:val="24"/>
        </w:rPr>
      </w:pPr>
    </w:p>
    <w:p w:rsidR="00D213FA" w:rsidP="00BB41E3" w:rsidRDefault="00D213FA" w14:paraId="12A49262" w14:textId="77777777">
      <w:pPr>
        <w:rPr>
          <w:rFonts w:ascii="Arial" w:hAnsi="Arial" w:cs="Arial"/>
          <w:color w:val="1F497D"/>
          <w:sz w:val="24"/>
          <w:szCs w:val="24"/>
        </w:rPr>
      </w:pPr>
    </w:p>
    <w:p w:rsidRPr="00D213FA" w:rsidR="00BB41E3" w:rsidP="00BB41E3" w:rsidRDefault="00BB41E3" w14:paraId="4E90801C" w14:textId="77777777">
      <w:pPr>
        <w:rPr>
          <w:rFonts w:ascii="Arial" w:hAnsi="Arial" w:cs="Arial"/>
          <w:color w:val="1F497D"/>
          <w:sz w:val="24"/>
          <w:szCs w:val="24"/>
        </w:rPr>
      </w:pPr>
      <w:r w:rsidRPr="00D213FA">
        <w:rPr>
          <w:rFonts w:ascii="Arial" w:hAnsi="Arial" w:cs="Arial"/>
          <w:color w:val="1F497D"/>
          <w:sz w:val="24"/>
          <w:szCs w:val="24"/>
        </w:rPr>
        <w:t xml:space="preserve">The </w:t>
      </w:r>
      <w:r w:rsidR="00D213FA">
        <w:rPr>
          <w:rFonts w:ascii="Arial" w:hAnsi="Arial" w:cs="Arial"/>
          <w:color w:val="1F497D"/>
          <w:sz w:val="24"/>
          <w:szCs w:val="24"/>
        </w:rPr>
        <w:t>f</w:t>
      </w:r>
      <w:r w:rsidRPr="00D213FA">
        <w:rPr>
          <w:rFonts w:ascii="Arial" w:hAnsi="Arial" w:cs="Arial"/>
          <w:color w:val="1F497D"/>
          <w:sz w:val="24"/>
          <w:szCs w:val="24"/>
        </w:rPr>
        <w:t xml:space="preserve">ruit, </w:t>
      </w:r>
      <w:r w:rsidR="00D213FA">
        <w:rPr>
          <w:rFonts w:ascii="Arial" w:hAnsi="Arial" w:cs="Arial"/>
          <w:color w:val="1F497D"/>
          <w:sz w:val="24"/>
          <w:szCs w:val="24"/>
        </w:rPr>
        <w:t>n</w:t>
      </w:r>
      <w:r w:rsidRPr="00D213FA">
        <w:rPr>
          <w:rFonts w:ascii="Arial" w:hAnsi="Arial" w:cs="Arial"/>
          <w:color w:val="1F497D"/>
          <w:sz w:val="24"/>
          <w:szCs w:val="24"/>
        </w:rPr>
        <w:t xml:space="preserve">ut and </w:t>
      </w:r>
      <w:r w:rsidR="00D213FA">
        <w:rPr>
          <w:rFonts w:ascii="Arial" w:hAnsi="Arial" w:cs="Arial"/>
          <w:color w:val="1F497D"/>
          <w:sz w:val="24"/>
          <w:szCs w:val="24"/>
        </w:rPr>
        <w:t>specialty c</w:t>
      </w:r>
      <w:r w:rsidRPr="00D213FA">
        <w:rPr>
          <w:rFonts w:ascii="Arial" w:hAnsi="Arial" w:cs="Arial"/>
          <w:color w:val="1F497D"/>
          <w:sz w:val="24"/>
          <w:szCs w:val="24"/>
        </w:rPr>
        <w:t xml:space="preserve">rop </w:t>
      </w:r>
      <w:r w:rsidR="00D213FA">
        <w:rPr>
          <w:rFonts w:ascii="Arial" w:hAnsi="Arial" w:cs="Arial"/>
          <w:color w:val="1F497D"/>
          <w:sz w:val="24"/>
          <w:szCs w:val="24"/>
        </w:rPr>
        <w:t>s</w:t>
      </w:r>
      <w:r w:rsidRPr="00D213FA">
        <w:rPr>
          <w:rFonts w:ascii="Arial" w:hAnsi="Arial" w:cs="Arial"/>
          <w:color w:val="1F497D"/>
          <w:sz w:val="24"/>
          <w:szCs w:val="24"/>
        </w:rPr>
        <w:t>urvey</w:t>
      </w:r>
      <w:r w:rsidR="00D213FA">
        <w:rPr>
          <w:rFonts w:ascii="Arial" w:hAnsi="Arial" w:cs="Arial"/>
          <w:color w:val="1F497D"/>
          <w:sz w:val="24"/>
          <w:szCs w:val="24"/>
        </w:rPr>
        <w:t>s</w:t>
      </w:r>
      <w:r w:rsidRPr="00D213FA">
        <w:rPr>
          <w:rFonts w:ascii="Arial" w:hAnsi="Arial" w:cs="Arial"/>
          <w:color w:val="1F497D"/>
          <w:sz w:val="24"/>
          <w:szCs w:val="24"/>
        </w:rPr>
        <w:t xml:space="preserve"> will ask for greater detail for each of the commodities.  For example</w:t>
      </w:r>
      <w:r w:rsidR="00D213FA">
        <w:rPr>
          <w:rFonts w:ascii="Arial" w:hAnsi="Arial" w:cs="Arial"/>
          <w:color w:val="1F497D"/>
          <w:sz w:val="24"/>
          <w:szCs w:val="24"/>
        </w:rPr>
        <w:t>, in August of each year, NASS collects projected production data from growers of most major crops.</w:t>
      </w:r>
      <w:r w:rsidR="002E5D02">
        <w:rPr>
          <w:rFonts w:ascii="Arial" w:hAnsi="Arial" w:cs="Arial"/>
          <w:color w:val="1F497D"/>
          <w:sz w:val="24"/>
          <w:szCs w:val="24"/>
        </w:rPr>
        <w:t xml:space="preserve"> (See following table.)</w:t>
      </w:r>
      <w:r w:rsidR="00D213FA">
        <w:rPr>
          <w:rFonts w:ascii="Arial" w:hAnsi="Arial" w:cs="Arial"/>
          <w:color w:val="1F497D"/>
          <w:sz w:val="24"/>
          <w:szCs w:val="24"/>
        </w:rPr>
        <w:t xml:space="preserve">  </w:t>
      </w:r>
    </w:p>
    <w:p w:rsidRPr="00D213FA" w:rsidR="00BB41E3" w:rsidP="00BB41E3" w:rsidRDefault="00BB41E3" w14:paraId="188F8917" w14:textId="77777777">
      <w:pPr>
        <w:rPr>
          <w:rFonts w:ascii="Arial" w:hAnsi="Arial" w:cs="Arial"/>
          <w:color w:val="1F497D"/>
          <w:sz w:val="24"/>
          <w:szCs w:val="24"/>
        </w:rPr>
      </w:pPr>
    </w:p>
    <w:p w:rsidR="00BB41E3" w:rsidP="00BB41E3" w:rsidRDefault="00BB41E3" w14:paraId="558B05CE" w14:textId="77777777">
      <w:pPr>
        <w:rPr>
          <w:color w:val="1F497D"/>
        </w:rPr>
      </w:pPr>
      <w:r>
        <w:rPr>
          <w:noProof/>
        </w:rPr>
        <w:lastRenderedPageBreak/>
        <w:drawing>
          <wp:inline distT="0" distB="0" distL="0" distR="0" wp14:anchorId="4F721A8A" wp14:editId="67710283">
            <wp:extent cx="6105525" cy="3185796"/>
            <wp:effectExtent l="0" t="0" r="0" b="0"/>
            <wp:docPr id="2" name="Picture 2" descr="cid:image002.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6FA2B.E413AA0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128465" cy="3197766"/>
                    </a:xfrm>
                    <a:prstGeom prst="rect">
                      <a:avLst/>
                    </a:prstGeom>
                    <a:noFill/>
                    <a:ln>
                      <a:noFill/>
                    </a:ln>
                  </pic:spPr>
                </pic:pic>
              </a:graphicData>
            </a:graphic>
          </wp:inline>
        </w:drawing>
      </w:r>
    </w:p>
    <w:p w:rsidR="00BB41E3" w:rsidP="00BB41E3" w:rsidRDefault="00BB41E3" w14:paraId="516A907E" w14:textId="77777777">
      <w:pPr>
        <w:rPr>
          <w:color w:val="1F497D"/>
        </w:rPr>
      </w:pPr>
    </w:p>
    <w:p w:rsidR="002E5D02" w:rsidP="00BB41E3" w:rsidRDefault="002E5D02" w14:paraId="003617C1" w14:textId="77777777">
      <w:pPr>
        <w:rPr>
          <w:color w:val="1F497D"/>
        </w:rPr>
      </w:pPr>
    </w:p>
    <w:p w:rsidRPr="000F18C4" w:rsidR="002E5D02" w:rsidP="00BB41E3" w:rsidRDefault="002E5D02" w14:paraId="363A02C2" w14:textId="77777777">
      <w:pPr>
        <w:rPr>
          <w:rFonts w:ascii="Arial" w:hAnsi="Arial" w:cs="Arial"/>
          <w:color w:val="1F497D"/>
          <w:sz w:val="24"/>
          <w:szCs w:val="24"/>
        </w:rPr>
      </w:pPr>
      <w:r w:rsidRPr="000F18C4">
        <w:rPr>
          <w:rFonts w:ascii="Arial" w:hAnsi="Arial" w:cs="Arial"/>
          <w:color w:val="1F497D"/>
          <w:sz w:val="24"/>
          <w:szCs w:val="24"/>
        </w:rPr>
        <w:t xml:space="preserve">For some commodities, NASS will also collect varietal </w:t>
      </w:r>
      <w:r w:rsidRPr="000F18C4" w:rsidR="000F18C4">
        <w:rPr>
          <w:rFonts w:ascii="Arial" w:hAnsi="Arial" w:cs="Arial"/>
          <w:color w:val="1F497D"/>
          <w:sz w:val="24"/>
          <w:szCs w:val="24"/>
        </w:rPr>
        <w:t xml:space="preserve">data like the questions below from the Grape Variety Survey. </w:t>
      </w:r>
    </w:p>
    <w:p w:rsidRPr="000F18C4" w:rsidR="002E5D02" w:rsidP="00BB41E3" w:rsidRDefault="002E5D02" w14:paraId="6A88966E" w14:textId="77777777">
      <w:pPr>
        <w:rPr>
          <w:rFonts w:ascii="Arial" w:hAnsi="Arial" w:cs="Arial"/>
          <w:color w:val="1F497D"/>
          <w:sz w:val="24"/>
          <w:szCs w:val="24"/>
        </w:rPr>
      </w:pPr>
    </w:p>
    <w:p w:rsidRPr="000F18C4" w:rsidR="00BB41E3" w:rsidP="00BB41E3" w:rsidRDefault="00BB41E3" w14:paraId="14FFECE7" w14:textId="77777777">
      <w:pPr>
        <w:rPr>
          <w:rFonts w:ascii="Arial" w:hAnsi="Arial" w:cs="Arial"/>
          <w:color w:val="1F497D"/>
          <w:sz w:val="24"/>
          <w:szCs w:val="24"/>
        </w:rPr>
      </w:pPr>
    </w:p>
    <w:p w:rsidR="00BB41E3" w:rsidP="00BB41E3" w:rsidRDefault="00BB41E3" w14:paraId="393025D2" w14:textId="77777777">
      <w:pPr>
        <w:rPr>
          <w:color w:val="1F497D"/>
        </w:rPr>
      </w:pPr>
      <w:r>
        <w:rPr>
          <w:noProof/>
        </w:rPr>
        <w:drawing>
          <wp:inline distT="0" distB="0" distL="0" distR="0" wp14:anchorId="757A4862" wp14:editId="6F37CDE9">
            <wp:extent cx="6200775" cy="2769023"/>
            <wp:effectExtent l="0" t="0" r="0" b="0"/>
            <wp:docPr id="1" name="Picture 1" descr="cid:image003.png@01D6FA2B.E413AA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6FA2B.E413AA0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265376" cy="2797871"/>
                    </a:xfrm>
                    <a:prstGeom prst="rect">
                      <a:avLst/>
                    </a:prstGeom>
                    <a:noFill/>
                    <a:ln>
                      <a:noFill/>
                    </a:ln>
                  </pic:spPr>
                </pic:pic>
              </a:graphicData>
            </a:graphic>
          </wp:inline>
        </w:drawing>
      </w:r>
    </w:p>
    <w:p w:rsidR="00BB41E3" w:rsidP="00BB41E3" w:rsidRDefault="00BB41E3" w14:paraId="0727C335" w14:textId="77777777">
      <w:pPr>
        <w:rPr>
          <w:color w:val="1F497D"/>
        </w:rPr>
      </w:pPr>
    </w:p>
    <w:p w:rsidRPr="000F18C4" w:rsidR="00BB41E3" w:rsidP="00BB41E3" w:rsidRDefault="00BB41E3" w14:paraId="1B787A89" w14:textId="77777777">
      <w:pPr>
        <w:rPr>
          <w:rFonts w:ascii="Arial" w:hAnsi="Arial" w:cs="Arial"/>
          <w:color w:val="1F497D"/>
          <w:sz w:val="24"/>
          <w:szCs w:val="24"/>
        </w:rPr>
      </w:pPr>
      <w:r w:rsidRPr="000F18C4">
        <w:rPr>
          <w:rFonts w:ascii="Arial" w:hAnsi="Arial" w:cs="Arial"/>
          <w:color w:val="1F497D"/>
          <w:sz w:val="24"/>
          <w:szCs w:val="24"/>
        </w:rPr>
        <w:t>Also, the fruit and nut surveys collect data for specific time periods during the growing season to provide data users with production, price, variety, and acreage data that they need for making operating decisions. This all correlates with the NASS data publication calendar so that data users who track production data over time can have the data at the same time each year.</w:t>
      </w:r>
    </w:p>
    <w:p w:rsidRPr="000F18C4" w:rsidR="00BB41E3" w:rsidP="00BB41E3" w:rsidRDefault="00BB41E3" w14:paraId="780188AC" w14:textId="77777777">
      <w:pPr>
        <w:rPr>
          <w:rFonts w:ascii="Arial" w:hAnsi="Arial" w:cs="Arial"/>
          <w:color w:val="1F497D"/>
          <w:sz w:val="24"/>
          <w:szCs w:val="24"/>
        </w:rPr>
      </w:pPr>
    </w:p>
    <w:p w:rsidRPr="002F0875" w:rsidR="002F0875" w:rsidP="002F0875" w:rsidRDefault="00BB41E3" w14:paraId="6DE52372" w14:textId="3142B1C5">
      <w:pPr>
        <w:rPr>
          <w:rFonts w:ascii="Arial" w:hAnsi="Arial" w:cs="Arial"/>
          <w:color w:val="002060"/>
          <w:sz w:val="24"/>
          <w:szCs w:val="24"/>
        </w:rPr>
      </w:pPr>
      <w:r w:rsidRPr="002F0875">
        <w:rPr>
          <w:rFonts w:ascii="Arial" w:hAnsi="Arial" w:cs="Arial"/>
          <w:color w:val="002060"/>
          <w:sz w:val="24"/>
          <w:szCs w:val="24"/>
        </w:rPr>
        <w:lastRenderedPageBreak/>
        <w:t xml:space="preserve">Due to the complexity and scope of the Census </w:t>
      </w:r>
      <w:r w:rsidRPr="002F0875" w:rsidR="000F18C4">
        <w:rPr>
          <w:rFonts w:ascii="Arial" w:hAnsi="Arial" w:cs="Arial"/>
          <w:color w:val="002060"/>
          <w:sz w:val="24"/>
          <w:szCs w:val="24"/>
        </w:rPr>
        <w:t>of Agriculture</w:t>
      </w:r>
      <w:r w:rsidR="000F612F">
        <w:rPr>
          <w:rFonts w:ascii="Arial" w:hAnsi="Arial" w:cs="Arial"/>
          <w:color w:val="002060"/>
          <w:sz w:val="24"/>
          <w:szCs w:val="24"/>
        </w:rPr>
        <w:t>,</w:t>
      </w:r>
      <w:r w:rsidRPr="002F0875" w:rsidR="000F18C4">
        <w:rPr>
          <w:rFonts w:ascii="Arial" w:hAnsi="Arial" w:cs="Arial"/>
          <w:color w:val="002060"/>
          <w:sz w:val="24"/>
          <w:szCs w:val="24"/>
        </w:rPr>
        <w:t xml:space="preserve"> </w:t>
      </w:r>
      <w:r w:rsidRPr="002F0875">
        <w:rPr>
          <w:rFonts w:ascii="Arial" w:hAnsi="Arial" w:cs="Arial"/>
          <w:color w:val="002060"/>
          <w:sz w:val="24"/>
          <w:szCs w:val="24"/>
        </w:rPr>
        <w:t xml:space="preserve">the data will not be available during the growing season. </w:t>
      </w:r>
      <w:r w:rsidRPr="002F0875" w:rsidR="002F0875">
        <w:rPr>
          <w:rFonts w:ascii="Arial" w:hAnsi="Arial" w:cs="Arial"/>
          <w:color w:val="002060"/>
          <w:sz w:val="24"/>
          <w:szCs w:val="24"/>
        </w:rPr>
        <w:t>The data collection period for the 2022 Census of Agriculture extends from December 2022 through May 2023, so data for crop year 2022 will not be available until the latter part of 2023</w:t>
      </w:r>
      <w:r w:rsidR="000F612F">
        <w:rPr>
          <w:rFonts w:ascii="Arial" w:hAnsi="Arial" w:cs="Arial"/>
          <w:color w:val="002060"/>
          <w:sz w:val="24"/>
          <w:szCs w:val="24"/>
        </w:rPr>
        <w:t xml:space="preserve"> (and published in early 2024)</w:t>
      </w:r>
      <w:r w:rsidRPr="002F0875" w:rsidR="002F0875">
        <w:rPr>
          <w:rFonts w:ascii="Arial" w:hAnsi="Arial" w:cs="Arial"/>
          <w:color w:val="002060"/>
          <w:sz w:val="24"/>
          <w:szCs w:val="24"/>
        </w:rPr>
        <w:t xml:space="preserve">.  </w:t>
      </w:r>
    </w:p>
    <w:p w:rsidRPr="002F0875" w:rsidR="002F0875" w:rsidP="002F0875" w:rsidRDefault="002F0875" w14:paraId="0A8DBB16" w14:textId="77777777">
      <w:pPr>
        <w:rPr>
          <w:rFonts w:ascii="Arial" w:hAnsi="Arial" w:cs="Arial"/>
          <w:color w:val="002060"/>
          <w:sz w:val="24"/>
          <w:szCs w:val="24"/>
        </w:rPr>
      </w:pPr>
    </w:p>
    <w:p w:rsidRPr="000F18C4" w:rsidR="00D82DCD" w:rsidRDefault="00D82DCD" w14:paraId="42C2F062" w14:textId="77777777">
      <w:pPr>
        <w:rPr>
          <w:rFonts w:ascii="Arial" w:hAnsi="Arial" w:cs="Arial"/>
          <w:sz w:val="24"/>
          <w:szCs w:val="24"/>
        </w:rPr>
      </w:pPr>
    </w:p>
    <w:sectPr w:rsidRPr="000F18C4" w:rsidR="00D82DCD">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0AEA4" w14:textId="77777777" w:rsidR="002F0875" w:rsidRDefault="002F0875" w:rsidP="002F0875">
      <w:r>
        <w:separator/>
      </w:r>
    </w:p>
  </w:endnote>
  <w:endnote w:type="continuationSeparator" w:id="0">
    <w:p w14:paraId="29834C84" w14:textId="77777777" w:rsidR="002F0875" w:rsidRDefault="002F0875" w:rsidP="002F0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8323845"/>
      <w:docPartObj>
        <w:docPartGallery w:val="Page Numbers (Bottom of Page)"/>
        <w:docPartUnique/>
      </w:docPartObj>
    </w:sdtPr>
    <w:sdtEndPr>
      <w:rPr>
        <w:noProof/>
      </w:rPr>
    </w:sdtEndPr>
    <w:sdtContent>
      <w:p w14:paraId="08F6283B" w14:textId="44109450" w:rsidR="002F0875" w:rsidRDefault="002F0875">
        <w:pPr>
          <w:pStyle w:val="Footer"/>
          <w:jc w:val="center"/>
        </w:pPr>
        <w:r>
          <w:fldChar w:fldCharType="begin"/>
        </w:r>
        <w:r>
          <w:instrText xml:space="preserve"> PAGE   \* MERGEFORMAT </w:instrText>
        </w:r>
        <w:r>
          <w:fldChar w:fldCharType="separate"/>
        </w:r>
        <w:r w:rsidR="00787905">
          <w:rPr>
            <w:noProof/>
          </w:rPr>
          <w:t>1</w:t>
        </w:r>
        <w:r>
          <w:rPr>
            <w:noProof/>
          </w:rPr>
          <w:fldChar w:fldCharType="end"/>
        </w:r>
      </w:p>
    </w:sdtContent>
  </w:sdt>
  <w:p w14:paraId="667225CA" w14:textId="77777777" w:rsidR="002F0875" w:rsidRDefault="002F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E35CA7" w14:textId="77777777" w:rsidR="002F0875" w:rsidRDefault="002F0875" w:rsidP="002F0875">
      <w:r>
        <w:separator/>
      </w:r>
    </w:p>
  </w:footnote>
  <w:footnote w:type="continuationSeparator" w:id="0">
    <w:p w14:paraId="6497519E" w14:textId="77777777" w:rsidR="002F0875" w:rsidRDefault="002F0875" w:rsidP="002F08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1E3"/>
    <w:rsid w:val="000F18C4"/>
    <w:rsid w:val="000F612F"/>
    <w:rsid w:val="002E5D02"/>
    <w:rsid w:val="002F0875"/>
    <w:rsid w:val="00306AF6"/>
    <w:rsid w:val="00333F80"/>
    <w:rsid w:val="00787905"/>
    <w:rsid w:val="00A358B2"/>
    <w:rsid w:val="00BB41E3"/>
    <w:rsid w:val="00BF0B7F"/>
    <w:rsid w:val="00D213FA"/>
    <w:rsid w:val="00D329AB"/>
    <w:rsid w:val="00D82D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7EE8"/>
  <w15:chartTrackingRefBased/>
  <w15:docId w15:val="{DC85FF30-6C82-492F-9D30-61F5BE1D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1E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875"/>
    <w:pPr>
      <w:tabs>
        <w:tab w:val="center" w:pos="4680"/>
        <w:tab w:val="right" w:pos="9360"/>
      </w:tabs>
    </w:pPr>
  </w:style>
  <w:style w:type="character" w:customStyle="1" w:styleId="HeaderChar">
    <w:name w:val="Header Char"/>
    <w:basedOn w:val="DefaultParagraphFont"/>
    <w:link w:val="Header"/>
    <w:uiPriority w:val="99"/>
    <w:rsid w:val="002F0875"/>
    <w:rPr>
      <w:rFonts w:ascii="Calibri" w:hAnsi="Calibri" w:cs="Calibri"/>
    </w:rPr>
  </w:style>
  <w:style w:type="paragraph" w:styleId="Footer">
    <w:name w:val="footer"/>
    <w:basedOn w:val="Normal"/>
    <w:link w:val="FooterChar"/>
    <w:uiPriority w:val="99"/>
    <w:unhideWhenUsed/>
    <w:rsid w:val="002F0875"/>
    <w:pPr>
      <w:tabs>
        <w:tab w:val="center" w:pos="4680"/>
        <w:tab w:val="right" w:pos="9360"/>
      </w:tabs>
    </w:pPr>
  </w:style>
  <w:style w:type="character" w:customStyle="1" w:styleId="FooterChar">
    <w:name w:val="Footer Char"/>
    <w:basedOn w:val="DefaultParagraphFont"/>
    <w:link w:val="Footer"/>
    <w:uiPriority w:val="99"/>
    <w:rsid w:val="002F087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4208148">
      <w:bodyDiv w:val="1"/>
      <w:marLeft w:val="0"/>
      <w:marRight w:val="0"/>
      <w:marTop w:val="0"/>
      <w:marBottom w:val="0"/>
      <w:divBdr>
        <w:top w:val="none" w:sz="0" w:space="0" w:color="auto"/>
        <w:left w:val="none" w:sz="0" w:space="0" w:color="auto"/>
        <w:bottom w:val="none" w:sz="0" w:space="0" w:color="auto"/>
        <w:right w:val="none" w:sz="0" w:space="0" w:color="auto"/>
      </w:divBdr>
    </w:div>
    <w:div w:id="130574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cid:image001.png@01D6FA2B.E413AA00"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cid:image003.png@01D6FA2B.E413AA00" TargetMode="Externa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cid:image002.png@01D6FA2B.E413AA0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1534</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David - REE-NASS, Washington, DC</dc:creator>
  <cp:keywords/>
  <dc:description/>
  <cp:lastModifiedBy>Hancock, David - REE-NASS, Washington, DC</cp:lastModifiedBy>
  <cp:revision>2</cp:revision>
  <dcterms:created xsi:type="dcterms:W3CDTF">2021-02-03T19:40:00Z</dcterms:created>
  <dcterms:modified xsi:type="dcterms:W3CDTF">2021-02-03T19:40:00Z</dcterms:modified>
</cp:coreProperties>
</file>