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5367D0" w:rsidP="005367D0" w:rsidRDefault="005367D0" w14:paraId="62202FAC"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62202FAD"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62202FAE" w14:textId="77777777">
      <w:pPr>
        <w:pStyle w:val="NoSpacing"/>
        <w:jc w:val="center"/>
        <w:rPr>
          <w:rFonts w:ascii="Calibri" w:hAnsi="Calibri" w:cs="Calibri"/>
          <w:b/>
          <w:sz w:val="24"/>
        </w:rPr>
      </w:pPr>
      <w:r>
        <w:rPr>
          <w:rFonts w:ascii="Calibri" w:hAnsi="Calibri" w:cs="Calibri"/>
          <w:b/>
          <w:sz w:val="24"/>
        </w:rPr>
        <w:t>U.S. Census Bureau</w:t>
      </w:r>
    </w:p>
    <w:p w:rsidRPr="000F4800" w:rsidR="005367D0" w:rsidP="005367D0" w:rsidRDefault="000F4800" w14:paraId="62202FAF" w14:textId="723260B4">
      <w:pPr>
        <w:pStyle w:val="NoSpacing"/>
        <w:jc w:val="center"/>
        <w:rPr>
          <w:rFonts w:ascii="Calibri" w:hAnsi="Calibri" w:cs="Calibri"/>
          <w:b/>
          <w:sz w:val="24"/>
        </w:rPr>
      </w:pPr>
      <w:r w:rsidRPr="000F4800">
        <w:rPr>
          <w:rFonts w:ascii="Calibri" w:hAnsi="Calibri" w:cs="Calibri"/>
          <w:b/>
          <w:sz w:val="24"/>
        </w:rPr>
        <w:t>School District Review Program (SDRP)</w:t>
      </w:r>
    </w:p>
    <w:p w:rsidRPr="000F4800" w:rsidR="005367D0" w:rsidP="005367D0" w:rsidRDefault="005367D0" w14:paraId="62202FB0" w14:textId="2C56A296">
      <w:pPr>
        <w:pStyle w:val="NoSpacing"/>
        <w:jc w:val="center"/>
        <w:rPr>
          <w:rFonts w:ascii="Calibri" w:hAnsi="Calibri" w:cs="Calibri"/>
          <w:b/>
          <w:sz w:val="24"/>
        </w:rPr>
      </w:pPr>
      <w:r w:rsidRPr="000F4800">
        <w:rPr>
          <w:rFonts w:ascii="Calibri" w:hAnsi="Calibri" w:cs="Calibri"/>
          <w:b/>
          <w:sz w:val="24"/>
        </w:rPr>
        <w:t>OMB Control No. 0607-</w:t>
      </w:r>
      <w:r w:rsidRPr="000F4800" w:rsidR="000F4800">
        <w:rPr>
          <w:rFonts w:ascii="Calibri" w:hAnsi="Calibri" w:cs="Calibri"/>
          <w:b/>
          <w:sz w:val="24"/>
        </w:rPr>
        <w:t>0987</w:t>
      </w:r>
    </w:p>
    <w:p w:rsidRPr="00615B02" w:rsidR="00B955B7" w:rsidP="00B955B7" w:rsidRDefault="00B955B7" w14:paraId="62202FB3" w14:textId="77777777">
      <w:pPr>
        <w:pStyle w:val="BodyText"/>
        <w:spacing w:before="0"/>
        <w:ind w:left="0"/>
        <w:rPr>
          <w:rFonts w:ascii="Calibri" w:hAnsi="Calibri" w:cs="Calibri"/>
          <w:b/>
          <w:color w:val="0070C0"/>
          <w:sz w:val="33"/>
        </w:rPr>
      </w:pPr>
    </w:p>
    <w:p w:rsidR="00B955B7" w:rsidP="00942196" w:rsidRDefault="00B955B7" w14:paraId="62202FB6" w14:textId="14C2F3DF">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6A2D79" w:rsidR="00817865" w:rsidP="006A2D79" w:rsidRDefault="00817865" w14:paraId="16125D9F" w14:textId="6FD9D2D1">
      <w:pPr>
        <w:spacing w:before="161"/>
        <w:ind w:left="400"/>
        <w:rPr>
          <w:rFonts w:ascii="Calibri" w:hAnsi="Calibri" w:cs="Calibri"/>
          <w:bCs/>
          <w:sz w:val="24"/>
        </w:rPr>
      </w:pPr>
      <w:r w:rsidRPr="006A2D79">
        <w:rPr>
          <w:rFonts w:ascii="Calibri" w:hAnsi="Calibri" w:cs="Calibri"/>
          <w:bCs/>
          <w:sz w:val="24"/>
        </w:rPr>
        <w:t>The SDRP invites state education officials from the 50 states and the District of Columbia to provide school district boundary and attribute updates to support poverty and Title I estimates. There are no statistical methods involved in the collection of this information.</w:t>
      </w:r>
    </w:p>
    <w:p w:rsidRPr="00124446" w:rsidR="00B955B7" w:rsidP="00942196" w:rsidRDefault="00B955B7" w14:paraId="62202FB8" w14:textId="7C244930">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w:t>
      </w:r>
      <w:r w:rsidRPr="4CE87F78" w:rsidDel="00B955B7">
        <w:rPr>
          <w:rFonts w:ascii="Calibri" w:hAnsi="Calibri" w:cs="Calibri"/>
        </w:rPr>
        <w:t>S</w:t>
      </w:r>
      <w:r w:rsidRPr="00124446">
        <w:rPr>
          <w:rFonts w:ascii="Calibri" w:hAnsi="Calibri" w:cs="Calibri"/>
        </w:rPr>
        <w:t xml:space="preserve">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124446">
        <w:rPr>
          <w:rFonts w:ascii="Calibri" w:hAnsi="Calibri" w:cs="Calibri"/>
        </w:rPr>
        <w:t>collection as a whole</w:t>
      </w:r>
      <w:proofErr w:type="gramEnd"/>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r w:rsidR="000F4800">
        <w:rPr>
          <w:rFonts w:ascii="Calibri" w:hAnsi="Calibri" w:cs="Calibri"/>
        </w:rPr>
        <w:t>.</w:t>
      </w:r>
    </w:p>
    <w:p w:rsidRPr="006A2D79" w:rsidR="00942196" w:rsidRDefault="73484137" w14:paraId="62202FBA" w14:textId="78355906">
      <w:pPr>
        <w:spacing w:before="161"/>
        <w:ind w:left="400" w:right="362"/>
        <w:rPr>
          <w:rFonts w:ascii="Calibri" w:hAnsi="Calibri" w:cs="Calibri"/>
          <w:sz w:val="24"/>
          <w:szCs w:val="24"/>
        </w:rPr>
      </w:pPr>
      <w:r w:rsidRPr="006A2D79">
        <w:rPr>
          <w:rFonts w:ascii="Calibri" w:hAnsi="Calibri" w:cs="Calibri"/>
          <w:sz w:val="24"/>
          <w:szCs w:val="24"/>
        </w:rPr>
        <w:t xml:space="preserve">The potential respondent </w:t>
      </w:r>
      <w:r w:rsidRPr="006A2D79" w:rsidR="00A41E88">
        <w:rPr>
          <w:rFonts w:ascii="Calibri" w:hAnsi="Calibri" w:cs="Calibri"/>
          <w:sz w:val="24"/>
          <w:szCs w:val="24"/>
        </w:rPr>
        <w:t>universe for SDRP is one state education official from each of the 50 states and the District of Columbia</w:t>
      </w:r>
      <w:r w:rsidRPr="006A2D79" w:rsidR="00F9681D">
        <w:rPr>
          <w:rFonts w:ascii="Calibri" w:hAnsi="Calibri" w:cs="Calibri"/>
          <w:sz w:val="24"/>
          <w:szCs w:val="24"/>
        </w:rPr>
        <w:t xml:space="preserve"> for a total universe of 51 potential </w:t>
      </w:r>
      <w:r w:rsidRPr="006A2D79" w:rsidR="00817865">
        <w:rPr>
          <w:rFonts w:ascii="Calibri" w:hAnsi="Calibri" w:cs="Calibri"/>
          <w:sz w:val="24"/>
          <w:szCs w:val="24"/>
        </w:rPr>
        <w:t>respondents.</w:t>
      </w:r>
      <w:r w:rsidRPr="006A2D79" w:rsidR="00A41E88">
        <w:rPr>
          <w:rFonts w:ascii="Calibri" w:hAnsi="Calibri" w:cs="Calibri"/>
          <w:sz w:val="24"/>
          <w:szCs w:val="24"/>
        </w:rPr>
        <w:t xml:space="preserve"> </w:t>
      </w:r>
      <w:r w:rsidRPr="006A2D79" w:rsidR="000D74B0">
        <w:rPr>
          <w:rFonts w:ascii="Calibri" w:hAnsi="Calibri" w:cs="Calibri"/>
          <w:sz w:val="24"/>
          <w:szCs w:val="24"/>
        </w:rPr>
        <w:t xml:space="preserve">The table below shows the response rate for the past 3 SDRP cycles. </w:t>
      </w:r>
    </w:p>
    <w:tbl>
      <w:tblPr>
        <w:tblStyle w:val="TableGrid"/>
        <w:tblW w:w="0" w:type="auto"/>
        <w:tblInd w:w="400" w:type="dxa"/>
        <w:tblLook w:val="04A0" w:firstRow="1" w:lastRow="0" w:firstColumn="1" w:lastColumn="0" w:noHBand="0" w:noVBand="1"/>
      </w:tblPr>
      <w:tblGrid>
        <w:gridCol w:w="3203"/>
        <w:gridCol w:w="3235"/>
        <w:gridCol w:w="3232"/>
      </w:tblGrid>
      <w:tr w:rsidRPr="006A2D79" w:rsidR="00817865" w:rsidTr="000D74B0" w14:paraId="601B182F" w14:textId="77777777">
        <w:tc>
          <w:tcPr>
            <w:tcW w:w="3356" w:type="dxa"/>
          </w:tcPr>
          <w:p w:rsidRPr="006A2D79" w:rsidR="000D74B0" w:rsidP="00A63C05" w:rsidRDefault="000D74B0" w14:paraId="6C4F4B81" w14:textId="03FE93B4">
            <w:pPr>
              <w:spacing w:before="161"/>
              <w:ind w:right="362"/>
              <w:rPr>
                <w:rFonts w:ascii="Calibri" w:hAnsi="Calibri" w:cs="Calibri"/>
                <w:sz w:val="24"/>
              </w:rPr>
            </w:pPr>
            <w:r w:rsidRPr="006A2D79">
              <w:rPr>
                <w:rFonts w:ascii="Calibri" w:hAnsi="Calibri" w:cs="Calibri"/>
                <w:sz w:val="24"/>
              </w:rPr>
              <w:t>SDRP</w:t>
            </w:r>
            <w:r w:rsidRPr="006A2D79" w:rsidR="00E1274B">
              <w:rPr>
                <w:rFonts w:ascii="Calibri" w:hAnsi="Calibri" w:cs="Calibri"/>
                <w:sz w:val="24"/>
              </w:rPr>
              <w:t xml:space="preserve"> cycle</w:t>
            </w:r>
            <w:r w:rsidRPr="006A2D79">
              <w:rPr>
                <w:rFonts w:ascii="Calibri" w:hAnsi="Calibri" w:cs="Calibri"/>
                <w:sz w:val="24"/>
              </w:rPr>
              <w:t xml:space="preserve"> year</w:t>
            </w:r>
          </w:p>
        </w:tc>
        <w:tc>
          <w:tcPr>
            <w:tcW w:w="3357" w:type="dxa"/>
          </w:tcPr>
          <w:p w:rsidRPr="006A2D79" w:rsidR="000D74B0" w:rsidP="00A63C05" w:rsidRDefault="000D74B0" w14:paraId="39109351" w14:textId="34163191">
            <w:pPr>
              <w:spacing w:before="161"/>
              <w:ind w:right="362"/>
              <w:rPr>
                <w:rFonts w:ascii="Calibri" w:hAnsi="Calibri" w:cs="Calibri"/>
                <w:sz w:val="24"/>
              </w:rPr>
            </w:pPr>
            <w:r w:rsidRPr="006A2D79">
              <w:rPr>
                <w:rFonts w:ascii="Calibri" w:hAnsi="Calibri" w:cs="Calibri"/>
                <w:sz w:val="24"/>
              </w:rPr>
              <w:t xml:space="preserve">Total number of responses </w:t>
            </w:r>
          </w:p>
        </w:tc>
        <w:tc>
          <w:tcPr>
            <w:tcW w:w="3357" w:type="dxa"/>
          </w:tcPr>
          <w:p w:rsidRPr="006A2D79" w:rsidR="000D74B0" w:rsidP="00A63C05" w:rsidRDefault="000D74B0" w14:paraId="4BF06337" w14:textId="5F6CCABE">
            <w:pPr>
              <w:spacing w:before="161"/>
              <w:ind w:right="362"/>
              <w:rPr>
                <w:rFonts w:ascii="Calibri" w:hAnsi="Calibri" w:cs="Calibri"/>
                <w:sz w:val="24"/>
              </w:rPr>
            </w:pPr>
            <w:r w:rsidRPr="006A2D79">
              <w:rPr>
                <w:rFonts w:ascii="Calibri" w:hAnsi="Calibri" w:cs="Calibri"/>
                <w:sz w:val="24"/>
              </w:rPr>
              <w:t>Response rate</w:t>
            </w:r>
          </w:p>
        </w:tc>
      </w:tr>
      <w:tr w:rsidRPr="006A2D79" w:rsidR="00817865" w:rsidTr="000D74B0" w14:paraId="292B0F45" w14:textId="77777777">
        <w:tc>
          <w:tcPr>
            <w:tcW w:w="3356" w:type="dxa"/>
          </w:tcPr>
          <w:p w:rsidRPr="006A2D79" w:rsidR="000D74B0" w:rsidP="00A63C05" w:rsidRDefault="000D74B0" w14:paraId="0A7BAFCC" w14:textId="3369ED65">
            <w:pPr>
              <w:spacing w:before="161"/>
              <w:ind w:right="362"/>
              <w:rPr>
                <w:rFonts w:ascii="Calibri" w:hAnsi="Calibri" w:cs="Calibri"/>
                <w:sz w:val="24"/>
              </w:rPr>
            </w:pPr>
            <w:r w:rsidRPr="006A2D79">
              <w:rPr>
                <w:rFonts w:ascii="Calibri" w:hAnsi="Calibri" w:cs="Calibri"/>
                <w:sz w:val="24"/>
              </w:rPr>
              <w:t>2021</w:t>
            </w:r>
          </w:p>
        </w:tc>
        <w:tc>
          <w:tcPr>
            <w:tcW w:w="3357" w:type="dxa"/>
          </w:tcPr>
          <w:p w:rsidRPr="006A2D79" w:rsidR="000D74B0" w:rsidP="00A63C05" w:rsidRDefault="000D74B0" w14:paraId="4613EE17" w14:textId="2365609E">
            <w:pPr>
              <w:spacing w:before="161"/>
              <w:ind w:right="362"/>
              <w:rPr>
                <w:rFonts w:ascii="Calibri" w:hAnsi="Calibri" w:cs="Calibri"/>
                <w:sz w:val="24"/>
              </w:rPr>
            </w:pPr>
            <w:r w:rsidRPr="006A2D79">
              <w:rPr>
                <w:rFonts w:ascii="Calibri" w:hAnsi="Calibri" w:cs="Calibri"/>
                <w:sz w:val="24"/>
              </w:rPr>
              <w:t>48</w:t>
            </w:r>
          </w:p>
        </w:tc>
        <w:tc>
          <w:tcPr>
            <w:tcW w:w="3357" w:type="dxa"/>
          </w:tcPr>
          <w:p w:rsidRPr="006A2D79" w:rsidR="000D74B0" w:rsidP="00A63C05" w:rsidRDefault="000D74B0" w14:paraId="05A1BF0D" w14:textId="72CC1814">
            <w:pPr>
              <w:spacing w:before="161"/>
              <w:ind w:right="362"/>
              <w:rPr>
                <w:rFonts w:ascii="Calibri" w:hAnsi="Calibri" w:cs="Calibri"/>
                <w:sz w:val="24"/>
              </w:rPr>
            </w:pPr>
            <w:r w:rsidRPr="006A2D79">
              <w:rPr>
                <w:rFonts w:ascii="Calibri" w:hAnsi="Calibri" w:cs="Calibri"/>
                <w:sz w:val="24"/>
              </w:rPr>
              <w:t>94%</w:t>
            </w:r>
          </w:p>
        </w:tc>
      </w:tr>
      <w:tr w:rsidRPr="006A2D79" w:rsidR="00817865" w:rsidTr="000D74B0" w14:paraId="2DF43AF7" w14:textId="77777777">
        <w:tc>
          <w:tcPr>
            <w:tcW w:w="3356" w:type="dxa"/>
          </w:tcPr>
          <w:p w:rsidRPr="006A2D79" w:rsidR="000D74B0" w:rsidP="00A63C05" w:rsidRDefault="000D74B0" w14:paraId="73F590B9" w14:textId="2DDD55CB">
            <w:pPr>
              <w:spacing w:before="161"/>
              <w:ind w:right="362"/>
              <w:rPr>
                <w:rFonts w:ascii="Calibri" w:hAnsi="Calibri" w:cs="Calibri"/>
                <w:sz w:val="24"/>
              </w:rPr>
            </w:pPr>
            <w:r w:rsidRPr="006A2D79">
              <w:rPr>
                <w:rFonts w:ascii="Calibri" w:hAnsi="Calibri" w:cs="Calibri"/>
                <w:sz w:val="24"/>
              </w:rPr>
              <w:t>2020</w:t>
            </w:r>
          </w:p>
        </w:tc>
        <w:tc>
          <w:tcPr>
            <w:tcW w:w="3357" w:type="dxa"/>
          </w:tcPr>
          <w:p w:rsidRPr="006A2D79" w:rsidR="000D74B0" w:rsidP="00A63C05" w:rsidRDefault="000D74B0" w14:paraId="2EBDEE10" w14:textId="39CD8F3F">
            <w:pPr>
              <w:spacing w:before="161"/>
              <w:ind w:right="362"/>
              <w:rPr>
                <w:rFonts w:ascii="Calibri" w:hAnsi="Calibri" w:cs="Calibri"/>
                <w:sz w:val="24"/>
              </w:rPr>
            </w:pPr>
            <w:r w:rsidRPr="006A2D79">
              <w:rPr>
                <w:rFonts w:ascii="Calibri" w:hAnsi="Calibri" w:cs="Calibri"/>
                <w:sz w:val="24"/>
              </w:rPr>
              <w:t>46</w:t>
            </w:r>
          </w:p>
        </w:tc>
        <w:tc>
          <w:tcPr>
            <w:tcW w:w="3357" w:type="dxa"/>
          </w:tcPr>
          <w:p w:rsidRPr="006A2D79" w:rsidR="000D74B0" w:rsidP="00A63C05" w:rsidRDefault="00480760" w14:paraId="4762A22C" w14:textId="33FA81DD">
            <w:pPr>
              <w:spacing w:before="161"/>
              <w:ind w:right="362"/>
              <w:rPr>
                <w:rFonts w:ascii="Calibri" w:hAnsi="Calibri" w:cs="Calibri"/>
                <w:sz w:val="24"/>
              </w:rPr>
            </w:pPr>
            <w:r w:rsidRPr="006A2D79">
              <w:rPr>
                <w:rFonts w:ascii="Calibri" w:hAnsi="Calibri" w:cs="Calibri"/>
                <w:sz w:val="24"/>
              </w:rPr>
              <w:t>90%</w:t>
            </w:r>
          </w:p>
        </w:tc>
      </w:tr>
      <w:tr w:rsidRPr="006A2D79" w:rsidR="00817865" w:rsidTr="000D74B0" w14:paraId="47CAD0EF" w14:textId="77777777">
        <w:tc>
          <w:tcPr>
            <w:tcW w:w="3356" w:type="dxa"/>
          </w:tcPr>
          <w:p w:rsidRPr="006A2D79" w:rsidR="000D74B0" w:rsidP="00A63C05" w:rsidRDefault="000D74B0" w14:paraId="0D86EC6D" w14:textId="0D0A3C20">
            <w:pPr>
              <w:spacing w:before="161"/>
              <w:ind w:right="362"/>
              <w:rPr>
                <w:rFonts w:ascii="Calibri" w:hAnsi="Calibri" w:cs="Calibri"/>
                <w:sz w:val="24"/>
              </w:rPr>
            </w:pPr>
            <w:r w:rsidRPr="006A2D79">
              <w:rPr>
                <w:rFonts w:ascii="Calibri" w:hAnsi="Calibri" w:cs="Calibri"/>
                <w:sz w:val="24"/>
              </w:rPr>
              <w:t>2019</w:t>
            </w:r>
          </w:p>
        </w:tc>
        <w:tc>
          <w:tcPr>
            <w:tcW w:w="3357" w:type="dxa"/>
          </w:tcPr>
          <w:p w:rsidRPr="006A2D79" w:rsidR="000D74B0" w:rsidP="00A63C05" w:rsidRDefault="000D74B0" w14:paraId="0C28CB25" w14:textId="19E5873F">
            <w:pPr>
              <w:spacing w:before="161"/>
              <w:ind w:right="362"/>
              <w:rPr>
                <w:rFonts w:ascii="Calibri" w:hAnsi="Calibri" w:cs="Calibri"/>
                <w:sz w:val="24"/>
              </w:rPr>
            </w:pPr>
            <w:r w:rsidRPr="006A2D79">
              <w:rPr>
                <w:rFonts w:ascii="Calibri" w:hAnsi="Calibri" w:cs="Calibri"/>
                <w:sz w:val="24"/>
              </w:rPr>
              <w:t>45</w:t>
            </w:r>
          </w:p>
        </w:tc>
        <w:tc>
          <w:tcPr>
            <w:tcW w:w="3357" w:type="dxa"/>
          </w:tcPr>
          <w:p w:rsidRPr="006A2D79" w:rsidR="000D74B0" w:rsidP="00A63C05" w:rsidRDefault="00480760" w14:paraId="1406111A" w14:textId="0E9E24D2">
            <w:pPr>
              <w:spacing w:before="161"/>
              <w:ind w:right="362"/>
              <w:rPr>
                <w:rFonts w:ascii="Calibri" w:hAnsi="Calibri" w:cs="Calibri"/>
                <w:sz w:val="24"/>
              </w:rPr>
            </w:pPr>
            <w:r w:rsidRPr="006A2D79">
              <w:rPr>
                <w:rFonts w:ascii="Calibri" w:hAnsi="Calibri" w:cs="Calibri"/>
                <w:sz w:val="24"/>
              </w:rPr>
              <w:t>88%</w:t>
            </w:r>
          </w:p>
        </w:tc>
      </w:tr>
    </w:tbl>
    <w:p w:rsidRPr="006A2D79" w:rsidR="00A057FA" w:rsidP="00A63C05" w:rsidRDefault="00480760" w14:paraId="62202FBB" w14:textId="3FFFA7A0">
      <w:pPr>
        <w:spacing w:before="161"/>
        <w:ind w:left="400" w:right="362"/>
        <w:rPr>
          <w:rFonts w:ascii="Calibri" w:hAnsi="Calibri" w:cs="Calibri"/>
          <w:sz w:val="24"/>
        </w:rPr>
      </w:pPr>
      <w:r w:rsidRPr="006A2D79">
        <w:rPr>
          <w:rFonts w:ascii="Calibri" w:hAnsi="Calibri" w:cs="Calibri"/>
          <w:sz w:val="24"/>
        </w:rPr>
        <w:t xml:space="preserve">If the SDRP team has not heard from the appointed state official within about one month of the submission due date, email reminders are sent to the participant. The SDRP team also </w:t>
      </w:r>
      <w:r w:rsidRPr="006A2D79" w:rsidR="00FB4785">
        <w:rPr>
          <w:rFonts w:ascii="Calibri" w:hAnsi="Calibri" w:cs="Calibri"/>
          <w:sz w:val="24"/>
        </w:rPr>
        <w:t>attempts to</w:t>
      </w:r>
      <w:r w:rsidRPr="006A2D79">
        <w:rPr>
          <w:rFonts w:ascii="Calibri" w:hAnsi="Calibri" w:cs="Calibri"/>
          <w:sz w:val="24"/>
        </w:rPr>
        <w:t xml:space="preserve"> reach the participant by phone if </w:t>
      </w:r>
      <w:r w:rsidRPr="006A2D79" w:rsidR="00FB4785">
        <w:rPr>
          <w:rFonts w:ascii="Calibri" w:hAnsi="Calibri" w:cs="Calibri"/>
          <w:sz w:val="24"/>
        </w:rPr>
        <w:t>we</w:t>
      </w:r>
      <w:r w:rsidRPr="006A2D79">
        <w:rPr>
          <w:rFonts w:ascii="Calibri" w:hAnsi="Calibri" w:cs="Calibri"/>
          <w:sz w:val="24"/>
        </w:rPr>
        <w:t xml:space="preserve"> do not receive a response to the email. </w:t>
      </w:r>
    </w:p>
    <w:p w:rsidRPr="00A63C05" w:rsidR="00B955B7" w:rsidP="00942196" w:rsidRDefault="00B955B7" w14:paraId="62202FBC"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Pr="00442F57" w:rsidR="00B955B7" w:rsidP="00B955B7" w:rsidRDefault="00B955B7" w14:paraId="62202FBD" w14:textId="6A7ADB03">
      <w:pPr>
        <w:pStyle w:val="ListParagraph"/>
        <w:numPr>
          <w:ilvl w:val="1"/>
          <w:numId w:val="1"/>
        </w:numPr>
        <w:tabs>
          <w:tab w:val="left" w:pos="1119"/>
          <w:tab w:val="left" w:pos="1120"/>
        </w:tabs>
        <w:spacing w:before="183"/>
        <w:rPr>
          <w:rFonts w:ascii="Calibri" w:hAnsi="Calibri" w:cs="Calibri"/>
          <w:b/>
          <w:sz w:val="24"/>
        </w:rPr>
      </w:pPr>
      <w:bookmarkStart w:name="_Hlk76567362" w:id="0"/>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r w:rsidR="00014C08">
        <w:rPr>
          <w:rFonts w:ascii="Calibri" w:hAnsi="Calibri" w:cs="Calibri"/>
          <w:b/>
          <w:sz w:val="24"/>
        </w:rPr>
        <w:t xml:space="preserve"> </w:t>
      </w:r>
    </w:p>
    <w:p w:rsidRPr="00442F57" w:rsidR="00B955B7" w:rsidP="00B955B7" w:rsidRDefault="00B955B7" w14:paraId="62202FBE"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Pr="00442F57" w:rsidR="00B955B7" w:rsidP="00B955B7" w:rsidRDefault="00B955B7" w14:paraId="62202FBF"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Pr="00442F57" w:rsidR="00B955B7" w:rsidP="00B955B7" w:rsidRDefault="00B955B7" w14:paraId="62202FC0"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P="00B955B7" w:rsidRDefault="00B955B7" w14:paraId="62202FC1" w14:textId="04529E0A">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Pr="00442F57" w:rsidR="00817865" w:rsidP="006A2D79" w:rsidRDefault="00817865" w14:paraId="7085A77E" w14:textId="77777777">
      <w:pPr>
        <w:pStyle w:val="ListParagraph"/>
        <w:tabs>
          <w:tab w:val="left" w:pos="1119"/>
          <w:tab w:val="left" w:pos="1120"/>
        </w:tabs>
        <w:spacing w:before="183"/>
        <w:ind w:left="1120" w:firstLine="0"/>
        <w:rPr>
          <w:rFonts w:ascii="Calibri" w:hAnsi="Calibri" w:cs="Calibri"/>
          <w:b/>
          <w:sz w:val="24"/>
        </w:rPr>
      </w:pPr>
    </w:p>
    <w:bookmarkEnd w:id="0"/>
    <w:p w:rsidRPr="006A2D79" w:rsidR="00014C08" w:rsidP="006A2D79" w:rsidRDefault="00014C08" w14:paraId="5FA80686" w14:textId="7838BAC4">
      <w:pPr>
        <w:pStyle w:val="ListParagraph"/>
        <w:numPr>
          <w:ilvl w:val="1"/>
          <w:numId w:val="3"/>
        </w:numPr>
        <w:tabs>
          <w:tab w:val="left" w:pos="1119"/>
          <w:tab w:val="left" w:pos="1120"/>
        </w:tabs>
        <w:spacing w:before="183"/>
        <w:rPr>
          <w:rFonts w:ascii="Calibri" w:hAnsi="Calibri" w:cs="Calibri"/>
          <w:bCs/>
          <w:sz w:val="24"/>
        </w:rPr>
      </w:pPr>
      <w:r w:rsidRPr="006A2D79">
        <w:rPr>
          <w:rFonts w:ascii="Calibri" w:hAnsi="Calibri" w:cs="Calibri"/>
          <w:bCs/>
          <w:sz w:val="24"/>
        </w:rPr>
        <w:lastRenderedPageBreak/>
        <w:t>Statistical methodology for stratification and sample</w:t>
      </w:r>
      <w:r w:rsidRPr="006A2D79">
        <w:rPr>
          <w:rFonts w:ascii="Calibri" w:hAnsi="Calibri" w:cs="Calibri"/>
          <w:bCs/>
          <w:spacing w:val="-32"/>
          <w:sz w:val="24"/>
        </w:rPr>
        <w:t xml:space="preserve"> </w:t>
      </w:r>
      <w:r w:rsidRPr="006A2D79">
        <w:rPr>
          <w:rFonts w:ascii="Calibri" w:hAnsi="Calibri" w:cs="Calibri"/>
          <w:bCs/>
          <w:sz w:val="24"/>
        </w:rPr>
        <w:t>selection</w:t>
      </w:r>
      <w:r w:rsidR="00CC0B6F">
        <w:rPr>
          <w:rFonts w:ascii="Calibri" w:hAnsi="Calibri" w:cs="Calibri"/>
          <w:bCs/>
          <w:sz w:val="24"/>
        </w:rPr>
        <w:t xml:space="preserve"> </w:t>
      </w:r>
      <w:r w:rsidR="00BA6680">
        <w:rPr>
          <w:rFonts w:ascii="Calibri" w:hAnsi="Calibri" w:cs="Calibri"/>
          <w:bCs/>
          <w:sz w:val="24"/>
        </w:rPr>
        <w:t>is</w:t>
      </w:r>
      <w:r w:rsidRPr="006A2D79">
        <w:rPr>
          <w:rFonts w:ascii="Calibri" w:hAnsi="Calibri" w:cs="Calibri"/>
          <w:bCs/>
          <w:sz w:val="24"/>
        </w:rPr>
        <w:t xml:space="preserve"> </w:t>
      </w:r>
      <w:r w:rsidR="00BA6680">
        <w:rPr>
          <w:rFonts w:ascii="Calibri" w:hAnsi="Calibri" w:cs="Calibri"/>
          <w:bCs/>
          <w:sz w:val="24"/>
        </w:rPr>
        <w:t>n</w:t>
      </w:r>
      <w:r w:rsidRPr="006A2D79">
        <w:rPr>
          <w:rFonts w:ascii="Calibri" w:hAnsi="Calibri" w:cs="Calibri"/>
          <w:bCs/>
          <w:sz w:val="24"/>
        </w:rPr>
        <w:t>ot applicable</w:t>
      </w:r>
      <w:r w:rsidR="00BA6680">
        <w:rPr>
          <w:rFonts w:ascii="Calibri" w:hAnsi="Calibri" w:cs="Calibri"/>
          <w:bCs/>
          <w:sz w:val="24"/>
        </w:rPr>
        <w:t>,</w:t>
      </w:r>
    </w:p>
    <w:p w:rsidRPr="006A2D79" w:rsidR="00014C08" w:rsidP="006A2D79" w:rsidRDefault="00014C08" w14:paraId="4C0F2788" w14:textId="29C9C110">
      <w:pPr>
        <w:pStyle w:val="ListParagraph"/>
        <w:numPr>
          <w:ilvl w:val="1"/>
          <w:numId w:val="3"/>
        </w:numPr>
        <w:tabs>
          <w:tab w:val="left" w:pos="1119"/>
          <w:tab w:val="left" w:pos="1120"/>
        </w:tabs>
        <w:spacing w:before="182"/>
        <w:rPr>
          <w:rFonts w:ascii="Calibri" w:hAnsi="Calibri" w:cs="Calibri"/>
          <w:bCs/>
          <w:sz w:val="24"/>
        </w:rPr>
      </w:pPr>
      <w:r w:rsidRPr="006A2D79">
        <w:rPr>
          <w:rFonts w:ascii="Calibri" w:hAnsi="Calibri" w:cs="Calibri"/>
          <w:bCs/>
          <w:sz w:val="24"/>
        </w:rPr>
        <w:t>Estimation</w:t>
      </w:r>
      <w:r w:rsidRPr="006A2D79">
        <w:rPr>
          <w:rFonts w:ascii="Calibri" w:hAnsi="Calibri" w:cs="Calibri"/>
          <w:bCs/>
          <w:spacing w:val="-2"/>
          <w:sz w:val="24"/>
        </w:rPr>
        <w:t xml:space="preserve"> </w:t>
      </w:r>
      <w:r w:rsidRPr="006A2D79">
        <w:rPr>
          <w:rFonts w:ascii="Calibri" w:hAnsi="Calibri" w:cs="Calibri"/>
          <w:bCs/>
          <w:sz w:val="24"/>
        </w:rPr>
        <w:t>procedure</w:t>
      </w:r>
      <w:r w:rsidR="00BA6680">
        <w:rPr>
          <w:rFonts w:ascii="Calibri" w:hAnsi="Calibri" w:cs="Calibri"/>
          <w:bCs/>
          <w:sz w:val="24"/>
        </w:rPr>
        <w:t xml:space="preserve"> is</w:t>
      </w:r>
      <w:r w:rsidRPr="006A2D79">
        <w:rPr>
          <w:rFonts w:ascii="Calibri" w:hAnsi="Calibri" w:cs="Calibri"/>
          <w:bCs/>
          <w:sz w:val="24"/>
        </w:rPr>
        <w:t xml:space="preserve"> </w:t>
      </w:r>
      <w:r w:rsidR="00BA6680">
        <w:rPr>
          <w:rFonts w:ascii="Calibri" w:hAnsi="Calibri" w:cs="Calibri"/>
          <w:bCs/>
          <w:sz w:val="24"/>
        </w:rPr>
        <w:t>n</w:t>
      </w:r>
      <w:r w:rsidRPr="006A2D79">
        <w:rPr>
          <w:rFonts w:ascii="Calibri" w:hAnsi="Calibri" w:cs="Calibri"/>
          <w:bCs/>
          <w:sz w:val="24"/>
        </w:rPr>
        <w:t>ot applicable</w:t>
      </w:r>
      <w:r w:rsidR="00BA6680">
        <w:rPr>
          <w:rFonts w:ascii="Calibri" w:hAnsi="Calibri" w:cs="Calibri"/>
          <w:bCs/>
          <w:sz w:val="24"/>
        </w:rPr>
        <w:t>,</w:t>
      </w:r>
    </w:p>
    <w:p w:rsidRPr="006A2D79" w:rsidR="00014C08" w:rsidP="006A2D79" w:rsidRDefault="00014C08" w14:paraId="7C6C78F9" w14:textId="35F532F6">
      <w:pPr>
        <w:pStyle w:val="ListParagraph"/>
        <w:numPr>
          <w:ilvl w:val="1"/>
          <w:numId w:val="3"/>
        </w:numPr>
        <w:tabs>
          <w:tab w:val="left" w:pos="1119"/>
          <w:tab w:val="left" w:pos="1120"/>
        </w:tabs>
        <w:spacing w:before="180"/>
        <w:rPr>
          <w:rFonts w:ascii="Calibri" w:hAnsi="Calibri" w:cs="Calibri"/>
          <w:bCs/>
          <w:sz w:val="24"/>
        </w:rPr>
      </w:pPr>
      <w:r w:rsidRPr="006A2D79">
        <w:rPr>
          <w:rFonts w:ascii="Calibri" w:hAnsi="Calibri" w:cs="Calibri"/>
          <w:bCs/>
          <w:sz w:val="24"/>
        </w:rPr>
        <w:t>Degree of accuracy needed for the purpose described in the</w:t>
      </w:r>
      <w:r w:rsidRPr="006A2D79">
        <w:rPr>
          <w:rFonts w:ascii="Calibri" w:hAnsi="Calibri" w:cs="Calibri"/>
          <w:bCs/>
          <w:spacing w:val="-8"/>
          <w:sz w:val="24"/>
        </w:rPr>
        <w:t xml:space="preserve"> </w:t>
      </w:r>
      <w:r w:rsidRPr="006A2D79">
        <w:rPr>
          <w:rFonts w:ascii="Calibri" w:hAnsi="Calibri" w:cs="Calibri"/>
          <w:bCs/>
          <w:sz w:val="24"/>
        </w:rPr>
        <w:t>justification</w:t>
      </w:r>
      <w:r w:rsidR="00BA6680">
        <w:rPr>
          <w:rFonts w:ascii="Calibri" w:hAnsi="Calibri" w:cs="Calibri"/>
          <w:bCs/>
          <w:sz w:val="24"/>
        </w:rPr>
        <w:t xml:space="preserve"> is</w:t>
      </w:r>
      <w:r w:rsidRPr="006A2D79">
        <w:rPr>
          <w:rFonts w:ascii="Calibri" w:hAnsi="Calibri" w:cs="Calibri"/>
          <w:bCs/>
          <w:sz w:val="24"/>
        </w:rPr>
        <w:t xml:space="preserve"> </w:t>
      </w:r>
      <w:r w:rsidR="00BA6680">
        <w:rPr>
          <w:rFonts w:ascii="Calibri" w:hAnsi="Calibri" w:cs="Calibri"/>
          <w:bCs/>
          <w:sz w:val="24"/>
        </w:rPr>
        <w:t>n</w:t>
      </w:r>
      <w:r w:rsidRPr="006A2D79">
        <w:rPr>
          <w:rFonts w:ascii="Calibri" w:hAnsi="Calibri" w:cs="Calibri"/>
          <w:bCs/>
          <w:sz w:val="24"/>
        </w:rPr>
        <w:t>ot applicable</w:t>
      </w:r>
      <w:r w:rsidR="00BA6680">
        <w:rPr>
          <w:rFonts w:ascii="Calibri" w:hAnsi="Calibri" w:cs="Calibri"/>
          <w:bCs/>
          <w:sz w:val="24"/>
        </w:rPr>
        <w:t>,</w:t>
      </w:r>
    </w:p>
    <w:p w:rsidRPr="006A2D79" w:rsidR="00817865" w:rsidP="006A2D79" w:rsidRDefault="00014C08" w14:paraId="54E8707D" w14:textId="5B5D7E34">
      <w:pPr>
        <w:pStyle w:val="ListParagraph"/>
        <w:numPr>
          <w:ilvl w:val="1"/>
          <w:numId w:val="3"/>
        </w:numPr>
        <w:tabs>
          <w:tab w:val="left" w:pos="1119"/>
          <w:tab w:val="left" w:pos="1120"/>
        </w:tabs>
        <w:spacing w:before="182"/>
        <w:rPr>
          <w:rFonts w:ascii="Calibri" w:hAnsi="Calibri" w:cs="Calibri"/>
          <w:bCs/>
          <w:sz w:val="24"/>
        </w:rPr>
      </w:pPr>
      <w:r w:rsidRPr="006A2D79">
        <w:rPr>
          <w:rFonts w:ascii="Calibri" w:hAnsi="Calibri" w:cs="Calibri"/>
          <w:bCs/>
          <w:sz w:val="24"/>
        </w:rPr>
        <w:t>Unusual problems requiring specialized sampling procedures</w:t>
      </w:r>
      <w:r w:rsidR="00BA6680">
        <w:rPr>
          <w:rFonts w:ascii="Calibri" w:hAnsi="Calibri" w:cs="Calibri"/>
          <w:bCs/>
          <w:sz w:val="24"/>
        </w:rPr>
        <w:t xml:space="preserve"> is</w:t>
      </w:r>
      <w:r w:rsidRPr="006A2D79">
        <w:rPr>
          <w:rFonts w:ascii="Calibri" w:hAnsi="Calibri" w:cs="Calibri"/>
          <w:bCs/>
          <w:spacing w:val="-3"/>
          <w:sz w:val="24"/>
        </w:rPr>
        <w:t xml:space="preserve"> </w:t>
      </w:r>
      <w:r w:rsidR="00BA6680">
        <w:rPr>
          <w:rFonts w:ascii="Calibri" w:hAnsi="Calibri" w:cs="Calibri"/>
          <w:bCs/>
          <w:sz w:val="24"/>
        </w:rPr>
        <w:t>n</w:t>
      </w:r>
      <w:r w:rsidRPr="006A2D79">
        <w:rPr>
          <w:rFonts w:ascii="Calibri" w:hAnsi="Calibri" w:cs="Calibri"/>
          <w:bCs/>
          <w:sz w:val="24"/>
        </w:rPr>
        <w:t>ot applicable</w:t>
      </w:r>
      <w:r w:rsidR="00CC0B6F">
        <w:rPr>
          <w:rFonts w:ascii="Calibri" w:hAnsi="Calibri" w:cs="Calibri"/>
          <w:bCs/>
          <w:sz w:val="24"/>
        </w:rPr>
        <w:t>,</w:t>
      </w:r>
      <w:r w:rsidR="00BA6680">
        <w:rPr>
          <w:rFonts w:ascii="Calibri" w:hAnsi="Calibri" w:cs="Calibri"/>
          <w:bCs/>
          <w:sz w:val="24"/>
        </w:rPr>
        <w:t xml:space="preserve"> </w:t>
      </w:r>
      <w:r w:rsidRPr="006A2D79" w:rsidR="00CC0B6F">
        <w:rPr>
          <w:rFonts w:ascii="Calibri" w:hAnsi="Calibri" w:cs="Calibri"/>
          <w:bCs/>
          <w:sz w:val="24"/>
        </w:rPr>
        <w:t>and</w:t>
      </w:r>
    </w:p>
    <w:p w:rsidRPr="006A2D79" w:rsidR="00014C08" w:rsidP="006A2D79" w:rsidRDefault="00014C08" w14:paraId="43A38EBB" w14:textId="4AEC25E0">
      <w:pPr>
        <w:pStyle w:val="ListParagraph"/>
        <w:numPr>
          <w:ilvl w:val="1"/>
          <w:numId w:val="3"/>
        </w:numPr>
        <w:tabs>
          <w:tab w:val="left" w:pos="1119"/>
          <w:tab w:val="left" w:pos="1120"/>
        </w:tabs>
        <w:spacing w:before="183"/>
        <w:rPr>
          <w:rFonts w:ascii="Calibri" w:hAnsi="Calibri" w:cs="Calibri"/>
          <w:bCs/>
          <w:sz w:val="24"/>
        </w:rPr>
      </w:pPr>
      <w:r w:rsidRPr="006A2D79">
        <w:rPr>
          <w:rFonts w:ascii="Calibri" w:hAnsi="Calibri" w:cs="Calibri"/>
          <w:bCs/>
          <w:sz w:val="24"/>
        </w:rPr>
        <w:t>Any use of periodic (less frequent than annual) data collection cycles to reduce</w:t>
      </w:r>
      <w:r w:rsidRPr="006A2D79">
        <w:rPr>
          <w:rFonts w:ascii="Calibri" w:hAnsi="Calibri" w:cs="Calibri"/>
          <w:bCs/>
          <w:spacing w:val="-21"/>
          <w:sz w:val="24"/>
        </w:rPr>
        <w:t xml:space="preserve"> </w:t>
      </w:r>
      <w:r w:rsidRPr="006A2D79">
        <w:rPr>
          <w:rFonts w:ascii="Calibri" w:hAnsi="Calibri" w:cs="Calibri"/>
          <w:bCs/>
          <w:sz w:val="24"/>
        </w:rPr>
        <w:t>burden</w:t>
      </w:r>
      <w:r w:rsidR="00BA6680">
        <w:rPr>
          <w:rFonts w:ascii="Calibri" w:hAnsi="Calibri" w:cs="Calibri"/>
          <w:bCs/>
          <w:sz w:val="24"/>
        </w:rPr>
        <w:t xml:space="preserve"> is</w:t>
      </w:r>
      <w:r w:rsidRPr="006A2D79">
        <w:rPr>
          <w:rFonts w:ascii="Calibri" w:hAnsi="Calibri" w:cs="Calibri"/>
          <w:bCs/>
          <w:sz w:val="24"/>
        </w:rPr>
        <w:t xml:space="preserve"> </w:t>
      </w:r>
      <w:r w:rsidR="00BA6680">
        <w:rPr>
          <w:rFonts w:ascii="Calibri" w:hAnsi="Calibri" w:cs="Calibri"/>
          <w:bCs/>
          <w:sz w:val="24"/>
        </w:rPr>
        <w:t>n</w:t>
      </w:r>
      <w:r w:rsidRPr="006A2D79">
        <w:rPr>
          <w:rFonts w:ascii="Calibri" w:hAnsi="Calibri" w:cs="Calibri"/>
          <w:bCs/>
          <w:sz w:val="24"/>
        </w:rPr>
        <w:t>ot applicable.</w:t>
      </w:r>
    </w:p>
    <w:p w:rsidRPr="006A2D79" w:rsidR="00942196" w:rsidP="00B955B7" w:rsidRDefault="00014C08" w14:paraId="62202FC4" w14:textId="1ED0ED49">
      <w:pPr>
        <w:pStyle w:val="BodyText"/>
        <w:spacing w:before="221" w:line="259" w:lineRule="auto"/>
        <w:ind w:right="340"/>
        <w:rPr>
          <w:rFonts w:ascii="Calibri" w:hAnsi="Calibri" w:cs="Calibri"/>
          <w:bCs/>
        </w:rPr>
      </w:pPr>
      <w:r w:rsidRPr="006A2D79">
        <w:rPr>
          <w:rFonts w:ascii="Calibri" w:hAnsi="Calibri" w:cs="Calibri"/>
          <w:bCs/>
        </w:rPr>
        <w:t xml:space="preserve">The SDRP has been conducted previously and </w:t>
      </w:r>
      <w:r w:rsidR="00CC0B6F">
        <w:rPr>
          <w:rFonts w:ascii="Calibri" w:hAnsi="Calibri" w:cs="Calibri"/>
          <w:bCs/>
        </w:rPr>
        <w:t xml:space="preserve">is planned to </w:t>
      </w:r>
      <w:r w:rsidRPr="006A2D79">
        <w:rPr>
          <w:rFonts w:ascii="Calibri" w:hAnsi="Calibri" w:cs="Calibri"/>
          <w:bCs/>
        </w:rPr>
        <w:t>contin</w:t>
      </w:r>
      <w:r w:rsidR="00CC0B6F">
        <w:rPr>
          <w:rFonts w:ascii="Calibri" w:hAnsi="Calibri" w:cs="Calibri"/>
          <w:bCs/>
        </w:rPr>
        <w:t>ue</w:t>
      </w:r>
      <w:r w:rsidRPr="006A2D79">
        <w:rPr>
          <w:rFonts w:ascii="Calibri" w:hAnsi="Calibri" w:cs="Calibri"/>
          <w:bCs/>
        </w:rPr>
        <w:t xml:space="preserve"> for </w:t>
      </w:r>
      <w:r w:rsidR="00CC0B6F">
        <w:rPr>
          <w:rFonts w:ascii="Calibri" w:hAnsi="Calibri" w:cs="Calibri"/>
          <w:bCs/>
        </w:rPr>
        <w:t xml:space="preserve">the </w:t>
      </w:r>
      <w:r w:rsidRPr="006A2D79">
        <w:rPr>
          <w:rFonts w:ascii="Calibri" w:hAnsi="Calibri" w:cs="Calibri"/>
          <w:bCs/>
        </w:rPr>
        <w:t xml:space="preserve">foreseeable future. </w:t>
      </w:r>
      <w:r w:rsidR="00CC0B6F">
        <w:rPr>
          <w:rFonts w:ascii="Calibri" w:hAnsi="Calibri" w:cs="Calibri"/>
          <w:bCs/>
        </w:rPr>
        <w:t>The o</w:t>
      </w:r>
      <w:r w:rsidRPr="006A2D79">
        <w:rPr>
          <w:rFonts w:ascii="Calibri" w:hAnsi="Calibri" w:cs="Calibri"/>
          <w:bCs/>
        </w:rPr>
        <w:t xml:space="preserve">nly significant changes to </w:t>
      </w:r>
      <w:r w:rsidR="00CC0B6F">
        <w:rPr>
          <w:rFonts w:ascii="Calibri" w:hAnsi="Calibri" w:cs="Calibri"/>
          <w:bCs/>
        </w:rPr>
        <w:t xml:space="preserve">current </w:t>
      </w:r>
      <w:r w:rsidRPr="006A2D79">
        <w:rPr>
          <w:rFonts w:ascii="Calibri" w:hAnsi="Calibri" w:cs="Calibri"/>
          <w:bCs/>
        </w:rPr>
        <w:t xml:space="preserve">procedures </w:t>
      </w:r>
      <w:r w:rsidR="00F077C2">
        <w:rPr>
          <w:rFonts w:ascii="Calibri" w:hAnsi="Calibri" w:cs="Calibri"/>
          <w:bCs/>
        </w:rPr>
        <w:t>are</w:t>
      </w:r>
      <w:r w:rsidRPr="006A2D79">
        <w:rPr>
          <w:rFonts w:ascii="Calibri" w:hAnsi="Calibri" w:cs="Calibri"/>
          <w:bCs/>
        </w:rPr>
        <w:t xml:space="preserve"> </w:t>
      </w:r>
      <w:r w:rsidR="00CC0B6F">
        <w:rPr>
          <w:rFonts w:ascii="Calibri" w:hAnsi="Calibri" w:cs="Calibri"/>
          <w:bCs/>
        </w:rPr>
        <w:t xml:space="preserve">the </w:t>
      </w:r>
      <w:r w:rsidRPr="006A2D79">
        <w:rPr>
          <w:rFonts w:ascii="Calibri" w:hAnsi="Calibri" w:cs="Calibri"/>
          <w:bCs/>
        </w:rPr>
        <w:t xml:space="preserve">removal of </w:t>
      </w:r>
      <w:r w:rsidR="00CC0B6F">
        <w:rPr>
          <w:rFonts w:ascii="Calibri" w:hAnsi="Calibri" w:cs="Calibri"/>
          <w:bCs/>
        </w:rPr>
        <w:t xml:space="preserve">a </w:t>
      </w:r>
      <w:r w:rsidRPr="006A2D79">
        <w:rPr>
          <w:rFonts w:ascii="Calibri" w:hAnsi="Calibri" w:cs="Calibri"/>
          <w:bCs/>
        </w:rPr>
        <w:t>data disc</w:t>
      </w:r>
      <w:r w:rsidR="005630CA">
        <w:rPr>
          <w:rFonts w:ascii="Calibri" w:hAnsi="Calibri" w:cs="Calibri"/>
          <w:bCs/>
        </w:rPr>
        <w:t xml:space="preserve"> </w:t>
      </w:r>
      <w:r w:rsidRPr="006A2D79">
        <w:rPr>
          <w:rFonts w:ascii="Calibri" w:hAnsi="Calibri" w:cs="Calibri"/>
          <w:bCs/>
        </w:rPr>
        <w:t xml:space="preserve">and </w:t>
      </w:r>
      <w:r w:rsidR="00CC0B6F">
        <w:rPr>
          <w:rFonts w:ascii="Calibri" w:hAnsi="Calibri" w:cs="Calibri"/>
          <w:bCs/>
        </w:rPr>
        <w:t xml:space="preserve">the </w:t>
      </w:r>
      <w:r w:rsidRPr="006A2D79">
        <w:rPr>
          <w:rFonts w:ascii="Calibri" w:hAnsi="Calibri" w:cs="Calibri"/>
          <w:bCs/>
        </w:rPr>
        <w:t>installation disc (p</w:t>
      </w:r>
      <w:r w:rsidR="001E05D1">
        <w:rPr>
          <w:rFonts w:ascii="Calibri" w:hAnsi="Calibri" w:cs="Calibri"/>
          <w:bCs/>
        </w:rPr>
        <w:t>aper</w:t>
      </w:r>
      <w:r w:rsidR="005630CA">
        <w:rPr>
          <w:rFonts w:ascii="Calibri" w:hAnsi="Calibri" w:cs="Calibri"/>
          <w:bCs/>
        </w:rPr>
        <w:t xml:space="preserve"> </w:t>
      </w:r>
      <w:r w:rsidRPr="006A2D79">
        <w:rPr>
          <w:rFonts w:ascii="Calibri" w:hAnsi="Calibri" w:cs="Calibri"/>
          <w:bCs/>
        </w:rPr>
        <w:t xml:space="preserve">participant materials). These participant materials </w:t>
      </w:r>
      <w:r w:rsidR="00CC0B6F">
        <w:rPr>
          <w:rFonts w:ascii="Calibri" w:hAnsi="Calibri" w:cs="Calibri"/>
          <w:bCs/>
        </w:rPr>
        <w:t>will</w:t>
      </w:r>
      <w:r w:rsidRPr="006A2D79" w:rsidR="00CC0B6F">
        <w:rPr>
          <w:rFonts w:ascii="Calibri" w:hAnsi="Calibri" w:cs="Calibri"/>
          <w:bCs/>
        </w:rPr>
        <w:t xml:space="preserve"> </w:t>
      </w:r>
      <w:r w:rsidRPr="006A2D79">
        <w:rPr>
          <w:rFonts w:ascii="Calibri" w:hAnsi="Calibri" w:cs="Calibri"/>
          <w:bCs/>
        </w:rPr>
        <w:t xml:space="preserve">now </w:t>
      </w:r>
      <w:r w:rsidR="00CC0B6F">
        <w:rPr>
          <w:rFonts w:ascii="Calibri" w:hAnsi="Calibri" w:cs="Calibri"/>
          <w:bCs/>
        </w:rPr>
        <w:t xml:space="preserve">be </w:t>
      </w:r>
      <w:r w:rsidRPr="006A2D79">
        <w:rPr>
          <w:rFonts w:ascii="Calibri" w:hAnsi="Calibri" w:cs="Calibri"/>
          <w:bCs/>
        </w:rPr>
        <w:t>provided digitally.</w:t>
      </w:r>
    </w:p>
    <w:p w:rsidRPr="00124446" w:rsidR="00B955B7" w:rsidP="00942196" w:rsidRDefault="00B955B7" w14:paraId="62202FC5"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6A2D79" w:rsidR="000B72BC" w:rsidP="00942196" w:rsidRDefault="000B72BC" w14:paraId="6868C93B" w14:textId="29B252BC">
      <w:pPr>
        <w:pStyle w:val="BodyText"/>
        <w:spacing w:before="158" w:line="259" w:lineRule="auto"/>
        <w:rPr>
          <w:rFonts w:ascii="Calibri" w:hAnsi="Calibri" w:cs="Calibri"/>
          <w:b/>
          <w:bCs/>
        </w:rPr>
      </w:pPr>
      <w:r w:rsidRPr="006A2D79">
        <w:rPr>
          <w:rFonts w:ascii="Calibri" w:hAnsi="Calibri" w:cs="Calibri"/>
          <w:b/>
          <w:bCs/>
        </w:rPr>
        <w:t>Methods to maximize response rates and to deal with issues of non-response:</w:t>
      </w:r>
    </w:p>
    <w:p w:rsidR="000B72BC" w:rsidP="006A2D79" w:rsidRDefault="000B72BC" w14:paraId="7A6A7042" w14:textId="7429A16C">
      <w:pPr>
        <w:pStyle w:val="BodyText"/>
        <w:spacing w:before="158" w:line="259" w:lineRule="auto"/>
        <w:rPr>
          <w:rFonts w:ascii="Calibri" w:hAnsi="Calibri" w:cs="Calibri"/>
          <w:color w:val="0070C0"/>
        </w:rPr>
      </w:pPr>
      <w:r w:rsidRPr="006A2D79">
        <w:rPr>
          <w:rFonts w:ascii="Calibri" w:hAnsi="Calibri" w:cs="Calibri"/>
        </w:rPr>
        <w:t xml:space="preserve">The SDRP collection </w:t>
      </w:r>
      <w:r w:rsidRPr="006A2D79" w:rsidR="00BF5811">
        <w:rPr>
          <w:rFonts w:ascii="Calibri" w:hAnsi="Calibri" w:cs="Calibri"/>
        </w:rPr>
        <w:t>is designed to make</w:t>
      </w:r>
      <w:r w:rsidRPr="006A2D79">
        <w:rPr>
          <w:rFonts w:ascii="Calibri" w:hAnsi="Calibri" w:cs="Calibri"/>
        </w:rPr>
        <w:t xml:space="preserve"> updates for participants </w:t>
      </w:r>
      <w:r w:rsidRPr="006A2D79" w:rsidR="000B0F29">
        <w:rPr>
          <w:rFonts w:ascii="Calibri" w:hAnsi="Calibri" w:cs="Calibri"/>
        </w:rPr>
        <w:t>easy</w:t>
      </w:r>
      <w:r w:rsidR="000B0F29">
        <w:rPr>
          <w:rFonts w:ascii="Calibri" w:hAnsi="Calibri" w:cs="Calibri"/>
        </w:rPr>
        <w:t xml:space="preserve"> </w:t>
      </w:r>
      <w:r w:rsidRPr="006A2D79">
        <w:rPr>
          <w:rFonts w:ascii="Calibri" w:hAnsi="Calibri" w:cs="Calibri"/>
        </w:rPr>
        <w:t xml:space="preserve">by providing free custom mapping software to participants. </w:t>
      </w:r>
      <w:r w:rsidRPr="006A2D79" w:rsidR="005B7087">
        <w:rPr>
          <w:rFonts w:ascii="Calibri" w:hAnsi="Calibri" w:cs="Calibri"/>
        </w:rPr>
        <w:t xml:space="preserve">The SDRP team also provides a webinar at the beginning of the collection period to discuss the purpose of the program, the response procedures, and to answer questions. The SDRP team reaches out to new participants to </w:t>
      </w:r>
      <w:r w:rsidRPr="006A2D79" w:rsidR="00926B10">
        <w:rPr>
          <w:rFonts w:ascii="Calibri" w:hAnsi="Calibri" w:cs="Calibri"/>
        </w:rPr>
        <w:t>help them get started and address any</w:t>
      </w:r>
      <w:r w:rsidRPr="006A2D79" w:rsidR="005B7087">
        <w:rPr>
          <w:rFonts w:ascii="Calibri" w:hAnsi="Calibri" w:cs="Calibri"/>
        </w:rPr>
        <w:t xml:space="preserve"> questions. The SDRP team also sends email reminders followed by phone calls at the end of the submission period to remind participants to respond and help with any issues that the participants may have.</w:t>
      </w:r>
      <w:r w:rsidRPr="006A2D79" w:rsidR="00BF5811">
        <w:rPr>
          <w:rFonts w:ascii="Calibri" w:hAnsi="Calibri" w:cs="Calibri"/>
        </w:rPr>
        <w:t xml:space="preserve"> The SDRP team is available to assist participants with procedural and technical questions. </w:t>
      </w:r>
    </w:p>
    <w:p w:rsidRPr="006A2D79" w:rsidR="000B72BC" w:rsidP="00942196" w:rsidRDefault="000B72BC" w14:paraId="26DEE276" w14:textId="16FCC6FC">
      <w:pPr>
        <w:pStyle w:val="BodyText"/>
        <w:spacing w:before="158" w:line="259" w:lineRule="auto"/>
        <w:rPr>
          <w:rFonts w:ascii="Calibri" w:hAnsi="Calibri" w:cs="Calibri"/>
          <w:b/>
          <w:bCs/>
        </w:rPr>
      </w:pPr>
      <w:r w:rsidRPr="006A2D79">
        <w:rPr>
          <w:rFonts w:ascii="Calibri" w:hAnsi="Calibri" w:cs="Calibri"/>
          <w:b/>
          <w:bCs/>
        </w:rPr>
        <w:t>Practical utility for the collection:</w:t>
      </w:r>
    </w:p>
    <w:p w:rsidRPr="00124446" w:rsidR="00A057FA" w:rsidP="006A2D79" w:rsidRDefault="005521DB" w14:paraId="62202FC9" w14:textId="7C22AE88">
      <w:pPr>
        <w:pStyle w:val="BodyText"/>
        <w:spacing w:before="158" w:line="259" w:lineRule="auto"/>
        <w:rPr>
          <w:rFonts w:ascii="Calibri" w:hAnsi="Calibri" w:cs="Calibri"/>
        </w:rPr>
      </w:pPr>
      <w:r w:rsidRPr="006A2D79">
        <w:rPr>
          <w:rFonts w:ascii="Calibri" w:hAnsi="Calibri" w:cs="Calibri"/>
          <w:bCs/>
        </w:rPr>
        <w:t xml:space="preserve">The school district information obtained through this program will assist in forming the Census Bureau’s estimates of the number of children age five through seventeen, </w:t>
      </w:r>
      <w:r w:rsidR="000B0F29">
        <w:rPr>
          <w:rFonts w:ascii="Calibri" w:hAnsi="Calibri" w:cs="Calibri"/>
          <w:bCs/>
        </w:rPr>
        <w:t>of</w:t>
      </w:r>
      <w:r w:rsidRPr="006A2D79" w:rsidR="000B0F29">
        <w:rPr>
          <w:rFonts w:ascii="Calibri" w:hAnsi="Calibri" w:cs="Calibri"/>
          <w:bCs/>
        </w:rPr>
        <w:t xml:space="preserve"> </w:t>
      </w:r>
      <w:r w:rsidRPr="006A2D79">
        <w:rPr>
          <w:rFonts w:ascii="Calibri" w:hAnsi="Calibri" w:cs="Calibri"/>
          <w:bCs/>
        </w:rPr>
        <w:t xml:space="preserve">families in poverty, for each school district. State officials will provide the Census Bureau with updates and corrections to the Federal School District Local Education Agency identification numbers, school district boundaries, school names, grade ranges, and levels for which each school district is financially responsible. These Census Bureau estimates are the basis of the Title I allocation for each school district. The SDRP is of vital importance for each state’s allocation under Title I of the Elementary and Secondary Education Act as amended by Every Student Succeeds Act of 2015, Public Law </w:t>
      </w:r>
      <w:r w:rsidR="000B0F29">
        <w:rPr>
          <w:rFonts w:ascii="Calibri" w:hAnsi="Calibri" w:cs="Calibri"/>
          <w:bCs/>
        </w:rPr>
        <w:br/>
      </w:r>
      <w:r w:rsidRPr="006A2D79">
        <w:rPr>
          <w:rFonts w:ascii="Calibri" w:hAnsi="Calibri" w:cs="Calibri"/>
          <w:bCs/>
        </w:rPr>
        <w:t xml:space="preserve">114– 95. The U.S. Department of Education uses these estimates to allocate more than $14 billion in Title I </w:t>
      </w:r>
      <w:proofErr w:type="gramStart"/>
      <w:r w:rsidRPr="006A2D79">
        <w:rPr>
          <w:rFonts w:ascii="Calibri" w:hAnsi="Calibri" w:cs="Calibri"/>
          <w:bCs/>
        </w:rPr>
        <w:t>funding</w:t>
      </w:r>
      <w:proofErr w:type="gramEnd"/>
      <w:r w:rsidRPr="006A2D79">
        <w:rPr>
          <w:rFonts w:ascii="Calibri" w:hAnsi="Calibri" w:cs="Calibri"/>
          <w:bCs/>
        </w:rPr>
        <w:t xml:space="preserve"> annually. </w:t>
      </w:r>
    </w:p>
    <w:p w:rsidRPr="00124446" w:rsidR="00B955B7" w:rsidP="001E05D1" w:rsidRDefault="00B955B7" w14:paraId="62202FCA" w14:textId="77777777">
      <w:pPr>
        <w:pStyle w:val="Heading1"/>
        <w:keepNext/>
        <w:keepLines/>
        <w:numPr>
          <w:ilvl w:val="0"/>
          <w:numId w:val="1"/>
        </w:numPr>
        <w:tabs>
          <w:tab w:val="left" w:pos="669"/>
        </w:tabs>
        <w:spacing w:before="183"/>
        <w:ind w:left="403" w:hanging="403"/>
        <w:rPr>
          <w:rFonts w:ascii="Calibri" w:hAnsi="Calibri" w:cs="Calibri"/>
        </w:rPr>
      </w:pPr>
      <w:r w:rsidRPr="00124446">
        <w:rPr>
          <w:rFonts w:ascii="Calibri" w:hAnsi="Calibri" w:cs="Calibri"/>
        </w:rPr>
        <w:lastRenderedPageBreak/>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Pr="00BE4891" w:rsidR="00942196" w:rsidP="00B955B7" w:rsidRDefault="00217F5A" w14:paraId="62202FCD" w14:textId="69F9D4E2">
      <w:pPr>
        <w:pStyle w:val="BodyText"/>
        <w:spacing w:line="259" w:lineRule="auto"/>
        <w:ind w:right="407"/>
        <w:rPr>
          <w:rFonts w:ascii="Calibri" w:hAnsi="Calibri" w:cs="Calibri"/>
          <w:bCs/>
        </w:rPr>
      </w:pPr>
      <w:r w:rsidRPr="006A2D79">
        <w:rPr>
          <w:rFonts w:ascii="Calibri" w:hAnsi="Calibri" w:cs="Calibri"/>
          <w:bCs/>
        </w:rPr>
        <w:t>The SDRP does not conduct a test phase or test sampl</w:t>
      </w:r>
      <w:r w:rsidRPr="006A2D79" w:rsidR="00863BAA">
        <w:rPr>
          <w:rFonts w:ascii="Calibri" w:hAnsi="Calibri" w:cs="Calibri"/>
          <w:bCs/>
        </w:rPr>
        <w:t>ing</w:t>
      </w:r>
      <w:r w:rsidRPr="006A2D79">
        <w:rPr>
          <w:rFonts w:ascii="Calibri" w:hAnsi="Calibri" w:cs="Calibri"/>
          <w:bCs/>
        </w:rPr>
        <w:t>.</w:t>
      </w:r>
    </w:p>
    <w:p w:rsidRPr="00124446" w:rsidR="00B955B7" w:rsidP="00942196" w:rsidRDefault="00B955B7" w14:paraId="62202FCE"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proofErr w:type="gramStart"/>
      <w:r w:rsidRPr="00124446">
        <w:rPr>
          <w:rFonts w:ascii="Calibri" w:hAnsi="Calibri" w:cs="Calibri"/>
        </w:rPr>
        <w:t>actually collect</w:t>
      </w:r>
      <w:proofErr w:type="gramEnd"/>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Pr="006A2D79" w:rsidR="00A057FA" w:rsidP="00A057FA" w:rsidRDefault="007B5831" w14:paraId="62202FD0" w14:textId="598E92D0">
      <w:pPr>
        <w:spacing w:before="161"/>
        <w:ind w:left="400" w:right="362"/>
        <w:rPr>
          <w:rFonts w:ascii="Calibri" w:hAnsi="Calibri" w:cs="Calibri"/>
          <w:bCs/>
          <w:sz w:val="24"/>
        </w:rPr>
      </w:pPr>
      <w:r w:rsidRPr="006A2D79">
        <w:rPr>
          <w:rFonts w:ascii="Calibri" w:hAnsi="Calibri" w:cs="Calibri"/>
          <w:bCs/>
          <w:sz w:val="24"/>
        </w:rPr>
        <w:t xml:space="preserve">The </w:t>
      </w:r>
      <w:r w:rsidRPr="006A2D79" w:rsidR="0008445C">
        <w:rPr>
          <w:rFonts w:ascii="Calibri" w:hAnsi="Calibri" w:cs="Calibri"/>
          <w:bCs/>
          <w:sz w:val="24"/>
        </w:rPr>
        <w:t xml:space="preserve">SDRP Collection is performed by the </w:t>
      </w:r>
      <w:r w:rsidRPr="006A2D79">
        <w:rPr>
          <w:rFonts w:ascii="Calibri" w:hAnsi="Calibri" w:cs="Calibri"/>
          <w:bCs/>
          <w:sz w:val="24"/>
        </w:rPr>
        <w:t xml:space="preserve">Spatial Data Collection and Products Branch, </w:t>
      </w:r>
      <w:r w:rsidRPr="006A2D79" w:rsidR="0008445C">
        <w:rPr>
          <w:rFonts w:ascii="Calibri" w:hAnsi="Calibri" w:cs="Calibri"/>
          <w:bCs/>
          <w:sz w:val="24"/>
        </w:rPr>
        <w:t>Geography Division at the Census Bureau.</w:t>
      </w:r>
    </w:p>
    <w:p w:rsidRPr="006A2D79" w:rsidR="007B5831" w:rsidP="00A057FA" w:rsidRDefault="007B5831" w14:paraId="2CF3CD28" w14:textId="7D31AD1F">
      <w:pPr>
        <w:spacing w:before="161"/>
        <w:ind w:left="400" w:right="362"/>
        <w:rPr>
          <w:rFonts w:ascii="Calibri" w:hAnsi="Calibri" w:cs="Calibri"/>
          <w:bCs/>
          <w:sz w:val="24"/>
        </w:rPr>
      </w:pPr>
      <w:r w:rsidRPr="006A2D79">
        <w:rPr>
          <w:rFonts w:ascii="Calibri" w:hAnsi="Calibri" w:cs="Calibri"/>
          <w:bCs/>
          <w:sz w:val="24"/>
        </w:rPr>
        <w:t>Project Lead: Lauren Kirsch 301-763-1083</w:t>
      </w:r>
    </w:p>
    <w:p w:rsidRPr="006A2D79" w:rsidR="007B5831" w:rsidP="00A057FA" w:rsidRDefault="007B5831" w14:paraId="75CB6F2D" w14:textId="1AC9B7F5">
      <w:pPr>
        <w:spacing w:before="161"/>
        <w:ind w:left="400" w:right="362"/>
        <w:rPr>
          <w:rFonts w:ascii="Calibri" w:hAnsi="Calibri" w:cs="Calibri"/>
          <w:bCs/>
          <w:sz w:val="24"/>
        </w:rPr>
      </w:pPr>
      <w:r w:rsidRPr="006A2D79">
        <w:rPr>
          <w:rFonts w:ascii="Calibri" w:hAnsi="Calibri" w:cs="Calibri"/>
          <w:bCs/>
          <w:sz w:val="24"/>
        </w:rPr>
        <w:t>Branch Chief: Ryan Short 301-763-9047</w:t>
      </w:r>
    </w:p>
    <w:p w:rsidRPr="00942196" w:rsidR="00A057FA" w:rsidP="00942196" w:rsidRDefault="00A057FA" w14:paraId="62202FD1" w14:textId="77777777">
      <w:pPr>
        <w:pStyle w:val="BodyText"/>
        <w:spacing w:before="160" w:line="259" w:lineRule="auto"/>
        <w:rPr>
          <w:rFonts w:ascii="Calibri" w:hAnsi="Calibri" w:cs="Calibri"/>
          <w:color w:val="0070C0"/>
        </w:rPr>
      </w:pPr>
    </w:p>
    <w:p w:rsidR="00677C42" w:rsidRDefault="00677C42" w14:paraId="62202FD2" w14:textId="77777777"/>
    <w:sectPr w:rsidR="00677C42" w:rsidSect="00942196">
      <w:footerReference w:type="default" r:id="rId10"/>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02FD5" w14:textId="77777777" w:rsidR="00BC1E42" w:rsidRDefault="00BC1E42" w:rsidP="00BC1E42">
      <w:r>
        <w:separator/>
      </w:r>
    </w:p>
  </w:endnote>
  <w:endnote w:type="continuationSeparator" w:id="0">
    <w:p w14:paraId="62202FD6" w14:textId="77777777" w:rsidR="00BC1E42" w:rsidRDefault="00BC1E42"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67147"/>
      <w:docPartObj>
        <w:docPartGallery w:val="Page Numbers (Bottom of Page)"/>
        <w:docPartUnique/>
      </w:docPartObj>
    </w:sdtPr>
    <w:sdtEndPr>
      <w:rPr>
        <w:noProof/>
      </w:rPr>
    </w:sdtEndPr>
    <w:sdtContent>
      <w:p w14:paraId="62202FD7" w14:textId="77777777" w:rsidR="00B90413" w:rsidRDefault="00B90413">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62202FD8" w14:textId="77777777"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02FD3" w14:textId="77777777" w:rsidR="00BC1E42" w:rsidRDefault="00BC1E42" w:rsidP="00BC1E42">
      <w:r>
        <w:separator/>
      </w:r>
    </w:p>
  </w:footnote>
  <w:footnote w:type="continuationSeparator" w:id="0">
    <w:p w14:paraId="62202FD4" w14:textId="77777777" w:rsidR="00BC1E42" w:rsidRDefault="00BC1E42"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9A702EDC"/>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26B69378">
      <w:numFmt w:val="bullet"/>
      <w:lvlText w:val=""/>
      <w:lvlJc w:val="left"/>
      <w:pPr>
        <w:ind w:left="1120" w:hanging="360"/>
      </w:pPr>
      <w:rPr>
        <w:rFonts w:ascii="Symbol" w:eastAsia="Symbol" w:hAnsi="Symbol" w:cs="Symbol" w:hint="default"/>
        <w:color w:val="auto"/>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7C3679F8"/>
    <w:multiLevelType w:val="hybridMultilevel"/>
    <w:tmpl w:val="D0DADE5C"/>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31C826F4">
      <w:start w:val="1"/>
      <w:numFmt w:val="bullet"/>
      <w:lvlText w:val=""/>
      <w:lvlJc w:val="left"/>
      <w:pPr>
        <w:ind w:left="1120" w:hanging="360"/>
      </w:pPr>
      <w:rPr>
        <w:rFonts w:ascii="Symbol" w:hAnsi="Symbol" w:hint="default"/>
        <w:color w:val="auto"/>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14C08"/>
    <w:rsid w:val="0008445C"/>
    <w:rsid w:val="000B0F29"/>
    <w:rsid w:val="000B2AA7"/>
    <w:rsid w:val="000B72BC"/>
    <w:rsid w:val="000D74B0"/>
    <w:rsid w:val="000F4800"/>
    <w:rsid w:val="00130530"/>
    <w:rsid w:val="00140DC9"/>
    <w:rsid w:val="001E05D1"/>
    <w:rsid w:val="00217F5A"/>
    <w:rsid w:val="00297BE1"/>
    <w:rsid w:val="002A1F7F"/>
    <w:rsid w:val="003021D4"/>
    <w:rsid w:val="00442F57"/>
    <w:rsid w:val="00480760"/>
    <w:rsid w:val="005367D0"/>
    <w:rsid w:val="005521DB"/>
    <w:rsid w:val="005630CA"/>
    <w:rsid w:val="005B7087"/>
    <w:rsid w:val="00615B02"/>
    <w:rsid w:val="00677C42"/>
    <w:rsid w:val="006A2D79"/>
    <w:rsid w:val="00782C25"/>
    <w:rsid w:val="007B36BA"/>
    <w:rsid w:val="007B5831"/>
    <w:rsid w:val="007C0C1F"/>
    <w:rsid w:val="00817865"/>
    <w:rsid w:val="00837B80"/>
    <w:rsid w:val="00863BAA"/>
    <w:rsid w:val="00926B10"/>
    <w:rsid w:val="00942196"/>
    <w:rsid w:val="00A057FA"/>
    <w:rsid w:val="00A41E88"/>
    <w:rsid w:val="00A63C05"/>
    <w:rsid w:val="00B83748"/>
    <w:rsid w:val="00B90413"/>
    <w:rsid w:val="00B955B7"/>
    <w:rsid w:val="00BA6680"/>
    <w:rsid w:val="00BC1E42"/>
    <w:rsid w:val="00BE4891"/>
    <w:rsid w:val="00BF5811"/>
    <w:rsid w:val="00C30CC9"/>
    <w:rsid w:val="00CC0B6F"/>
    <w:rsid w:val="00E023A4"/>
    <w:rsid w:val="00E1274B"/>
    <w:rsid w:val="00E15D84"/>
    <w:rsid w:val="00F077C2"/>
    <w:rsid w:val="00F9681D"/>
    <w:rsid w:val="00FB4785"/>
    <w:rsid w:val="09C61C2B"/>
    <w:rsid w:val="4CE87F78"/>
    <w:rsid w:val="54FC5B51"/>
    <w:rsid w:val="69A24E2E"/>
    <w:rsid w:val="73484137"/>
    <w:rsid w:val="78EB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2FAC"/>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paragraph" w:styleId="BalloonText">
    <w:name w:val="Balloon Text"/>
    <w:basedOn w:val="Normal"/>
    <w:link w:val="BalloonTextChar"/>
    <w:uiPriority w:val="99"/>
    <w:semiHidden/>
    <w:unhideWhenUsed/>
    <w:rsid w:val="00C30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CC9"/>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C30CC9"/>
    <w:rPr>
      <w:sz w:val="16"/>
      <w:szCs w:val="16"/>
    </w:rPr>
  </w:style>
  <w:style w:type="paragraph" w:styleId="CommentText">
    <w:name w:val="annotation text"/>
    <w:basedOn w:val="Normal"/>
    <w:link w:val="CommentTextChar"/>
    <w:uiPriority w:val="99"/>
    <w:semiHidden/>
    <w:unhideWhenUsed/>
    <w:rsid w:val="00C30CC9"/>
    <w:rPr>
      <w:sz w:val="20"/>
      <w:szCs w:val="20"/>
    </w:rPr>
  </w:style>
  <w:style w:type="character" w:customStyle="1" w:styleId="CommentTextChar">
    <w:name w:val="Comment Text Char"/>
    <w:basedOn w:val="DefaultParagraphFont"/>
    <w:link w:val="CommentText"/>
    <w:uiPriority w:val="99"/>
    <w:semiHidden/>
    <w:rsid w:val="00C30CC9"/>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30CC9"/>
    <w:rPr>
      <w:b/>
      <w:bCs/>
    </w:rPr>
  </w:style>
  <w:style w:type="character" w:customStyle="1" w:styleId="CommentSubjectChar">
    <w:name w:val="Comment Subject Char"/>
    <w:basedOn w:val="CommentTextChar"/>
    <w:link w:val="CommentSubject"/>
    <w:uiPriority w:val="99"/>
    <w:semiHidden/>
    <w:rsid w:val="00C30CC9"/>
    <w:rPr>
      <w:rFonts w:ascii="Arial" w:eastAsia="Arial" w:hAnsi="Arial" w:cs="Arial"/>
      <w:b/>
      <w:bCs/>
      <w:sz w:val="20"/>
      <w:szCs w:val="20"/>
      <w:lang w:bidi="en-US"/>
    </w:rPr>
  </w:style>
  <w:style w:type="table" w:styleId="TableGrid">
    <w:name w:val="Table Grid"/>
    <w:basedOn w:val="TableNormal"/>
    <w:uiPriority w:val="39"/>
    <w:rsid w:val="000D7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0B6F"/>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CDDA4-CCA0-40D1-B2E1-DDEC4E6A9DD1}">
  <ds:schemaRefs>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9437ff5d-21c2-4339-9ac8-4f223b4986b5"/>
    <ds:schemaRef ds:uri="http://schemas.microsoft.com/office/2006/metadata/properties"/>
    <ds:schemaRef ds:uri="http://schemas.microsoft.com/office/infopath/2007/PartnerControls"/>
    <ds:schemaRef ds:uri="57de7b47-ddfe-4e7d-a3c4-a6c84a8b0cc4"/>
    <ds:schemaRef ds:uri="http://purl.org/dc/elements/1.1/"/>
  </ds:schemaRefs>
</ds:datastoreItem>
</file>

<file path=customXml/itemProps2.xml><?xml version="1.0" encoding="utf-8"?>
<ds:datastoreItem xmlns:ds="http://schemas.openxmlformats.org/officeDocument/2006/customXml" ds:itemID="{D9FA4383-AA55-47FF-A2DE-E8BE658C7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34F47-D210-4CE6-8647-7CCFC79DF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4925</Characters>
  <Application>Microsoft Office Word</Application>
  <DocSecurity>0</DocSecurity>
  <Lines>41</Lines>
  <Paragraphs>11</Paragraphs>
  <ScaleCrop>false</ScaleCrop>
  <Company>Bureau of the Census</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Beth Clarke Tyszka (CENSUS/DCMD FED)</cp:lastModifiedBy>
  <cp:revision>2</cp:revision>
  <dcterms:created xsi:type="dcterms:W3CDTF">2021-08-26T17:58:00Z</dcterms:created>
  <dcterms:modified xsi:type="dcterms:W3CDTF">2021-08-26T17:58:00Z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0f9dc2cf-e084-4674-a63a-221aa2265ef3</vt:lpwstr>
  </property>
</Properties>
</file>