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103C" w14:paraId="0000000E" w14:textId="777777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SUPPORTING STATEMENT </w:t>
      </w:r>
    </w:p>
    <w:p w:rsidR="0024103C" w14:paraId="0000000F" w14:textId="777777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U.S.  Department of Commerce</w:t>
      </w:r>
    </w:p>
    <w:p w:rsidR="0024103C" w14:paraId="00000010" w14:textId="777777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National Oceanic &amp; Atmospheric Administration</w:t>
      </w:r>
    </w:p>
    <w:p w:rsidR="0024103C" w14:paraId="00000011" w14:textId="53E5277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sdt>
        <w:sdtPr>
          <w:tag w:val="goog_rdk_0"/>
          <w:id w:val="-469672437"/>
          <w:richText/>
        </w:sdtPr>
        <w:sdtContent/>
      </w:sdt>
      <w:r w:rsidR="0072021C">
        <w:rPr>
          <w:rFonts w:ascii="Times New Roman" w:eastAsia="Times New Roman" w:hAnsi="Times New Roman" w:cs="Times New Roman"/>
          <w:b/>
          <w:color w:val="000000"/>
          <w:sz w:val="24"/>
          <w:szCs w:val="24"/>
        </w:rPr>
        <w:t>Economic Surveys of the Commercial and Charter Harvesting Sectors of Federally Managed Fisheries</w:t>
      </w:r>
    </w:p>
    <w:p w:rsidR="0024103C" w14:paraId="00000012" w14:textId="777777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OMB Control No. 0648-NEW</w:t>
      </w:r>
    </w:p>
    <w:p w:rsidR="0024103C" w14:paraId="00000013" w14:textId="7777777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34618" w:rsidRPr="00734618" w:rsidP="00734618" w14:paraId="1E9244F0" w14:textId="579E426F">
      <w:pPr>
        <w:pBdr>
          <w:top w:val="nil"/>
          <w:left w:val="nil"/>
          <w:bottom w:val="nil"/>
          <w:right w:val="nil"/>
          <w:between w:val="nil"/>
        </w:pBdr>
        <w:spacing w:after="0" w:line="240" w:lineRule="auto"/>
        <w:rPr>
          <w:rFonts w:ascii="Times New Roman" w:eastAsia="Times New Roman" w:hAnsi="Times New Roman" w:cs="Times New Roman"/>
          <w:b/>
          <w:sz w:val="24"/>
          <w:szCs w:val="24"/>
        </w:rPr>
      </w:pPr>
    </w:p>
    <w:p w:rsidR="0024103C" w14:paraId="00000016"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rsidR="0024103C" w14:paraId="00000017"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18" w14:textId="7F98165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request is for a </w:t>
      </w:r>
      <w:r>
        <w:rPr>
          <w:rFonts w:ascii="Times New Roman" w:eastAsia="Times New Roman" w:hAnsi="Times New Roman" w:cs="Times New Roman"/>
          <w:color w:val="000000"/>
          <w:sz w:val="24"/>
          <w:szCs w:val="24"/>
        </w:rPr>
        <w:t>new hybrid-generic clearance for economic information collections (i.e., surveys) for the commercial and charter harvesting sectors of federally managed fisheries.  Once approved, this clearance will allow the National Oceanic &amp; Atmospheric Administration’</w:t>
      </w:r>
      <w:r>
        <w:rPr>
          <w:rFonts w:ascii="Times New Roman" w:eastAsia="Times New Roman" w:hAnsi="Times New Roman" w:cs="Times New Roman"/>
          <w:color w:val="000000"/>
          <w:sz w:val="24"/>
          <w:szCs w:val="24"/>
        </w:rPr>
        <w:t>s National Marine Fisheries Service (NMFS</w:t>
      </w:r>
      <w:r w:rsidR="00185393">
        <w:rPr>
          <w:rFonts w:ascii="Times New Roman" w:eastAsia="Times New Roman" w:hAnsi="Times New Roman" w:cs="Times New Roman"/>
          <w:color w:val="000000"/>
          <w:sz w:val="24"/>
          <w:szCs w:val="24"/>
        </w:rPr>
        <w:t xml:space="preserve"> or NOAA Fisheries</w:t>
      </w:r>
      <w:r>
        <w:rPr>
          <w:rFonts w:ascii="Times New Roman" w:eastAsia="Times New Roman" w:hAnsi="Times New Roman" w:cs="Times New Roman"/>
          <w:color w:val="000000"/>
          <w:sz w:val="24"/>
          <w:szCs w:val="24"/>
        </w:rPr>
        <w:t xml:space="preserve">) to: </w:t>
      </w:r>
    </w:p>
    <w:p w:rsidR="0024103C" w14:paraId="00000019"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1A" w14:textId="1BFC660E">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Conduct charter </w:t>
      </w:r>
      <w:r w:rsidR="005A5653">
        <w:rPr>
          <w:rFonts w:ascii="Times New Roman" w:eastAsia="Times New Roman" w:hAnsi="Times New Roman" w:cs="Times New Roman"/>
          <w:color w:val="000000"/>
          <w:sz w:val="24"/>
          <w:szCs w:val="24"/>
        </w:rPr>
        <w:t xml:space="preserve">harvesting </w:t>
      </w:r>
      <w:r>
        <w:rPr>
          <w:rFonts w:ascii="Times New Roman" w:eastAsia="Times New Roman" w:hAnsi="Times New Roman" w:cs="Times New Roman"/>
          <w:color w:val="000000"/>
          <w:sz w:val="24"/>
          <w:szCs w:val="24"/>
        </w:rPr>
        <w:t>sector surveys similar to those it had conducted under previously approved but now discontinued collections;</w:t>
      </w:r>
    </w:p>
    <w:p w:rsidR="0024103C" w14:paraId="0000001B"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1C" w14:textId="77777777">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needed, conduct under the hybrid-generic </w:t>
      </w:r>
      <w:r>
        <w:rPr>
          <w:rFonts w:ascii="Times New Roman" w:eastAsia="Times New Roman" w:hAnsi="Times New Roman" w:cs="Times New Roman"/>
          <w:color w:val="000000"/>
          <w:sz w:val="24"/>
          <w:szCs w:val="24"/>
        </w:rPr>
        <w:t>clearance, commercial sector surveys currently approved under OMB Control Number 0648-0773; and</w:t>
      </w:r>
    </w:p>
    <w:p w:rsidR="0024103C" w14:paraId="0000001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1E" w14:textId="1DFA0BEC">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Conduct additional commercial and/or charter </w:t>
      </w:r>
      <w:r w:rsidR="005A5653">
        <w:rPr>
          <w:rFonts w:ascii="Times New Roman" w:eastAsia="Times New Roman" w:hAnsi="Times New Roman" w:cs="Times New Roman"/>
          <w:color w:val="000000"/>
          <w:sz w:val="24"/>
          <w:szCs w:val="24"/>
        </w:rPr>
        <w:t xml:space="preserve">harvesting </w:t>
      </w:r>
      <w:r>
        <w:rPr>
          <w:rFonts w:ascii="Times New Roman" w:eastAsia="Times New Roman" w:hAnsi="Times New Roman" w:cs="Times New Roman"/>
          <w:color w:val="000000"/>
          <w:sz w:val="24"/>
          <w:szCs w:val="24"/>
        </w:rPr>
        <w:t>sector surveys.</w:t>
      </w:r>
    </w:p>
    <w:p w:rsidR="0024103C" w14:paraId="0000001F"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2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the requested clearance, the Office of Management and Budget (OMB) could approve</w:t>
      </w:r>
      <w:r>
        <w:rPr>
          <w:rFonts w:ascii="Times New Roman" w:eastAsia="Times New Roman" w:hAnsi="Times New Roman" w:cs="Times New Roman"/>
          <w:color w:val="000000"/>
          <w:sz w:val="24"/>
          <w:szCs w:val="24"/>
        </w:rPr>
        <w:t xml:space="preserve"> an individual survey at the end of a 45-day review process, which includes a 30-day Federal Register Notice public comment period and an OMB review of an abbreviated information collection request (i.e., a mini-ICR) for that survey.  Parts A and B of the </w:t>
      </w:r>
      <w:r>
        <w:rPr>
          <w:rFonts w:ascii="Times New Roman" w:eastAsia="Times New Roman" w:hAnsi="Times New Roman" w:cs="Times New Roman"/>
          <w:color w:val="000000"/>
          <w:sz w:val="24"/>
          <w:szCs w:val="24"/>
        </w:rPr>
        <w:t>supporting statement and the template for the mini-ICRs describe the information NMFS would provide in the mini-ICRs.</w:t>
      </w:r>
    </w:p>
    <w:p w:rsidR="0024103C" w14:paraId="00000021"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22" w14:textId="3F0FBCA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requested hybrid-generic clearance is for information from the commercial and charter harvesting sectors.  That information includes </w:t>
      </w:r>
      <w:r>
        <w:rPr>
          <w:rFonts w:ascii="Times New Roman" w:eastAsia="Times New Roman" w:hAnsi="Times New Roman" w:cs="Times New Roman"/>
          <w:color w:val="000000"/>
          <w:sz w:val="24"/>
          <w:szCs w:val="24"/>
        </w:rPr>
        <w:t>different components of operating costs/expenditures, earnings, employment, ownership, vessel characteristics, effort/gear descriptors, and demographic information.  NMFS or its contractors would collect that information principally from the owners and ope</w:t>
      </w:r>
      <w:r>
        <w:rPr>
          <w:rFonts w:ascii="Times New Roman" w:eastAsia="Times New Roman" w:hAnsi="Times New Roman" w:cs="Times New Roman"/>
          <w:color w:val="000000"/>
          <w:sz w:val="24"/>
          <w:szCs w:val="24"/>
        </w:rPr>
        <w:t xml:space="preserve">rators of fishing </w:t>
      </w:r>
      <w:r>
        <w:rPr>
          <w:rFonts w:ascii="Times New Roman" w:eastAsia="Times New Roman" w:hAnsi="Times New Roman" w:cs="Times New Roman"/>
          <w:sz w:val="24"/>
          <w:szCs w:val="24"/>
        </w:rPr>
        <w:t>vessels</w:t>
      </w:r>
      <w:r>
        <w:rPr>
          <w:rFonts w:ascii="Times New Roman" w:eastAsia="Times New Roman" w:hAnsi="Times New Roman" w:cs="Times New Roman"/>
          <w:color w:val="000000"/>
          <w:sz w:val="24"/>
          <w:szCs w:val="24"/>
        </w:rPr>
        <w:t xml:space="preserve"> that participated in the commercial and/or charter harvesting sectors, where the vessels that participated in the charter </w:t>
      </w:r>
      <w:r w:rsidR="005A5653">
        <w:rPr>
          <w:rFonts w:ascii="Times New Roman" w:eastAsia="Times New Roman" w:hAnsi="Times New Roman" w:cs="Times New Roman"/>
          <w:color w:val="000000"/>
          <w:sz w:val="24"/>
          <w:szCs w:val="24"/>
        </w:rPr>
        <w:t xml:space="preserve">harvesting </w:t>
      </w:r>
      <w:r>
        <w:rPr>
          <w:rFonts w:ascii="Times New Roman" w:eastAsia="Times New Roman" w:hAnsi="Times New Roman" w:cs="Times New Roman"/>
          <w:color w:val="000000"/>
          <w:sz w:val="24"/>
          <w:szCs w:val="24"/>
        </w:rPr>
        <w:t xml:space="preserve">sector include guide boats, 6-pack boats, charter boats, commercial passenger fishing vessels, </w:t>
      </w:r>
      <w:r>
        <w:rPr>
          <w:rFonts w:ascii="Times New Roman" w:eastAsia="Times New Roman" w:hAnsi="Times New Roman" w:cs="Times New Roman"/>
          <w:color w:val="000000"/>
          <w:sz w:val="24"/>
          <w:szCs w:val="24"/>
        </w:rPr>
        <w:t>and party/head boats.</w:t>
      </w:r>
    </w:p>
    <w:p w:rsidR="0024103C" w14:paraId="00000023"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24" w14:textId="5141F4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NMFS and Regional Fishery Management Council </w:t>
      </w:r>
      <w:r>
        <w:rPr>
          <w:rFonts w:ascii="Times New Roman" w:eastAsia="Times New Roman" w:hAnsi="Times New Roman" w:cs="Times New Roman"/>
          <w:sz w:val="24"/>
          <w:szCs w:val="24"/>
        </w:rPr>
        <w:t>economists</w:t>
      </w:r>
      <w:r>
        <w:rPr>
          <w:rFonts w:ascii="Times New Roman" w:eastAsia="Times New Roman" w:hAnsi="Times New Roman" w:cs="Times New Roman"/>
          <w:color w:val="000000"/>
          <w:sz w:val="24"/>
          <w:szCs w:val="24"/>
        </w:rPr>
        <w:t xml:space="preserve"> would use these data to monitor, explain and predict changes in the economic performance and impacts of federally managed fisheries.  Those uses of the data would allow more tha</w:t>
      </w:r>
      <w:r>
        <w:rPr>
          <w:rFonts w:ascii="Times New Roman" w:eastAsia="Times New Roman" w:hAnsi="Times New Roman" w:cs="Times New Roman"/>
          <w:color w:val="000000"/>
          <w:sz w:val="24"/>
          <w:szCs w:val="24"/>
        </w:rPr>
        <w:t>n cursory efforts to comply with or support a variety of laws (e.g.</w:t>
      </w:r>
      <w:r w:rsidR="00314FF8">
        <w:rPr>
          <w:rFonts w:ascii="Times New Roman" w:eastAsia="Times New Roman" w:hAnsi="Times New Roman" w:cs="Times New Roman"/>
          <w:color w:val="000000"/>
          <w:sz w:val="24"/>
          <w:szCs w:val="24"/>
        </w:rPr>
        <w:t>, t</w:t>
      </w:r>
      <w:r>
        <w:rPr>
          <w:rFonts w:ascii="Times New Roman" w:eastAsia="Times New Roman" w:hAnsi="Times New Roman" w:cs="Times New Roman"/>
          <w:color w:val="000000"/>
          <w:sz w:val="24"/>
          <w:szCs w:val="24"/>
        </w:rPr>
        <w:t xml:space="preserve">he Magnuson-Stevens Fishery Conservation and Management Act), Executive Orders (EOs), and NOAA </w:t>
      </w:r>
      <w:r w:rsidR="00185393">
        <w:rPr>
          <w:rFonts w:ascii="Times New Roman" w:eastAsia="Times New Roman" w:hAnsi="Times New Roman" w:cs="Times New Roman"/>
          <w:color w:val="000000"/>
          <w:sz w:val="24"/>
          <w:szCs w:val="24"/>
        </w:rPr>
        <w:t>policies and strategies</w:t>
      </w:r>
      <w:r>
        <w:rPr>
          <w:rFonts w:ascii="Times New Roman" w:eastAsia="Times New Roman" w:hAnsi="Times New Roman" w:cs="Times New Roman"/>
          <w:color w:val="000000"/>
          <w:sz w:val="24"/>
          <w:szCs w:val="24"/>
        </w:rPr>
        <w:t>.  In addition, those uses of the data would contribute to a well-in</w:t>
      </w:r>
      <w:r>
        <w:rPr>
          <w:rFonts w:ascii="Times New Roman" w:eastAsia="Times New Roman" w:hAnsi="Times New Roman" w:cs="Times New Roman"/>
          <w:color w:val="000000"/>
          <w:sz w:val="24"/>
          <w:szCs w:val="24"/>
        </w:rPr>
        <w:t>formed, science-based fisheries conservation and management decisions making process, which should increase the net benefits to the Nation.</w:t>
      </w:r>
    </w:p>
    <w:p w:rsidR="0024103C" w14:paraId="00000027" w14:textId="460E7B2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734618" w14:paraId="3496A9BC" w14:textId="247C95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34618">
        <w:rPr>
          <w:rFonts w:ascii="Times New Roman" w:eastAsia="Times New Roman" w:hAnsi="Times New Roman" w:cs="Times New Roman"/>
          <w:b/>
          <w:color w:val="000000"/>
          <w:sz w:val="24"/>
          <w:szCs w:val="24"/>
        </w:rPr>
        <w:t>Justification</w:t>
      </w:r>
    </w:p>
    <w:p w:rsidR="00734618" w14:paraId="52330BC2"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28" w14:textId="77777777">
      <w:pPr>
        <w:numPr>
          <w:ilvl w:val="0"/>
          <w:numId w:val="1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Explain the circumstances that make the collection of information necessary.  Identify any legal or </w:t>
      </w:r>
      <w:r>
        <w:rPr>
          <w:rFonts w:ascii="Times New Roman" w:eastAsia="Times New Roman" w:hAnsi="Times New Roman" w:cs="Times New Roman"/>
          <w:b/>
          <w:color w:val="000000"/>
          <w:sz w:val="24"/>
          <w:szCs w:val="24"/>
        </w:rPr>
        <w:t>administrative requirements that necessitate the collection.  Attach a copy of the appropriate section of each statute and regulation mandating or authorizing the collection of information.</w:t>
      </w:r>
    </w:p>
    <w:p w:rsidR="0024103C" w14:paraId="00000029" w14:textId="7777777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24103C" w14:paraId="0000002A" w14:textId="62BF396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National Oceanic &amp; Atmospheric Administration’s National Mari</w:t>
      </w:r>
      <w:r>
        <w:rPr>
          <w:rFonts w:ascii="Times New Roman" w:eastAsia="Times New Roman" w:hAnsi="Times New Roman" w:cs="Times New Roman"/>
          <w:color w:val="000000"/>
          <w:sz w:val="24"/>
          <w:szCs w:val="24"/>
        </w:rPr>
        <w:t>ne Fisheries Service (NMFS or NOAA Fisheries) has conservation and management responsibilities for many living marine resources and their habitat.  NMFS and Regional Fishery Management Council economist would use the data provided by the proposed informati</w:t>
      </w:r>
      <w:r>
        <w:rPr>
          <w:rFonts w:ascii="Times New Roman" w:eastAsia="Times New Roman" w:hAnsi="Times New Roman" w:cs="Times New Roman"/>
          <w:color w:val="000000"/>
          <w:sz w:val="24"/>
          <w:szCs w:val="24"/>
        </w:rPr>
        <w:t>on collections (i.e.</w:t>
      </w:r>
      <w:r w:rsidR="002F6A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2F6A9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urveys) to monitor, explain and predict changes in the economic performance and impacts of federally managed fisheries.  Those uses of the data would allow more than cursory efforts to comply with or support the 14 laws, Executive Orders (EOs), and NOAA </w:t>
      </w:r>
      <w:r w:rsidR="00185393">
        <w:rPr>
          <w:rFonts w:ascii="Times New Roman" w:eastAsia="Times New Roman" w:hAnsi="Times New Roman" w:cs="Times New Roman"/>
          <w:color w:val="000000"/>
          <w:sz w:val="24"/>
          <w:szCs w:val="24"/>
        </w:rPr>
        <w:t>policies and strategies</w:t>
      </w:r>
      <w:r>
        <w:rPr>
          <w:rFonts w:ascii="Times New Roman" w:eastAsia="Times New Roman" w:hAnsi="Times New Roman" w:cs="Times New Roman"/>
          <w:color w:val="000000"/>
          <w:sz w:val="24"/>
          <w:szCs w:val="24"/>
        </w:rPr>
        <w:t xml:space="preserve"> listed below.  In addition, those uses of the data would contribute to a well-informed, science-based fisheries conservation and management decisions making process, which should increase the net benefits to the Nation.</w:t>
      </w:r>
    </w:p>
    <w:p w:rsidR="0024103C" w14:paraId="0000002B" w14:textId="77777777">
      <w:pPr>
        <w:widowControl w:val="0"/>
        <w:spacing w:after="0" w:line="240" w:lineRule="auto"/>
        <w:rPr>
          <w:rFonts w:ascii="Times New Roman" w:eastAsia="Times New Roman" w:hAnsi="Times New Roman" w:cs="Times New Roman"/>
          <w:sz w:val="24"/>
          <w:szCs w:val="24"/>
        </w:rPr>
      </w:pPr>
    </w:p>
    <w:p w:rsidR="00BE6DE8" w:rsidRPr="00BE6DE8" w:rsidP="00BE6DE8" w14:paraId="1406E78F"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6" w:history="1">
        <w:r w:rsidRPr="00BE6DE8">
          <w:rPr>
            <w:rFonts w:ascii="Times New Roman" w:eastAsia="Times New Roman" w:hAnsi="Times New Roman" w:cs="Times New Roman"/>
            <w:color w:val="0563C1" w:themeColor="hyperlink"/>
            <w:sz w:val="24"/>
            <w:szCs w:val="24"/>
            <w:u w:val="single"/>
          </w:rPr>
          <w:t>Magnuson-Stevens Fishery Conservation and Management Act (MSA)</w:t>
        </w:r>
      </w:hyperlink>
    </w:p>
    <w:p w:rsidR="00BE6DE8" w:rsidRPr="00BE6DE8" w:rsidP="00BE6DE8" w14:paraId="67EE1B8F"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E6DE8">
        <w:rPr>
          <w:rFonts w:ascii="Times New Roman" w:eastAsia="Times New Roman" w:hAnsi="Times New Roman" w:cs="Times New Roman"/>
          <w:color w:val="000000"/>
          <w:sz w:val="24"/>
          <w:szCs w:val="24"/>
        </w:rPr>
        <w:fldChar w:fldCharType="begin"/>
      </w:r>
      <w:r w:rsidRPr="00BE6DE8">
        <w:rPr>
          <w:rFonts w:ascii="Times New Roman" w:eastAsia="Times New Roman" w:hAnsi="Times New Roman" w:cs="Times New Roman"/>
          <w:color w:val="000000"/>
          <w:sz w:val="24"/>
          <w:szCs w:val="24"/>
        </w:rPr>
        <w:instrText xml:space="preserve"> HYPERLINK "https://www.fisheries.noaa.gov/national/marine-mammal-protection/marine-mammal-protection-act" </w:instrText>
      </w:r>
      <w:r w:rsidRPr="00BE6DE8">
        <w:rPr>
          <w:rFonts w:ascii="Times New Roman" w:eastAsia="Times New Roman" w:hAnsi="Times New Roman" w:cs="Times New Roman"/>
          <w:color w:val="000000"/>
          <w:sz w:val="24"/>
          <w:szCs w:val="24"/>
        </w:rPr>
        <w:fldChar w:fldCharType="separate"/>
      </w:r>
      <w:r w:rsidRPr="00BE6DE8">
        <w:rPr>
          <w:rFonts w:ascii="Times New Roman" w:eastAsia="Times New Roman" w:hAnsi="Times New Roman" w:cs="Times New Roman"/>
          <w:color w:val="0563C1" w:themeColor="hyperlink"/>
          <w:sz w:val="24"/>
          <w:szCs w:val="24"/>
          <w:u w:val="single"/>
        </w:rPr>
        <w:t>Marine Mammal P</w:t>
      </w:r>
      <w:r w:rsidRPr="00BE6DE8">
        <w:rPr>
          <w:rFonts w:ascii="Times New Roman" w:eastAsia="Times New Roman" w:hAnsi="Times New Roman" w:cs="Times New Roman"/>
          <w:color w:val="0563C1" w:themeColor="hyperlink"/>
          <w:sz w:val="24"/>
          <w:szCs w:val="24"/>
          <w:u w:val="single"/>
        </w:rPr>
        <w:t>rotection Act (MMPA)</w:t>
      </w:r>
    </w:p>
    <w:p w:rsidR="00BE6DE8" w:rsidRPr="00BE6DE8" w:rsidP="00BE6DE8" w14:paraId="34A42926"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E6DE8">
        <w:rPr>
          <w:rFonts w:ascii="Times New Roman" w:eastAsia="Times New Roman" w:hAnsi="Times New Roman" w:cs="Times New Roman"/>
          <w:color w:val="000000"/>
          <w:sz w:val="24"/>
          <w:szCs w:val="24"/>
        </w:rPr>
        <w:fldChar w:fldCharType="end"/>
      </w:r>
      <w:hyperlink r:id="rId7" w:history="1">
        <w:r w:rsidRPr="00BE6DE8">
          <w:rPr>
            <w:rFonts w:ascii="Times New Roman" w:eastAsia="Times New Roman" w:hAnsi="Times New Roman" w:cs="Times New Roman"/>
            <w:color w:val="0563C1" w:themeColor="hyperlink"/>
            <w:sz w:val="24"/>
            <w:szCs w:val="24"/>
            <w:u w:val="single"/>
          </w:rPr>
          <w:t>Endangered Species Act (ESA)</w:t>
        </w:r>
      </w:hyperlink>
    </w:p>
    <w:p w:rsidR="00BE6DE8" w:rsidRPr="00BE6DE8" w:rsidP="00BE6DE8" w14:paraId="18CB555F"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8" w:history="1">
        <w:r w:rsidRPr="00BE6DE8">
          <w:rPr>
            <w:rFonts w:ascii="Times New Roman" w:eastAsia="Times New Roman" w:hAnsi="Times New Roman" w:cs="Times New Roman"/>
            <w:color w:val="0563C1" w:themeColor="hyperlink"/>
            <w:sz w:val="24"/>
            <w:szCs w:val="24"/>
            <w:u w:val="single"/>
          </w:rPr>
          <w:t>Nati</w:t>
        </w:r>
        <w:r w:rsidRPr="00BE6DE8">
          <w:rPr>
            <w:rFonts w:ascii="Times New Roman" w:eastAsia="Times New Roman" w:hAnsi="Times New Roman" w:cs="Times New Roman"/>
            <w:color w:val="0563C1" w:themeColor="hyperlink"/>
            <w:sz w:val="24"/>
            <w:szCs w:val="24"/>
            <w:u w:val="single"/>
          </w:rPr>
          <w:t>onal Environmental Policy Act (NEPA)</w:t>
        </w:r>
      </w:hyperlink>
      <w:r w:rsidRPr="00BE6DE8">
        <w:rPr>
          <w:rFonts w:ascii="Times New Roman" w:eastAsia="Times New Roman" w:hAnsi="Times New Roman" w:cs="Times New Roman"/>
          <w:color w:val="000000"/>
          <w:sz w:val="24"/>
          <w:szCs w:val="24"/>
        </w:rPr>
        <w:t xml:space="preserve"> </w:t>
      </w:r>
    </w:p>
    <w:p w:rsidR="00BE6DE8" w:rsidRPr="00BE6DE8" w:rsidP="00BE6DE8" w14:paraId="4B96EAB0"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9" w:history="1">
        <w:r w:rsidRPr="00BE6DE8">
          <w:rPr>
            <w:rFonts w:ascii="Times New Roman" w:eastAsia="Times New Roman" w:hAnsi="Times New Roman" w:cs="Times New Roman"/>
            <w:color w:val="0563C1" w:themeColor="hyperlink"/>
            <w:sz w:val="24"/>
            <w:szCs w:val="24"/>
            <w:u w:val="single"/>
          </w:rPr>
          <w:t>Regulatory Flexibility Act (RFA)</w:t>
        </w:r>
      </w:hyperlink>
    </w:p>
    <w:p w:rsidR="00BE6DE8" w:rsidRPr="00BE6DE8" w:rsidP="00BE6DE8" w14:paraId="77B63F38"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0" w:history="1">
        <w:r w:rsidRPr="00BE6DE8">
          <w:rPr>
            <w:rFonts w:ascii="Times New Roman" w:eastAsia="Times New Roman" w:hAnsi="Times New Roman" w:cs="Times New Roman"/>
            <w:color w:val="0563C1" w:themeColor="hyperlink"/>
            <w:sz w:val="24"/>
            <w:szCs w:val="24"/>
            <w:u w:val="single"/>
          </w:rPr>
          <w:t xml:space="preserve">EO 12866 (Regulatory </w:t>
        </w:r>
        <w:r w:rsidRPr="00BE6DE8">
          <w:rPr>
            <w:rFonts w:ascii="Times New Roman" w:eastAsia="Times New Roman" w:hAnsi="Times New Roman" w:cs="Times New Roman"/>
            <w:color w:val="0563C1" w:themeColor="hyperlink"/>
            <w:sz w:val="24"/>
            <w:szCs w:val="24"/>
            <w:u w:val="single"/>
          </w:rPr>
          <w:t>Planning and Review)</w:t>
        </w:r>
      </w:hyperlink>
    </w:p>
    <w:p w:rsidR="00BE6DE8" w:rsidRPr="00BE6DE8" w:rsidP="00BE6DE8" w14:paraId="25A44D05"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1" w:history="1">
        <w:r w:rsidRPr="00BE6DE8">
          <w:rPr>
            <w:rFonts w:ascii="Times New Roman" w:eastAsia="Times New Roman" w:hAnsi="Times New Roman" w:cs="Times New Roman"/>
            <w:color w:val="0563C1" w:themeColor="hyperlink"/>
            <w:sz w:val="24"/>
            <w:szCs w:val="24"/>
            <w:u w:val="single"/>
          </w:rPr>
          <w:t>EO 13771 (Reducing Regulation and Controlling Regulatory Costs)</w:t>
        </w:r>
      </w:hyperlink>
    </w:p>
    <w:p w:rsidR="00BE6DE8" w:rsidRPr="00BE6DE8" w:rsidP="00BE6DE8" w14:paraId="2B2B6E18"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2" w:history="1">
        <w:r w:rsidRPr="00BE6DE8">
          <w:rPr>
            <w:rFonts w:ascii="Times New Roman" w:eastAsia="Times New Roman" w:hAnsi="Times New Roman" w:cs="Times New Roman"/>
            <w:color w:val="0563C1" w:themeColor="hyperlink"/>
            <w:sz w:val="24"/>
            <w:szCs w:val="24"/>
            <w:u w:val="single"/>
          </w:rPr>
          <w:t>EO 13840 (Ocean Policy to Advance the Economic, Security, and Environmental Interests of the United States)</w:t>
        </w:r>
      </w:hyperlink>
    </w:p>
    <w:p w:rsidR="00BE6DE8" w:rsidRPr="00BE6DE8" w:rsidP="00BE6DE8" w14:paraId="3C2B47D1"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3" w:history="1">
        <w:r w:rsidRPr="00BE6DE8">
          <w:rPr>
            <w:rFonts w:ascii="Times New Roman" w:eastAsia="Times New Roman" w:hAnsi="Times New Roman" w:cs="Times New Roman"/>
            <w:color w:val="0563C1" w:themeColor="hyperlink"/>
            <w:sz w:val="24"/>
            <w:szCs w:val="24"/>
            <w:u w:val="single"/>
          </w:rPr>
          <w:t>NOAA Fisheries Guidelines for Economic Reviews of Regulatory Actions</w:t>
        </w:r>
      </w:hyperlink>
    </w:p>
    <w:p w:rsidR="00BE6DE8" w:rsidRPr="00BE6DE8" w:rsidP="00BE6DE8" w14:paraId="636EE022"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4" w:history="1">
        <w:r w:rsidRPr="00BE6DE8">
          <w:rPr>
            <w:rFonts w:ascii="Times New Roman" w:eastAsia="Times New Roman" w:hAnsi="Times New Roman" w:cs="Times New Roman"/>
            <w:color w:val="0563C1" w:themeColor="hyperlink"/>
            <w:sz w:val="24"/>
            <w:szCs w:val="24"/>
            <w:u w:val="single"/>
          </w:rPr>
          <w:t>NOAA FY 22-26 Strategic Plan</w:t>
        </w:r>
      </w:hyperlink>
    </w:p>
    <w:p w:rsidR="00BE6DE8" w:rsidRPr="00BE6DE8" w:rsidP="00BE6DE8" w14:paraId="2F9975EF"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5" w:history="1">
        <w:r w:rsidRPr="00BE6DE8">
          <w:rPr>
            <w:rFonts w:ascii="Times New Roman" w:eastAsia="Times New Roman" w:hAnsi="Times New Roman" w:cs="Times New Roman"/>
            <w:color w:val="0563C1" w:themeColor="hyperlink"/>
            <w:sz w:val="24"/>
            <w:szCs w:val="24"/>
            <w:u w:val="single"/>
          </w:rPr>
          <w:t>NOAA Fisheries Strategic Plan 2019-2022 (Strategic Plan)</w:t>
        </w:r>
      </w:hyperlink>
    </w:p>
    <w:p w:rsidR="00BE6DE8" w:rsidRPr="00BE6DE8" w:rsidP="00BE6DE8" w14:paraId="2D4E15C9"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6" w:history="1">
        <w:r w:rsidRPr="00BE6DE8">
          <w:rPr>
            <w:rFonts w:ascii="Times New Roman" w:eastAsia="Times New Roman" w:hAnsi="Times New Roman" w:cs="Times New Roman"/>
            <w:color w:val="0563C1" w:themeColor="hyperlink"/>
            <w:sz w:val="24"/>
            <w:szCs w:val="24"/>
            <w:u w:val="single"/>
          </w:rPr>
          <w:t>NOAA Fisheries Ecosystem-Base</w:t>
        </w:r>
        <w:r w:rsidRPr="00BE6DE8">
          <w:rPr>
            <w:rFonts w:ascii="Times New Roman" w:eastAsia="Times New Roman" w:hAnsi="Times New Roman" w:cs="Times New Roman"/>
            <w:color w:val="0563C1" w:themeColor="hyperlink"/>
            <w:sz w:val="24"/>
            <w:szCs w:val="24"/>
            <w:u w:val="single"/>
          </w:rPr>
          <w:t>d Fishery Management (EBFM) Road Map</w:t>
        </w:r>
      </w:hyperlink>
    </w:p>
    <w:p w:rsidR="00BE6DE8" w:rsidRPr="00BE6DE8" w:rsidP="00BE6DE8" w14:paraId="27A69032"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7" w:history="1">
        <w:r w:rsidRPr="00BE6DE8">
          <w:rPr>
            <w:rFonts w:ascii="Times New Roman" w:eastAsia="Times New Roman" w:hAnsi="Times New Roman" w:cs="Times New Roman"/>
            <w:color w:val="0563C1" w:themeColor="hyperlink"/>
            <w:sz w:val="24"/>
            <w:szCs w:val="24"/>
            <w:u w:val="single"/>
          </w:rPr>
          <w:t>NOAA Fisheries National Bycatch Reduction Strategy</w:t>
        </w:r>
      </w:hyperlink>
    </w:p>
    <w:p w:rsidR="00BE6DE8" w:rsidRPr="00BE6DE8" w:rsidP="00BE6DE8" w14:paraId="3BF68F47" w14:textId="77777777">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8" w:history="1">
        <w:r w:rsidRPr="00BE6DE8">
          <w:rPr>
            <w:rFonts w:ascii="Times New Roman" w:eastAsia="Times New Roman" w:hAnsi="Times New Roman" w:cs="Times New Roman"/>
            <w:color w:val="0563C1" w:themeColor="hyperlink"/>
            <w:sz w:val="24"/>
            <w:szCs w:val="24"/>
            <w:u w:val="single"/>
          </w:rPr>
          <w:t>NOAA’s Catch Share Polic</w:t>
        </w:r>
      </w:hyperlink>
      <w:r w:rsidRPr="00BE6DE8">
        <w:rPr>
          <w:rFonts w:ascii="Times New Roman" w:eastAsia="Times New Roman" w:hAnsi="Times New Roman" w:cs="Times New Roman"/>
          <w:color w:val="000000"/>
          <w:sz w:val="24"/>
          <w:szCs w:val="24"/>
        </w:rPr>
        <w:t>y</w:t>
      </w:r>
    </w:p>
    <w:p w:rsidR="0024103C" w14:paraId="0000003A" w14:textId="77777777">
      <w:pPr>
        <w:widowControl w:val="0"/>
        <w:spacing w:after="0" w:line="240" w:lineRule="auto"/>
        <w:rPr>
          <w:rFonts w:ascii="Times New Roman" w:eastAsia="Times New Roman" w:hAnsi="Times New Roman" w:cs="Times New Roman"/>
          <w:sz w:val="24"/>
          <w:szCs w:val="24"/>
        </w:rPr>
      </w:pPr>
    </w:p>
    <w:p w:rsidR="0024103C" w14:paraId="0000003B" w14:textId="5E887C9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laws and EOs contains implicit authority for NMFS to conduct the economic surveys, which OMB would approve under the requested hybrid-generic clearance.  Appendix A, which is a supplemental document, </w:t>
      </w:r>
      <w:r w:rsidRPr="002D088D" w:rsidR="002D088D">
        <w:rPr>
          <w:rFonts w:ascii="Times New Roman" w:eastAsia="Times New Roman" w:hAnsi="Times New Roman" w:cs="Times New Roman"/>
          <w:sz w:val="24"/>
          <w:szCs w:val="24"/>
        </w:rPr>
        <w:t>discusses</w:t>
      </w:r>
      <w:r>
        <w:rPr>
          <w:rFonts w:ascii="Times New Roman" w:eastAsia="Times New Roman" w:hAnsi="Times New Roman" w:cs="Times New Roman"/>
          <w:sz w:val="24"/>
          <w:szCs w:val="24"/>
        </w:rPr>
        <w:t xml:space="preserve"> the relevant provision of those laws, E</w:t>
      </w:r>
      <w:r>
        <w:rPr>
          <w:rFonts w:ascii="Times New Roman" w:eastAsia="Times New Roman" w:hAnsi="Times New Roman" w:cs="Times New Roman"/>
          <w:sz w:val="24"/>
          <w:szCs w:val="24"/>
        </w:rPr>
        <w:t xml:space="preserve">Os, policies, and strategies. </w:t>
      </w:r>
    </w:p>
    <w:p w:rsidR="0024103C" w14:paraId="0000003C"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C36EAD" w14:paraId="353B4DAB" w14:textId="7777777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24103C" w14:paraId="0000003D" w14:textId="61C748A8">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Indicate how, by whom, and for what purpose the information is to be used.  Except for a new collection, indicate the actual use the agency has made of the information received from the current collection.</w:t>
      </w:r>
    </w:p>
    <w:p w:rsidR="0024103C" w14:paraId="0000003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3F" w14:textId="1A39EBB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NMFS and/or its contractors would collect the information from </w:t>
      </w:r>
      <w:r w:rsidR="002F6A90">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owners</w:t>
      </w:r>
      <w:r w:rsidR="002F6A90">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color w:val="000000"/>
          <w:sz w:val="24"/>
          <w:szCs w:val="24"/>
        </w:rPr>
        <w:t>operators of active vessels, permit owners, or other well-defined groups of fishermen or license/permit holders and, in some cases, from other individuals associated with their fi</w:t>
      </w:r>
      <w:r>
        <w:rPr>
          <w:rFonts w:ascii="Times New Roman" w:eastAsia="Times New Roman" w:hAnsi="Times New Roman" w:cs="Times New Roman"/>
          <w:color w:val="000000"/>
          <w:sz w:val="24"/>
          <w:szCs w:val="24"/>
        </w:rPr>
        <w:t>shing activities.  The question bank for the proposed generic clearance identifies the “other individuals” as spotter plane pilots who assist in finding fish, former fishing vessel owners</w:t>
      </w:r>
      <w:r w:rsidR="002F6A90">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color w:val="000000"/>
          <w:sz w:val="24"/>
          <w:szCs w:val="24"/>
        </w:rPr>
        <w:t xml:space="preserve">operators or permit owners, and the operators of fish processing </w:t>
      </w:r>
      <w:r>
        <w:rPr>
          <w:rFonts w:ascii="Times New Roman" w:eastAsia="Times New Roman" w:hAnsi="Times New Roman" w:cs="Times New Roman"/>
          <w:color w:val="000000"/>
          <w:sz w:val="24"/>
          <w:szCs w:val="24"/>
        </w:rPr>
        <w:t>businesses.</w:t>
      </w:r>
    </w:p>
    <w:p w:rsidR="0024103C" w14:paraId="00000040" w14:textId="7777777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24103C" w14:paraId="00000041" w14:textId="09F0C1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surveys would collect information, which NMFS and Council economists would uses to monitor, explain and predict changes in the economic performance</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and impacts of the commercial and charter harvesting sectors of federally managed fisherie</w:t>
      </w:r>
      <w:r>
        <w:rPr>
          <w:rFonts w:ascii="Times New Roman" w:eastAsia="Times New Roman" w:hAnsi="Times New Roman" w:cs="Times New Roman"/>
          <w:color w:val="000000"/>
          <w:sz w:val="24"/>
          <w:szCs w:val="24"/>
        </w:rPr>
        <w:t>s, as well as the associated changes in the magnitude and distribution of the net National benefits provided by those two sectors.  As noted above in the response to Item 1, that use of the data would allow more than cursory efforts to comply with or suppo</w:t>
      </w:r>
      <w:r>
        <w:rPr>
          <w:rFonts w:ascii="Times New Roman" w:eastAsia="Times New Roman" w:hAnsi="Times New Roman" w:cs="Times New Roman"/>
          <w:color w:val="000000"/>
          <w:sz w:val="24"/>
          <w:szCs w:val="24"/>
        </w:rPr>
        <w:t xml:space="preserve">rt a variety of laws, EOs, and NOAA </w:t>
      </w:r>
      <w:r w:rsidR="00185393">
        <w:rPr>
          <w:rFonts w:ascii="Times New Roman" w:eastAsia="Times New Roman" w:hAnsi="Times New Roman" w:cs="Times New Roman"/>
          <w:color w:val="000000"/>
          <w:sz w:val="24"/>
          <w:szCs w:val="24"/>
        </w:rPr>
        <w:t>policies and strategies</w:t>
      </w:r>
      <w:r>
        <w:rPr>
          <w:rFonts w:ascii="Times New Roman" w:eastAsia="Times New Roman" w:hAnsi="Times New Roman" w:cs="Times New Roman"/>
          <w:color w:val="000000"/>
          <w:sz w:val="24"/>
          <w:szCs w:val="24"/>
        </w:rPr>
        <w:t>, which would contribute to a well-informed, science-based fisheries conservation and management decisions making process and should increase the net benefits to the Nation.</w:t>
      </w:r>
    </w:p>
    <w:p w:rsidR="0024103C" w14:paraId="00000042"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43"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relevant measures </w:t>
      </w:r>
      <w:r>
        <w:rPr>
          <w:rFonts w:ascii="Times New Roman" w:eastAsia="Times New Roman" w:hAnsi="Times New Roman" w:cs="Times New Roman"/>
          <w:color w:val="000000"/>
          <w:sz w:val="24"/>
          <w:szCs w:val="24"/>
        </w:rPr>
        <w:t>of economic performance include costs, earnings, and profitability (net revenue); productivity and economic efficiency; capacity; economic stability; the level and distribution of net economic benefits to society; and market power.  The economic impacts in</w:t>
      </w:r>
      <w:r>
        <w:rPr>
          <w:rFonts w:ascii="Times New Roman" w:eastAsia="Times New Roman" w:hAnsi="Times New Roman" w:cs="Times New Roman"/>
          <w:color w:val="000000"/>
          <w:sz w:val="24"/>
          <w:szCs w:val="24"/>
        </w:rPr>
        <w:t>clude sector, community, or region-specific and national employment, sales, value-added, and income impacts.</w:t>
      </w:r>
    </w:p>
    <w:p w:rsidR="0024103C" w14:paraId="00000044"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45"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NMFS would collect the following general categories of data under the proposed hybrid-generic clearance when adequate data are not available from </w:t>
      </w:r>
      <w:r>
        <w:rPr>
          <w:rFonts w:ascii="Times New Roman" w:eastAsia="Times New Roman" w:hAnsi="Times New Roman" w:cs="Times New Roman"/>
          <w:color w:val="000000"/>
          <w:sz w:val="24"/>
          <w:szCs w:val="24"/>
        </w:rPr>
        <w:t>other sources:</w:t>
      </w:r>
    </w:p>
    <w:p w:rsidR="0024103C" w14:paraId="00000046"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47" w14:textId="77777777">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Vessel characteristics; </w:t>
      </w:r>
    </w:p>
    <w:p w:rsidR="0024103C" w:rsidP="00D8313C" w14:paraId="00000048" w14:textId="5457501E">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8313C">
        <w:rPr>
          <w:rFonts w:ascii="Times New Roman" w:eastAsia="Times New Roman" w:hAnsi="Times New Roman" w:cs="Times New Roman"/>
          <w:color w:val="000000"/>
          <w:sz w:val="24"/>
          <w:szCs w:val="24"/>
        </w:rPr>
        <w:t xml:space="preserve">Vessel </w:t>
      </w:r>
      <w:r>
        <w:rPr>
          <w:rFonts w:ascii="Times New Roman" w:eastAsia="Times New Roman" w:hAnsi="Times New Roman" w:cs="Times New Roman"/>
          <w:color w:val="000000"/>
          <w:sz w:val="24"/>
          <w:szCs w:val="24"/>
        </w:rPr>
        <w:t>o</w:t>
      </w:r>
      <w:r w:rsidRPr="00D8313C">
        <w:rPr>
          <w:rFonts w:ascii="Times New Roman" w:eastAsia="Times New Roman" w:hAnsi="Times New Roman" w:cs="Times New Roman"/>
          <w:color w:val="000000"/>
          <w:sz w:val="24"/>
          <w:szCs w:val="24"/>
        </w:rPr>
        <w:t>wnership</w:t>
      </w:r>
      <w:r w:rsidR="0072021C">
        <w:rPr>
          <w:rFonts w:ascii="Times New Roman" w:eastAsia="Times New Roman" w:hAnsi="Times New Roman" w:cs="Times New Roman"/>
          <w:color w:val="000000"/>
          <w:sz w:val="24"/>
          <w:szCs w:val="24"/>
        </w:rPr>
        <w:t xml:space="preserve">; </w:t>
      </w:r>
    </w:p>
    <w:p w:rsidR="0024103C" w14:paraId="00000049" w14:textId="77777777">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Capital and other asset costs;</w:t>
      </w:r>
    </w:p>
    <w:p w:rsidR="0024103C" w14:paraId="0000004A" w14:textId="77777777">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Fixed and variable costs and in some cases the quantities and prices of specific inputs used, such as fuel; </w:t>
      </w:r>
    </w:p>
    <w:p w:rsidR="0024103C" w14:paraId="0000004B" w14:textId="6BF9BE56">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Effort and gear; </w:t>
      </w:r>
    </w:p>
    <w:p w:rsidR="0024103C" w:rsidP="00CE59A4" w14:paraId="0000004C" w14:textId="6877CCB2">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Pr="00CE59A4">
        <w:rPr>
          <w:rFonts w:ascii="Times New Roman" w:eastAsia="Times New Roman" w:hAnsi="Times New Roman" w:cs="Times New Roman"/>
          <w:color w:val="000000"/>
          <w:sz w:val="24"/>
          <w:szCs w:val="24"/>
        </w:rPr>
        <w:t xml:space="preserve">atch and revenue, including revenue </w:t>
      </w:r>
      <w:r w:rsidRPr="00CE59A4">
        <w:rPr>
          <w:rFonts w:ascii="Times New Roman" w:eastAsia="Times New Roman" w:hAnsi="Times New Roman" w:cs="Times New Roman"/>
          <w:color w:val="000000"/>
          <w:sz w:val="24"/>
          <w:szCs w:val="24"/>
        </w:rPr>
        <w:t>from a variety of fishing and non-fishing activities</w:t>
      </w:r>
      <w:r>
        <w:rPr>
          <w:rFonts w:ascii="Times New Roman" w:eastAsia="Times New Roman" w:hAnsi="Times New Roman" w:cs="Times New Roman"/>
          <w:color w:val="000000"/>
          <w:sz w:val="24"/>
          <w:szCs w:val="24"/>
        </w:rPr>
        <w:t>;</w:t>
      </w:r>
    </w:p>
    <w:p w:rsidR="0024103C" w:rsidP="00CE59A4" w14:paraId="0000004D" w14:textId="6790F26C">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E59A4">
        <w:rPr>
          <w:rFonts w:ascii="Times New Roman" w:eastAsia="Times New Roman" w:hAnsi="Times New Roman" w:cs="Times New Roman"/>
          <w:color w:val="000000"/>
          <w:sz w:val="24"/>
          <w:szCs w:val="24"/>
        </w:rPr>
        <w:t>Opportunity cost of capital</w:t>
      </w:r>
      <w:r w:rsidR="0072021C">
        <w:rPr>
          <w:rFonts w:ascii="Times New Roman" w:eastAsia="Times New Roman" w:hAnsi="Times New Roman" w:cs="Times New Roman"/>
          <w:color w:val="000000"/>
          <w:sz w:val="24"/>
          <w:szCs w:val="24"/>
        </w:rPr>
        <w:t>;</w:t>
      </w:r>
    </w:p>
    <w:p w:rsidR="00CE59A4" w:rsidP="00CE59A4" w14:paraId="43F80C81" w14:textId="77777777">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E59A4">
        <w:rPr>
          <w:rFonts w:ascii="Times New Roman" w:eastAsia="Times New Roman" w:hAnsi="Times New Roman" w:cs="Times New Roman"/>
          <w:color w:val="000000"/>
          <w:sz w:val="24"/>
          <w:szCs w:val="24"/>
        </w:rPr>
        <w:t xml:space="preserve">Links to communities and regions:  </w:t>
      </w:r>
    </w:p>
    <w:p w:rsidR="0024103C" w:rsidP="00CE59A4" w14:paraId="0000004E" w14:textId="2600AF11">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E59A4">
        <w:rPr>
          <w:rFonts w:ascii="Times New Roman" w:eastAsia="Times New Roman" w:hAnsi="Times New Roman" w:cs="Times New Roman"/>
          <w:color w:val="000000"/>
          <w:sz w:val="24"/>
          <w:szCs w:val="24"/>
        </w:rPr>
        <w:t xml:space="preserve">Labor and </w:t>
      </w:r>
      <w:r>
        <w:rPr>
          <w:rFonts w:ascii="Times New Roman" w:eastAsia="Times New Roman" w:hAnsi="Times New Roman" w:cs="Times New Roman"/>
          <w:color w:val="000000"/>
          <w:sz w:val="24"/>
          <w:szCs w:val="24"/>
        </w:rPr>
        <w:t>de</w:t>
      </w:r>
      <w:r w:rsidR="0072021C">
        <w:rPr>
          <w:rFonts w:ascii="Times New Roman" w:eastAsia="Times New Roman" w:hAnsi="Times New Roman" w:cs="Times New Roman"/>
          <w:color w:val="000000"/>
          <w:sz w:val="24"/>
          <w:szCs w:val="24"/>
        </w:rPr>
        <w:t>mographic characteristics of fishing vessel owners or operators;</w:t>
      </w:r>
    </w:p>
    <w:p w:rsidR="0024103C" w:rsidP="00AE110E" w14:paraId="00000050" w14:textId="0987FCCB">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E110E">
        <w:rPr>
          <w:rFonts w:ascii="Times New Roman" w:eastAsia="Times New Roman" w:hAnsi="Times New Roman" w:cs="Times New Roman"/>
          <w:color w:val="000000"/>
          <w:sz w:val="24"/>
          <w:szCs w:val="24"/>
        </w:rPr>
        <w:t xml:space="preserve">Fishing </w:t>
      </w:r>
      <w:r w:rsidRPr="00AE110E" w:rsidR="00D8313C">
        <w:rPr>
          <w:rFonts w:ascii="Times New Roman" w:eastAsia="Times New Roman" w:hAnsi="Times New Roman" w:cs="Times New Roman"/>
          <w:color w:val="000000"/>
          <w:sz w:val="24"/>
          <w:szCs w:val="24"/>
        </w:rPr>
        <w:t>strategies and other</w:t>
      </w:r>
      <w:r w:rsidR="00D8313C">
        <w:rPr>
          <w:rFonts w:ascii="Times New Roman" w:eastAsia="Times New Roman" w:hAnsi="Times New Roman" w:cs="Times New Roman"/>
          <w:color w:val="000000"/>
          <w:sz w:val="24"/>
          <w:szCs w:val="24"/>
        </w:rPr>
        <w:t xml:space="preserve">. </w:t>
      </w:r>
    </w:p>
    <w:p w:rsidR="0024103C" w14:paraId="00000051"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52" w14:textId="6D7ECE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survey approved under this hybrid-generic clearance would include a subset of the questions in the question bank, which is in a supplemental document.  Appendix B, which is also </w:t>
      </w:r>
      <w:r>
        <w:rPr>
          <w:rFonts w:ascii="Times New Roman" w:eastAsia="Times New Roman" w:hAnsi="Times New Roman" w:cs="Times New Roman"/>
          <w:color w:val="000000"/>
          <w:sz w:val="24"/>
          <w:szCs w:val="24"/>
        </w:rPr>
        <w:t>a supplemental document, explains the purposes for collecting the various</w:t>
      </w:r>
      <w:r>
        <w:rPr>
          <w:rFonts w:ascii="Times New Roman" w:eastAsia="Times New Roman" w:hAnsi="Times New Roman" w:cs="Times New Roman"/>
          <w:color w:val="000000"/>
          <w:sz w:val="24"/>
          <w:szCs w:val="24"/>
        </w:rPr>
        <w:t xml:space="preserve"> types of information </w:t>
      </w:r>
      <w:r>
        <w:rPr>
          <w:rFonts w:ascii="Times New Roman" w:eastAsia="Times New Roman" w:hAnsi="Times New Roman" w:cs="Times New Roman"/>
          <w:sz w:val="24"/>
          <w:szCs w:val="24"/>
        </w:rPr>
        <w:t>included</w:t>
      </w:r>
      <w:r>
        <w:rPr>
          <w:rFonts w:ascii="Times New Roman" w:eastAsia="Times New Roman" w:hAnsi="Times New Roman" w:cs="Times New Roman"/>
          <w:color w:val="000000"/>
          <w:sz w:val="24"/>
          <w:szCs w:val="24"/>
        </w:rPr>
        <w:t xml:space="preserve"> in the question bank.  OMB will decide what if any changes to the question bank NMFS can request during the 45-day review process for a specific survey submitted under this hybrid-generic clearance.  The question bank principally reflects the surveys OMB </w:t>
      </w:r>
      <w:r>
        <w:rPr>
          <w:rFonts w:ascii="Times New Roman" w:eastAsia="Times New Roman" w:hAnsi="Times New Roman" w:cs="Times New Roman"/>
          <w:color w:val="000000"/>
          <w:sz w:val="24"/>
          <w:szCs w:val="24"/>
        </w:rPr>
        <w:t>approved April 27, 2022 for Economic Surveys of Specific US Commercial Fisheries (OMB Control Number 0648-0773) and the following six previously approved but discontinued collections:</w:t>
      </w:r>
    </w:p>
    <w:p w:rsidR="0024103C" w14:paraId="00000053"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54" w14:textId="7777777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Alaska Recreational Charter Guide and Owner Data Collection (0648-0647)</w:t>
      </w:r>
    </w:p>
    <w:p w:rsidR="0024103C" w14:paraId="00000055" w14:textId="7777777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Recreational For-Hire Economic Survey under the Marine Recreational Fishery Statistics Survey (0648-0052)</w:t>
      </w:r>
    </w:p>
    <w:p w:rsidR="0024103C" w14:paraId="00000056" w14:textId="7777777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Washington/Oregon Charter Survey (0648-0369)</w:t>
      </w:r>
    </w:p>
    <w:p w:rsidR="0024103C" w14:paraId="00000057" w14:textId="7777777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Cost/Earnings Study of Hawaii For-Hire (Charter) Fleet (0648-0369)</w:t>
      </w:r>
    </w:p>
    <w:p w:rsidR="0024103C" w14:paraId="00000058" w14:textId="7777777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Mail Survey to Collect Economic Data </w:t>
      </w:r>
      <w:r>
        <w:rPr>
          <w:rFonts w:ascii="Times New Roman" w:eastAsia="Times New Roman" w:hAnsi="Times New Roman" w:cs="Times New Roman"/>
          <w:color w:val="000000"/>
          <w:sz w:val="24"/>
          <w:szCs w:val="24"/>
        </w:rPr>
        <w:t>from Federal Gulf of Mexico and South Atlantic For-Hire Permit Holders (0648-0730)</w:t>
      </w:r>
    </w:p>
    <w:p w:rsidR="0024103C" w14:paraId="00000059" w14:textId="7777777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California Commercial Passenger Fishing Vessel Cost/Earnings Survey (0648-0369)</w:t>
      </w:r>
    </w:p>
    <w:p w:rsidR="0024103C" w14:paraId="0000005A" w14:textId="777777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24103C" w14:paraId="0000005B"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NMFS would submit a mini-ICR under this requested hybrid-generic clearance for:  1) each of </w:t>
      </w:r>
      <w:r>
        <w:rPr>
          <w:rFonts w:ascii="Times New Roman" w:eastAsia="Times New Roman" w:hAnsi="Times New Roman" w:cs="Times New Roman"/>
          <w:color w:val="000000"/>
          <w:sz w:val="24"/>
          <w:szCs w:val="24"/>
        </w:rPr>
        <w:t>those six discontinued collections; 2) fisheries that have not had an economic survey for many years; and 3) surveys currently approved under OMB control Number 0648-0773 as that clearance approaches its expiration date or as changes to those surveys becom</w:t>
      </w:r>
      <w:r>
        <w:rPr>
          <w:rFonts w:ascii="Times New Roman" w:eastAsia="Times New Roman" w:hAnsi="Times New Roman" w:cs="Times New Roman"/>
          <w:color w:val="000000"/>
          <w:sz w:val="24"/>
          <w:szCs w:val="24"/>
        </w:rPr>
        <w:t>e necessary.</w:t>
      </w:r>
    </w:p>
    <w:p w:rsidR="0024103C" w14:paraId="0000005C"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5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 collections efforts would be principally quantitative in nature.  Some surveys would attempt to collect information from a census of the relevant population and others would collect information from a sample of the population.  Addit</w:t>
      </w:r>
      <w:r>
        <w:rPr>
          <w:rFonts w:ascii="Times New Roman" w:eastAsia="Times New Roman" w:hAnsi="Times New Roman" w:cs="Times New Roman"/>
          <w:color w:val="000000"/>
          <w:sz w:val="24"/>
          <w:szCs w:val="24"/>
        </w:rPr>
        <w:t>ionally, NMFS would collect the data via a variety of means, including in-person interview, phone or video interviews and mail or internet surveys.  If appropriate, each potential respondent would be able to choose from among two or more of those methods o</w:t>
      </w:r>
      <w:r>
        <w:rPr>
          <w:rFonts w:ascii="Times New Roman" w:eastAsia="Times New Roman" w:hAnsi="Times New Roman" w:cs="Times New Roman"/>
          <w:color w:val="000000"/>
          <w:sz w:val="24"/>
          <w:szCs w:val="24"/>
        </w:rPr>
        <w:t xml:space="preserve">f providing the requested information.  </w:t>
      </w:r>
    </w:p>
    <w:p w:rsidR="0024103C" w14:paraId="0000005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5F"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this clearance, NMFS would limit its inquiries to surveys that solicit voluntary responses.  NMFS would take steps to ensure anonymity of respondents in each survey and to protect the confidentiality of the d</w:t>
      </w:r>
      <w:r>
        <w:rPr>
          <w:rFonts w:ascii="Times New Roman" w:eastAsia="Times New Roman" w:hAnsi="Times New Roman" w:cs="Times New Roman"/>
          <w:color w:val="000000"/>
          <w:sz w:val="24"/>
          <w:szCs w:val="24"/>
        </w:rPr>
        <w:t>ata.  With one exception, NMFS would conduct a specific survey no more than twice every three years.  The exception is the survey of the American Samoa, Guam, and the Commonwealth of the Northern Mariana Islands small boat-based fisheries, which is an econ</w:t>
      </w:r>
      <w:r>
        <w:rPr>
          <w:rFonts w:ascii="Times New Roman" w:eastAsia="Times New Roman" w:hAnsi="Times New Roman" w:cs="Times New Roman"/>
          <w:color w:val="000000"/>
          <w:sz w:val="24"/>
          <w:szCs w:val="24"/>
        </w:rPr>
        <w:t xml:space="preserve">omic add-on to the ongoing creel surveys for those fisheries. </w:t>
      </w:r>
    </w:p>
    <w:p w:rsidR="0024103C" w14:paraId="0000006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61"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each survey NMFS wants to conduct under the requested hybrid-generic clearance, it would submit to OMB a mini-ICR, which includes the actual survey instrument and related documents (planne</w:t>
      </w:r>
      <w:r>
        <w:rPr>
          <w:rFonts w:ascii="Times New Roman" w:eastAsia="Times New Roman" w:hAnsi="Times New Roman" w:cs="Times New Roman"/>
          <w:color w:val="000000"/>
          <w:sz w:val="24"/>
          <w:szCs w:val="24"/>
        </w:rPr>
        <w:t>d correspondence with prospective and actual respondents, scripts for interview, screenshots, etc.).  The responses in the rest of Part A and all of Part B include additional details on the types of information NMFS would provide in the mini-ICR for each s</w:t>
      </w:r>
      <w:r>
        <w:rPr>
          <w:rFonts w:ascii="Times New Roman" w:eastAsia="Times New Roman" w:hAnsi="Times New Roman" w:cs="Times New Roman"/>
          <w:color w:val="000000"/>
          <w:sz w:val="24"/>
          <w:szCs w:val="24"/>
        </w:rPr>
        <w:t>uch survey.  A supplemental document contains the template for the mini-ICRs with instructions.</w:t>
      </w:r>
    </w:p>
    <w:p w:rsidR="0024103C" w14:paraId="00000062"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63"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NMFS would not directly </w:t>
      </w:r>
      <w:r>
        <w:rPr>
          <w:rFonts w:ascii="Times New Roman" w:eastAsia="Times New Roman" w:hAnsi="Times New Roman" w:cs="Times New Roman"/>
          <w:sz w:val="24"/>
          <w:szCs w:val="24"/>
        </w:rPr>
        <w:t>disseminate</w:t>
      </w:r>
      <w:r>
        <w:rPr>
          <w:rFonts w:ascii="Times New Roman" w:eastAsia="Times New Roman" w:hAnsi="Times New Roman" w:cs="Times New Roman"/>
          <w:color w:val="000000"/>
          <w:sz w:val="24"/>
          <w:szCs w:val="24"/>
        </w:rPr>
        <w:t xml:space="preserve"> the data collected to the public in raw form, but aspects or portions of the information collected could be used to support</w:t>
      </w:r>
      <w:r>
        <w:rPr>
          <w:rFonts w:ascii="Times New Roman" w:eastAsia="Times New Roman" w:hAnsi="Times New Roman" w:cs="Times New Roman"/>
          <w:color w:val="000000"/>
          <w:sz w:val="24"/>
          <w:szCs w:val="24"/>
        </w:rPr>
        <w:t xml:space="preserve"> analyses conducted for NMFS and the Councils, research published in various journals, papers and reports, and presentations at conferences and Council meetings.</w:t>
      </w:r>
    </w:p>
    <w:p w:rsidR="0024103C" w14:paraId="00000064"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65" w14:textId="7777777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This information collection and dissemination would comply with the NMFS and NOAA Chief Infor</w:t>
      </w:r>
      <w:r>
        <w:rPr>
          <w:rFonts w:ascii="Times New Roman" w:eastAsia="Times New Roman" w:hAnsi="Times New Roman" w:cs="Times New Roman"/>
          <w:color w:val="000000"/>
          <w:sz w:val="24"/>
          <w:szCs w:val="24"/>
        </w:rPr>
        <w:t>mation Officer (CIO) Information Quality Guidelines and Standards.  Quality would be ensured and established at levels appropriate to the nature and timeliness of the information to be disseminated and would include all pre-dissemination reviews, as requir</w:t>
      </w:r>
      <w:r>
        <w:rPr>
          <w:rFonts w:ascii="Times New Roman" w:eastAsia="Times New Roman" w:hAnsi="Times New Roman" w:cs="Times New Roman"/>
          <w:color w:val="000000"/>
          <w:sz w:val="24"/>
          <w:szCs w:val="24"/>
        </w:rPr>
        <w:t>ed by the Information Quality Guidelines and Standards.</w:t>
      </w:r>
    </w:p>
    <w:p w:rsidR="0024103C" w14:paraId="00000066" w14:textId="7777777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24103C" w14:paraId="00000067" w14:textId="77777777">
      <w:pPr>
        <w:widowControl w:val="0"/>
        <w:numPr>
          <w:ilvl w:val="0"/>
          <w:numId w:val="6"/>
        </w:num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Describe whether, and to what extent, the collection of information involves the use of automated, electronic, mechanical, or other technological collection techniques or other forms of information </w:t>
      </w:r>
      <w:r>
        <w:rPr>
          <w:rFonts w:ascii="Times New Roman" w:eastAsia="Times New Roman" w:hAnsi="Times New Roman" w:cs="Times New Roman"/>
          <w:b/>
          <w:color w:val="000000"/>
          <w:sz w:val="24"/>
          <w:szCs w:val="24"/>
        </w:rPr>
        <w:t>technology, e.g.  Permitting electronic submission of responses, and the basis for the decision for adopting this means of collection.  Also, describe any consideration of using information technology to reduce burden.</w:t>
      </w:r>
    </w:p>
    <w:p w:rsidR="0024103C" w14:paraId="00000068"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69"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Whenever appropriate, NMFS would use</w:t>
      </w:r>
      <w:r>
        <w:rPr>
          <w:rFonts w:ascii="Times New Roman" w:eastAsia="Times New Roman" w:hAnsi="Times New Roman" w:cs="Times New Roman"/>
          <w:color w:val="000000"/>
          <w:sz w:val="24"/>
          <w:szCs w:val="24"/>
        </w:rPr>
        <w:t xml:space="preserve"> information technology to reduce burden on respondents.  In addition to traditional data collection methods, NMFS would continue to offer electronic response options via a NMFS Internet website whenever appropriate.</w:t>
      </w:r>
    </w:p>
    <w:p w:rsidR="0024103C" w14:paraId="0000006A"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6B" w14:textId="77777777">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Describe efforts to identify duplicati</w:t>
      </w:r>
      <w:r>
        <w:rPr>
          <w:rFonts w:ascii="Times New Roman" w:eastAsia="Times New Roman" w:hAnsi="Times New Roman" w:cs="Times New Roman"/>
          <w:b/>
          <w:color w:val="000000"/>
          <w:sz w:val="24"/>
          <w:szCs w:val="24"/>
        </w:rPr>
        <w:t>on.  Show specifically why any similar information already available cannot be used or modified for use for the purposes described in Question 2.</w:t>
      </w:r>
    </w:p>
    <w:p w:rsidR="0024103C" w14:paraId="0000006C"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6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NMFS Fisheries Science Center has an internal review process for voluntary, fishery economic data collec</w:t>
      </w:r>
      <w:r>
        <w:rPr>
          <w:rFonts w:ascii="Times New Roman" w:eastAsia="Times New Roman" w:hAnsi="Times New Roman" w:cs="Times New Roman"/>
          <w:color w:val="000000"/>
          <w:sz w:val="24"/>
          <w:szCs w:val="24"/>
        </w:rPr>
        <w:t>tions that would examine each survey to prevent internal duplication of effort and to ensure that appropriate data collection instruments are developed.  The review process at each Center includes contacting staff of the relevant Council(s) and state or te</w:t>
      </w:r>
      <w:r>
        <w:rPr>
          <w:rFonts w:ascii="Times New Roman" w:eastAsia="Times New Roman" w:hAnsi="Times New Roman" w:cs="Times New Roman"/>
          <w:color w:val="000000"/>
          <w:sz w:val="24"/>
          <w:szCs w:val="24"/>
        </w:rPr>
        <w:t xml:space="preserve">rritorial fisheries/natural resource department(s) to ensure that the desired information is not available from other sources.  </w:t>
      </w:r>
    </w:p>
    <w:p w:rsidR="0024103C" w14:paraId="0000006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6F" w14:textId="23CF1D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examining its three-year NMFS-wide requirements for fisheries economic data and combining its voluntary collections for tho</w:t>
      </w:r>
      <w:r>
        <w:rPr>
          <w:rFonts w:ascii="Times New Roman" w:eastAsia="Times New Roman" w:hAnsi="Times New Roman" w:cs="Times New Roman"/>
          <w:color w:val="000000"/>
          <w:sz w:val="24"/>
          <w:szCs w:val="24"/>
        </w:rPr>
        <w:t xml:space="preserve">se data into a bundled </w:t>
      </w:r>
      <w:r w:rsidR="008E55B7">
        <w:rPr>
          <w:rFonts w:ascii="Times New Roman" w:eastAsia="Times New Roman" w:hAnsi="Times New Roman" w:cs="Times New Roman"/>
          <w:color w:val="000000"/>
          <w:sz w:val="24"/>
          <w:szCs w:val="24"/>
        </w:rPr>
        <w:t>ICR</w:t>
      </w:r>
      <w:r>
        <w:rPr>
          <w:rFonts w:ascii="Times New Roman" w:eastAsia="Times New Roman" w:hAnsi="Times New Roman" w:cs="Times New Roman"/>
          <w:color w:val="000000"/>
          <w:sz w:val="24"/>
          <w:szCs w:val="24"/>
        </w:rPr>
        <w:t xml:space="preserve"> and a hybrid</w:t>
      </w:r>
      <w:r w:rsidR="008E55B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generic </w:t>
      </w:r>
      <w:r w:rsidR="008E55B7">
        <w:rPr>
          <w:rFonts w:ascii="Times New Roman" w:eastAsia="Times New Roman" w:hAnsi="Times New Roman" w:cs="Times New Roman"/>
          <w:color w:val="000000"/>
          <w:sz w:val="24"/>
          <w:szCs w:val="24"/>
        </w:rPr>
        <w:t>ICR</w:t>
      </w:r>
      <w:r>
        <w:rPr>
          <w:rFonts w:ascii="Times New Roman" w:eastAsia="Times New Roman" w:hAnsi="Times New Roman" w:cs="Times New Roman"/>
          <w:color w:val="000000"/>
          <w:sz w:val="24"/>
          <w:szCs w:val="24"/>
        </w:rPr>
        <w:t>, NMFS is, to the greatest extent possible, centralizing the administration of these surveys.  This would provide for a more consistent and comprehensive approach.  While there would be other surveys or da</w:t>
      </w:r>
      <w:r>
        <w:rPr>
          <w:rFonts w:ascii="Times New Roman" w:eastAsia="Times New Roman" w:hAnsi="Times New Roman" w:cs="Times New Roman"/>
          <w:color w:val="000000"/>
          <w:sz w:val="24"/>
          <w:szCs w:val="24"/>
        </w:rPr>
        <w:t xml:space="preserve">ta collections that become the subject of separate clearance requests, NMFS is confident that the procedures in place ensure that there would be no duplication within NMFS information collections and directed analyses and research.  </w:t>
      </w:r>
    </w:p>
    <w:p w:rsidR="0024103C" w14:paraId="0000007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71" w14:textId="78F482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Due to cross fishery participation and conducting some surveys twice in three </w:t>
      </w:r>
      <w:r>
        <w:rPr>
          <w:rFonts w:ascii="Times New Roman" w:eastAsia="Times New Roman" w:hAnsi="Times New Roman" w:cs="Times New Roman"/>
          <w:sz w:val="24"/>
          <w:szCs w:val="24"/>
        </w:rPr>
        <w:t>years</w:t>
      </w:r>
      <w:r>
        <w:rPr>
          <w:rFonts w:ascii="Times New Roman" w:eastAsia="Times New Roman" w:hAnsi="Times New Roman" w:cs="Times New Roman"/>
          <w:color w:val="000000"/>
          <w:sz w:val="24"/>
          <w:szCs w:val="24"/>
        </w:rPr>
        <w:t>, there may be some duplication of responses for some surveys.  However, such surveys would provide valuable contributions to understanding changes in the economic performan</w:t>
      </w:r>
      <w:r>
        <w:rPr>
          <w:rFonts w:ascii="Times New Roman" w:eastAsia="Times New Roman" w:hAnsi="Times New Roman" w:cs="Times New Roman"/>
          <w:color w:val="000000"/>
          <w:sz w:val="24"/>
          <w:szCs w:val="24"/>
        </w:rPr>
        <w:t>ce and impacts of the commercial and charter harvesting sectors of federally managed fisheries.</w:t>
      </w:r>
    </w:p>
    <w:p w:rsidR="00C36EAD" w14:paraId="5740388D"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73" w14:textId="77777777">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If the collection of information involves small businesses or other small entities, describe the methods used to minimize burden. </w:t>
      </w:r>
    </w:p>
    <w:p w:rsidR="0024103C" w14:paraId="00000074" w14:textId="7777777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24103C" w14:paraId="00000075"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Principally, small business and other small entities would be involved in these survey efforts.  NMSF would continue to take several actions to keep the burden on them as well as on any </w:t>
      </w:r>
      <w:r>
        <w:rPr>
          <w:rFonts w:ascii="Times New Roman" w:eastAsia="Times New Roman" w:hAnsi="Times New Roman" w:cs="Times New Roman"/>
          <w:color w:val="000000"/>
          <w:sz w:val="24"/>
          <w:szCs w:val="24"/>
        </w:rPr>
        <w:t>business, organization or individual at a minimum.  First, it would co</w:t>
      </w:r>
      <w:r>
        <w:rPr>
          <w:rFonts w:ascii="Times New Roman" w:eastAsia="Times New Roman" w:hAnsi="Times New Roman" w:cs="Times New Roman"/>
          <w:color w:val="000000"/>
          <w:sz w:val="24"/>
          <w:szCs w:val="24"/>
        </w:rPr>
        <w:t>ntinue to coordinate the data collections to reduce the burden for those who participate in both sectors and/or in multiple fisheries.  Second, it would continue to ensure the requested information for a specific survey is limited to that which is essentia</w:t>
      </w:r>
      <w:r>
        <w:rPr>
          <w:rFonts w:ascii="Times New Roman" w:eastAsia="Times New Roman" w:hAnsi="Times New Roman" w:cs="Times New Roman"/>
          <w:color w:val="000000"/>
          <w:sz w:val="24"/>
          <w:szCs w:val="24"/>
        </w:rPr>
        <w:t>l to meet the objectives of that survey and is not available from other sources.  Third, with the one exception mentioned above, NMFS would conduct a specific survey no more than twice every three years.  Finally, participation in each survey would continu</w:t>
      </w:r>
      <w:r>
        <w:rPr>
          <w:rFonts w:ascii="Times New Roman" w:eastAsia="Times New Roman" w:hAnsi="Times New Roman" w:cs="Times New Roman"/>
          <w:color w:val="000000"/>
          <w:sz w:val="24"/>
          <w:szCs w:val="24"/>
        </w:rPr>
        <w:t>e to be voluntary.</w:t>
      </w:r>
    </w:p>
    <w:p w:rsidR="0024103C" w14:paraId="00000076"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77" w14:textId="77777777">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Describe the consequence to Federal program or policy activities if the collection is not conducted or is conducted less frequently, as well as any technical or legal obstacles to reducing burden.</w:t>
      </w:r>
    </w:p>
    <w:p w:rsidR="0024103C" w14:paraId="00000078"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79" w14:textId="6FA134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conducting these surveys or conduc</w:t>
      </w:r>
      <w:r>
        <w:rPr>
          <w:rFonts w:ascii="Times New Roman" w:eastAsia="Times New Roman" w:hAnsi="Times New Roman" w:cs="Times New Roman"/>
          <w:sz w:val="24"/>
          <w:szCs w:val="24"/>
        </w:rPr>
        <w:t>ting them less frequently would have the following adverse cascading effects.  It would decrease the ability of NMFS and the Councils to effectively monitor, explain and predict changes in the economic performance and impacts of federally managed fisheries</w:t>
      </w:r>
      <w:r>
        <w:rPr>
          <w:rFonts w:ascii="Times New Roman" w:eastAsia="Times New Roman" w:hAnsi="Times New Roman" w:cs="Times New Roman"/>
          <w:sz w:val="24"/>
          <w:szCs w:val="24"/>
        </w:rPr>
        <w:t xml:space="preserve">.  That would prevent more than cursory efforts to comply with or support a variety of laws, EOs and NOAA </w:t>
      </w:r>
      <w:r w:rsidR="00185393">
        <w:rPr>
          <w:rFonts w:ascii="Times New Roman" w:eastAsia="Times New Roman" w:hAnsi="Times New Roman" w:cs="Times New Roman"/>
          <w:sz w:val="24"/>
          <w:szCs w:val="24"/>
        </w:rPr>
        <w:t>policies and strategies</w:t>
      </w:r>
      <w:r>
        <w:rPr>
          <w:rFonts w:ascii="Times New Roman" w:eastAsia="Times New Roman" w:hAnsi="Times New Roman" w:cs="Times New Roman"/>
          <w:sz w:val="24"/>
          <w:szCs w:val="24"/>
        </w:rPr>
        <w:t>.  That would limit the contributions of economic data and analyses to a well-informed, science-based approach to the conservat</w:t>
      </w:r>
      <w:r>
        <w:rPr>
          <w:rFonts w:ascii="Times New Roman" w:eastAsia="Times New Roman" w:hAnsi="Times New Roman" w:cs="Times New Roman"/>
          <w:sz w:val="24"/>
          <w:szCs w:val="24"/>
        </w:rPr>
        <w:t>ion and management of living marine resources and marine habitat in federally managed fisheries.  That could decrease the net benefits to the Nation.  There are no technical or legal obstacles to reducing the information collection burden.</w:t>
      </w:r>
    </w:p>
    <w:p w:rsidR="0024103C" w14:paraId="0000007A"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7B" w14:textId="20898E5A">
      <w:pPr>
        <w:widowControl w:val="0"/>
        <w:numPr>
          <w:ilvl w:val="0"/>
          <w:numId w:val="15"/>
        </w:numPr>
        <w:pBdr>
          <w:top w:val="nil"/>
          <w:left w:val="nil"/>
          <w:bottom w:val="nil"/>
          <w:right w:val="nil"/>
          <w:between w:val="nil"/>
        </w:pBdr>
        <w:tabs>
          <w:tab w:val="left" w:pos="360"/>
        </w:tabs>
        <w:spacing w:before="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Explain any </w:t>
      </w:r>
      <w:r>
        <w:rPr>
          <w:rFonts w:ascii="Times New Roman" w:eastAsia="Times New Roman" w:hAnsi="Times New Roman" w:cs="Times New Roman"/>
          <w:b/>
          <w:color w:val="000000"/>
          <w:sz w:val="24"/>
          <w:szCs w:val="24"/>
        </w:rPr>
        <w:t>special circumstances that would cause an information collection to be conducted in a manner</w:t>
      </w:r>
      <w:r w:rsidR="00ED278B">
        <w:rPr>
          <w:rFonts w:ascii="Times New Roman" w:eastAsia="Times New Roman" w:hAnsi="Times New Roman" w:cs="Times New Roman"/>
          <w:b/>
          <w:color w:val="000000"/>
          <w:sz w:val="24"/>
          <w:szCs w:val="24"/>
        </w:rPr>
        <w:t xml:space="preserve"> inconsistent with OMB guidelines.</w:t>
      </w:r>
    </w:p>
    <w:p w:rsidR="0024103C" w14:paraId="00000084" w14:textId="77777777">
      <w:pPr>
        <w:widowControl w:val="0"/>
        <w:spacing w:after="0" w:line="240" w:lineRule="auto"/>
        <w:rPr>
          <w:rFonts w:ascii="Times New Roman" w:eastAsia="Times New Roman" w:hAnsi="Times New Roman" w:cs="Times New Roman"/>
          <w:sz w:val="24"/>
          <w:szCs w:val="24"/>
        </w:rPr>
      </w:pPr>
    </w:p>
    <w:p w:rsidR="0024103C" w14:paraId="00000085" w14:textId="5BD1C0C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in each survey would be voluntary.  Therefore, no survey would require respondents to:  1) report information to t</w:t>
      </w:r>
      <w:r>
        <w:rPr>
          <w:rFonts w:ascii="Times New Roman" w:eastAsia="Times New Roman" w:hAnsi="Times New Roman" w:cs="Times New Roman"/>
          <w:sz w:val="24"/>
          <w:szCs w:val="24"/>
        </w:rPr>
        <w:t>he agency; 2) prepare a written response; 3) submit any document; 4) retain any records; or 5) submit proprietary trade secret</w:t>
      </w:r>
      <w:r w:rsidR="008E55B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 other confidential information.</w:t>
      </w:r>
    </w:p>
    <w:p w:rsidR="0024103C" w14:paraId="00000088" w14:textId="51A1A45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rsidR="0024103C" w14:paraId="00000089" w14:textId="7777777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surveys NMFS would conduct under the requested hybrid-generic clearance would us</w:t>
      </w:r>
      <w:r>
        <w:rPr>
          <w:rFonts w:ascii="Times New Roman" w:eastAsia="Times New Roman" w:hAnsi="Times New Roman" w:cs="Times New Roman"/>
          <w:sz w:val="24"/>
          <w:szCs w:val="24"/>
        </w:rPr>
        <w:t>e a statistical data classification that OMB has not reviewed and approved.  As noted in Part B, NMFS would submit a min-ICR to OMB for each survey it wants to conduct under the requested hybrid-generic clearance and that mini ICR would address the propose</w:t>
      </w:r>
      <w:r>
        <w:rPr>
          <w:rFonts w:ascii="Times New Roman" w:eastAsia="Times New Roman" w:hAnsi="Times New Roman" w:cs="Times New Roman"/>
          <w:sz w:val="24"/>
          <w:szCs w:val="24"/>
        </w:rPr>
        <w:t>d statistical data classification(s).</w:t>
      </w:r>
    </w:p>
    <w:p w:rsidR="0024103C" w14:paraId="0000008A" w14:textId="7777777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rsidR="0024103C" w14:paraId="0000008B" w14:textId="7777777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has demonstrated that it has instituted procedures to protect information confidentiality to the extent permitted by law.  The survey instruments and most correspondence with potential respondents would include a</w:t>
      </w:r>
      <w:r>
        <w:rPr>
          <w:rFonts w:ascii="Times New Roman" w:eastAsia="Times New Roman" w:hAnsi="Times New Roman" w:cs="Times New Roman"/>
          <w:sz w:val="24"/>
          <w:szCs w:val="24"/>
        </w:rPr>
        <w:t xml:space="preserve"> pledge of confidentiality supported by disclosure and data security policies, which are consistent with the pledge and which do not unnecessarily impede sharing of data with other agencies for compatible confidential uses.  The response to Item 10 below i</w:t>
      </w:r>
      <w:r>
        <w:rPr>
          <w:rFonts w:ascii="Times New Roman" w:eastAsia="Times New Roman" w:hAnsi="Times New Roman" w:cs="Times New Roman"/>
          <w:sz w:val="24"/>
          <w:szCs w:val="24"/>
        </w:rPr>
        <w:t>ncludes an example of the pledge of confidentiality NMFS would use for each survey.</w:t>
      </w:r>
    </w:p>
    <w:p w:rsidR="0024103C" w14:paraId="0000008C"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8D" w14:textId="77777777">
      <w:pPr>
        <w:widowControl w:val="0"/>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If applicable, provide a copy and identify the date and page number of publications in the Federal Register of the agency's notice, required by 5 CFR 1320.8 (d), soliciting comments on the information collection prior to submission to OMB.  Summarize </w:t>
      </w:r>
      <w:r>
        <w:rPr>
          <w:rFonts w:ascii="Times New Roman" w:eastAsia="Times New Roman" w:hAnsi="Times New Roman" w:cs="Times New Roman"/>
          <w:b/>
          <w:color w:val="000000"/>
          <w:sz w:val="24"/>
          <w:szCs w:val="24"/>
        </w:rPr>
        <w:t>publi</w:t>
      </w:r>
      <w:r>
        <w:rPr>
          <w:rFonts w:ascii="Times New Roman" w:eastAsia="Times New Roman" w:hAnsi="Times New Roman" w:cs="Times New Roman"/>
          <w:b/>
          <w:color w:val="000000"/>
          <w:sz w:val="24"/>
          <w:szCs w:val="24"/>
        </w:rPr>
        <w:t>c comments received in response to that notice and describe actions taken by the agency in response to these comments.  Specifically address comments received on cost and hour burden</w:t>
      </w:r>
    </w:p>
    <w:p w:rsidR="0024103C" w14:paraId="0000008E" w14:textId="77777777">
      <w:pPr>
        <w:widowControl w:val="0"/>
        <w:tabs>
          <w:tab w:val="left" w:pos="540"/>
        </w:tabs>
        <w:spacing w:after="0" w:line="240" w:lineRule="auto"/>
        <w:rPr>
          <w:rFonts w:ascii="Times New Roman" w:eastAsia="Times New Roman" w:hAnsi="Times New Roman" w:cs="Times New Roman"/>
          <w:sz w:val="24"/>
          <w:szCs w:val="24"/>
        </w:rPr>
      </w:pPr>
    </w:p>
    <w:p w:rsidR="0024103C" w14:paraId="0000008F" w14:textId="6A2F046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60-day Federal Register Notice (FRN) soliciting public comments was pu</w:t>
      </w:r>
      <w:r>
        <w:rPr>
          <w:rFonts w:ascii="Times New Roman" w:eastAsia="Times New Roman" w:hAnsi="Times New Roman" w:cs="Times New Roman"/>
          <w:sz w:val="24"/>
          <w:szCs w:val="24"/>
        </w:rPr>
        <w:t xml:space="preserve">blished on Monday, December 6, 2021 (Vol. 86, Number 231, pages 69017-69018).  No </w:t>
      </w:r>
      <w:r w:rsidR="00ED278B">
        <w:rPr>
          <w:rFonts w:ascii="Times New Roman" w:eastAsia="Times New Roman" w:hAnsi="Times New Roman" w:cs="Times New Roman"/>
          <w:sz w:val="24"/>
          <w:szCs w:val="24"/>
        </w:rPr>
        <w:t>comments were received.</w:t>
      </w:r>
    </w:p>
    <w:p w:rsidR="0024103C" w14:paraId="00000092" w14:textId="19EC74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93"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each of the planned surveys, the past success of a similar survey, as well as consultations with fishermen and others familiar with the </w:t>
      </w:r>
      <w:r>
        <w:rPr>
          <w:rFonts w:ascii="Times New Roman" w:eastAsia="Times New Roman" w:hAnsi="Times New Roman" w:cs="Times New Roman"/>
          <w:sz w:val="24"/>
          <w:szCs w:val="24"/>
        </w:rPr>
        <w:t>fisheries, indicate that there should be no issues regarding the availability of data, frequency of collection, the clarity of instructions and reporting format, or the requested data elements.</w:t>
      </w:r>
    </w:p>
    <w:p w:rsidR="0024103C" w14:paraId="00000094" w14:textId="77777777">
      <w:pPr>
        <w:widowControl w:val="0"/>
        <w:spacing w:after="0" w:line="240" w:lineRule="auto"/>
        <w:rPr>
          <w:rFonts w:ascii="Times New Roman" w:eastAsia="Times New Roman" w:hAnsi="Times New Roman" w:cs="Times New Roman"/>
          <w:sz w:val="24"/>
          <w:szCs w:val="24"/>
        </w:rPr>
      </w:pPr>
    </w:p>
    <w:p w:rsidR="0024103C" w14:paraId="00000095" w14:textId="05CAD737">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As with its previous economic survey instruments, those that </w:t>
      </w:r>
      <w:r>
        <w:rPr>
          <w:rFonts w:ascii="Times New Roman" w:eastAsia="Times New Roman" w:hAnsi="Times New Roman" w:cs="Times New Roman"/>
          <w:sz w:val="24"/>
          <w:szCs w:val="24"/>
          <w:highlight w:val="white"/>
        </w:rPr>
        <w:t>NMFS would use under this requested hybrid-generic clearance would be developed in consultation with other federal and academic researchers, subject matter experts in fishery economics, and individuals and organizations who represent the interests of the c</w:t>
      </w:r>
      <w:r>
        <w:rPr>
          <w:rFonts w:ascii="Times New Roman" w:eastAsia="Times New Roman" w:hAnsi="Times New Roman" w:cs="Times New Roman"/>
          <w:sz w:val="24"/>
          <w:szCs w:val="24"/>
          <w:highlight w:val="white"/>
        </w:rPr>
        <w:t xml:space="preserve">ommercial and charter harvesting sectors of federally managed fisheries.  For </w:t>
      </w:r>
      <w:r w:rsidR="008E55B7">
        <w:rPr>
          <w:rFonts w:ascii="Times New Roman" w:eastAsia="Times New Roman" w:hAnsi="Times New Roman" w:cs="Times New Roman"/>
          <w:sz w:val="24"/>
          <w:szCs w:val="24"/>
          <w:highlight w:val="white"/>
        </w:rPr>
        <w:t xml:space="preserve">some </w:t>
      </w:r>
      <w:r>
        <w:rPr>
          <w:rFonts w:ascii="Times New Roman" w:eastAsia="Times New Roman" w:hAnsi="Times New Roman" w:cs="Times New Roman"/>
          <w:sz w:val="24"/>
          <w:szCs w:val="24"/>
          <w:highlight w:val="white"/>
        </w:rPr>
        <w:t>collections, the instrument development process could include a pilot study phase to best inform the collection process and specific questions.  NMFS would request OMB appro</w:t>
      </w:r>
      <w:r>
        <w:rPr>
          <w:rFonts w:ascii="Times New Roman" w:eastAsia="Times New Roman" w:hAnsi="Times New Roman" w:cs="Times New Roman"/>
          <w:sz w:val="24"/>
          <w:szCs w:val="24"/>
          <w:highlight w:val="white"/>
        </w:rPr>
        <w:t>val of such a study under an appropriate generic clearance.</w:t>
      </w:r>
    </w:p>
    <w:p w:rsidR="0024103C" w14:paraId="00000096" w14:textId="77777777">
      <w:pPr>
        <w:widowControl w:val="0"/>
        <w:numPr>
          <w:ilvl w:val="0"/>
          <w:numId w:val="15"/>
        </w:num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Explain any decision to provide any payment or gift to respondents, other than remuneration of contractors or grantees.</w:t>
      </w:r>
    </w:p>
    <w:p w:rsidR="0024103C" w14:paraId="00000097" w14:textId="77777777">
      <w:pPr>
        <w:widowControl w:val="0"/>
        <w:tabs>
          <w:tab w:val="left" w:pos="540"/>
        </w:tabs>
        <w:spacing w:after="0" w:line="240" w:lineRule="auto"/>
        <w:rPr>
          <w:rFonts w:ascii="Times New Roman" w:eastAsia="Times New Roman" w:hAnsi="Times New Roman" w:cs="Times New Roman"/>
          <w:sz w:val="24"/>
          <w:szCs w:val="24"/>
        </w:rPr>
      </w:pPr>
    </w:p>
    <w:p w:rsidR="0024103C" w14:paraId="00000098" w14:textId="77777777">
      <w:pPr>
        <w:widowControl w:val="0"/>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NMFS has no plans to provide any payments or gifts to </w:t>
      </w:r>
      <w:r>
        <w:rPr>
          <w:rFonts w:ascii="Times New Roman" w:eastAsia="Times New Roman" w:hAnsi="Times New Roman" w:cs="Times New Roman"/>
          <w:sz w:val="24"/>
          <w:szCs w:val="24"/>
        </w:rPr>
        <w:t>respondents.  However, if that plan changes for an individual survey under the requested hybrid-generic clearance, the mini-ICR for that survey would include an explanation of and justification for any such payments or gifts.  The following is an example o</w:t>
      </w:r>
      <w:r>
        <w:rPr>
          <w:rFonts w:ascii="Times New Roman" w:eastAsia="Times New Roman" w:hAnsi="Times New Roman" w:cs="Times New Roman"/>
          <w:sz w:val="24"/>
          <w:szCs w:val="24"/>
        </w:rPr>
        <w:t>f when NMFS might use such payments.  If the respondents must leave their home or place of business to travel to a specific location to participate in a survey conducted under the requested hybrid-generic clearance, NMFS might provide a small stipend to of</w:t>
      </w:r>
      <w:r>
        <w:rPr>
          <w:rFonts w:ascii="Times New Roman" w:eastAsia="Times New Roman" w:hAnsi="Times New Roman" w:cs="Times New Roman"/>
          <w:sz w:val="24"/>
          <w:szCs w:val="24"/>
        </w:rPr>
        <w:t>fset their travel expenses.</w:t>
      </w:r>
    </w:p>
    <w:p w:rsidR="0024103C" w14:paraId="00000099" w14:textId="77777777">
      <w:pPr>
        <w:widowControl w:val="0"/>
        <w:tabs>
          <w:tab w:val="left" w:pos="540"/>
        </w:tabs>
        <w:spacing w:after="0" w:line="240" w:lineRule="auto"/>
        <w:rPr>
          <w:rFonts w:ascii="Times New Roman" w:eastAsia="Times New Roman" w:hAnsi="Times New Roman" w:cs="Times New Roman"/>
          <w:sz w:val="24"/>
          <w:szCs w:val="24"/>
        </w:rPr>
      </w:pPr>
    </w:p>
    <w:p w:rsidR="0024103C" w14:paraId="0000009A" w14:textId="77777777">
      <w:pPr>
        <w:widowControl w:val="0"/>
        <w:numPr>
          <w:ilvl w:val="0"/>
          <w:numId w:val="15"/>
        </w:num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Describe any assurance of confidentiality provided to respondents and the basis for the assurance in statute, regulation, or agency policy.  If the collection requires a systems of records notice (SORN) or privacy impact assess</w:t>
      </w:r>
      <w:r>
        <w:rPr>
          <w:rFonts w:ascii="Times New Roman" w:eastAsia="Times New Roman" w:hAnsi="Times New Roman" w:cs="Times New Roman"/>
          <w:b/>
          <w:color w:val="000000"/>
          <w:sz w:val="24"/>
          <w:szCs w:val="24"/>
        </w:rPr>
        <w:t>ment (PIA), those should be cited and described here.</w:t>
      </w:r>
    </w:p>
    <w:p w:rsidR="0024103C" w14:paraId="0000009B" w14:textId="77777777">
      <w:pPr>
        <w:widowControl w:val="0"/>
        <w:tabs>
          <w:tab w:val="left" w:pos="540"/>
        </w:tabs>
        <w:spacing w:after="0" w:line="240" w:lineRule="auto"/>
        <w:rPr>
          <w:rFonts w:ascii="Times New Roman" w:eastAsia="Times New Roman" w:hAnsi="Times New Roman" w:cs="Times New Roman"/>
          <w:sz w:val="24"/>
          <w:szCs w:val="24"/>
        </w:rPr>
      </w:pPr>
    </w:p>
    <w:p w:rsidR="0024103C" w14:paraId="0000009C"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forms would contain the following or a similar statement.</w:t>
      </w:r>
    </w:p>
    <w:p w:rsidR="0024103C" w14:paraId="0000009D" w14:textId="77777777">
      <w:pPr>
        <w:widowControl w:val="0"/>
        <w:spacing w:after="0" w:line="240" w:lineRule="auto"/>
        <w:rPr>
          <w:rFonts w:ascii="Times New Roman" w:eastAsia="Times New Roman" w:hAnsi="Times New Roman" w:cs="Times New Roman"/>
          <w:sz w:val="24"/>
          <w:szCs w:val="24"/>
        </w:rPr>
      </w:pPr>
    </w:p>
    <w:p w:rsidR="0024103C" w14:paraId="0000009E" w14:textId="77777777">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We appreciate the confidential nature of the data being collected by this survey.  NMFS will handle individual survey data as confi</w:t>
      </w:r>
      <w:r>
        <w:rPr>
          <w:rFonts w:ascii="Times New Roman" w:eastAsia="Times New Roman" w:hAnsi="Times New Roman" w:cs="Times New Roman"/>
          <w:sz w:val="24"/>
          <w:szCs w:val="24"/>
        </w:rPr>
        <w:t xml:space="preserve">dential business information and a form of protected personal information and will maintain the confidentiality of the information consistent with legal authorities available to it, including but not limited to the Privacy Act (5 U.S.C.  Section 552a) and </w:t>
      </w:r>
      <w:r>
        <w:rPr>
          <w:rFonts w:ascii="Times New Roman" w:eastAsia="Times New Roman" w:hAnsi="Times New Roman" w:cs="Times New Roman"/>
          <w:sz w:val="24"/>
          <w:szCs w:val="24"/>
        </w:rPr>
        <w:t>the Trade Secrets Act (18 U.S.C.  Section 1905).  NMFS will protect individual survey data from public disclosure to the extent permitted by law and it has instituted procedures to provide that protection.</w:t>
      </w:r>
    </w:p>
    <w:p w:rsidR="0024103C" w14:paraId="0000009F" w14:textId="77777777">
      <w:pPr>
        <w:widowControl w:val="0"/>
        <w:spacing w:after="0" w:line="240" w:lineRule="auto"/>
        <w:ind w:left="720"/>
        <w:rPr>
          <w:rFonts w:ascii="Times New Roman" w:eastAsia="Times New Roman" w:hAnsi="Times New Roman" w:cs="Times New Roman"/>
          <w:sz w:val="24"/>
          <w:szCs w:val="24"/>
        </w:rPr>
      </w:pPr>
    </w:p>
    <w:p w:rsidR="00ED278B" w:rsidRPr="002F6DD1" w:rsidP="00ED278B" w14:paraId="7650FC65"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System of Records </w:t>
      </w:r>
      <w:hyperlink r:id="rId19" w:history="1">
        <w:r w:rsidRPr="008B6857">
          <w:rPr>
            <w:rStyle w:val="Hyperlink"/>
            <w:rFonts w:ascii="Times New Roman" w:eastAsia="Times New Roman" w:hAnsi="Times New Roman" w:cs="Times New Roman"/>
            <w:sz w:val="24"/>
            <w:szCs w:val="24"/>
          </w:rPr>
          <w:t>NOAA-6</w:t>
        </w:r>
      </w:hyperlink>
      <w:r>
        <w:rPr>
          <w:rFonts w:ascii="Times New Roman" w:eastAsia="Times New Roman" w:hAnsi="Times New Roman" w:cs="Times New Roman"/>
          <w:sz w:val="24"/>
          <w:szCs w:val="24"/>
        </w:rPr>
        <w:t xml:space="preserve">, </w:t>
      </w:r>
      <w:r w:rsidRPr="002F6DD1">
        <w:rPr>
          <w:rFonts w:ascii="Times New Roman" w:eastAsia="Times New Roman" w:hAnsi="Times New Roman" w:cs="Times New Roman"/>
          <w:sz w:val="24"/>
          <w:szCs w:val="24"/>
        </w:rPr>
        <w:t>Fishermen’s Statistical Data</w:t>
      </w:r>
      <w:r>
        <w:rPr>
          <w:rFonts w:ascii="Times New Roman" w:eastAsia="Times New Roman" w:hAnsi="Times New Roman" w:cs="Times New Roman"/>
          <w:sz w:val="24"/>
          <w:szCs w:val="24"/>
        </w:rPr>
        <w:t>,</w:t>
      </w:r>
      <w:r w:rsidRPr="002F6DD1">
        <w:rPr>
          <w:rFonts w:ascii="Times New Roman" w:eastAsia="Times New Roman" w:hAnsi="Times New Roman" w:cs="Times New Roman"/>
          <w:sz w:val="24"/>
          <w:szCs w:val="24"/>
        </w:rPr>
        <w:t xml:space="preserve"> and </w:t>
      </w:r>
      <w:hyperlink r:id="rId20" w:history="1">
        <w:r w:rsidRPr="008B6857">
          <w:rPr>
            <w:rStyle w:val="Hyperlink"/>
            <w:rFonts w:ascii="Times New Roman" w:eastAsia="Times New Roman" w:hAnsi="Times New Roman" w:cs="Times New Roman"/>
            <w:sz w:val="24"/>
            <w:szCs w:val="24"/>
          </w:rPr>
          <w:t>NOAA-19</w:t>
        </w:r>
      </w:hyperlink>
      <w:r w:rsidRPr="002F6DD1">
        <w:rPr>
          <w:rFonts w:ascii="Times New Roman" w:eastAsia="Times New Roman" w:hAnsi="Times New Roman" w:cs="Times New Roman"/>
          <w:sz w:val="24"/>
          <w:szCs w:val="24"/>
        </w:rPr>
        <w:t xml:space="preserve">, Permits and Registrations for United States Federally Regulated Fisheries, cover the </w:t>
      </w:r>
      <w:r w:rsidRPr="002F6DD1">
        <w:rPr>
          <w:rFonts w:ascii="Times New Roman" w:eastAsia="Times New Roman" w:hAnsi="Times New Roman" w:cs="Times New Roman"/>
          <w:sz w:val="24"/>
          <w:szCs w:val="24"/>
        </w:rPr>
        <w:t>information collected for these fisheries.</w:t>
      </w:r>
    </w:p>
    <w:p w:rsidR="0024103C" w14:paraId="000000A3"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A4" w14:textId="3B0732AA">
      <w:pPr>
        <w:widowControl w:val="0"/>
        <w:numPr>
          <w:ilvl w:val="0"/>
          <w:numId w:val="15"/>
        </w:num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Provide additional justification for any questions of a sensitive nature, such as sexual behavior or attitudes, religious beliefs, and other matters that are commonly considered private.  This justification </w:t>
      </w:r>
      <w:r>
        <w:rPr>
          <w:rFonts w:ascii="Times New Roman" w:eastAsia="Times New Roman" w:hAnsi="Times New Roman" w:cs="Times New Roman"/>
          <w:b/>
          <w:color w:val="000000"/>
          <w:sz w:val="24"/>
          <w:szCs w:val="24"/>
        </w:rPr>
        <w:t>should include the reasons why the agency considers the questions necessary, the specific uses to be made of the information, the explanation to be given to persons from whom the information is requested, and any steps to be taken to obtain their consent.</w:t>
      </w:r>
    </w:p>
    <w:p w:rsidR="0024103C" w14:paraId="000000A5" w14:textId="77777777">
      <w:pPr>
        <w:widowControl w:val="0"/>
        <w:spacing w:after="0" w:line="240" w:lineRule="auto"/>
        <w:rPr>
          <w:rFonts w:ascii="Times New Roman" w:eastAsia="Times New Roman" w:hAnsi="Times New Roman" w:cs="Times New Roman"/>
          <w:sz w:val="24"/>
          <w:szCs w:val="24"/>
        </w:rPr>
      </w:pPr>
    </w:p>
    <w:p w:rsidR="0024103C" w14:paraId="000000A6"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surveys NMFS would conduct under this hybrid-generic clearance would include a potentially sensitive question about household income.  Household income can be an important indicator of household economic resiliency and can be an important fact</w:t>
      </w:r>
      <w:r>
        <w:rPr>
          <w:rFonts w:ascii="Times New Roman" w:eastAsia="Times New Roman" w:hAnsi="Times New Roman" w:cs="Times New Roman"/>
          <w:sz w:val="24"/>
          <w:szCs w:val="24"/>
        </w:rPr>
        <w:t>or to consider when evaluating regulatory alternatives.  For example, all else being equal, a regulation that disproportionately affects low-income households may be less preferred than one that more widely distributes economic effects.  In addition, combi</w:t>
      </w:r>
      <w:r>
        <w:rPr>
          <w:rFonts w:ascii="Times New Roman" w:eastAsia="Times New Roman" w:hAnsi="Times New Roman" w:cs="Times New Roman"/>
          <w:sz w:val="24"/>
          <w:szCs w:val="24"/>
        </w:rPr>
        <w:t>ning respondents’ household income information with home address data can be used to construct an indicator on community economic resilience, which may be useful when analyzing economic effects on communities as required under National Standard 8 of the MS</w:t>
      </w:r>
      <w:r>
        <w:rPr>
          <w:rFonts w:ascii="Times New Roman" w:eastAsia="Times New Roman" w:hAnsi="Times New Roman" w:cs="Times New Roman"/>
          <w:sz w:val="24"/>
          <w:szCs w:val="24"/>
        </w:rPr>
        <w:t>A [MSA Section 301(a)(8))].</w:t>
      </w:r>
    </w:p>
    <w:p w:rsidR="0024103C" w14:paraId="000000A7" w14:textId="77777777">
      <w:pPr>
        <w:widowControl w:val="0"/>
        <w:spacing w:after="0" w:line="240" w:lineRule="auto"/>
        <w:rPr>
          <w:rFonts w:ascii="Times New Roman" w:eastAsia="Times New Roman" w:hAnsi="Times New Roman" w:cs="Times New Roman"/>
          <w:sz w:val="24"/>
          <w:szCs w:val="24"/>
        </w:rPr>
      </w:pPr>
    </w:p>
    <w:p w:rsidR="0024103C" w14:paraId="000000A8"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some of the surveys NMFS would conduct under this hybrid-generic clearance may include potentially sensitive questions about race.  NMFS can use race to identify vulnerable communities that could be impacted by reg</w:t>
      </w:r>
      <w:r>
        <w:rPr>
          <w:rFonts w:ascii="Times New Roman" w:eastAsia="Times New Roman" w:hAnsi="Times New Roman" w:cs="Times New Roman"/>
          <w:sz w:val="24"/>
          <w:szCs w:val="24"/>
        </w:rPr>
        <w:t>ulatory alternatives and issues related to socio-cultural background, particularly in fisheries with diverse backgrounds.  Hence, race may be useful when analyzing economic effects on communities due to conservation and management measures as required unde</w:t>
      </w:r>
      <w:r>
        <w:rPr>
          <w:rFonts w:ascii="Times New Roman" w:eastAsia="Times New Roman" w:hAnsi="Times New Roman" w:cs="Times New Roman"/>
          <w:sz w:val="24"/>
          <w:szCs w:val="24"/>
        </w:rPr>
        <w:t>r National Standard 8 of the MSA [MSA Section 301(a)(8))].  Surveys involving a question on race would follow the OMB Standards for the Classification of Federal Data on Race and Ethnicity.</w:t>
      </w:r>
    </w:p>
    <w:p w:rsidR="0024103C" w14:paraId="000000A9" w14:textId="77777777">
      <w:pPr>
        <w:widowControl w:val="0"/>
        <w:spacing w:after="0" w:line="240" w:lineRule="auto"/>
        <w:rPr>
          <w:rFonts w:ascii="Times New Roman" w:eastAsia="Times New Roman" w:hAnsi="Times New Roman" w:cs="Times New Roman"/>
          <w:sz w:val="24"/>
          <w:szCs w:val="24"/>
        </w:rPr>
      </w:pPr>
    </w:p>
    <w:p w:rsidR="0024103C" w14:paraId="000000AA"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recent review of two Department of Commerce generic informat</w:t>
      </w:r>
      <w:r>
        <w:rPr>
          <w:rFonts w:ascii="Times New Roman" w:eastAsia="Times New Roman" w:hAnsi="Times New Roman" w:cs="Times New Roman"/>
          <w:sz w:val="24"/>
          <w:szCs w:val="24"/>
        </w:rPr>
        <w:t>ion collections, OMB determined that the following is not a question of a sensitive nature.</w:t>
      </w:r>
    </w:p>
    <w:p w:rsidR="0024103C" w14:paraId="000000AB" w14:textId="77777777">
      <w:pPr>
        <w:widowControl w:val="0"/>
        <w:spacing w:after="0" w:line="240" w:lineRule="auto"/>
        <w:rPr>
          <w:rFonts w:ascii="Times New Roman" w:eastAsia="Times New Roman" w:hAnsi="Times New Roman" w:cs="Times New Roman"/>
          <w:sz w:val="24"/>
          <w:szCs w:val="24"/>
        </w:rPr>
      </w:pPr>
    </w:p>
    <w:p w:rsidR="0024103C" w14:paraId="000000AC" w14:textId="77777777">
      <w:pPr>
        <w:spacing w:line="25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Do you or your organization identify with any of the following groups that the Federal Government, in Executive Order 13985, has identified as underserved?  (Check</w:t>
      </w:r>
      <w:r>
        <w:rPr>
          <w:rFonts w:ascii="Times New Roman" w:eastAsia="Times New Roman" w:hAnsi="Times New Roman" w:cs="Times New Roman"/>
          <w:sz w:val="24"/>
          <w:szCs w:val="24"/>
        </w:rPr>
        <w:t xml:space="preserve"> all that apply.)</w:t>
      </w:r>
    </w:p>
    <w:p w:rsidR="0024103C" w14:paraId="000000AD" w14:textId="77777777">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 Black, Latino, and Indigenous and Native American persons, Asian Americans and Pacific Islanders, and other persons of color</w:t>
      </w:r>
    </w:p>
    <w:p w:rsidR="0024103C" w14:paraId="000000AE" w14:textId="77777777">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b) Members of religious minorities</w:t>
      </w:r>
    </w:p>
    <w:p w:rsidR="0024103C" w14:paraId="000000AF" w14:textId="77777777">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c) Lesbian, gay, bisexual, transgender, and queer (LGBTQ+) persons</w:t>
      </w:r>
    </w:p>
    <w:p w:rsidR="0024103C" w14:paraId="000000B0" w14:textId="77777777">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d) Perso</w:t>
      </w:r>
      <w:r>
        <w:rPr>
          <w:rFonts w:ascii="Times New Roman" w:eastAsia="Times New Roman" w:hAnsi="Times New Roman" w:cs="Times New Roman"/>
          <w:sz w:val="24"/>
          <w:szCs w:val="24"/>
        </w:rPr>
        <w:t>ns with disabilities</w:t>
      </w:r>
    </w:p>
    <w:p w:rsidR="0024103C" w14:paraId="000000B1" w14:textId="77777777">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e) Persons who live in rural areas</w:t>
      </w:r>
    </w:p>
    <w:p w:rsidR="0024103C" w14:paraId="000000B2" w14:textId="77777777">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f) Persons otherwise adversely affected by persistent poverty or inequality</w:t>
      </w:r>
    </w:p>
    <w:p w:rsidR="0024103C" w14:paraId="000000B3" w14:textId="77777777">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h) No, I do not identify with any of these groups</w:t>
      </w:r>
    </w:p>
    <w:p w:rsidR="0024103C" w14:paraId="000000B4" w14:textId="77777777">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suggests that similar questions that break out more categories from i</w:t>
      </w:r>
      <w:r>
        <w:rPr>
          <w:rFonts w:ascii="Times New Roman" w:eastAsia="Times New Roman" w:hAnsi="Times New Roman" w:cs="Times New Roman"/>
          <w:sz w:val="24"/>
          <w:szCs w:val="24"/>
        </w:rPr>
        <w:t>tems a) and c) would not be of a sensitive nature.</w:t>
      </w:r>
    </w:p>
    <w:p w:rsidR="0024103C" w14:paraId="000000B5"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 survey asks one or more sensitive questions, the mini-ICR for that survey would include an explanation of and justification for including it/them, the explanation NMFS would provide to persons from wh</w:t>
      </w:r>
      <w:r>
        <w:rPr>
          <w:rFonts w:ascii="Times New Roman" w:eastAsia="Times New Roman" w:hAnsi="Times New Roman" w:cs="Times New Roman"/>
          <w:sz w:val="24"/>
          <w:szCs w:val="24"/>
        </w:rPr>
        <w:t>om it requests that information and a description of any steps NMFS would take to obtain their consent.</w:t>
      </w:r>
    </w:p>
    <w:p w:rsidR="00C36EAD" w14:paraId="6C236D3D" w14:textId="2DEDD467">
      <w:pPr>
        <w:rPr>
          <w:rFonts w:ascii="Times New Roman" w:eastAsia="Times New Roman" w:hAnsi="Times New Roman" w:cs="Times New Roman"/>
          <w:b/>
          <w:color w:val="000000"/>
          <w:sz w:val="24"/>
          <w:szCs w:val="24"/>
        </w:rPr>
      </w:pPr>
    </w:p>
    <w:p w:rsidR="0024103C" w14:paraId="000000B7" w14:textId="6B77C091">
      <w:pPr>
        <w:widowControl w:val="0"/>
        <w:numPr>
          <w:ilvl w:val="0"/>
          <w:numId w:val="15"/>
        </w:numPr>
        <w:pBdr>
          <w:top w:val="nil"/>
          <w:left w:val="nil"/>
          <w:bottom w:val="nil"/>
          <w:right w:val="nil"/>
          <w:between w:val="nil"/>
        </w:pBdr>
        <w:tabs>
          <w:tab w:val="left" w:pos="360"/>
        </w:tabs>
        <w:spacing w:before="8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Provide estimates of the hour burden of the collection of information. </w:t>
      </w:r>
    </w:p>
    <w:p w:rsidR="0024103C" w14:paraId="000000BB" w14:textId="77777777">
      <w:pPr>
        <w:widowControl w:val="0"/>
        <w:spacing w:after="0" w:line="240" w:lineRule="auto"/>
        <w:rPr>
          <w:rFonts w:ascii="Times New Roman" w:eastAsia="Times New Roman" w:hAnsi="Times New Roman" w:cs="Times New Roman"/>
          <w:sz w:val="24"/>
          <w:szCs w:val="24"/>
        </w:rPr>
      </w:pPr>
    </w:p>
    <w:p w:rsidR="0024103C" w14:paraId="000000BC" w14:textId="43105CF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estimates of the burden for three years are approximately as follows: </w:t>
      </w:r>
      <w:r>
        <w:rPr>
          <w:rFonts w:ascii="Times New Roman" w:eastAsia="Times New Roman" w:hAnsi="Times New Roman" w:cs="Times New Roman"/>
          <w:sz w:val="24"/>
          <w:szCs w:val="24"/>
        </w:rPr>
        <w:t>15,60</w:t>
      </w:r>
      <w:r w:rsidR="00087FB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respondents, 17,</w:t>
      </w:r>
      <w:r w:rsidR="00087FBD">
        <w:rPr>
          <w:rFonts w:ascii="Times New Roman" w:eastAsia="Times New Roman" w:hAnsi="Times New Roman" w:cs="Times New Roman"/>
          <w:sz w:val="24"/>
          <w:szCs w:val="24"/>
        </w:rPr>
        <w:t>058</w:t>
      </w:r>
      <w:r>
        <w:rPr>
          <w:rFonts w:ascii="Times New Roman" w:eastAsia="Times New Roman" w:hAnsi="Times New Roman" w:cs="Times New Roman"/>
          <w:sz w:val="24"/>
          <w:szCs w:val="24"/>
        </w:rPr>
        <w:t xml:space="preserve"> burden hours, and a $</w:t>
      </w:r>
      <w:r w:rsidR="00087FBD">
        <w:rPr>
          <w:rFonts w:ascii="Times New Roman" w:eastAsia="Times New Roman" w:hAnsi="Times New Roman" w:cs="Times New Roman"/>
          <w:sz w:val="24"/>
          <w:szCs w:val="24"/>
        </w:rPr>
        <w:t>609,750</w:t>
      </w:r>
      <w:bookmarkStart w:id="0" w:name="_GoBack"/>
      <w:bookmarkEnd w:id="0"/>
      <w:r>
        <w:rPr>
          <w:rFonts w:ascii="Times New Roman" w:eastAsia="Times New Roman" w:hAnsi="Times New Roman" w:cs="Times New Roman"/>
          <w:sz w:val="24"/>
          <w:szCs w:val="24"/>
        </w:rPr>
        <w:t xml:space="preserve"> wage burden cost.  For the hourly wage rate for respondents, we used $35.75, which is the average of the US national hourly mean wage rates for 1) Ship and Boat Captains and Operators ($45.31, occ_cod</w:t>
      </w:r>
      <w:r>
        <w:rPr>
          <w:rFonts w:ascii="Times New Roman" w:eastAsia="Times New Roman" w:hAnsi="Times New Roman" w:cs="Times New Roman"/>
          <w:sz w:val="24"/>
          <w:szCs w:val="24"/>
        </w:rPr>
        <w:t>e 53-5020) and 2) First-Line Supervisors of Farming, Fishing, and Forestry Workers ($26.18, occ_code 45-1011).  These wage rates are for May 2021, the latest period for which data are available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We used the average for those two occupation codes for </w:t>
      </w:r>
      <w:r>
        <w:rPr>
          <w:rFonts w:ascii="Times New Roman" w:eastAsia="Times New Roman" w:hAnsi="Times New Roman" w:cs="Times New Roman"/>
          <w:sz w:val="24"/>
          <w:szCs w:val="24"/>
        </w:rPr>
        <w:t>three reasons.  First, there is not an occupation code specifically for the captains of fishing vessels.  Second, the equivalent of an hourly wage rate varies among fisheries and captains.  Third, we think the average of the two hourly mean wage rates is a</w:t>
      </w:r>
      <w:r>
        <w:rPr>
          <w:rFonts w:ascii="Times New Roman" w:eastAsia="Times New Roman" w:hAnsi="Times New Roman" w:cs="Times New Roman"/>
          <w:sz w:val="24"/>
          <w:szCs w:val="24"/>
        </w:rPr>
        <w:t xml:space="preserve"> reasonable proxy for the captains of commercial and charter sector fishing vessels.</w:t>
      </w:r>
    </w:p>
    <w:p w:rsidR="0024103C" w14:paraId="000000BD" w14:textId="77777777">
      <w:pPr>
        <w:widowControl w:val="0"/>
        <w:spacing w:after="0" w:line="240" w:lineRule="auto"/>
        <w:rPr>
          <w:rFonts w:ascii="Times New Roman" w:eastAsia="Times New Roman" w:hAnsi="Times New Roman" w:cs="Times New Roman"/>
          <w:sz w:val="24"/>
          <w:szCs w:val="24"/>
        </w:rPr>
      </w:pPr>
    </w:p>
    <w:p w:rsidR="0024103C" w14:paraId="000000BE" w14:textId="1C18C12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NMFS based its estimate of the burden per response </w:t>
      </w:r>
      <w:r w:rsidR="00A9743B">
        <w:rPr>
          <w:rFonts w:ascii="Times New Roman" w:eastAsia="Times New Roman" w:hAnsi="Times New Roman" w:cs="Times New Roman"/>
          <w:sz w:val="24"/>
          <w:szCs w:val="24"/>
        </w:rPr>
        <w:t xml:space="preserve">for each survey </w:t>
      </w:r>
      <w:r>
        <w:rPr>
          <w:rFonts w:ascii="Times New Roman" w:eastAsia="Times New Roman" w:hAnsi="Times New Roman" w:cs="Times New Roman"/>
          <w:sz w:val="24"/>
          <w:szCs w:val="24"/>
        </w:rPr>
        <w:t xml:space="preserve">on consultations with fishermen and others familiar with </w:t>
      </w:r>
      <w:r w:rsidR="00A9743B">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fishery.  We provided opportunities for c</w:t>
      </w:r>
      <w:r>
        <w:rPr>
          <w:rFonts w:ascii="Times New Roman" w:eastAsia="Times New Roman" w:hAnsi="Times New Roman" w:cs="Times New Roman"/>
          <w:sz w:val="24"/>
          <w:szCs w:val="24"/>
        </w:rPr>
        <w:t xml:space="preserve">omments on </w:t>
      </w:r>
      <w:r w:rsidR="00A9743B">
        <w:rPr>
          <w:rFonts w:ascii="Times New Roman" w:eastAsia="Times New Roman" w:hAnsi="Times New Roman" w:cs="Times New Roman"/>
          <w:sz w:val="24"/>
          <w:szCs w:val="24"/>
        </w:rPr>
        <w:t xml:space="preserve">each fishery/survey-specific </w:t>
      </w:r>
      <w:r>
        <w:rPr>
          <w:rFonts w:ascii="Times New Roman" w:eastAsia="Times New Roman" w:hAnsi="Times New Roman" w:cs="Times New Roman"/>
          <w:sz w:val="24"/>
          <w:szCs w:val="24"/>
        </w:rPr>
        <w:t xml:space="preserve">estimate in similar previously conducted surveys and in the 60-day Federal Register Notice for those surveys.  Generally, we do not expect the hour burden on respondents for a given fishery to vary widely.  However, </w:t>
      </w:r>
      <w:r>
        <w:rPr>
          <w:rFonts w:ascii="Times New Roman" w:eastAsia="Times New Roman" w:hAnsi="Times New Roman" w:cs="Times New Roman"/>
          <w:sz w:val="24"/>
          <w:szCs w:val="24"/>
        </w:rPr>
        <w:t>among the proposed surveys, the burden per response ranges from 10 minutes for an economic add-on to three creel surveys conducted in the western Pacific to 180 minutes for surveys, which collect information for two years at a time.  With the one exception</w:t>
      </w:r>
      <w:r>
        <w:rPr>
          <w:rFonts w:ascii="Times New Roman" w:eastAsia="Times New Roman" w:hAnsi="Times New Roman" w:cs="Times New Roman"/>
          <w:sz w:val="24"/>
          <w:szCs w:val="24"/>
        </w:rPr>
        <w:t xml:space="preserve"> mentioned above, NMFS would not conduct these surveys annually.  Depending on the fishery, NMFS plans to conduct each collection every 3 to 8 years.  However, because any number of things, including changing fishery conditions and management concerns, can</w:t>
      </w:r>
      <w:r>
        <w:rPr>
          <w:rFonts w:ascii="Times New Roman" w:eastAsia="Times New Roman" w:hAnsi="Times New Roman" w:cs="Times New Roman"/>
          <w:sz w:val="24"/>
          <w:szCs w:val="24"/>
        </w:rPr>
        <w:t xml:space="preserve"> affect the appropriate frequency of a survey for a specific fishery, with that one exception, NMFS is requesting approval to conduct each survey twice every 3 years.  Because the burden and cost estimates reflect that frequency, the actual average annual </w:t>
      </w:r>
      <w:r>
        <w:rPr>
          <w:rFonts w:ascii="Times New Roman" w:eastAsia="Times New Roman" w:hAnsi="Times New Roman" w:cs="Times New Roman"/>
          <w:sz w:val="24"/>
          <w:szCs w:val="24"/>
        </w:rPr>
        <w:t xml:space="preserve">burdens and costs would be less than the estimates if NMFS does not take advantage of the option to conduct each survey twice every 3 years.  </w:t>
      </w:r>
    </w:p>
    <w:p w:rsidR="0024103C" w14:paraId="000000BF" w14:textId="77777777">
      <w:pPr>
        <w:widowControl w:val="0"/>
        <w:spacing w:after="0" w:line="240" w:lineRule="auto"/>
        <w:rPr>
          <w:rFonts w:ascii="Times New Roman" w:eastAsia="Times New Roman" w:hAnsi="Times New Roman" w:cs="Times New Roman"/>
          <w:sz w:val="24"/>
          <w:szCs w:val="24"/>
        </w:rPr>
      </w:pPr>
    </w:p>
    <w:p w:rsidR="0024103C" w14:paraId="000000C0"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mini-ICR for each survey NMFS wants to conduct under the requested hybrid-generic clearance would include th</w:t>
      </w:r>
      <w:r>
        <w:rPr>
          <w:rFonts w:ascii="Times New Roman" w:eastAsia="Times New Roman" w:hAnsi="Times New Roman" w:cs="Times New Roman"/>
          <w:sz w:val="24"/>
          <w:szCs w:val="24"/>
        </w:rPr>
        <w:t>e types of information in Table 1.</w:t>
      </w:r>
    </w:p>
    <w:p w:rsidR="0024103C" w14:paraId="000000C1" w14:textId="77777777">
      <w:pPr>
        <w:widowControl w:val="0"/>
        <w:spacing w:after="0" w:line="240" w:lineRule="auto"/>
        <w:rPr>
          <w:rFonts w:ascii="Times New Roman" w:eastAsia="Times New Roman" w:hAnsi="Times New Roman" w:cs="Times New Roman"/>
          <w:sz w:val="24"/>
          <w:szCs w:val="24"/>
        </w:rPr>
      </w:pPr>
    </w:p>
    <w:p w:rsidR="003A67A7" w:rsidP="003A67A7" w14:paraId="5185C0FF" w14:textId="2A93AD8E">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Estimates of the Average Annual Number of Respondents and Burden (Item 12).</w:t>
      </w:r>
    </w:p>
    <w:p w:rsidR="00FF4784" w:rsidP="003A67A7" w14:paraId="03080816" w14:textId="6E71C090">
      <w:pPr>
        <w:widowControl w:val="0"/>
        <w:spacing w:after="0" w:line="240" w:lineRule="auto"/>
      </w:pPr>
      <w:r>
        <w:fldChar w:fldCharType="begin"/>
      </w:r>
      <w:r>
        <w:instrText xml:space="preserve"> LINK Excel.Sheet.12 "C:\\Documents\\My-Folders\\PRA Econ\\Com and Charter H-G 2022\\Tabs 12-15 H-G ICR package 06.30.2022.xlsx" "Tab </w:instrText>
      </w:r>
      <w:r>
        <w:instrText xml:space="preserve">12!R2C1:R5C9" \a \f 4 \h </w:instrText>
      </w:r>
      <w:r>
        <w:fldChar w:fldCharType="separate"/>
      </w:r>
    </w:p>
    <w:tbl>
      <w:tblPr>
        <w:tblW w:w="10100" w:type="dxa"/>
        <w:tblLook w:val="04A0"/>
      </w:tblPr>
      <w:tblGrid>
        <w:gridCol w:w="1831"/>
        <w:gridCol w:w="1094"/>
        <w:gridCol w:w="1149"/>
        <w:gridCol w:w="1016"/>
        <w:gridCol w:w="917"/>
        <w:gridCol w:w="1473"/>
        <w:gridCol w:w="711"/>
        <w:gridCol w:w="1066"/>
        <w:gridCol w:w="843"/>
      </w:tblGrid>
      <w:tr w14:paraId="30C1853F" w14:textId="77777777" w:rsidTr="00FF4784">
        <w:tblPrEx>
          <w:tblW w:w="10100" w:type="dxa"/>
          <w:tblLook w:val="04A0"/>
        </w:tblPrEx>
        <w:trPr>
          <w:divId w:val="562066858"/>
          <w:trHeight w:val="1113"/>
        </w:trPr>
        <w:tc>
          <w:tcPr>
            <w:tcW w:w="2393" w:type="dxa"/>
            <w:tcBorders>
              <w:top w:val="single" w:sz="4" w:space="0" w:color="auto"/>
              <w:left w:val="single" w:sz="4" w:space="0" w:color="auto"/>
              <w:bottom w:val="single" w:sz="4" w:space="0" w:color="auto"/>
              <w:right w:val="single" w:sz="4" w:space="0" w:color="auto"/>
            </w:tcBorders>
            <w:shd w:val="clear" w:color="000000" w:fill="BDD7EE"/>
            <w:hideMark/>
          </w:tcPr>
          <w:p w:rsidR="00FF4784" w:rsidRPr="00FF4784" w:rsidP="00FF4784" w14:paraId="373C012A" w14:textId="174311A1">
            <w:pPr>
              <w:spacing w:after="0" w:line="240" w:lineRule="auto"/>
              <w:jc w:val="center"/>
              <w:rPr>
                <w:rFonts w:eastAsia="Times New Roman"/>
                <w:b/>
                <w:bCs/>
                <w:color w:val="000000"/>
                <w:sz w:val="16"/>
                <w:szCs w:val="16"/>
              </w:rPr>
            </w:pPr>
            <w:r w:rsidRPr="00FF4784">
              <w:rPr>
                <w:rFonts w:eastAsia="Times New Roman"/>
                <w:b/>
                <w:bCs/>
                <w:color w:val="000000"/>
                <w:sz w:val="16"/>
                <w:szCs w:val="16"/>
              </w:rPr>
              <w:t>Information Collection</w:t>
            </w:r>
          </w:p>
        </w:tc>
        <w:tc>
          <w:tcPr>
            <w:tcW w:w="1050" w:type="dxa"/>
            <w:tcBorders>
              <w:top w:val="single" w:sz="4" w:space="0" w:color="auto"/>
              <w:left w:val="nil"/>
              <w:bottom w:val="single" w:sz="4" w:space="0" w:color="auto"/>
              <w:right w:val="single" w:sz="4" w:space="0" w:color="auto"/>
            </w:tcBorders>
            <w:shd w:val="clear" w:color="000000" w:fill="BDD7EE"/>
            <w:hideMark/>
          </w:tcPr>
          <w:p w:rsidR="00FF4784" w:rsidRPr="00FF4784" w:rsidP="00FF4784" w14:paraId="14058373"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Type of Respondent (e.g., Occupational Title)</w:t>
            </w:r>
          </w:p>
        </w:tc>
        <w:tc>
          <w:tcPr>
            <w:tcW w:w="1010" w:type="dxa"/>
            <w:tcBorders>
              <w:top w:val="single" w:sz="4" w:space="0" w:color="auto"/>
              <w:left w:val="nil"/>
              <w:bottom w:val="single" w:sz="4" w:space="0" w:color="auto"/>
              <w:right w:val="single" w:sz="4" w:space="0" w:color="auto"/>
            </w:tcBorders>
            <w:shd w:val="clear" w:color="000000" w:fill="BDD7EE"/>
            <w:hideMark/>
          </w:tcPr>
          <w:p w:rsidR="00FF4784" w:rsidRPr="00FF4784" w:rsidP="00FF4784" w14:paraId="3290886D"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 of Respondents/ Year</w:t>
            </w:r>
          </w:p>
        </w:tc>
        <w:tc>
          <w:tcPr>
            <w:tcW w:w="871" w:type="dxa"/>
            <w:tcBorders>
              <w:top w:val="single" w:sz="4" w:space="0" w:color="auto"/>
              <w:left w:val="nil"/>
              <w:bottom w:val="single" w:sz="4" w:space="0" w:color="auto"/>
              <w:right w:val="single" w:sz="4" w:space="0" w:color="auto"/>
            </w:tcBorders>
            <w:shd w:val="clear" w:color="000000" w:fill="BDD7EE"/>
            <w:hideMark/>
          </w:tcPr>
          <w:p w:rsidR="00FF4784" w:rsidRPr="00FF4784" w:rsidP="00FF4784" w14:paraId="6DCE9988"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Annual # of Responses/ Respondent</w:t>
            </w:r>
          </w:p>
        </w:tc>
        <w:tc>
          <w:tcPr>
            <w:tcW w:w="871" w:type="dxa"/>
            <w:tcBorders>
              <w:top w:val="single" w:sz="4" w:space="0" w:color="auto"/>
              <w:left w:val="nil"/>
              <w:bottom w:val="single" w:sz="4" w:space="0" w:color="auto"/>
              <w:right w:val="single" w:sz="4" w:space="0" w:color="auto"/>
            </w:tcBorders>
            <w:shd w:val="clear" w:color="000000" w:fill="BDD7EE"/>
            <w:hideMark/>
          </w:tcPr>
          <w:p w:rsidR="00FF4784" w:rsidRPr="00FF4784" w:rsidP="00FF4784" w14:paraId="29E4F1BD"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 xml:space="preserve"> Total # of Annual Responses</w:t>
            </w:r>
          </w:p>
        </w:tc>
        <w:tc>
          <w:tcPr>
            <w:tcW w:w="1287" w:type="dxa"/>
            <w:tcBorders>
              <w:top w:val="single" w:sz="4" w:space="0" w:color="auto"/>
              <w:left w:val="nil"/>
              <w:bottom w:val="single" w:sz="4" w:space="0" w:color="auto"/>
              <w:right w:val="single" w:sz="4" w:space="0" w:color="auto"/>
            </w:tcBorders>
            <w:shd w:val="clear" w:color="000000" w:fill="BDD7EE"/>
            <w:hideMark/>
          </w:tcPr>
          <w:p w:rsidR="00FF4784" w:rsidRPr="00FF4784" w:rsidP="00FF4784" w14:paraId="4F1AB8E6"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Burden Minutes/Response</w:t>
            </w:r>
          </w:p>
        </w:tc>
        <w:tc>
          <w:tcPr>
            <w:tcW w:w="718" w:type="dxa"/>
            <w:tcBorders>
              <w:top w:val="single" w:sz="4" w:space="0" w:color="auto"/>
              <w:left w:val="nil"/>
              <w:bottom w:val="single" w:sz="4" w:space="0" w:color="auto"/>
              <w:right w:val="single" w:sz="4" w:space="0" w:color="auto"/>
            </w:tcBorders>
            <w:shd w:val="clear" w:color="000000" w:fill="BDD7EE"/>
            <w:hideMark/>
          </w:tcPr>
          <w:p w:rsidR="00FF4784" w:rsidRPr="00FF4784" w:rsidP="00FF4784" w14:paraId="4F343635"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Total Annual Burden Hours</w:t>
            </w:r>
          </w:p>
        </w:tc>
        <w:tc>
          <w:tcPr>
            <w:tcW w:w="1045" w:type="dxa"/>
            <w:tcBorders>
              <w:top w:val="single" w:sz="4" w:space="0" w:color="auto"/>
              <w:left w:val="nil"/>
              <w:bottom w:val="single" w:sz="4" w:space="0" w:color="auto"/>
              <w:right w:val="single" w:sz="4" w:space="0" w:color="auto"/>
            </w:tcBorders>
            <w:shd w:val="clear" w:color="000000" w:fill="BDD7EE"/>
            <w:hideMark/>
          </w:tcPr>
          <w:p w:rsidR="00FF4784" w:rsidRPr="00FF4784" w:rsidP="00FF4784" w14:paraId="21106340"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 xml:space="preserve">Hourly Wage Rate  (for </w:t>
            </w:r>
            <w:r w:rsidRPr="00FF4784">
              <w:rPr>
                <w:rFonts w:eastAsia="Times New Roman"/>
                <w:b/>
                <w:bCs/>
                <w:color w:val="000000"/>
                <w:sz w:val="16"/>
                <w:szCs w:val="16"/>
              </w:rPr>
              <w:t>Type of Respondent)</w:t>
            </w:r>
          </w:p>
        </w:tc>
        <w:tc>
          <w:tcPr>
            <w:tcW w:w="855" w:type="dxa"/>
            <w:tcBorders>
              <w:top w:val="single" w:sz="4" w:space="0" w:color="auto"/>
              <w:left w:val="nil"/>
              <w:bottom w:val="single" w:sz="4" w:space="0" w:color="auto"/>
              <w:right w:val="single" w:sz="4" w:space="0" w:color="auto"/>
            </w:tcBorders>
            <w:shd w:val="clear" w:color="000000" w:fill="BDD7EE"/>
            <w:hideMark/>
          </w:tcPr>
          <w:p w:rsidR="00FF4784" w:rsidRPr="00FF4784" w:rsidP="00FF4784" w14:paraId="0CBC597B"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Total Annual Wage Burden Costs</w:t>
            </w:r>
          </w:p>
        </w:tc>
      </w:tr>
      <w:tr w14:paraId="282D8D16" w14:textId="77777777" w:rsidTr="00FF4784">
        <w:tblPrEx>
          <w:tblW w:w="10100" w:type="dxa"/>
          <w:tblLook w:val="04A0"/>
        </w:tblPrEx>
        <w:trPr>
          <w:divId w:val="562066858"/>
          <w:trHeight w:val="420"/>
        </w:trPr>
        <w:tc>
          <w:tcPr>
            <w:tcW w:w="2393" w:type="dxa"/>
            <w:tcBorders>
              <w:top w:val="nil"/>
              <w:left w:val="single" w:sz="4" w:space="0" w:color="auto"/>
              <w:bottom w:val="single" w:sz="4" w:space="0" w:color="auto"/>
              <w:right w:val="single" w:sz="4" w:space="0" w:color="auto"/>
            </w:tcBorders>
            <w:shd w:val="clear" w:color="000000" w:fill="BDD7EE"/>
            <w:hideMark/>
          </w:tcPr>
          <w:p w:rsidR="00FF4784" w:rsidRPr="00FF4784" w:rsidP="00FF4784" w14:paraId="0B219942"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 </w:t>
            </w:r>
          </w:p>
        </w:tc>
        <w:tc>
          <w:tcPr>
            <w:tcW w:w="1050" w:type="dxa"/>
            <w:tcBorders>
              <w:top w:val="nil"/>
              <w:left w:val="nil"/>
              <w:bottom w:val="single" w:sz="4" w:space="0" w:color="auto"/>
              <w:right w:val="single" w:sz="4" w:space="0" w:color="auto"/>
            </w:tcBorders>
            <w:shd w:val="clear" w:color="000000" w:fill="BDD7EE"/>
            <w:hideMark/>
          </w:tcPr>
          <w:p w:rsidR="00FF4784" w:rsidRPr="00FF4784" w:rsidP="00FF4784" w14:paraId="23012483"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 </w:t>
            </w:r>
          </w:p>
        </w:tc>
        <w:tc>
          <w:tcPr>
            <w:tcW w:w="1010" w:type="dxa"/>
            <w:tcBorders>
              <w:top w:val="nil"/>
              <w:left w:val="nil"/>
              <w:bottom w:val="single" w:sz="4" w:space="0" w:color="auto"/>
              <w:right w:val="single" w:sz="4" w:space="0" w:color="auto"/>
            </w:tcBorders>
            <w:shd w:val="clear" w:color="000000" w:fill="BDD7EE"/>
            <w:hideMark/>
          </w:tcPr>
          <w:p w:rsidR="00FF4784" w:rsidRPr="00FF4784" w:rsidP="00FF4784" w14:paraId="7DE27D84"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(a)</w:t>
            </w:r>
          </w:p>
        </w:tc>
        <w:tc>
          <w:tcPr>
            <w:tcW w:w="871" w:type="dxa"/>
            <w:tcBorders>
              <w:top w:val="nil"/>
              <w:left w:val="nil"/>
              <w:bottom w:val="single" w:sz="4" w:space="0" w:color="auto"/>
              <w:right w:val="single" w:sz="4" w:space="0" w:color="auto"/>
            </w:tcBorders>
            <w:shd w:val="clear" w:color="000000" w:fill="BDD7EE"/>
            <w:hideMark/>
          </w:tcPr>
          <w:p w:rsidR="00FF4784" w:rsidRPr="00FF4784" w:rsidP="00FF4784" w14:paraId="74F63F8A"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(b)</w:t>
            </w:r>
          </w:p>
        </w:tc>
        <w:tc>
          <w:tcPr>
            <w:tcW w:w="871" w:type="dxa"/>
            <w:tcBorders>
              <w:top w:val="nil"/>
              <w:left w:val="nil"/>
              <w:bottom w:val="single" w:sz="4" w:space="0" w:color="auto"/>
              <w:right w:val="single" w:sz="4" w:space="0" w:color="auto"/>
            </w:tcBorders>
            <w:shd w:val="clear" w:color="000000" w:fill="BDD7EE"/>
            <w:hideMark/>
          </w:tcPr>
          <w:p w:rsidR="00FF4784" w:rsidRPr="00FF4784" w:rsidP="00FF4784" w14:paraId="25F08473"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(c) = (a) x (b)</w:t>
            </w:r>
          </w:p>
        </w:tc>
        <w:tc>
          <w:tcPr>
            <w:tcW w:w="1287" w:type="dxa"/>
            <w:tcBorders>
              <w:top w:val="nil"/>
              <w:left w:val="nil"/>
              <w:bottom w:val="single" w:sz="4" w:space="0" w:color="auto"/>
              <w:right w:val="single" w:sz="4" w:space="0" w:color="auto"/>
            </w:tcBorders>
            <w:shd w:val="clear" w:color="000000" w:fill="BDD7EE"/>
            <w:hideMark/>
          </w:tcPr>
          <w:p w:rsidR="00FF4784" w:rsidRPr="00FF4784" w:rsidP="00FF4784" w14:paraId="1715F83C"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(d)</w:t>
            </w:r>
          </w:p>
        </w:tc>
        <w:tc>
          <w:tcPr>
            <w:tcW w:w="718" w:type="dxa"/>
            <w:tcBorders>
              <w:top w:val="nil"/>
              <w:left w:val="nil"/>
              <w:bottom w:val="single" w:sz="4" w:space="0" w:color="auto"/>
              <w:right w:val="single" w:sz="4" w:space="0" w:color="auto"/>
            </w:tcBorders>
            <w:shd w:val="clear" w:color="000000" w:fill="BDD7EE"/>
            <w:hideMark/>
          </w:tcPr>
          <w:p w:rsidR="00FF4784" w:rsidRPr="00FF4784" w:rsidP="00FF4784" w14:paraId="40E0E213"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(e)  = (c) x (d))/60</w:t>
            </w:r>
          </w:p>
        </w:tc>
        <w:tc>
          <w:tcPr>
            <w:tcW w:w="1045" w:type="dxa"/>
            <w:tcBorders>
              <w:top w:val="nil"/>
              <w:left w:val="nil"/>
              <w:bottom w:val="single" w:sz="4" w:space="0" w:color="auto"/>
              <w:right w:val="single" w:sz="4" w:space="0" w:color="auto"/>
            </w:tcBorders>
            <w:shd w:val="clear" w:color="000000" w:fill="BDD7EE"/>
            <w:hideMark/>
          </w:tcPr>
          <w:p w:rsidR="00FF4784" w:rsidRPr="00FF4784" w:rsidP="00FF4784" w14:paraId="0E4DC94C"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(f)</w:t>
            </w:r>
          </w:p>
        </w:tc>
        <w:tc>
          <w:tcPr>
            <w:tcW w:w="855" w:type="dxa"/>
            <w:tcBorders>
              <w:top w:val="nil"/>
              <w:left w:val="nil"/>
              <w:bottom w:val="single" w:sz="4" w:space="0" w:color="auto"/>
              <w:right w:val="single" w:sz="4" w:space="0" w:color="auto"/>
            </w:tcBorders>
            <w:shd w:val="clear" w:color="000000" w:fill="BDD7EE"/>
            <w:hideMark/>
          </w:tcPr>
          <w:p w:rsidR="00FF4784" w:rsidRPr="00FF4784" w:rsidP="00FF4784" w14:paraId="59302CA5"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(g) = (e) x (f)</w:t>
            </w:r>
          </w:p>
        </w:tc>
      </w:tr>
      <w:tr w14:paraId="3C061BF0" w14:textId="77777777" w:rsidTr="00FF4784">
        <w:tblPrEx>
          <w:tblW w:w="10100" w:type="dxa"/>
          <w:tblLook w:val="04A0"/>
        </w:tblPrEx>
        <w:trPr>
          <w:divId w:val="562066858"/>
          <w:trHeight w:val="648"/>
        </w:trPr>
        <w:tc>
          <w:tcPr>
            <w:tcW w:w="2393" w:type="dxa"/>
            <w:tcBorders>
              <w:top w:val="nil"/>
              <w:left w:val="single" w:sz="4" w:space="0" w:color="auto"/>
              <w:bottom w:val="single" w:sz="4" w:space="0" w:color="auto"/>
              <w:right w:val="single" w:sz="4" w:space="0" w:color="auto"/>
            </w:tcBorders>
            <w:shd w:val="clear" w:color="auto" w:fill="auto"/>
            <w:vAlign w:val="center"/>
            <w:hideMark/>
          </w:tcPr>
          <w:p w:rsidR="00FF4784" w:rsidRPr="00FF4784" w:rsidP="00FF4784" w14:paraId="768A41FB" w14:textId="77777777">
            <w:pPr>
              <w:spacing w:after="0" w:line="240" w:lineRule="auto"/>
              <w:rPr>
                <w:rFonts w:eastAsia="Times New Roman"/>
                <w:color w:val="000000"/>
                <w:sz w:val="16"/>
                <w:szCs w:val="16"/>
              </w:rPr>
            </w:pPr>
            <w:r w:rsidRPr="00FF4784">
              <w:rPr>
                <w:rFonts w:eastAsia="Times New Roman"/>
                <w:color w:val="000000"/>
                <w:sz w:val="16"/>
                <w:szCs w:val="16"/>
              </w:rPr>
              <w:t>Commercial and Charter Harvesting Sector Surveys</w:t>
            </w:r>
          </w:p>
        </w:tc>
        <w:tc>
          <w:tcPr>
            <w:tcW w:w="1050" w:type="dxa"/>
            <w:tcBorders>
              <w:top w:val="nil"/>
              <w:left w:val="nil"/>
              <w:bottom w:val="single" w:sz="4" w:space="0" w:color="auto"/>
              <w:right w:val="single" w:sz="4" w:space="0" w:color="auto"/>
            </w:tcBorders>
            <w:shd w:val="clear" w:color="auto" w:fill="auto"/>
            <w:vAlign w:val="center"/>
            <w:hideMark/>
          </w:tcPr>
          <w:p w:rsidR="00FF4784" w:rsidRPr="00FF4784" w:rsidP="00FF4784" w14:paraId="311234D8" w14:textId="77777777">
            <w:pPr>
              <w:spacing w:after="0" w:line="240" w:lineRule="auto"/>
              <w:jc w:val="center"/>
              <w:rPr>
                <w:rFonts w:eastAsia="Times New Roman"/>
                <w:color w:val="000000"/>
                <w:sz w:val="16"/>
                <w:szCs w:val="16"/>
              </w:rPr>
            </w:pPr>
            <w:r w:rsidRPr="00FF4784">
              <w:rPr>
                <w:rFonts w:eastAsia="Times New Roman"/>
                <w:color w:val="000000"/>
                <w:sz w:val="16"/>
                <w:szCs w:val="16"/>
              </w:rPr>
              <w:t>Commercial and Charter Fishing Captains</w:t>
            </w:r>
          </w:p>
        </w:tc>
        <w:tc>
          <w:tcPr>
            <w:tcW w:w="1010" w:type="dxa"/>
            <w:tcBorders>
              <w:top w:val="nil"/>
              <w:left w:val="nil"/>
              <w:bottom w:val="single" w:sz="4" w:space="0" w:color="auto"/>
              <w:right w:val="single" w:sz="4" w:space="0" w:color="auto"/>
            </w:tcBorders>
            <w:shd w:val="clear" w:color="auto" w:fill="auto"/>
            <w:vAlign w:val="center"/>
            <w:hideMark/>
          </w:tcPr>
          <w:p w:rsidR="00FF4784" w:rsidRPr="00FF4784" w:rsidP="00FF4784" w14:paraId="22820349" w14:textId="77777777">
            <w:pPr>
              <w:spacing w:after="0" w:line="240" w:lineRule="auto"/>
              <w:jc w:val="center"/>
              <w:rPr>
                <w:rFonts w:eastAsia="Times New Roman"/>
                <w:color w:val="000000"/>
                <w:sz w:val="16"/>
                <w:szCs w:val="16"/>
              </w:rPr>
            </w:pPr>
            <w:r w:rsidRPr="00FF4784">
              <w:rPr>
                <w:rFonts w:eastAsia="Times New Roman"/>
                <w:color w:val="000000"/>
                <w:sz w:val="16"/>
                <w:szCs w:val="16"/>
              </w:rPr>
              <w:t>5,202</w:t>
            </w:r>
          </w:p>
        </w:tc>
        <w:tc>
          <w:tcPr>
            <w:tcW w:w="871" w:type="dxa"/>
            <w:tcBorders>
              <w:top w:val="nil"/>
              <w:left w:val="nil"/>
              <w:bottom w:val="single" w:sz="4" w:space="0" w:color="auto"/>
              <w:right w:val="single" w:sz="4" w:space="0" w:color="auto"/>
            </w:tcBorders>
            <w:shd w:val="clear" w:color="auto" w:fill="auto"/>
            <w:vAlign w:val="center"/>
            <w:hideMark/>
          </w:tcPr>
          <w:p w:rsidR="00FF4784" w:rsidRPr="00FF4784" w:rsidP="00FF4784" w14:paraId="70C4BF90" w14:textId="77777777">
            <w:pPr>
              <w:spacing w:after="0" w:line="240" w:lineRule="auto"/>
              <w:jc w:val="center"/>
              <w:rPr>
                <w:rFonts w:eastAsia="Times New Roman"/>
                <w:color w:val="000000"/>
                <w:sz w:val="16"/>
                <w:szCs w:val="16"/>
              </w:rPr>
            </w:pPr>
            <w:r w:rsidRPr="00FF4784">
              <w:rPr>
                <w:rFonts w:eastAsia="Times New Roman"/>
                <w:color w:val="000000"/>
                <w:sz w:val="16"/>
                <w:szCs w:val="16"/>
              </w:rPr>
              <w:t>1.06</w:t>
            </w:r>
          </w:p>
        </w:tc>
        <w:tc>
          <w:tcPr>
            <w:tcW w:w="871" w:type="dxa"/>
            <w:tcBorders>
              <w:top w:val="nil"/>
              <w:left w:val="nil"/>
              <w:bottom w:val="single" w:sz="4" w:space="0" w:color="auto"/>
              <w:right w:val="single" w:sz="4" w:space="0" w:color="auto"/>
            </w:tcBorders>
            <w:shd w:val="clear" w:color="auto" w:fill="auto"/>
            <w:vAlign w:val="center"/>
            <w:hideMark/>
          </w:tcPr>
          <w:p w:rsidR="00FF4784" w:rsidRPr="00FF4784" w:rsidP="00FF4784" w14:paraId="46F5F26B" w14:textId="77777777">
            <w:pPr>
              <w:spacing w:after="0" w:line="240" w:lineRule="auto"/>
              <w:jc w:val="center"/>
              <w:rPr>
                <w:rFonts w:eastAsia="Times New Roman"/>
                <w:color w:val="000000"/>
                <w:sz w:val="16"/>
                <w:szCs w:val="16"/>
              </w:rPr>
            </w:pPr>
            <w:r w:rsidRPr="00FF4784">
              <w:rPr>
                <w:rFonts w:eastAsia="Times New Roman"/>
                <w:color w:val="000000"/>
                <w:sz w:val="16"/>
                <w:szCs w:val="16"/>
              </w:rPr>
              <w:t>5,538</w:t>
            </w:r>
          </w:p>
        </w:tc>
        <w:tc>
          <w:tcPr>
            <w:tcW w:w="1287" w:type="dxa"/>
            <w:tcBorders>
              <w:top w:val="nil"/>
              <w:left w:val="nil"/>
              <w:bottom w:val="single" w:sz="4" w:space="0" w:color="auto"/>
              <w:right w:val="single" w:sz="4" w:space="0" w:color="auto"/>
            </w:tcBorders>
            <w:shd w:val="clear" w:color="auto" w:fill="auto"/>
            <w:vAlign w:val="center"/>
            <w:hideMark/>
          </w:tcPr>
          <w:p w:rsidR="00FF4784" w:rsidRPr="00FF4784" w:rsidP="00FF4784" w14:paraId="6461DD7E" w14:textId="77777777">
            <w:pPr>
              <w:spacing w:after="0" w:line="240" w:lineRule="auto"/>
              <w:jc w:val="center"/>
              <w:rPr>
                <w:rFonts w:eastAsia="Times New Roman"/>
                <w:color w:val="000000"/>
                <w:sz w:val="16"/>
                <w:szCs w:val="16"/>
              </w:rPr>
            </w:pPr>
            <w:r w:rsidRPr="00FF4784">
              <w:rPr>
                <w:rFonts w:eastAsia="Times New Roman"/>
                <w:color w:val="000000"/>
                <w:sz w:val="16"/>
                <w:szCs w:val="16"/>
              </w:rPr>
              <w:t>61.6</w:t>
            </w:r>
          </w:p>
        </w:tc>
        <w:tc>
          <w:tcPr>
            <w:tcW w:w="718" w:type="dxa"/>
            <w:tcBorders>
              <w:top w:val="nil"/>
              <w:left w:val="nil"/>
              <w:bottom w:val="single" w:sz="4" w:space="0" w:color="auto"/>
              <w:right w:val="single" w:sz="4" w:space="0" w:color="auto"/>
            </w:tcBorders>
            <w:shd w:val="clear" w:color="auto" w:fill="auto"/>
            <w:vAlign w:val="center"/>
            <w:hideMark/>
          </w:tcPr>
          <w:p w:rsidR="00FF4784" w:rsidRPr="00FF4784" w:rsidP="00FF4784" w14:paraId="197B16D3" w14:textId="77777777">
            <w:pPr>
              <w:spacing w:after="0" w:line="240" w:lineRule="auto"/>
              <w:jc w:val="center"/>
              <w:rPr>
                <w:rFonts w:eastAsia="Times New Roman"/>
                <w:color w:val="000000"/>
                <w:sz w:val="16"/>
                <w:szCs w:val="16"/>
              </w:rPr>
            </w:pPr>
            <w:r w:rsidRPr="00FF4784">
              <w:rPr>
                <w:rFonts w:eastAsia="Times New Roman"/>
                <w:color w:val="000000"/>
                <w:sz w:val="16"/>
                <w:szCs w:val="16"/>
              </w:rPr>
              <w:t>5,686</w:t>
            </w:r>
          </w:p>
        </w:tc>
        <w:tc>
          <w:tcPr>
            <w:tcW w:w="1045" w:type="dxa"/>
            <w:tcBorders>
              <w:top w:val="nil"/>
              <w:left w:val="nil"/>
              <w:bottom w:val="single" w:sz="4" w:space="0" w:color="auto"/>
              <w:right w:val="single" w:sz="4" w:space="0" w:color="auto"/>
            </w:tcBorders>
            <w:shd w:val="clear" w:color="auto" w:fill="auto"/>
            <w:vAlign w:val="center"/>
            <w:hideMark/>
          </w:tcPr>
          <w:p w:rsidR="00FF4784" w:rsidRPr="00FF4784" w:rsidP="00FF4784" w14:paraId="22274D48" w14:textId="77777777">
            <w:pPr>
              <w:spacing w:after="0" w:line="240" w:lineRule="auto"/>
              <w:jc w:val="center"/>
              <w:rPr>
                <w:rFonts w:eastAsia="Times New Roman"/>
                <w:color w:val="000000"/>
                <w:sz w:val="16"/>
                <w:szCs w:val="16"/>
              </w:rPr>
            </w:pPr>
            <w:r w:rsidRPr="00FF4784">
              <w:rPr>
                <w:rFonts w:eastAsia="Times New Roman"/>
                <w:color w:val="000000"/>
                <w:sz w:val="16"/>
                <w:szCs w:val="16"/>
              </w:rPr>
              <w:t xml:space="preserve">$35.75 </w:t>
            </w:r>
          </w:p>
        </w:tc>
        <w:tc>
          <w:tcPr>
            <w:tcW w:w="855" w:type="dxa"/>
            <w:tcBorders>
              <w:top w:val="nil"/>
              <w:left w:val="nil"/>
              <w:bottom w:val="single" w:sz="4" w:space="0" w:color="auto"/>
              <w:right w:val="single" w:sz="4" w:space="0" w:color="auto"/>
            </w:tcBorders>
            <w:shd w:val="clear" w:color="auto" w:fill="auto"/>
            <w:vAlign w:val="center"/>
            <w:hideMark/>
          </w:tcPr>
          <w:p w:rsidR="00FF4784" w:rsidRPr="00FF4784" w:rsidP="00FF4784" w14:paraId="58CC9893" w14:textId="77777777">
            <w:pPr>
              <w:spacing w:after="0" w:line="240" w:lineRule="auto"/>
              <w:jc w:val="center"/>
              <w:rPr>
                <w:rFonts w:eastAsia="Times New Roman"/>
                <w:sz w:val="16"/>
                <w:szCs w:val="16"/>
              </w:rPr>
            </w:pPr>
            <w:r w:rsidRPr="00FF4784">
              <w:rPr>
                <w:rFonts w:eastAsia="Times New Roman"/>
                <w:sz w:val="16"/>
                <w:szCs w:val="16"/>
              </w:rPr>
              <w:t xml:space="preserve">$203,250 </w:t>
            </w:r>
          </w:p>
        </w:tc>
      </w:tr>
      <w:tr w14:paraId="6620E6CC" w14:textId="77777777" w:rsidTr="00FF4784">
        <w:tblPrEx>
          <w:tblW w:w="10100" w:type="dxa"/>
          <w:tblLook w:val="04A0"/>
        </w:tblPrEx>
        <w:trPr>
          <w:divId w:val="562066858"/>
          <w:trHeight w:val="210"/>
        </w:trPr>
        <w:tc>
          <w:tcPr>
            <w:tcW w:w="2393" w:type="dxa"/>
            <w:tcBorders>
              <w:top w:val="nil"/>
              <w:left w:val="single" w:sz="4" w:space="0" w:color="auto"/>
              <w:bottom w:val="single" w:sz="4" w:space="0" w:color="auto"/>
              <w:right w:val="single" w:sz="4" w:space="0" w:color="auto"/>
            </w:tcBorders>
            <w:shd w:val="clear" w:color="000000" w:fill="DDEBF7"/>
            <w:vAlign w:val="center"/>
            <w:hideMark/>
          </w:tcPr>
          <w:p w:rsidR="00FF4784" w:rsidRPr="00FF4784" w:rsidP="00FF4784" w14:paraId="516AAC8A" w14:textId="77777777">
            <w:pPr>
              <w:spacing w:after="0" w:line="240" w:lineRule="auto"/>
              <w:rPr>
                <w:rFonts w:eastAsia="Times New Roman"/>
                <w:b/>
                <w:bCs/>
                <w:color w:val="000000"/>
                <w:sz w:val="16"/>
                <w:szCs w:val="16"/>
              </w:rPr>
            </w:pPr>
            <w:r w:rsidRPr="00FF4784">
              <w:rPr>
                <w:rFonts w:eastAsia="Times New Roman"/>
                <w:b/>
                <w:bCs/>
                <w:color w:val="000000"/>
                <w:sz w:val="16"/>
                <w:szCs w:val="16"/>
              </w:rPr>
              <w:t>Totals</w:t>
            </w:r>
          </w:p>
        </w:tc>
        <w:tc>
          <w:tcPr>
            <w:tcW w:w="1050" w:type="dxa"/>
            <w:tcBorders>
              <w:top w:val="nil"/>
              <w:left w:val="nil"/>
              <w:bottom w:val="single" w:sz="4" w:space="0" w:color="auto"/>
              <w:right w:val="single" w:sz="4" w:space="0" w:color="auto"/>
            </w:tcBorders>
            <w:shd w:val="clear" w:color="000000" w:fill="000000"/>
            <w:vAlign w:val="center"/>
            <w:hideMark/>
          </w:tcPr>
          <w:p w:rsidR="00FF4784" w:rsidRPr="00FF4784" w:rsidP="00FF4784" w14:paraId="046A089F" w14:textId="77777777">
            <w:pPr>
              <w:spacing w:after="0" w:line="240" w:lineRule="auto"/>
              <w:rPr>
                <w:rFonts w:eastAsia="Times New Roman"/>
                <w:b/>
                <w:bCs/>
                <w:color w:val="000000"/>
                <w:sz w:val="16"/>
                <w:szCs w:val="16"/>
              </w:rPr>
            </w:pPr>
            <w:r w:rsidRPr="00FF4784">
              <w:rPr>
                <w:rFonts w:eastAsia="Times New Roman"/>
                <w:b/>
                <w:bCs/>
                <w:color w:val="000000"/>
                <w:sz w:val="16"/>
                <w:szCs w:val="16"/>
              </w:rPr>
              <w:t> </w:t>
            </w:r>
          </w:p>
        </w:tc>
        <w:tc>
          <w:tcPr>
            <w:tcW w:w="1010" w:type="dxa"/>
            <w:tcBorders>
              <w:top w:val="nil"/>
              <w:left w:val="nil"/>
              <w:bottom w:val="single" w:sz="4" w:space="0" w:color="auto"/>
              <w:right w:val="single" w:sz="4" w:space="0" w:color="auto"/>
            </w:tcBorders>
            <w:shd w:val="clear" w:color="000000" w:fill="DDEBF7"/>
            <w:vAlign w:val="center"/>
            <w:hideMark/>
          </w:tcPr>
          <w:p w:rsidR="00FF4784" w:rsidRPr="00FF4784" w:rsidP="00FF4784" w14:paraId="72D9711C"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5,202</w:t>
            </w:r>
          </w:p>
        </w:tc>
        <w:tc>
          <w:tcPr>
            <w:tcW w:w="871" w:type="dxa"/>
            <w:tcBorders>
              <w:top w:val="nil"/>
              <w:left w:val="nil"/>
              <w:bottom w:val="single" w:sz="4" w:space="0" w:color="auto"/>
              <w:right w:val="single" w:sz="4" w:space="0" w:color="auto"/>
            </w:tcBorders>
            <w:shd w:val="clear" w:color="000000" w:fill="000000"/>
            <w:vAlign w:val="center"/>
            <w:hideMark/>
          </w:tcPr>
          <w:p w:rsidR="00FF4784" w:rsidRPr="00FF4784" w:rsidP="00FF4784" w14:paraId="1AD5259A"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 </w:t>
            </w:r>
          </w:p>
        </w:tc>
        <w:tc>
          <w:tcPr>
            <w:tcW w:w="871" w:type="dxa"/>
            <w:tcBorders>
              <w:top w:val="nil"/>
              <w:left w:val="nil"/>
              <w:bottom w:val="single" w:sz="4" w:space="0" w:color="auto"/>
              <w:right w:val="single" w:sz="4" w:space="0" w:color="auto"/>
            </w:tcBorders>
            <w:shd w:val="clear" w:color="000000" w:fill="DDEBF7"/>
            <w:vAlign w:val="center"/>
            <w:hideMark/>
          </w:tcPr>
          <w:p w:rsidR="00FF4784" w:rsidRPr="00FF4784" w:rsidP="00FF4784" w14:paraId="7E10441B"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5,538</w:t>
            </w:r>
          </w:p>
        </w:tc>
        <w:tc>
          <w:tcPr>
            <w:tcW w:w="1287" w:type="dxa"/>
            <w:tcBorders>
              <w:top w:val="nil"/>
              <w:left w:val="nil"/>
              <w:bottom w:val="single" w:sz="4" w:space="0" w:color="auto"/>
              <w:right w:val="single" w:sz="4" w:space="0" w:color="auto"/>
            </w:tcBorders>
            <w:shd w:val="clear" w:color="000000" w:fill="000000"/>
            <w:vAlign w:val="center"/>
            <w:hideMark/>
          </w:tcPr>
          <w:p w:rsidR="00FF4784" w:rsidRPr="00FF4784" w:rsidP="00FF4784" w14:paraId="5111C4BB"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 </w:t>
            </w:r>
          </w:p>
        </w:tc>
        <w:tc>
          <w:tcPr>
            <w:tcW w:w="718" w:type="dxa"/>
            <w:tcBorders>
              <w:top w:val="nil"/>
              <w:left w:val="nil"/>
              <w:bottom w:val="single" w:sz="4" w:space="0" w:color="auto"/>
              <w:right w:val="single" w:sz="4" w:space="0" w:color="auto"/>
            </w:tcBorders>
            <w:shd w:val="clear" w:color="000000" w:fill="DDEBF7"/>
            <w:vAlign w:val="center"/>
            <w:hideMark/>
          </w:tcPr>
          <w:p w:rsidR="00FF4784" w:rsidRPr="00FF4784" w:rsidP="00FF4784" w14:paraId="31B51CC4"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5,686</w:t>
            </w:r>
          </w:p>
        </w:tc>
        <w:tc>
          <w:tcPr>
            <w:tcW w:w="1045" w:type="dxa"/>
            <w:tcBorders>
              <w:top w:val="nil"/>
              <w:left w:val="nil"/>
              <w:bottom w:val="single" w:sz="4" w:space="0" w:color="auto"/>
              <w:right w:val="single" w:sz="4" w:space="0" w:color="auto"/>
            </w:tcBorders>
            <w:shd w:val="clear" w:color="000000" w:fill="000000"/>
            <w:vAlign w:val="center"/>
            <w:hideMark/>
          </w:tcPr>
          <w:p w:rsidR="00FF4784" w:rsidRPr="00FF4784" w:rsidP="00FF4784" w14:paraId="0C1D5516"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 </w:t>
            </w:r>
          </w:p>
        </w:tc>
        <w:tc>
          <w:tcPr>
            <w:tcW w:w="855" w:type="dxa"/>
            <w:tcBorders>
              <w:top w:val="nil"/>
              <w:left w:val="nil"/>
              <w:bottom w:val="single" w:sz="4" w:space="0" w:color="auto"/>
              <w:right w:val="single" w:sz="4" w:space="0" w:color="auto"/>
            </w:tcBorders>
            <w:shd w:val="clear" w:color="000000" w:fill="DDEBF7"/>
            <w:vAlign w:val="center"/>
            <w:hideMark/>
          </w:tcPr>
          <w:p w:rsidR="00FF4784" w:rsidRPr="00FF4784" w:rsidP="00FF4784" w14:paraId="5C55E437"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 xml:space="preserve">$203,250 </w:t>
            </w:r>
          </w:p>
        </w:tc>
      </w:tr>
    </w:tbl>
    <w:p w:rsidR="00981405" w:rsidP="003A67A7" w14:paraId="48625F71" w14:textId="76F2C3BE">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p w:rsidR="0024103C" w:rsidRPr="00981405" w:rsidP="00981405" w14:paraId="000000E9" w14:textId="7191D6DB">
      <w:pPr>
        <w:pStyle w:val="ListParagraph"/>
        <w:widowControl w:val="0"/>
        <w:numPr>
          <w:ilvl w:val="0"/>
          <w:numId w:val="15"/>
        </w:numPr>
        <w:spacing w:after="0" w:line="240" w:lineRule="auto"/>
        <w:rPr>
          <w:rFonts w:ascii="Times New Roman" w:eastAsia="Times New Roman" w:hAnsi="Times New Roman" w:cs="Times New Roman"/>
          <w:color w:val="000000"/>
          <w:sz w:val="24"/>
          <w:szCs w:val="24"/>
        </w:rPr>
      </w:pPr>
      <w:r w:rsidRPr="00981405">
        <w:rPr>
          <w:rFonts w:ascii="Times New Roman" w:eastAsia="Times New Roman" w:hAnsi="Times New Roman" w:cs="Times New Roman"/>
          <w:b/>
          <w:color w:val="000000"/>
          <w:sz w:val="24"/>
          <w:szCs w:val="24"/>
        </w:rPr>
        <w:t xml:space="preserve">Provide an estimate for the total annual cost burden to respondents or record keepers resulting from the collection of information. (Do not include the cost of any hour burden already reflected on </w:t>
      </w:r>
      <w:r w:rsidRPr="00981405">
        <w:rPr>
          <w:rFonts w:ascii="Times New Roman" w:eastAsia="Times New Roman" w:hAnsi="Times New Roman" w:cs="Times New Roman"/>
          <w:b/>
          <w:color w:val="000000"/>
          <w:sz w:val="24"/>
          <w:szCs w:val="24"/>
        </w:rPr>
        <w:t>the burden worksheet).</w:t>
      </w:r>
    </w:p>
    <w:p w:rsidR="0024103C" w14:paraId="000000EA" w14:textId="77777777">
      <w:pPr>
        <w:widowControl w:val="0"/>
        <w:tabs>
          <w:tab w:val="left" w:pos="540"/>
        </w:tabs>
        <w:spacing w:after="0" w:line="240" w:lineRule="auto"/>
        <w:rPr>
          <w:rFonts w:ascii="Times New Roman" w:eastAsia="Times New Roman" w:hAnsi="Times New Roman" w:cs="Times New Roman"/>
          <w:sz w:val="24"/>
          <w:szCs w:val="24"/>
        </w:rPr>
      </w:pPr>
    </w:p>
    <w:p w:rsidR="0024103C" w14:paraId="000000EB" w14:textId="7777777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costs to respondents.  Respondents would use envelopes with prepaid postage for any information collected by mail.</w:t>
      </w:r>
    </w:p>
    <w:p w:rsidR="0024103C" w14:paraId="000000EC"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ED" w14:textId="77777777">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Provide estimates of annualized cost to the Federal government.  Also, provide a description of the </w:t>
      </w:r>
      <w:r>
        <w:rPr>
          <w:rFonts w:ascii="Times New Roman" w:eastAsia="Times New Roman" w:hAnsi="Times New Roman" w:cs="Times New Roman"/>
          <w:b/>
          <w:color w:val="000000"/>
          <w:sz w:val="24"/>
          <w:szCs w:val="24"/>
        </w:rPr>
        <w:t>method used to estimate cost, which should include quantification of hours, operational expenses (such as equipment, overhead, printing, and support staff), and any other expense that would not have been incurred without this collection of information.</w:t>
      </w:r>
    </w:p>
    <w:p w:rsidR="0024103C" w14:paraId="000000E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EF" w14:textId="51C63B3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is hybrid-generic clearance would involve approximately 20 NMFS employees who would devote a portion of their time, aside from normal duties, to plan, coordinate, administer, or monitor the individual surveys.  NMFS estimates that in total they would spend</w:t>
      </w:r>
      <w:r>
        <w:rPr>
          <w:rFonts w:ascii="Times New Roman" w:eastAsia="Times New Roman" w:hAnsi="Times New Roman" w:cs="Times New Roman"/>
          <w:color w:val="000000"/>
          <w:sz w:val="24"/>
          <w:szCs w:val="24"/>
        </w:rPr>
        <w:t xml:space="preserve"> about 5.400 hours per year for an average annual cost of $517,431.  NMFS would use contracts to administer most of the individual surveys.  Based on the costs of similar recent contracts, the </w:t>
      </w:r>
      <w:r w:rsidR="00A9743B">
        <w:rPr>
          <w:rFonts w:ascii="Times New Roman" w:eastAsia="Times New Roman" w:hAnsi="Times New Roman" w:cs="Times New Roman"/>
          <w:color w:val="000000"/>
          <w:sz w:val="24"/>
          <w:szCs w:val="24"/>
        </w:rPr>
        <w:t xml:space="preserve">total </w:t>
      </w:r>
      <w:r>
        <w:rPr>
          <w:rFonts w:ascii="Times New Roman" w:eastAsia="Times New Roman" w:hAnsi="Times New Roman" w:cs="Times New Roman"/>
          <w:color w:val="000000"/>
          <w:sz w:val="24"/>
          <w:szCs w:val="24"/>
        </w:rPr>
        <w:t xml:space="preserve">annual contractor costs would be $997,633.  In addition, </w:t>
      </w:r>
      <w:r>
        <w:rPr>
          <w:rFonts w:ascii="Times New Roman" w:eastAsia="Times New Roman" w:hAnsi="Times New Roman" w:cs="Times New Roman"/>
          <w:color w:val="000000"/>
          <w:sz w:val="24"/>
          <w:szCs w:val="24"/>
        </w:rPr>
        <w:t xml:space="preserve">the </w:t>
      </w:r>
      <w:r w:rsidR="00A9743B">
        <w:rPr>
          <w:rFonts w:ascii="Times New Roman" w:eastAsia="Times New Roman" w:hAnsi="Times New Roman" w:cs="Times New Roman"/>
          <w:color w:val="000000"/>
          <w:sz w:val="24"/>
          <w:szCs w:val="24"/>
        </w:rPr>
        <w:t xml:space="preserve">total </w:t>
      </w:r>
      <w:r>
        <w:rPr>
          <w:rFonts w:ascii="Times New Roman" w:eastAsia="Times New Roman" w:hAnsi="Times New Roman" w:cs="Times New Roman"/>
          <w:color w:val="000000"/>
          <w:sz w:val="24"/>
          <w:szCs w:val="24"/>
        </w:rPr>
        <w:t xml:space="preserve">annual cost of other expenses (e.g., printing, supplies and travel) would be $47,666.  Therefore, the </w:t>
      </w:r>
      <w:r w:rsidR="00A9743B">
        <w:rPr>
          <w:rFonts w:ascii="Times New Roman" w:eastAsia="Times New Roman" w:hAnsi="Times New Roman" w:cs="Times New Roman"/>
          <w:color w:val="000000"/>
          <w:sz w:val="24"/>
          <w:szCs w:val="24"/>
        </w:rPr>
        <w:t xml:space="preserve">total </w:t>
      </w:r>
      <w:r>
        <w:rPr>
          <w:rFonts w:ascii="Times New Roman" w:eastAsia="Times New Roman" w:hAnsi="Times New Roman" w:cs="Times New Roman"/>
          <w:color w:val="000000"/>
          <w:sz w:val="24"/>
          <w:szCs w:val="24"/>
        </w:rPr>
        <w:t>annual cost to NMFS would be $1,562,730 and the total cost over three years would be almost $4.7 million.</w:t>
      </w:r>
    </w:p>
    <w:p w:rsidR="0024103C" w14:paraId="000000F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0F1"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each individual survey NMFS</w:t>
      </w:r>
      <w:r>
        <w:rPr>
          <w:rFonts w:ascii="Times New Roman" w:eastAsia="Times New Roman" w:hAnsi="Times New Roman" w:cs="Times New Roman"/>
          <w:color w:val="000000"/>
          <w:sz w:val="24"/>
          <w:szCs w:val="24"/>
        </w:rPr>
        <w:t xml:space="preserve"> wants to conduct under this hybrid-generic clearance, it would submit a mini-ICR, which would provide the types of information in Table 2.</w:t>
      </w:r>
    </w:p>
    <w:p w:rsidR="0024103C" w14:paraId="000000F2" w14:textId="7777777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C36EAD" w14:paraId="23DB8848" w14:textId="7777777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24103C" w14:paraId="000000F5" w14:textId="47A86FF3">
      <w:pPr>
        <w:pBdr>
          <w:top w:val="nil"/>
          <w:left w:val="nil"/>
          <w:bottom w:val="nil"/>
          <w:right w:val="nil"/>
          <w:between w:val="nil"/>
        </w:pBdr>
        <w:spacing w:after="0" w:line="240" w:lineRule="auto"/>
        <w:rPr>
          <w:color w:val="000000"/>
        </w:rPr>
      </w:pPr>
      <w:r>
        <w:rPr>
          <w:rFonts w:ascii="Times New Roman" w:eastAsia="Times New Roman" w:hAnsi="Times New Roman" w:cs="Times New Roman"/>
          <w:b/>
          <w:color w:val="000000"/>
          <w:sz w:val="24"/>
          <w:szCs w:val="24"/>
        </w:rPr>
        <w:t>Table 2.  Estimates of the Average Annual Federal Government Costs (Item.14).</w:t>
      </w:r>
    </w:p>
    <w:p w:rsidR="00FF4784" w14:paraId="525CD967" w14:textId="024A5A57">
      <w:pPr>
        <w:pBdr>
          <w:top w:val="nil"/>
          <w:left w:val="nil"/>
          <w:bottom w:val="nil"/>
          <w:right w:val="nil"/>
          <w:between w:val="nil"/>
        </w:pBdr>
        <w:spacing w:after="0" w:line="240" w:lineRule="auto"/>
      </w:pPr>
      <w:r>
        <w:fldChar w:fldCharType="begin"/>
      </w:r>
      <w:r>
        <w:instrText xml:space="preserve"> LINK </w:instrText>
      </w:r>
      <w:r>
        <w:instrText xml:space="preserve">Excel.Sheet.12 "C:\\Documents\\My-Folders\\PRA Econ\\Com and Charter H-G 2022\\Tabs 12-15 H-G ICR package 06.30.2022.xlsx" "Tab 14!R3C1:R7C6" \a \f 4 \h </w:instrText>
      </w:r>
      <w:r>
        <w:fldChar w:fldCharType="separate"/>
      </w:r>
    </w:p>
    <w:tbl>
      <w:tblPr>
        <w:tblW w:w="7580" w:type="dxa"/>
        <w:tblLook w:val="04A0"/>
      </w:tblPr>
      <w:tblGrid>
        <w:gridCol w:w="1880"/>
        <w:gridCol w:w="960"/>
        <w:gridCol w:w="960"/>
        <w:gridCol w:w="960"/>
        <w:gridCol w:w="1320"/>
        <w:gridCol w:w="1500"/>
      </w:tblGrid>
      <w:tr w14:paraId="49769B79" w14:textId="77777777" w:rsidTr="00FF4784">
        <w:tblPrEx>
          <w:tblW w:w="7580" w:type="dxa"/>
          <w:tblLook w:val="04A0"/>
        </w:tblPrEx>
        <w:trPr>
          <w:divId w:val="1139036573"/>
          <w:trHeight w:val="420"/>
        </w:trPr>
        <w:tc>
          <w:tcPr>
            <w:tcW w:w="1880"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FF4784" w:rsidRPr="00FF4784" w:rsidP="00FF4784" w14:paraId="0EB7115E" w14:textId="45831F84">
            <w:pPr>
              <w:spacing w:after="0" w:line="240" w:lineRule="auto"/>
              <w:jc w:val="center"/>
              <w:rPr>
                <w:rFonts w:eastAsia="Times New Roman"/>
                <w:b/>
                <w:bCs/>
                <w:color w:val="000000"/>
                <w:sz w:val="16"/>
                <w:szCs w:val="16"/>
              </w:rPr>
            </w:pPr>
            <w:r w:rsidRPr="00FF4784">
              <w:rPr>
                <w:rFonts w:eastAsia="Times New Roman"/>
                <w:b/>
                <w:bCs/>
                <w:color w:val="000000"/>
                <w:sz w:val="16"/>
                <w:szCs w:val="16"/>
              </w:rPr>
              <w:t>All FSCs and ST5</w:t>
            </w:r>
          </w:p>
        </w:tc>
        <w:tc>
          <w:tcPr>
            <w:tcW w:w="960" w:type="dxa"/>
            <w:tcBorders>
              <w:top w:val="single" w:sz="4" w:space="0" w:color="auto"/>
              <w:left w:val="nil"/>
              <w:bottom w:val="single" w:sz="4" w:space="0" w:color="auto"/>
              <w:right w:val="single" w:sz="4" w:space="0" w:color="auto"/>
            </w:tcBorders>
            <w:shd w:val="clear" w:color="000000" w:fill="BDD7EE"/>
            <w:vAlign w:val="center"/>
            <w:hideMark/>
          </w:tcPr>
          <w:p w:rsidR="00FF4784" w:rsidRPr="00FF4784" w:rsidP="00FF4784" w14:paraId="2021F727"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Grade/ Step</w:t>
            </w:r>
          </w:p>
        </w:tc>
        <w:tc>
          <w:tcPr>
            <w:tcW w:w="960" w:type="dxa"/>
            <w:tcBorders>
              <w:top w:val="single" w:sz="4" w:space="0" w:color="auto"/>
              <w:left w:val="nil"/>
              <w:bottom w:val="single" w:sz="4" w:space="0" w:color="auto"/>
              <w:right w:val="single" w:sz="4" w:space="0" w:color="auto"/>
            </w:tcBorders>
            <w:shd w:val="clear" w:color="000000" w:fill="BDD7EE"/>
            <w:vAlign w:val="center"/>
            <w:hideMark/>
          </w:tcPr>
          <w:p w:rsidR="00FF4784" w:rsidRPr="00FF4784" w:rsidP="00FF4784" w14:paraId="521348E4"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Loaded Salary Cost</w:t>
            </w:r>
          </w:p>
        </w:tc>
        <w:tc>
          <w:tcPr>
            <w:tcW w:w="960" w:type="dxa"/>
            <w:tcBorders>
              <w:top w:val="single" w:sz="4" w:space="0" w:color="auto"/>
              <w:left w:val="nil"/>
              <w:bottom w:val="single" w:sz="4" w:space="0" w:color="auto"/>
              <w:right w:val="single" w:sz="4" w:space="0" w:color="auto"/>
            </w:tcBorders>
            <w:shd w:val="clear" w:color="000000" w:fill="BDD7EE"/>
            <w:vAlign w:val="center"/>
            <w:hideMark/>
          </w:tcPr>
          <w:p w:rsidR="00FF4784" w:rsidRPr="00FF4784" w:rsidP="00FF4784" w14:paraId="48E035BC"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 of Effort</w:t>
            </w:r>
          </w:p>
        </w:tc>
        <w:tc>
          <w:tcPr>
            <w:tcW w:w="1320" w:type="dxa"/>
            <w:tcBorders>
              <w:top w:val="single" w:sz="4" w:space="0" w:color="auto"/>
              <w:left w:val="nil"/>
              <w:bottom w:val="single" w:sz="4" w:space="0" w:color="auto"/>
              <w:right w:val="single" w:sz="4" w:space="0" w:color="auto"/>
            </w:tcBorders>
            <w:shd w:val="clear" w:color="000000" w:fill="BDD7EE"/>
            <w:vAlign w:val="center"/>
            <w:hideMark/>
          </w:tcPr>
          <w:p w:rsidR="00FF4784" w:rsidRPr="00FF4784" w:rsidP="00FF4784" w14:paraId="5C7A3E25"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Fringe (if Applicable)</w:t>
            </w:r>
          </w:p>
        </w:tc>
        <w:tc>
          <w:tcPr>
            <w:tcW w:w="1500" w:type="dxa"/>
            <w:tcBorders>
              <w:top w:val="single" w:sz="4" w:space="0" w:color="auto"/>
              <w:left w:val="nil"/>
              <w:bottom w:val="single" w:sz="4" w:space="0" w:color="auto"/>
              <w:right w:val="single" w:sz="4" w:space="0" w:color="auto"/>
            </w:tcBorders>
            <w:shd w:val="clear" w:color="000000" w:fill="BDD7EE"/>
            <w:vAlign w:val="center"/>
            <w:hideMark/>
          </w:tcPr>
          <w:p w:rsidR="00FF4784" w:rsidRPr="00FF4784" w:rsidP="00FF4784" w14:paraId="58AEEAE8" w14:textId="77777777">
            <w:pPr>
              <w:spacing w:after="0" w:line="240" w:lineRule="auto"/>
              <w:jc w:val="center"/>
              <w:rPr>
                <w:rFonts w:eastAsia="Times New Roman"/>
                <w:b/>
                <w:bCs/>
                <w:color w:val="000000"/>
                <w:sz w:val="16"/>
                <w:szCs w:val="16"/>
              </w:rPr>
            </w:pPr>
            <w:r w:rsidRPr="00FF4784">
              <w:rPr>
                <w:rFonts w:eastAsia="Times New Roman"/>
                <w:b/>
                <w:bCs/>
                <w:color w:val="000000"/>
                <w:sz w:val="16"/>
                <w:szCs w:val="16"/>
              </w:rPr>
              <w:t xml:space="preserve">Total Cost to </w:t>
            </w:r>
            <w:r w:rsidRPr="00FF4784">
              <w:rPr>
                <w:rFonts w:eastAsia="Times New Roman"/>
                <w:b/>
                <w:bCs/>
                <w:color w:val="000000"/>
                <w:sz w:val="16"/>
                <w:szCs w:val="16"/>
              </w:rPr>
              <w:t>Government</w:t>
            </w:r>
          </w:p>
        </w:tc>
      </w:tr>
      <w:tr w14:paraId="5B61A01F" w14:textId="77777777" w:rsidTr="00FF4784">
        <w:tblPrEx>
          <w:tblW w:w="7580" w:type="dxa"/>
          <w:tblLook w:val="04A0"/>
        </w:tblPrEx>
        <w:trPr>
          <w:divId w:val="1139036573"/>
          <w:trHeight w:val="210"/>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FF4784" w:rsidRPr="00FF4784" w:rsidP="00FF4784" w14:paraId="66375EF3" w14:textId="77777777">
            <w:pPr>
              <w:spacing w:after="0" w:line="240" w:lineRule="auto"/>
              <w:rPr>
                <w:rFonts w:eastAsia="Times New Roman"/>
                <w:color w:val="000000"/>
                <w:sz w:val="16"/>
                <w:szCs w:val="16"/>
              </w:rPr>
            </w:pPr>
            <w:r w:rsidRPr="00FF4784">
              <w:rPr>
                <w:rFonts w:eastAsia="Times New Roman"/>
                <w:color w:val="000000"/>
                <w:sz w:val="16"/>
                <w:szCs w:val="16"/>
              </w:rPr>
              <w:t>Federal Oversight etc.</w:t>
            </w:r>
          </w:p>
        </w:tc>
        <w:tc>
          <w:tcPr>
            <w:tcW w:w="960" w:type="dxa"/>
            <w:tcBorders>
              <w:top w:val="nil"/>
              <w:left w:val="nil"/>
              <w:bottom w:val="single" w:sz="4" w:space="0" w:color="auto"/>
              <w:right w:val="single" w:sz="4" w:space="0" w:color="auto"/>
            </w:tcBorders>
            <w:shd w:val="clear" w:color="000000" w:fill="FFFFFF"/>
            <w:vAlign w:val="center"/>
            <w:hideMark/>
          </w:tcPr>
          <w:p w:rsidR="00FF4784" w:rsidRPr="00FF4784" w:rsidP="00FF4784" w14:paraId="754282FD" w14:textId="77777777">
            <w:pPr>
              <w:spacing w:after="0" w:line="240" w:lineRule="auto"/>
              <w:rPr>
                <w:rFonts w:eastAsia="Times New Roman"/>
                <w:color w:val="000000"/>
                <w:sz w:val="16"/>
                <w:szCs w:val="16"/>
              </w:rPr>
            </w:pPr>
            <w:r w:rsidRPr="00FF4784">
              <w:rPr>
                <w:rFonts w:eastAsia="Times New Roman"/>
                <w:color w:val="000000"/>
                <w:sz w:val="16"/>
                <w:szCs w:val="16"/>
              </w:rPr>
              <w:t>mainly IV</w:t>
            </w:r>
          </w:p>
        </w:tc>
        <w:tc>
          <w:tcPr>
            <w:tcW w:w="960" w:type="dxa"/>
            <w:tcBorders>
              <w:top w:val="nil"/>
              <w:left w:val="nil"/>
              <w:bottom w:val="single" w:sz="4" w:space="0" w:color="auto"/>
              <w:right w:val="single" w:sz="4" w:space="0" w:color="auto"/>
            </w:tcBorders>
            <w:shd w:val="clear" w:color="000000" w:fill="FFFFFF"/>
            <w:vAlign w:val="center"/>
            <w:hideMark/>
          </w:tcPr>
          <w:p w:rsidR="00FF4784" w:rsidRPr="00FF4784" w:rsidP="00FF4784" w14:paraId="13A827A3" w14:textId="77777777">
            <w:pPr>
              <w:spacing w:after="0" w:line="240" w:lineRule="auto"/>
              <w:jc w:val="right"/>
              <w:rPr>
                <w:rFonts w:eastAsia="Times New Roman"/>
                <w:color w:val="000000"/>
                <w:sz w:val="16"/>
                <w:szCs w:val="16"/>
              </w:rPr>
            </w:pPr>
            <w:r w:rsidRPr="00FF4784">
              <w:rPr>
                <w:rFonts w:eastAsia="Times New Roman"/>
                <w:color w:val="000000"/>
                <w:sz w:val="16"/>
                <w:szCs w:val="16"/>
              </w:rPr>
              <w:t xml:space="preserve">$201,022 </w:t>
            </w:r>
          </w:p>
        </w:tc>
        <w:tc>
          <w:tcPr>
            <w:tcW w:w="960" w:type="dxa"/>
            <w:tcBorders>
              <w:top w:val="nil"/>
              <w:left w:val="nil"/>
              <w:bottom w:val="single" w:sz="4" w:space="0" w:color="auto"/>
              <w:right w:val="single" w:sz="4" w:space="0" w:color="auto"/>
            </w:tcBorders>
            <w:shd w:val="clear" w:color="000000" w:fill="FFFFFF"/>
            <w:vAlign w:val="center"/>
            <w:hideMark/>
          </w:tcPr>
          <w:p w:rsidR="00FF4784" w:rsidRPr="00FF4784" w:rsidP="00FF4784" w14:paraId="35055848" w14:textId="77777777">
            <w:pPr>
              <w:spacing w:after="0" w:line="240" w:lineRule="auto"/>
              <w:jc w:val="right"/>
              <w:rPr>
                <w:rFonts w:eastAsia="Times New Roman"/>
                <w:color w:val="000000"/>
                <w:sz w:val="16"/>
                <w:szCs w:val="16"/>
              </w:rPr>
            </w:pPr>
            <w:r w:rsidRPr="00FF4784">
              <w:rPr>
                <w:rFonts w:eastAsia="Times New Roman"/>
                <w:color w:val="000000"/>
                <w:sz w:val="16"/>
                <w:szCs w:val="16"/>
              </w:rPr>
              <w:t>257%</w:t>
            </w:r>
          </w:p>
        </w:tc>
        <w:tc>
          <w:tcPr>
            <w:tcW w:w="1320" w:type="dxa"/>
            <w:tcBorders>
              <w:top w:val="nil"/>
              <w:left w:val="nil"/>
              <w:bottom w:val="single" w:sz="4" w:space="0" w:color="auto"/>
              <w:right w:val="single" w:sz="4" w:space="0" w:color="auto"/>
            </w:tcBorders>
            <w:shd w:val="clear" w:color="000000" w:fill="808080"/>
            <w:vAlign w:val="center"/>
            <w:hideMark/>
          </w:tcPr>
          <w:p w:rsidR="00FF4784" w:rsidRPr="00FF4784" w:rsidP="00FF4784" w14:paraId="2918813F"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1500" w:type="dxa"/>
            <w:tcBorders>
              <w:top w:val="nil"/>
              <w:left w:val="nil"/>
              <w:bottom w:val="single" w:sz="4" w:space="0" w:color="auto"/>
              <w:right w:val="single" w:sz="4" w:space="0" w:color="auto"/>
            </w:tcBorders>
            <w:shd w:val="clear" w:color="000000" w:fill="FFFFFF"/>
            <w:vAlign w:val="center"/>
            <w:hideMark/>
          </w:tcPr>
          <w:p w:rsidR="00FF4784" w:rsidRPr="00FF4784" w:rsidP="00FF4784" w14:paraId="2C23257B" w14:textId="77777777">
            <w:pPr>
              <w:spacing w:after="0" w:line="240" w:lineRule="auto"/>
              <w:jc w:val="right"/>
              <w:rPr>
                <w:rFonts w:eastAsia="Times New Roman"/>
                <w:color w:val="000000"/>
                <w:sz w:val="16"/>
                <w:szCs w:val="16"/>
              </w:rPr>
            </w:pPr>
            <w:r w:rsidRPr="00FF4784">
              <w:rPr>
                <w:rFonts w:eastAsia="Times New Roman"/>
                <w:color w:val="000000"/>
                <w:sz w:val="16"/>
                <w:szCs w:val="16"/>
              </w:rPr>
              <w:t>$517,431</w:t>
            </w:r>
          </w:p>
        </w:tc>
      </w:tr>
      <w:tr w14:paraId="5472C29D" w14:textId="77777777" w:rsidTr="00FF4784">
        <w:tblPrEx>
          <w:tblW w:w="7580" w:type="dxa"/>
          <w:tblLook w:val="04A0"/>
        </w:tblPrEx>
        <w:trPr>
          <w:divId w:val="1139036573"/>
          <w:trHeight w:val="210"/>
        </w:trPr>
        <w:tc>
          <w:tcPr>
            <w:tcW w:w="1880" w:type="dxa"/>
            <w:tcBorders>
              <w:top w:val="nil"/>
              <w:left w:val="single" w:sz="4" w:space="0" w:color="auto"/>
              <w:bottom w:val="single" w:sz="4" w:space="0" w:color="auto"/>
              <w:right w:val="single" w:sz="4" w:space="0" w:color="auto"/>
            </w:tcBorders>
            <w:shd w:val="clear" w:color="000000" w:fill="FFFFFF"/>
            <w:vAlign w:val="center"/>
            <w:hideMark/>
          </w:tcPr>
          <w:p w:rsidR="00FF4784" w:rsidRPr="00FF4784" w:rsidP="00FF4784" w14:paraId="4B48A731" w14:textId="77777777">
            <w:pPr>
              <w:spacing w:after="0" w:line="240" w:lineRule="auto"/>
              <w:rPr>
                <w:rFonts w:eastAsia="Times New Roman"/>
                <w:b/>
                <w:bCs/>
                <w:color w:val="000000"/>
                <w:sz w:val="16"/>
                <w:szCs w:val="16"/>
              </w:rPr>
            </w:pPr>
            <w:r w:rsidRPr="00FF4784">
              <w:rPr>
                <w:rFonts w:eastAsia="Times New Roman"/>
                <w:b/>
                <w:bCs/>
                <w:color w:val="000000"/>
                <w:sz w:val="16"/>
                <w:szCs w:val="16"/>
              </w:rPr>
              <w:t>Contractor Cost</w:t>
            </w:r>
          </w:p>
        </w:tc>
        <w:tc>
          <w:tcPr>
            <w:tcW w:w="960" w:type="dxa"/>
            <w:tcBorders>
              <w:top w:val="nil"/>
              <w:left w:val="nil"/>
              <w:bottom w:val="single" w:sz="4" w:space="0" w:color="auto"/>
              <w:right w:val="single" w:sz="4" w:space="0" w:color="auto"/>
            </w:tcBorders>
            <w:shd w:val="clear" w:color="000000" w:fill="808080"/>
            <w:vAlign w:val="center"/>
            <w:hideMark/>
          </w:tcPr>
          <w:p w:rsidR="00FF4784" w:rsidRPr="00FF4784" w:rsidP="00FF4784" w14:paraId="3D42EC27"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960" w:type="dxa"/>
            <w:tcBorders>
              <w:top w:val="nil"/>
              <w:left w:val="nil"/>
              <w:bottom w:val="single" w:sz="4" w:space="0" w:color="auto"/>
              <w:right w:val="single" w:sz="4" w:space="0" w:color="auto"/>
            </w:tcBorders>
            <w:shd w:val="clear" w:color="000000" w:fill="808080"/>
            <w:vAlign w:val="center"/>
            <w:hideMark/>
          </w:tcPr>
          <w:p w:rsidR="00FF4784" w:rsidRPr="00FF4784" w:rsidP="00FF4784" w14:paraId="4B6A567B"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960" w:type="dxa"/>
            <w:tcBorders>
              <w:top w:val="nil"/>
              <w:left w:val="nil"/>
              <w:bottom w:val="single" w:sz="4" w:space="0" w:color="auto"/>
              <w:right w:val="single" w:sz="4" w:space="0" w:color="auto"/>
            </w:tcBorders>
            <w:shd w:val="clear" w:color="000000" w:fill="808080"/>
            <w:vAlign w:val="center"/>
            <w:hideMark/>
          </w:tcPr>
          <w:p w:rsidR="00FF4784" w:rsidRPr="00FF4784" w:rsidP="00FF4784" w14:paraId="49847D02"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1320" w:type="dxa"/>
            <w:tcBorders>
              <w:top w:val="nil"/>
              <w:left w:val="nil"/>
              <w:bottom w:val="single" w:sz="4" w:space="0" w:color="auto"/>
              <w:right w:val="single" w:sz="4" w:space="0" w:color="auto"/>
            </w:tcBorders>
            <w:shd w:val="clear" w:color="000000" w:fill="808080"/>
            <w:vAlign w:val="center"/>
            <w:hideMark/>
          </w:tcPr>
          <w:p w:rsidR="00FF4784" w:rsidRPr="00FF4784" w:rsidP="00FF4784" w14:paraId="7ABC84C6"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1500" w:type="dxa"/>
            <w:tcBorders>
              <w:top w:val="nil"/>
              <w:left w:val="nil"/>
              <w:bottom w:val="single" w:sz="4" w:space="0" w:color="auto"/>
              <w:right w:val="single" w:sz="4" w:space="0" w:color="auto"/>
            </w:tcBorders>
            <w:shd w:val="clear" w:color="000000" w:fill="FFFFFF"/>
            <w:vAlign w:val="center"/>
            <w:hideMark/>
          </w:tcPr>
          <w:p w:rsidR="00FF4784" w:rsidRPr="00FF4784" w:rsidP="00FF4784" w14:paraId="2D3E91F9" w14:textId="77777777">
            <w:pPr>
              <w:spacing w:after="0" w:line="240" w:lineRule="auto"/>
              <w:jc w:val="right"/>
              <w:rPr>
                <w:rFonts w:eastAsia="Times New Roman"/>
                <w:color w:val="000000"/>
                <w:sz w:val="16"/>
                <w:szCs w:val="16"/>
              </w:rPr>
            </w:pPr>
            <w:r w:rsidRPr="00FF4784">
              <w:rPr>
                <w:rFonts w:eastAsia="Times New Roman"/>
                <w:color w:val="000000"/>
                <w:sz w:val="16"/>
                <w:szCs w:val="16"/>
              </w:rPr>
              <w:t>$997,633</w:t>
            </w:r>
          </w:p>
        </w:tc>
      </w:tr>
      <w:tr w14:paraId="1CE5DBF1" w14:textId="77777777" w:rsidTr="00FF4784">
        <w:tblPrEx>
          <w:tblW w:w="7580" w:type="dxa"/>
          <w:tblLook w:val="04A0"/>
        </w:tblPrEx>
        <w:trPr>
          <w:divId w:val="1139036573"/>
          <w:trHeight w:val="210"/>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FF4784" w:rsidRPr="00FF4784" w:rsidP="00FF4784" w14:paraId="51A0F3F9" w14:textId="77777777">
            <w:pPr>
              <w:spacing w:after="0" w:line="240" w:lineRule="auto"/>
              <w:rPr>
                <w:rFonts w:eastAsia="Times New Roman"/>
                <w:b/>
                <w:bCs/>
                <w:color w:val="000000"/>
                <w:sz w:val="16"/>
                <w:szCs w:val="16"/>
              </w:rPr>
            </w:pPr>
            <w:r w:rsidRPr="00FF4784">
              <w:rPr>
                <w:rFonts w:eastAsia="Times New Roman"/>
                <w:b/>
                <w:bCs/>
                <w:color w:val="000000"/>
                <w:sz w:val="16"/>
                <w:szCs w:val="16"/>
              </w:rPr>
              <w:t>Other Costs:</w:t>
            </w:r>
          </w:p>
        </w:tc>
        <w:tc>
          <w:tcPr>
            <w:tcW w:w="960" w:type="dxa"/>
            <w:tcBorders>
              <w:top w:val="nil"/>
              <w:left w:val="nil"/>
              <w:bottom w:val="single" w:sz="4" w:space="0" w:color="auto"/>
              <w:right w:val="single" w:sz="4" w:space="0" w:color="auto"/>
            </w:tcBorders>
            <w:shd w:val="clear" w:color="000000" w:fill="808080"/>
            <w:vAlign w:val="center"/>
            <w:hideMark/>
          </w:tcPr>
          <w:p w:rsidR="00FF4784" w:rsidRPr="00FF4784" w:rsidP="00FF4784" w14:paraId="26BC89B9"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960" w:type="dxa"/>
            <w:tcBorders>
              <w:top w:val="nil"/>
              <w:left w:val="nil"/>
              <w:bottom w:val="single" w:sz="4" w:space="0" w:color="auto"/>
              <w:right w:val="single" w:sz="4" w:space="0" w:color="auto"/>
            </w:tcBorders>
            <w:shd w:val="clear" w:color="000000" w:fill="808080"/>
            <w:vAlign w:val="center"/>
            <w:hideMark/>
          </w:tcPr>
          <w:p w:rsidR="00FF4784" w:rsidRPr="00FF4784" w:rsidP="00FF4784" w14:paraId="29FC581F"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960" w:type="dxa"/>
            <w:tcBorders>
              <w:top w:val="nil"/>
              <w:left w:val="nil"/>
              <w:bottom w:val="single" w:sz="4" w:space="0" w:color="auto"/>
              <w:right w:val="single" w:sz="4" w:space="0" w:color="auto"/>
            </w:tcBorders>
            <w:shd w:val="clear" w:color="000000" w:fill="808080"/>
            <w:vAlign w:val="center"/>
            <w:hideMark/>
          </w:tcPr>
          <w:p w:rsidR="00FF4784" w:rsidRPr="00FF4784" w:rsidP="00FF4784" w14:paraId="50CD75E7"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1320" w:type="dxa"/>
            <w:tcBorders>
              <w:top w:val="nil"/>
              <w:left w:val="nil"/>
              <w:bottom w:val="single" w:sz="4" w:space="0" w:color="auto"/>
              <w:right w:val="single" w:sz="4" w:space="0" w:color="auto"/>
            </w:tcBorders>
            <w:shd w:val="clear" w:color="000000" w:fill="808080"/>
            <w:vAlign w:val="center"/>
            <w:hideMark/>
          </w:tcPr>
          <w:p w:rsidR="00FF4784" w:rsidRPr="00FF4784" w:rsidP="00FF4784" w14:paraId="7530F42F"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1500" w:type="dxa"/>
            <w:tcBorders>
              <w:top w:val="nil"/>
              <w:left w:val="nil"/>
              <w:bottom w:val="single" w:sz="4" w:space="0" w:color="auto"/>
              <w:right w:val="single" w:sz="4" w:space="0" w:color="auto"/>
            </w:tcBorders>
            <w:shd w:val="clear" w:color="auto" w:fill="auto"/>
            <w:vAlign w:val="center"/>
            <w:hideMark/>
          </w:tcPr>
          <w:p w:rsidR="00FF4784" w:rsidRPr="00FF4784" w:rsidP="00FF4784" w14:paraId="7214A409" w14:textId="77777777">
            <w:pPr>
              <w:spacing w:after="0" w:line="240" w:lineRule="auto"/>
              <w:jc w:val="right"/>
              <w:rPr>
                <w:rFonts w:eastAsia="Times New Roman"/>
                <w:color w:val="000000"/>
                <w:sz w:val="16"/>
                <w:szCs w:val="16"/>
              </w:rPr>
            </w:pPr>
            <w:r w:rsidRPr="00FF4784">
              <w:rPr>
                <w:rFonts w:eastAsia="Times New Roman"/>
                <w:color w:val="000000"/>
                <w:sz w:val="16"/>
                <w:szCs w:val="16"/>
              </w:rPr>
              <w:t>$47,666</w:t>
            </w:r>
          </w:p>
        </w:tc>
      </w:tr>
      <w:tr w14:paraId="29588F6D" w14:textId="77777777" w:rsidTr="00FF4784">
        <w:tblPrEx>
          <w:tblW w:w="7580" w:type="dxa"/>
          <w:tblLook w:val="04A0"/>
        </w:tblPrEx>
        <w:trPr>
          <w:divId w:val="1139036573"/>
          <w:trHeight w:val="210"/>
        </w:trPr>
        <w:tc>
          <w:tcPr>
            <w:tcW w:w="1880" w:type="dxa"/>
            <w:tcBorders>
              <w:top w:val="nil"/>
              <w:left w:val="single" w:sz="4" w:space="0" w:color="auto"/>
              <w:bottom w:val="single" w:sz="4" w:space="0" w:color="auto"/>
              <w:right w:val="single" w:sz="4" w:space="0" w:color="auto"/>
            </w:tcBorders>
            <w:shd w:val="clear" w:color="000000" w:fill="DDEBF7"/>
            <w:vAlign w:val="center"/>
            <w:hideMark/>
          </w:tcPr>
          <w:p w:rsidR="00FF4784" w:rsidRPr="00FF4784" w:rsidP="00FF4784" w14:paraId="39336AF7" w14:textId="77777777">
            <w:pPr>
              <w:spacing w:after="0" w:line="240" w:lineRule="auto"/>
              <w:rPr>
                <w:rFonts w:eastAsia="Times New Roman"/>
                <w:b/>
                <w:bCs/>
                <w:color w:val="000000"/>
                <w:sz w:val="16"/>
                <w:szCs w:val="16"/>
              </w:rPr>
            </w:pPr>
            <w:r w:rsidRPr="00FF4784">
              <w:rPr>
                <w:rFonts w:eastAsia="Times New Roman"/>
                <w:b/>
                <w:bCs/>
                <w:color w:val="000000"/>
                <w:sz w:val="16"/>
                <w:szCs w:val="16"/>
              </w:rPr>
              <w:t>TOTAL</w:t>
            </w:r>
          </w:p>
        </w:tc>
        <w:tc>
          <w:tcPr>
            <w:tcW w:w="960" w:type="dxa"/>
            <w:tcBorders>
              <w:top w:val="nil"/>
              <w:left w:val="nil"/>
              <w:bottom w:val="single" w:sz="4" w:space="0" w:color="auto"/>
              <w:right w:val="single" w:sz="4" w:space="0" w:color="auto"/>
            </w:tcBorders>
            <w:shd w:val="clear" w:color="000000" w:fill="808080"/>
            <w:vAlign w:val="center"/>
            <w:hideMark/>
          </w:tcPr>
          <w:p w:rsidR="00FF4784" w:rsidRPr="00FF4784" w:rsidP="00FF4784" w14:paraId="049B6B56"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960" w:type="dxa"/>
            <w:tcBorders>
              <w:top w:val="nil"/>
              <w:left w:val="nil"/>
              <w:bottom w:val="single" w:sz="4" w:space="0" w:color="auto"/>
              <w:right w:val="single" w:sz="4" w:space="0" w:color="auto"/>
            </w:tcBorders>
            <w:shd w:val="clear" w:color="000000" w:fill="808080"/>
            <w:vAlign w:val="center"/>
            <w:hideMark/>
          </w:tcPr>
          <w:p w:rsidR="00FF4784" w:rsidRPr="00FF4784" w:rsidP="00FF4784" w14:paraId="59718168"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960" w:type="dxa"/>
            <w:tcBorders>
              <w:top w:val="nil"/>
              <w:left w:val="nil"/>
              <w:bottom w:val="single" w:sz="4" w:space="0" w:color="auto"/>
              <w:right w:val="single" w:sz="4" w:space="0" w:color="auto"/>
            </w:tcBorders>
            <w:shd w:val="clear" w:color="000000" w:fill="808080"/>
            <w:vAlign w:val="center"/>
            <w:hideMark/>
          </w:tcPr>
          <w:p w:rsidR="00FF4784" w:rsidRPr="00FF4784" w:rsidP="00FF4784" w14:paraId="727E5157"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1320" w:type="dxa"/>
            <w:tcBorders>
              <w:top w:val="nil"/>
              <w:left w:val="nil"/>
              <w:bottom w:val="single" w:sz="4" w:space="0" w:color="auto"/>
              <w:right w:val="single" w:sz="4" w:space="0" w:color="auto"/>
            </w:tcBorders>
            <w:shd w:val="clear" w:color="000000" w:fill="808080"/>
            <w:vAlign w:val="center"/>
            <w:hideMark/>
          </w:tcPr>
          <w:p w:rsidR="00FF4784" w:rsidRPr="00FF4784" w:rsidP="00FF4784" w14:paraId="73035949" w14:textId="77777777">
            <w:pPr>
              <w:spacing w:after="0" w:line="240" w:lineRule="auto"/>
              <w:jc w:val="right"/>
              <w:rPr>
                <w:rFonts w:eastAsia="Times New Roman"/>
                <w:color w:val="000000"/>
                <w:sz w:val="16"/>
                <w:szCs w:val="16"/>
              </w:rPr>
            </w:pPr>
            <w:r w:rsidRPr="00FF4784">
              <w:rPr>
                <w:rFonts w:eastAsia="Times New Roman"/>
                <w:color w:val="000000"/>
                <w:sz w:val="16"/>
                <w:szCs w:val="16"/>
              </w:rPr>
              <w:t>0</w:t>
            </w:r>
          </w:p>
        </w:tc>
        <w:tc>
          <w:tcPr>
            <w:tcW w:w="1500" w:type="dxa"/>
            <w:tcBorders>
              <w:top w:val="nil"/>
              <w:left w:val="nil"/>
              <w:bottom w:val="single" w:sz="4" w:space="0" w:color="auto"/>
              <w:right w:val="single" w:sz="4" w:space="0" w:color="auto"/>
            </w:tcBorders>
            <w:shd w:val="clear" w:color="000000" w:fill="DDEBF7"/>
            <w:vAlign w:val="center"/>
            <w:hideMark/>
          </w:tcPr>
          <w:p w:rsidR="00FF4784" w:rsidRPr="00FF4784" w:rsidP="00FF4784" w14:paraId="628527E6" w14:textId="77777777">
            <w:pPr>
              <w:spacing w:after="0" w:line="240" w:lineRule="auto"/>
              <w:jc w:val="right"/>
              <w:rPr>
                <w:rFonts w:eastAsia="Times New Roman"/>
                <w:color w:val="000000"/>
                <w:sz w:val="16"/>
                <w:szCs w:val="16"/>
              </w:rPr>
            </w:pPr>
            <w:r w:rsidRPr="00FF4784">
              <w:rPr>
                <w:rFonts w:eastAsia="Times New Roman"/>
                <w:color w:val="000000"/>
                <w:sz w:val="16"/>
                <w:szCs w:val="16"/>
              </w:rPr>
              <w:t>$1,562,730</w:t>
            </w:r>
          </w:p>
        </w:tc>
      </w:tr>
    </w:tbl>
    <w:p w:rsidR="00FF153F" w14:paraId="185EDC8A" w14:textId="239CC66D">
      <w:pPr>
        <w:pBdr>
          <w:top w:val="nil"/>
          <w:left w:val="nil"/>
          <w:bottom w:val="nil"/>
          <w:right w:val="nil"/>
          <w:between w:val="nil"/>
        </w:pBdr>
        <w:spacing w:after="0" w:line="240" w:lineRule="auto"/>
        <w:rPr>
          <w:color w:val="000000"/>
        </w:rPr>
      </w:pPr>
      <w:r>
        <w:rPr>
          <w:color w:val="000000"/>
        </w:rPr>
        <w:fldChar w:fldCharType="end"/>
      </w:r>
    </w:p>
    <w:p w:rsidR="0024103C" w14:paraId="00000115" w14:textId="77777777">
      <w:pPr>
        <w:widowControl w:val="0"/>
        <w:numPr>
          <w:ilvl w:val="0"/>
          <w:numId w:val="15"/>
        </w:num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Explain the reasons for any program changes or adjustments reported in ROCIS.</w:t>
      </w:r>
    </w:p>
    <w:p w:rsidR="0024103C" w14:paraId="00000116" w14:textId="77777777">
      <w:pPr>
        <w:widowControl w:val="0"/>
        <w:tabs>
          <w:tab w:val="left" w:pos="540"/>
        </w:tabs>
        <w:spacing w:after="0" w:line="240" w:lineRule="auto"/>
        <w:rPr>
          <w:rFonts w:ascii="Times New Roman" w:eastAsia="Times New Roman" w:hAnsi="Times New Roman" w:cs="Times New Roman"/>
          <w:sz w:val="24"/>
          <w:szCs w:val="24"/>
        </w:rPr>
      </w:pPr>
    </w:p>
    <w:p w:rsidR="0024103C" w14:paraId="00000117" w14:textId="77777777">
      <w:pPr>
        <w:widowControl w:val="0"/>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w:t>
      </w:r>
      <w:r>
        <w:rPr>
          <w:rFonts w:ascii="Times New Roman" w:eastAsia="Times New Roman" w:hAnsi="Times New Roman" w:cs="Times New Roman"/>
          <w:sz w:val="24"/>
          <w:szCs w:val="24"/>
        </w:rPr>
        <w:t>request for a new hybrid-generic clearance.</w:t>
      </w:r>
    </w:p>
    <w:p w:rsidR="0024103C" w14:paraId="0000016E" w14:textId="3B0EA2C9">
      <w:pPr>
        <w:widowControl w:val="0"/>
        <w:tabs>
          <w:tab w:val="left" w:pos="540"/>
        </w:tabs>
        <w:spacing w:after="0" w:line="240" w:lineRule="auto"/>
        <w:rPr>
          <w:rFonts w:ascii="Times New Roman" w:eastAsia="Times New Roman" w:hAnsi="Times New Roman" w:cs="Times New Roman"/>
          <w:sz w:val="24"/>
          <w:szCs w:val="24"/>
        </w:rPr>
      </w:pPr>
    </w:p>
    <w:p w:rsidR="0024103C" w14:paraId="0000016F" w14:textId="7A8F57C8">
      <w:pPr>
        <w:widowControl w:val="0"/>
        <w:numPr>
          <w:ilvl w:val="0"/>
          <w:numId w:val="15"/>
        </w:num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 collections of information whose results will be published, outline plans for tabulation and publication.  Address any complex analytical techniques that will be used.  Provide the time schedule for the enti</w:t>
      </w:r>
      <w:r>
        <w:rPr>
          <w:rFonts w:ascii="Times New Roman" w:eastAsia="Times New Roman" w:hAnsi="Times New Roman" w:cs="Times New Roman"/>
          <w:b/>
          <w:color w:val="000000"/>
          <w:sz w:val="24"/>
          <w:szCs w:val="24"/>
        </w:rPr>
        <w:t>re project, including beginning and ending dates of the collection of information, completion of report, publication dates, and other actions.</w:t>
      </w:r>
    </w:p>
    <w:p w:rsidR="0024103C" w14:paraId="00000170"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171"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noted above in the response to Item 2, NMFS would not directly disseminate the data collected to the public i</w:t>
      </w:r>
      <w:r>
        <w:rPr>
          <w:rFonts w:ascii="Times New Roman" w:eastAsia="Times New Roman" w:hAnsi="Times New Roman" w:cs="Times New Roman"/>
          <w:color w:val="000000"/>
          <w:sz w:val="24"/>
          <w:szCs w:val="24"/>
        </w:rPr>
        <w:t>n raw form, but aspects or portions of the information collected may be used to support analyses conducted for NMFS and the Councils, research published in various journals, papers and reports, and presentations at conferences and Council meetings.</w:t>
      </w:r>
    </w:p>
    <w:p w:rsidR="0024103C" w14:paraId="00000172"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173" w14:textId="0BB508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schedules will vary by collection/survey.  The mini-ICR for each collection submitted under this hybrid-generic clearance will discuss any complex analytical techniques that will be used and specify the schedule, including beginning and ending dates of</w:t>
      </w:r>
      <w:r>
        <w:rPr>
          <w:rFonts w:ascii="Times New Roman" w:eastAsia="Times New Roman" w:hAnsi="Times New Roman" w:cs="Times New Roman"/>
          <w:sz w:val="24"/>
          <w:szCs w:val="24"/>
        </w:rPr>
        <w:t xml:space="preserve"> the collection of information, completion of report(s), publication dates, and other actions.  </w:t>
      </w:r>
    </w:p>
    <w:p w:rsidR="0024103C" w14:paraId="00000174" w14:textId="77777777">
      <w:pPr>
        <w:spacing w:after="0" w:line="240" w:lineRule="auto"/>
        <w:rPr>
          <w:rFonts w:ascii="Times New Roman" w:eastAsia="Times New Roman" w:hAnsi="Times New Roman" w:cs="Times New Roman"/>
          <w:sz w:val="24"/>
          <w:szCs w:val="24"/>
        </w:rPr>
      </w:pPr>
    </w:p>
    <w:p w:rsidR="0024103C" w14:paraId="00000175" w14:textId="77777777">
      <w:pPr>
        <w:widowControl w:val="0"/>
        <w:numPr>
          <w:ilvl w:val="0"/>
          <w:numId w:val="15"/>
        </w:num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If seeking approval to not display the expiration date for OMB approval of the information collection, explain the reasons that display would be inappropriate</w:t>
      </w:r>
      <w:r>
        <w:rPr>
          <w:rFonts w:ascii="Times New Roman" w:eastAsia="Times New Roman" w:hAnsi="Times New Roman" w:cs="Times New Roman"/>
          <w:b/>
          <w:color w:val="000000"/>
          <w:sz w:val="24"/>
          <w:szCs w:val="24"/>
        </w:rPr>
        <w:t>.</w:t>
      </w:r>
    </w:p>
    <w:p w:rsidR="0024103C" w14:paraId="00000176" w14:textId="77777777">
      <w:pPr>
        <w:widowControl w:val="0"/>
        <w:spacing w:after="0" w:line="240" w:lineRule="auto"/>
        <w:rPr>
          <w:rFonts w:ascii="Times New Roman" w:eastAsia="Times New Roman" w:hAnsi="Times New Roman" w:cs="Times New Roman"/>
          <w:sz w:val="24"/>
          <w:szCs w:val="24"/>
        </w:rPr>
      </w:pPr>
    </w:p>
    <w:p w:rsidR="0024103C" w14:paraId="00000177" w14:textId="01DE07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written and electronic surveys would display the </w:t>
      </w:r>
      <w:r w:rsidR="00ED278B">
        <w:rPr>
          <w:rFonts w:ascii="Times New Roman" w:eastAsia="Times New Roman" w:hAnsi="Times New Roman" w:cs="Times New Roman"/>
          <w:color w:val="000000"/>
          <w:sz w:val="24"/>
          <w:szCs w:val="24"/>
        </w:rPr>
        <w:t>OMB control number and current expiration date.</w:t>
      </w:r>
    </w:p>
    <w:p w:rsidR="0024103C" w14:paraId="0000017B"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4103C" w14:paraId="0000017C" w14:textId="77777777">
      <w:pPr>
        <w:widowControl w:val="0"/>
        <w:numPr>
          <w:ilvl w:val="0"/>
          <w:numId w:val="15"/>
        </w:numPr>
        <w:pBdr>
          <w:top w:val="nil"/>
          <w:left w:val="nil"/>
          <w:bottom w:val="nil"/>
          <w:right w:val="nil"/>
          <w:between w:val="nil"/>
        </w:pBdr>
        <w:tabs>
          <w:tab w:val="left" w:pos="5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Explain each exception to the certification statement identified in “Certification for Paperwork Reduction Act Submissions."</w:t>
      </w:r>
    </w:p>
    <w:p w:rsidR="0024103C" w14:paraId="0000017D" w14:textId="77777777">
      <w:pPr>
        <w:widowControl w:val="0"/>
        <w:spacing w:after="0" w:line="240" w:lineRule="auto"/>
        <w:rPr>
          <w:rFonts w:ascii="Times New Roman" w:eastAsia="Times New Roman" w:hAnsi="Times New Roman" w:cs="Times New Roman"/>
          <w:sz w:val="24"/>
          <w:szCs w:val="24"/>
        </w:rPr>
      </w:pPr>
    </w:p>
    <w:p w:rsidR="00ED278B" w:rsidRPr="00B03FE0" w:rsidP="00ED278B" w14:paraId="4B19E508" w14:textId="77777777">
      <w:pPr>
        <w:rPr>
          <w:rFonts w:ascii="Times New Roman" w:eastAsia="Times New Roman" w:hAnsi="Times New Roman" w:cs="Times New Roman"/>
          <w:sz w:val="24"/>
          <w:szCs w:val="24"/>
        </w:rPr>
      </w:pPr>
      <w:r w:rsidRPr="00B03FE0">
        <w:rPr>
          <w:rFonts w:ascii="Times New Roman" w:hAnsi="Times New Roman" w:cs="Times New Roman"/>
          <w:color w:val="000000"/>
          <w:sz w:val="24"/>
          <w:szCs w:val="24"/>
        </w:rPr>
        <w:t xml:space="preserve">The agency certifies compliance with </w:t>
      </w:r>
      <w:hyperlink r:id="rId21" w:history="1">
        <w:r w:rsidRPr="00B03FE0">
          <w:rPr>
            <w:rStyle w:val="Hyperlink"/>
            <w:rFonts w:ascii="Times New Roman" w:hAnsi="Times New Roman" w:cs="Times New Roman"/>
            <w:color w:val="0563C1"/>
            <w:sz w:val="24"/>
            <w:szCs w:val="24"/>
          </w:rPr>
          <w:t xml:space="preserve">5 CFR 1320.9 </w:t>
        </w:r>
      </w:hyperlink>
      <w:r w:rsidRPr="00B03FE0">
        <w:rPr>
          <w:rFonts w:ascii="Times New Roman" w:hAnsi="Times New Roman" w:cs="Times New Roman"/>
          <w:color w:val="000000"/>
          <w:sz w:val="24"/>
          <w:szCs w:val="24"/>
        </w:rPr>
        <w:t xml:space="preserve">and the related provisions of </w:t>
      </w:r>
      <w:hyperlink r:id="rId22" w:history="1">
        <w:r w:rsidRPr="00B03FE0">
          <w:rPr>
            <w:rStyle w:val="Hyperlink"/>
            <w:rFonts w:ascii="Times New Roman" w:hAnsi="Times New Roman" w:cs="Times New Roman"/>
            <w:color w:val="0563C1"/>
            <w:sz w:val="24"/>
            <w:szCs w:val="24"/>
          </w:rPr>
          <w:t>5 CFR</w:t>
        </w:r>
      </w:hyperlink>
      <w:r w:rsidRPr="00B03FE0">
        <w:rPr>
          <w:rFonts w:ascii="Times New Roman" w:hAnsi="Times New Roman" w:cs="Times New Roman"/>
          <w:color w:val="0563C1"/>
          <w:sz w:val="24"/>
          <w:szCs w:val="24"/>
        </w:rPr>
        <w:t xml:space="preserve"> </w:t>
      </w:r>
      <w:hyperlink r:id="rId22" w:history="1">
        <w:r w:rsidRPr="00B03FE0">
          <w:rPr>
            <w:rStyle w:val="Hyperlink"/>
            <w:rFonts w:ascii="Times New Roman" w:hAnsi="Times New Roman" w:cs="Times New Roman"/>
            <w:color w:val="0563C1"/>
            <w:sz w:val="24"/>
            <w:szCs w:val="24"/>
          </w:rPr>
          <w:t>1320.8(b)(3)</w:t>
        </w:r>
      </w:hyperlink>
    </w:p>
    <w:p w:rsidR="0024103C" w:rsidP="00ED278B" w14:paraId="000001AE" w14:textId="744CB13C">
      <w:pPr>
        <w:rPr>
          <w:rFonts w:ascii="Times New Roman" w:eastAsia="Times New Roman" w:hAnsi="Times New Roman" w:cs="Times New Roman"/>
          <w:sz w:val="24"/>
          <w:szCs w:val="24"/>
        </w:rPr>
      </w:pPr>
    </w:p>
    <w:sectPr>
      <w:footerReference w:type="default" r:id="rId2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9A4" w14:paraId="000001B1" w14:textId="7C9AB55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87FBD">
      <w:rPr>
        <w:noProof/>
        <w:color w:val="000000"/>
      </w:rPr>
      <w:t>10</w:t>
    </w:r>
    <w:r>
      <w:rPr>
        <w:color w:val="000000"/>
      </w:rPr>
      <w:fldChar w:fldCharType="end"/>
    </w:r>
  </w:p>
  <w:p w:rsidR="00CE59A4" w14:paraId="000001B2"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6264D" w14:paraId="1148ABFF" w14:textId="77777777">
      <w:pPr>
        <w:spacing w:after="0" w:line="240" w:lineRule="auto"/>
      </w:pPr>
      <w:r>
        <w:separator/>
      </w:r>
    </w:p>
  </w:footnote>
  <w:footnote w:type="continuationSeparator" w:id="1">
    <w:p w:rsidR="0056264D" w14:paraId="57F2B6B5" w14:textId="77777777">
      <w:pPr>
        <w:spacing w:after="0" w:line="240" w:lineRule="auto"/>
      </w:pPr>
      <w:r>
        <w:continuationSeparator/>
      </w:r>
    </w:p>
  </w:footnote>
  <w:footnote w:id="2">
    <w:p w:rsidR="00CE59A4" w:rsidRPr="008B3EEF" w14:paraId="000001AF" w14:textId="77777777">
      <w:pPr>
        <w:pBdr>
          <w:top w:val="nil"/>
          <w:left w:val="nil"/>
          <w:bottom w:val="nil"/>
          <w:right w:val="nil"/>
          <w:between w:val="nil"/>
        </w:pBdr>
        <w:spacing w:after="0" w:line="240" w:lineRule="auto"/>
        <w:rPr>
          <w:rFonts w:ascii="Times New Roman" w:hAnsi="Times New Roman" w:cs="Times New Roman"/>
          <w:color w:val="000000"/>
          <w:sz w:val="20"/>
          <w:szCs w:val="20"/>
        </w:rPr>
      </w:pPr>
      <w:r w:rsidRPr="008B3EEF">
        <w:rPr>
          <w:rStyle w:val="FootnoteReference"/>
          <w:rFonts w:ascii="Times New Roman" w:hAnsi="Times New Roman" w:cs="Times New Roman"/>
        </w:rPr>
        <w:footnoteRef/>
      </w:r>
      <w:r w:rsidRPr="008B3EEF">
        <w:rPr>
          <w:rFonts w:ascii="Times New Roman" w:hAnsi="Times New Roman" w:cs="Times New Roman"/>
          <w:color w:val="000000"/>
          <w:sz w:val="20"/>
          <w:szCs w:val="20"/>
        </w:rPr>
        <w:t xml:space="preserve"> See </w:t>
      </w:r>
      <w:hyperlink r:id="rId1">
        <w:r w:rsidRPr="008B3EEF">
          <w:rPr>
            <w:rFonts w:ascii="Times New Roman" w:hAnsi="Times New Roman" w:cs="Times New Roman"/>
            <w:color w:val="0563C1"/>
            <w:sz w:val="20"/>
            <w:szCs w:val="20"/>
            <w:u w:val="single"/>
          </w:rPr>
          <w:t>Kitts, Andrew et al 2022</w:t>
        </w:r>
      </w:hyperlink>
      <w:r w:rsidRPr="008B3EEF">
        <w:rPr>
          <w:rFonts w:ascii="Times New Roman" w:hAnsi="Times New Roman" w:cs="Times New Roman"/>
          <w:color w:val="000000"/>
          <w:sz w:val="20"/>
          <w:szCs w:val="20"/>
        </w:rPr>
        <w:t>, for a recent discussion of the economic data that are useful for measuring economic performance.</w:t>
      </w:r>
    </w:p>
  </w:footnote>
  <w:footnote w:id="3">
    <w:p w:rsidR="00CE59A4" w:rsidRPr="008B3EEF" w14:paraId="000001B0" w14:textId="77777777">
      <w:pPr>
        <w:pBdr>
          <w:top w:val="nil"/>
          <w:left w:val="nil"/>
          <w:bottom w:val="nil"/>
          <w:right w:val="nil"/>
          <w:between w:val="nil"/>
        </w:pBdr>
        <w:spacing w:after="0" w:line="240" w:lineRule="auto"/>
        <w:rPr>
          <w:rFonts w:ascii="Times New Roman" w:hAnsi="Times New Roman" w:cs="Times New Roman"/>
          <w:color w:val="000000"/>
          <w:sz w:val="20"/>
          <w:szCs w:val="20"/>
        </w:rPr>
      </w:pPr>
      <w:r w:rsidRPr="008B3EEF">
        <w:rPr>
          <w:rStyle w:val="FootnoteReference"/>
          <w:rFonts w:ascii="Times New Roman" w:hAnsi="Times New Roman" w:cs="Times New Roman"/>
        </w:rPr>
        <w:footnoteRef/>
      </w:r>
      <w:r w:rsidRPr="008B3EEF">
        <w:rPr>
          <w:rFonts w:ascii="Times New Roman" w:hAnsi="Times New Roman" w:cs="Times New Roman"/>
          <w:color w:val="000000"/>
          <w:sz w:val="20"/>
          <w:szCs w:val="20"/>
        </w:rPr>
        <w:t xml:space="preserve"> See </w:t>
      </w:r>
      <w:hyperlink r:id="rId2">
        <w:r w:rsidRPr="008B3EEF">
          <w:rPr>
            <w:rFonts w:ascii="Times New Roman" w:hAnsi="Times New Roman" w:cs="Times New Roman"/>
            <w:color w:val="000000"/>
            <w:sz w:val="20"/>
            <w:szCs w:val="20"/>
            <w:u w:val="single"/>
          </w:rPr>
          <w:t>https://www.bls.gov/oes/current/oes_nat.htm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63075"/>
    <w:multiLevelType w:val="multilevel"/>
    <w:tmpl w:val="7222E98C"/>
    <w:lvl w:ilvl="0">
      <w:start w:val="2"/>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98E4E56"/>
    <w:multiLevelType w:val="multilevel"/>
    <w:tmpl w:val="EB06FC5C"/>
    <w:lvl w:ilvl="0">
      <w:start w:val="1"/>
      <w:numFmt w:val="decimal"/>
      <w:lvlText w:val="%1."/>
      <w:lvlJc w:val="left"/>
      <w:pPr>
        <w:ind w:left="360" w:hanging="360"/>
      </w:pPr>
      <w:rPr>
        <w:b/>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9E4209C"/>
    <w:multiLevelType w:val="multilevel"/>
    <w:tmpl w:val="6CD6E978"/>
    <w:lvl w:ilvl="0">
      <w:start w:val="1"/>
      <w:numFmt w:val="upperLetter"/>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5E072AA"/>
    <w:multiLevelType w:val="multilevel"/>
    <w:tmpl w:val="6E44A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D54668"/>
    <w:multiLevelType w:val="multilevel"/>
    <w:tmpl w:val="959E368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40E6605"/>
    <w:multiLevelType w:val="hybridMultilevel"/>
    <w:tmpl w:val="4CF85A4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9AB30EE"/>
    <w:multiLevelType w:val="multilevel"/>
    <w:tmpl w:val="AAAE8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8428B9"/>
    <w:multiLevelType w:val="multilevel"/>
    <w:tmpl w:val="D7A692DE"/>
    <w:lvl w:ilvl="0">
      <w:start w:val="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3B1470F"/>
    <w:multiLevelType w:val="multilevel"/>
    <w:tmpl w:val="8CE4731E"/>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30" w:hanging="360"/>
      </w:pPr>
      <w:rPr>
        <w:rFonts w:ascii="Noto Sans Symbols" w:eastAsia="Noto Sans Symbols" w:hAnsi="Noto Sans Symbols" w:cs="Noto Sans Symbols"/>
        <w:color w:val="000000"/>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abstractNum w:abstractNumId="9">
    <w:nsid w:val="34474DFA"/>
    <w:multiLevelType w:val="multilevel"/>
    <w:tmpl w:val="8CE23C5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35611164"/>
    <w:multiLevelType w:val="multilevel"/>
    <w:tmpl w:val="B1BABF0A"/>
    <w:lvl w:ilvl="0">
      <w:start w:val="7"/>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0B94BB5"/>
    <w:multiLevelType w:val="multilevel"/>
    <w:tmpl w:val="3A22A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A433393"/>
    <w:multiLevelType w:val="multilevel"/>
    <w:tmpl w:val="731A4E5E"/>
    <w:lvl w:ilvl="0">
      <w:start w:val="1"/>
      <w:numFmt w:val="bullet"/>
      <w:lvlText w:val="●"/>
      <w:lvlJc w:val="left"/>
      <w:pPr>
        <w:ind w:left="1480" w:hanging="360"/>
      </w:pPr>
      <w:rPr>
        <w:rFonts w:ascii="Noto Sans Symbols" w:eastAsia="Noto Sans Symbols" w:hAnsi="Noto Sans Symbols" w:cs="Noto Sans Symbols"/>
      </w:rPr>
    </w:lvl>
    <w:lvl w:ilvl="1">
      <w:start w:val="1"/>
      <w:numFmt w:val="bullet"/>
      <w:lvlText w:val="●"/>
      <w:lvlJc w:val="left"/>
      <w:pPr>
        <w:ind w:left="1840" w:hanging="360"/>
      </w:pPr>
      <w:rPr>
        <w:rFonts w:ascii="Noto Sans Symbols" w:eastAsia="Noto Sans Symbols" w:hAnsi="Noto Sans Symbols" w:cs="Noto Sans Symbols"/>
        <w:color w:val="2F5496"/>
        <w:sz w:val="20"/>
        <w:szCs w:val="20"/>
      </w:rPr>
    </w:lvl>
    <w:lvl w:ilvl="2">
      <w:start w:val="1"/>
      <w:numFmt w:val="bullet"/>
      <w:lvlText w:val="•"/>
      <w:lvlJc w:val="left"/>
      <w:pPr>
        <w:ind w:left="2993" w:hanging="360"/>
      </w:pPr>
    </w:lvl>
    <w:lvl w:ilvl="3">
      <w:start w:val="1"/>
      <w:numFmt w:val="bullet"/>
      <w:lvlText w:val="•"/>
      <w:lvlJc w:val="left"/>
      <w:pPr>
        <w:ind w:left="4146" w:hanging="360"/>
      </w:pPr>
    </w:lvl>
    <w:lvl w:ilvl="4">
      <w:start w:val="1"/>
      <w:numFmt w:val="bullet"/>
      <w:lvlText w:val="•"/>
      <w:lvlJc w:val="left"/>
      <w:pPr>
        <w:ind w:left="5300" w:hanging="360"/>
      </w:pPr>
    </w:lvl>
    <w:lvl w:ilvl="5">
      <w:start w:val="1"/>
      <w:numFmt w:val="bullet"/>
      <w:lvlText w:val="•"/>
      <w:lvlJc w:val="left"/>
      <w:pPr>
        <w:ind w:left="6453" w:hanging="360"/>
      </w:pPr>
    </w:lvl>
    <w:lvl w:ilvl="6">
      <w:start w:val="1"/>
      <w:numFmt w:val="bullet"/>
      <w:lvlText w:val="•"/>
      <w:lvlJc w:val="left"/>
      <w:pPr>
        <w:ind w:left="7606" w:hanging="360"/>
      </w:pPr>
    </w:lvl>
    <w:lvl w:ilvl="7">
      <w:start w:val="1"/>
      <w:numFmt w:val="bullet"/>
      <w:lvlText w:val="•"/>
      <w:lvlJc w:val="left"/>
      <w:pPr>
        <w:ind w:left="8760" w:hanging="360"/>
      </w:pPr>
    </w:lvl>
    <w:lvl w:ilvl="8">
      <w:start w:val="1"/>
      <w:numFmt w:val="bullet"/>
      <w:lvlText w:val="•"/>
      <w:lvlJc w:val="left"/>
      <w:pPr>
        <w:ind w:left="9913" w:hanging="360"/>
      </w:pPr>
    </w:lvl>
  </w:abstractNum>
  <w:abstractNum w:abstractNumId="13">
    <w:nsid w:val="4CAF1627"/>
    <w:multiLevelType w:val="multilevel"/>
    <w:tmpl w:val="3296F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F9A5559"/>
    <w:multiLevelType w:val="multilevel"/>
    <w:tmpl w:val="E64C8810"/>
    <w:lvl w:ilvl="0">
      <w:start w:val="6"/>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82A6B31"/>
    <w:multiLevelType w:val="multilevel"/>
    <w:tmpl w:val="EEE45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C36611"/>
    <w:multiLevelType w:val="multilevel"/>
    <w:tmpl w:val="AEBA939E"/>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C984C12"/>
    <w:multiLevelType w:val="multilevel"/>
    <w:tmpl w:val="10EC97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4C15B3D"/>
    <w:multiLevelType w:val="multilevel"/>
    <w:tmpl w:val="F3DC00C8"/>
    <w:lvl w:ilvl="0">
      <w:start w:val="4"/>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2"/>
  </w:num>
  <w:num w:numId="3">
    <w:abstractNumId w:val="6"/>
  </w:num>
  <w:num w:numId="4">
    <w:abstractNumId w:val="11"/>
  </w:num>
  <w:num w:numId="5">
    <w:abstractNumId w:val="18"/>
  </w:num>
  <w:num w:numId="6">
    <w:abstractNumId w:val="7"/>
  </w:num>
  <w:num w:numId="7">
    <w:abstractNumId w:val="16"/>
  </w:num>
  <w:num w:numId="8">
    <w:abstractNumId w:val="14"/>
  </w:num>
  <w:num w:numId="9">
    <w:abstractNumId w:val="8"/>
  </w:num>
  <w:num w:numId="10">
    <w:abstractNumId w:val="15"/>
  </w:num>
  <w:num w:numId="11">
    <w:abstractNumId w:val="3"/>
  </w:num>
  <w:num w:numId="12">
    <w:abstractNumId w:val="12"/>
  </w:num>
  <w:num w:numId="13">
    <w:abstractNumId w:val="0"/>
  </w:num>
  <w:num w:numId="14">
    <w:abstractNumId w:val="4"/>
  </w:num>
  <w:num w:numId="15">
    <w:abstractNumId w:val="10"/>
  </w:num>
  <w:num w:numId="16">
    <w:abstractNumId w:val="9"/>
  </w:num>
  <w:num w:numId="17">
    <w:abstractNumId w:val="1"/>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3C"/>
    <w:rsid w:val="00087FBD"/>
    <w:rsid w:val="000D1150"/>
    <w:rsid w:val="00154C38"/>
    <w:rsid w:val="00185393"/>
    <w:rsid w:val="001A1007"/>
    <w:rsid w:val="00221965"/>
    <w:rsid w:val="0024103C"/>
    <w:rsid w:val="00293E22"/>
    <w:rsid w:val="002C74BB"/>
    <w:rsid w:val="002D088D"/>
    <w:rsid w:val="002F6A90"/>
    <w:rsid w:val="002F6DD1"/>
    <w:rsid w:val="00311DEC"/>
    <w:rsid w:val="00314FF8"/>
    <w:rsid w:val="0032653F"/>
    <w:rsid w:val="003A67A7"/>
    <w:rsid w:val="003E48A8"/>
    <w:rsid w:val="00470F8D"/>
    <w:rsid w:val="004F244C"/>
    <w:rsid w:val="0056264D"/>
    <w:rsid w:val="005643DC"/>
    <w:rsid w:val="005A5653"/>
    <w:rsid w:val="005F55A2"/>
    <w:rsid w:val="006F5CFE"/>
    <w:rsid w:val="0072021C"/>
    <w:rsid w:val="00730F25"/>
    <w:rsid w:val="00734618"/>
    <w:rsid w:val="00761743"/>
    <w:rsid w:val="00790BAC"/>
    <w:rsid w:val="007B1758"/>
    <w:rsid w:val="007F19BC"/>
    <w:rsid w:val="008427F0"/>
    <w:rsid w:val="00873C19"/>
    <w:rsid w:val="008B3EEF"/>
    <w:rsid w:val="008B6857"/>
    <w:rsid w:val="008E55B7"/>
    <w:rsid w:val="00931FFA"/>
    <w:rsid w:val="009427F1"/>
    <w:rsid w:val="009711F6"/>
    <w:rsid w:val="00981405"/>
    <w:rsid w:val="00A14D36"/>
    <w:rsid w:val="00A63A28"/>
    <w:rsid w:val="00A9743B"/>
    <w:rsid w:val="00AE110E"/>
    <w:rsid w:val="00B03FE0"/>
    <w:rsid w:val="00B36810"/>
    <w:rsid w:val="00B41886"/>
    <w:rsid w:val="00BE6DE8"/>
    <w:rsid w:val="00C33EF2"/>
    <w:rsid w:val="00C36EAD"/>
    <w:rsid w:val="00C435E6"/>
    <w:rsid w:val="00CC73DF"/>
    <w:rsid w:val="00CE59A4"/>
    <w:rsid w:val="00D8313C"/>
    <w:rsid w:val="00D857A1"/>
    <w:rsid w:val="00EB4998"/>
    <w:rsid w:val="00EB7BB3"/>
    <w:rsid w:val="00ED278B"/>
    <w:rsid w:val="00F43DB0"/>
    <w:rsid w:val="00F7271A"/>
    <w:rsid w:val="00FC7C3B"/>
    <w:rsid w:val="00FF153F"/>
    <w:rsid w:val="00FF47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3F72B2"/>
  <w15:docId w15:val="{15E4557C-844B-42BF-B18C-0F6AEB8D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47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736F92"/>
    <w:pPr>
      <w:spacing w:after="0" w:line="240" w:lineRule="auto"/>
    </w:pPr>
  </w:style>
  <w:style w:type="paragraph" w:styleId="ListParagraph">
    <w:name w:val="List Paragraph"/>
    <w:basedOn w:val="Normal"/>
    <w:uiPriority w:val="34"/>
    <w:qFormat/>
    <w:rsid w:val="001938E1"/>
    <w:pPr>
      <w:ind w:left="720"/>
      <w:contextualSpacing/>
    </w:pPr>
  </w:style>
  <w:style w:type="character" w:styleId="Hyperlink">
    <w:name w:val="Hyperlink"/>
    <w:basedOn w:val="DefaultParagraphFont"/>
    <w:uiPriority w:val="99"/>
    <w:unhideWhenUsed/>
    <w:rsid w:val="005F128E"/>
    <w:rPr>
      <w:color w:val="0563C1" w:themeColor="hyperlink"/>
      <w:u w:val="single"/>
    </w:rPr>
  </w:style>
  <w:style w:type="paragraph" w:styleId="FootnoteText">
    <w:name w:val="footnote text"/>
    <w:basedOn w:val="Normal"/>
    <w:link w:val="FootnoteTextChar"/>
    <w:uiPriority w:val="99"/>
    <w:semiHidden/>
    <w:unhideWhenUsed/>
    <w:rsid w:val="00054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DE9"/>
    <w:rPr>
      <w:sz w:val="20"/>
      <w:szCs w:val="20"/>
    </w:rPr>
  </w:style>
  <w:style w:type="character" w:styleId="FootnoteReference">
    <w:name w:val="footnote reference"/>
    <w:basedOn w:val="DefaultParagraphFont"/>
    <w:uiPriority w:val="99"/>
    <w:semiHidden/>
    <w:unhideWhenUsed/>
    <w:rsid w:val="00054DE9"/>
    <w:rPr>
      <w:vertAlign w:val="superscript"/>
    </w:rPr>
  </w:style>
  <w:style w:type="paragraph" w:styleId="Header">
    <w:name w:val="header"/>
    <w:basedOn w:val="Normal"/>
    <w:link w:val="HeaderChar"/>
    <w:uiPriority w:val="99"/>
    <w:unhideWhenUsed/>
    <w:rsid w:val="007D0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3E9"/>
  </w:style>
  <w:style w:type="paragraph" w:styleId="Footer">
    <w:name w:val="footer"/>
    <w:basedOn w:val="Normal"/>
    <w:link w:val="FooterChar"/>
    <w:uiPriority w:val="99"/>
    <w:unhideWhenUsed/>
    <w:rsid w:val="007D0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3E9"/>
  </w:style>
  <w:style w:type="character" w:customStyle="1" w:styleId="Heading1Char">
    <w:name w:val="Heading 1 Char"/>
    <w:basedOn w:val="DefaultParagraphFont"/>
    <w:link w:val="Heading1"/>
    <w:uiPriority w:val="9"/>
    <w:rsid w:val="004D47D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45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2827"/>
    <w:rPr>
      <w:sz w:val="16"/>
      <w:szCs w:val="16"/>
    </w:rPr>
  </w:style>
  <w:style w:type="paragraph" w:styleId="CommentText">
    <w:name w:val="annotation text"/>
    <w:basedOn w:val="Normal"/>
    <w:link w:val="CommentTextChar"/>
    <w:uiPriority w:val="99"/>
    <w:semiHidden/>
    <w:unhideWhenUsed/>
    <w:rsid w:val="003E2827"/>
    <w:pPr>
      <w:spacing w:line="240" w:lineRule="auto"/>
    </w:pPr>
    <w:rPr>
      <w:sz w:val="20"/>
      <w:szCs w:val="20"/>
    </w:rPr>
  </w:style>
  <w:style w:type="character" w:customStyle="1" w:styleId="CommentTextChar">
    <w:name w:val="Comment Text Char"/>
    <w:basedOn w:val="DefaultParagraphFont"/>
    <w:link w:val="CommentText"/>
    <w:uiPriority w:val="99"/>
    <w:semiHidden/>
    <w:rsid w:val="003E2827"/>
    <w:rPr>
      <w:sz w:val="20"/>
      <w:szCs w:val="20"/>
    </w:rPr>
  </w:style>
  <w:style w:type="paragraph" w:styleId="CommentSubject">
    <w:name w:val="annotation subject"/>
    <w:basedOn w:val="CommentText"/>
    <w:next w:val="CommentText"/>
    <w:link w:val="CommentSubjectChar"/>
    <w:uiPriority w:val="99"/>
    <w:semiHidden/>
    <w:unhideWhenUsed/>
    <w:rsid w:val="00B36D2E"/>
    <w:rPr>
      <w:b/>
      <w:bCs/>
    </w:rPr>
  </w:style>
  <w:style w:type="character" w:customStyle="1" w:styleId="CommentSubjectChar">
    <w:name w:val="Comment Subject Char"/>
    <w:basedOn w:val="CommentTextChar"/>
    <w:link w:val="CommentSubject"/>
    <w:uiPriority w:val="99"/>
    <w:semiHidden/>
    <w:rsid w:val="00B36D2E"/>
    <w:rPr>
      <w:b/>
      <w:bCs/>
      <w:sz w:val="20"/>
      <w:szCs w:val="20"/>
    </w:rPr>
  </w:style>
  <w:style w:type="paragraph" w:styleId="Revision">
    <w:name w:val="Revision"/>
    <w:hidden/>
    <w:uiPriority w:val="99"/>
    <w:semiHidden/>
    <w:rsid w:val="00B36D2E"/>
    <w:pPr>
      <w:spacing w:after="0" w:line="240" w:lineRule="auto"/>
    </w:pPr>
  </w:style>
  <w:style w:type="paragraph" w:styleId="BalloonText">
    <w:name w:val="Balloon Text"/>
    <w:basedOn w:val="Normal"/>
    <w:link w:val="BalloonTextChar"/>
    <w:uiPriority w:val="99"/>
    <w:semiHidden/>
    <w:unhideWhenUsed/>
    <w:rsid w:val="00B36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D2E"/>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0304">
      <w:bodyDiv w:val="1"/>
      <w:marLeft w:val="0"/>
      <w:marRight w:val="0"/>
      <w:marTop w:val="0"/>
      <w:marBottom w:val="0"/>
      <w:divBdr>
        <w:top w:val="none" w:sz="0" w:space="0" w:color="auto"/>
        <w:left w:val="none" w:sz="0" w:space="0" w:color="auto"/>
        <w:bottom w:val="none" w:sz="0" w:space="0" w:color="auto"/>
        <w:right w:val="none" w:sz="0" w:space="0" w:color="auto"/>
      </w:divBdr>
    </w:div>
    <w:div w:id="183591060">
      <w:bodyDiv w:val="1"/>
      <w:marLeft w:val="0"/>
      <w:marRight w:val="0"/>
      <w:marTop w:val="0"/>
      <w:marBottom w:val="0"/>
      <w:divBdr>
        <w:top w:val="none" w:sz="0" w:space="0" w:color="auto"/>
        <w:left w:val="none" w:sz="0" w:space="0" w:color="auto"/>
        <w:bottom w:val="none" w:sz="0" w:space="0" w:color="auto"/>
        <w:right w:val="none" w:sz="0" w:space="0" w:color="auto"/>
      </w:divBdr>
    </w:div>
    <w:div w:id="221602493">
      <w:bodyDiv w:val="1"/>
      <w:marLeft w:val="0"/>
      <w:marRight w:val="0"/>
      <w:marTop w:val="0"/>
      <w:marBottom w:val="0"/>
      <w:divBdr>
        <w:top w:val="none" w:sz="0" w:space="0" w:color="auto"/>
        <w:left w:val="none" w:sz="0" w:space="0" w:color="auto"/>
        <w:bottom w:val="none" w:sz="0" w:space="0" w:color="auto"/>
        <w:right w:val="none" w:sz="0" w:space="0" w:color="auto"/>
      </w:divBdr>
    </w:div>
    <w:div w:id="262033255">
      <w:bodyDiv w:val="1"/>
      <w:marLeft w:val="0"/>
      <w:marRight w:val="0"/>
      <w:marTop w:val="0"/>
      <w:marBottom w:val="0"/>
      <w:divBdr>
        <w:top w:val="none" w:sz="0" w:space="0" w:color="auto"/>
        <w:left w:val="none" w:sz="0" w:space="0" w:color="auto"/>
        <w:bottom w:val="none" w:sz="0" w:space="0" w:color="auto"/>
        <w:right w:val="none" w:sz="0" w:space="0" w:color="auto"/>
      </w:divBdr>
    </w:div>
    <w:div w:id="278069837">
      <w:bodyDiv w:val="1"/>
      <w:marLeft w:val="0"/>
      <w:marRight w:val="0"/>
      <w:marTop w:val="0"/>
      <w:marBottom w:val="0"/>
      <w:divBdr>
        <w:top w:val="none" w:sz="0" w:space="0" w:color="auto"/>
        <w:left w:val="none" w:sz="0" w:space="0" w:color="auto"/>
        <w:bottom w:val="none" w:sz="0" w:space="0" w:color="auto"/>
        <w:right w:val="none" w:sz="0" w:space="0" w:color="auto"/>
      </w:divBdr>
    </w:div>
    <w:div w:id="283080133">
      <w:bodyDiv w:val="1"/>
      <w:marLeft w:val="0"/>
      <w:marRight w:val="0"/>
      <w:marTop w:val="0"/>
      <w:marBottom w:val="0"/>
      <w:divBdr>
        <w:top w:val="none" w:sz="0" w:space="0" w:color="auto"/>
        <w:left w:val="none" w:sz="0" w:space="0" w:color="auto"/>
        <w:bottom w:val="none" w:sz="0" w:space="0" w:color="auto"/>
        <w:right w:val="none" w:sz="0" w:space="0" w:color="auto"/>
      </w:divBdr>
    </w:div>
    <w:div w:id="293682158">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87731499">
      <w:bodyDiv w:val="1"/>
      <w:marLeft w:val="0"/>
      <w:marRight w:val="0"/>
      <w:marTop w:val="0"/>
      <w:marBottom w:val="0"/>
      <w:divBdr>
        <w:top w:val="none" w:sz="0" w:space="0" w:color="auto"/>
        <w:left w:val="none" w:sz="0" w:space="0" w:color="auto"/>
        <w:bottom w:val="none" w:sz="0" w:space="0" w:color="auto"/>
        <w:right w:val="none" w:sz="0" w:space="0" w:color="auto"/>
      </w:divBdr>
    </w:div>
    <w:div w:id="487669949">
      <w:bodyDiv w:val="1"/>
      <w:marLeft w:val="0"/>
      <w:marRight w:val="0"/>
      <w:marTop w:val="0"/>
      <w:marBottom w:val="0"/>
      <w:divBdr>
        <w:top w:val="none" w:sz="0" w:space="0" w:color="auto"/>
        <w:left w:val="none" w:sz="0" w:space="0" w:color="auto"/>
        <w:bottom w:val="none" w:sz="0" w:space="0" w:color="auto"/>
        <w:right w:val="none" w:sz="0" w:space="0" w:color="auto"/>
      </w:divBdr>
    </w:div>
    <w:div w:id="510799897">
      <w:bodyDiv w:val="1"/>
      <w:marLeft w:val="0"/>
      <w:marRight w:val="0"/>
      <w:marTop w:val="0"/>
      <w:marBottom w:val="0"/>
      <w:divBdr>
        <w:top w:val="none" w:sz="0" w:space="0" w:color="auto"/>
        <w:left w:val="none" w:sz="0" w:space="0" w:color="auto"/>
        <w:bottom w:val="none" w:sz="0" w:space="0" w:color="auto"/>
        <w:right w:val="none" w:sz="0" w:space="0" w:color="auto"/>
      </w:divBdr>
    </w:div>
    <w:div w:id="562066858">
      <w:bodyDiv w:val="1"/>
      <w:marLeft w:val="0"/>
      <w:marRight w:val="0"/>
      <w:marTop w:val="0"/>
      <w:marBottom w:val="0"/>
      <w:divBdr>
        <w:top w:val="none" w:sz="0" w:space="0" w:color="auto"/>
        <w:left w:val="none" w:sz="0" w:space="0" w:color="auto"/>
        <w:bottom w:val="none" w:sz="0" w:space="0" w:color="auto"/>
        <w:right w:val="none" w:sz="0" w:space="0" w:color="auto"/>
      </w:divBdr>
    </w:div>
    <w:div w:id="566037816">
      <w:bodyDiv w:val="1"/>
      <w:marLeft w:val="0"/>
      <w:marRight w:val="0"/>
      <w:marTop w:val="0"/>
      <w:marBottom w:val="0"/>
      <w:divBdr>
        <w:top w:val="none" w:sz="0" w:space="0" w:color="auto"/>
        <w:left w:val="none" w:sz="0" w:space="0" w:color="auto"/>
        <w:bottom w:val="none" w:sz="0" w:space="0" w:color="auto"/>
        <w:right w:val="none" w:sz="0" w:space="0" w:color="auto"/>
      </w:divBdr>
    </w:div>
    <w:div w:id="568686094">
      <w:bodyDiv w:val="1"/>
      <w:marLeft w:val="0"/>
      <w:marRight w:val="0"/>
      <w:marTop w:val="0"/>
      <w:marBottom w:val="0"/>
      <w:divBdr>
        <w:top w:val="none" w:sz="0" w:space="0" w:color="auto"/>
        <w:left w:val="none" w:sz="0" w:space="0" w:color="auto"/>
        <w:bottom w:val="none" w:sz="0" w:space="0" w:color="auto"/>
        <w:right w:val="none" w:sz="0" w:space="0" w:color="auto"/>
      </w:divBdr>
    </w:div>
    <w:div w:id="616063477">
      <w:bodyDiv w:val="1"/>
      <w:marLeft w:val="0"/>
      <w:marRight w:val="0"/>
      <w:marTop w:val="0"/>
      <w:marBottom w:val="0"/>
      <w:divBdr>
        <w:top w:val="none" w:sz="0" w:space="0" w:color="auto"/>
        <w:left w:val="none" w:sz="0" w:space="0" w:color="auto"/>
        <w:bottom w:val="none" w:sz="0" w:space="0" w:color="auto"/>
        <w:right w:val="none" w:sz="0" w:space="0" w:color="auto"/>
      </w:divBdr>
    </w:div>
    <w:div w:id="657148213">
      <w:bodyDiv w:val="1"/>
      <w:marLeft w:val="0"/>
      <w:marRight w:val="0"/>
      <w:marTop w:val="0"/>
      <w:marBottom w:val="0"/>
      <w:divBdr>
        <w:top w:val="none" w:sz="0" w:space="0" w:color="auto"/>
        <w:left w:val="none" w:sz="0" w:space="0" w:color="auto"/>
        <w:bottom w:val="none" w:sz="0" w:space="0" w:color="auto"/>
        <w:right w:val="none" w:sz="0" w:space="0" w:color="auto"/>
      </w:divBdr>
    </w:div>
    <w:div w:id="716658513">
      <w:bodyDiv w:val="1"/>
      <w:marLeft w:val="0"/>
      <w:marRight w:val="0"/>
      <w:marTop w:val="0"/>
      <w:marBottom w:val="0"/>
      <w:divBdr>
        <w:top w:val="none" w:sz="0" w:space="0" w:color="auto"/>
        <w:left w:val="none" w:sz="0" w:space="0" w:color="auto"/>
        <w:bottom w:val="none" w:sz="0" w:space="0" w:color="auto"/>
        <w:right w:val="none" w:sz="0" w:space="0" w:color="auto"/>
      </w:divBdr>
    </w:div>
    <w:div w:id="755899581">
      <w:bodyDiv w:val="1"/>
      <w:marLeft w:val="0"/>
      <w:marRight w:val="0"/>
      <w:marTop w:val="0"/>
      <w:marBottom w:val="0"/>
      <w:divBdr>
        <w:top w:val="none" w:sz="0" w:space="0" w:color="auto"/>
        <w:left w:val="none" w:sz="0" w:space="0" w:color="auto"/>
        <w:bottom w:val="none" w:sz="0" w:space="0" w:color="auto"/>
        <w:right w:val="none" w:sz="0" w:space="0" w:color="auto"/>
      </w:divBdr>
    </w:div>
    <w:div w:id="807208615">
      <w:bodyDiv w:val="1"/>
      <w:marLeft w:val="0"/>
      <w:marRight w:val="0"/>
      <w:marTop w:val="0"/>
      <w:marBottom w:val="0"/>
      <w:divBdr>
        <w:top w:val="none" w:sz="0" w:space="0" w:color="auto"/>
        <w:left w:val="none" w:sz="0" w:space="0" w:color="auto"/>
        <w:bottom w:val="none" w:sz="0" w:space="0" w:color="auto"/>
        <w:right w:val="none" w:sz="0" w:space="0" w:color="auto"/>
      </w:divBdr>
    </w:div>
    <w:div w:id="818184158">
      <w:bodyDiv w:val="1"/>
      <w:marLeft w:val="0"/>
      <w:marRight w:val="0"/>
      <w:marTop w:val="0"/>
      <w:marBottom w:val="0"/>
      <w:divBdr>
        <w:top w:val="none" w:sz="0" w:space="0" w:color="auto"/>
        <w:left w:val="none" w:sz="0" w:space="0" w:color="auto"/>
        <w:bottom w:val="none" w:sz="0" w:space="0" w:color="auto"/>
        <w:right w:val="none" w:sz="0" w:space="0" w:color="auto"/>
      </w:divBdr>
    </w:div>
    <w:div w:id="832841985">
      <w:bodyDiv w:val="1"/>
      <w:marLeft w:val="0"/>
      <w:marRight w:val="0"/>
      <w:marTop w:val="0"/>
      <w:marBottom w:val="0"/>
      <w:divBdr>
        <w:top w:val="none" w:sz="0" w:space="0" w:color="auto"/>
        <w:left w:val="none" w:sz="0" w:space="0" w:color="auto"/>
        <w:bottom w:val="none" w:sz="0" w:space="0" w:color="auto"/>
        <w:right w:val="none" w:sz="0" w:space="0" w:color="auto"/>
      </w:divBdr>
    </w:div>
    <w:div w:id="841699593">
      <w:bodyDiv w:val="1"/>
      <w:marLeft w:val="0"/>
      <w:marRight w:val="0"/>
      <w:marTop w:val="0"/>
      <w:marBottom w:val="0"/>
      <w:divBdr>
        <w:top w:val="none" w:sz="0" w:space="0" w:color="auto"/>
        <w:left w:val="none" w:sz="0" w:space="0" w:color="auto"/>
        <w:bottom w:val="none" w:sz="0" w:space="0" w:color="auto"/>
        <w:right w:val="none" w:sz="0" w:space="0" w:color="auto"/>
      </w:divBdr>
    </w:div>
    <w:div w:id="848837279">
      <w:bodyDiv w:val="1"/>
      <w:marLeft w:val="0"/>
      <w:marRight w:val="0"/>
      <w:marTop w:val="0"/>
      <w:marBottom w:val="0"/>
      <w:divBdr>
        <w:top w:val="none" w:sz="0" w:space="0" w:color="auto"/>
        <w:left w:val="none" w:sz="0" w:space="0" w:color="auto"/>
        <w:bottom w:val="none" w:sz="0" w:space="0" w:color="auto"/>
        <w:right w:val="none" w:sz="0" w:space="0" w:color="auto"/>
      </w:divBdr>
    </w:div>
    <w:div w:id="892732720">
      <w:bodyDiv w:val="1"/>
      <w:marLeft w:val="0"/>
      <w:marRight w:val="0"/>
      <w:marTop w:val="0"/>
      <w:marBottom w:val="0"/>
      <w:divBdr>
        <w:top w:val="none" w:sz="0" w:space="0" w:color="auto"/>
        <w:left w:val="none" w:sz="0" w:space="0" w:color="auto"/>
        <w:bottom w:val="none" w:sz="0" w:space="0" w:color="auto"/>
        <w:right w:val="none" w:sz="0" w:space="0" w:color="auto"/>
      </w:divBdr>
    </w:div>
    <w:div w:id="899904125">
      <w:bodyDiv w:val="1"/>
      <w:marLeft w:val="0"/>
      <w:marRight w:val="0"/>
      <w:marTop w:val="0"/>
      <w:marBottom w:val="0"/>
      <w:divBdr>
        <w:top w:val="none" w:sz="0" w:space="0" w:color="auto"/>
        <w:left w:val="none" w:sz="0" w:space="0" w:color="auto"/>
        <w:bottom w:val="none" w:sz="0" w:space="0" w:color="auto"/>
        <w:right w:val="none" w:sz="0" w:space="0" w:color="auto"/>
      </w:divBdr>
    </w:div>
    <w:div w:id="902714600">
      <w:bodyDiv w:val="1"/>
      <w:marLeft w:val="0"/>
      <w:marRight w:val="0"/>
      <w:marTop w:val="0"/>
      <w:marBottom w:val="0"/>
      <w:divBdr>
        <w:top w:val="none" w:sz="0" w:space="0" w:color="auto"/>
        <w:left w:val="none" w:sz="0" w:space="0" w:color="auto"/>
        <w:bottom w:val="none" w:sz="0" w:space="0" w:color="auto"/>
        <w:right w:val="none" w:sz="0" w:space="0" w:color="auto"/>
      </w:divBdr>
    </w:div>
    <w:div w:id="1020475965">
      <w:bodyDiv w:val="1"/>
      <w:marLeft w:val="0"/>
      <w:marRight w:val="0"/>
      <w:marTop w:val="0"/>
      <w:marBottom w:val="0"/>
      <w:divBdr>
        <w:top w:val="none" w:sz="0" w:space="0" w:color="auto"/>
        <w:left w:val="none" w:sz="0" w:space="0" w:color="auto"/>
        <w:bottom w:val="none" w:sz="0" w:space="0" w:color="auto"/>
        <w:right w:val="none" w:sz="0" w:space="0" w:color="auto"/>
      </w:divBdr>
    </w:div>
    <w:div w:id="1066415261">
      <w:bodyDiv w:val="1"/>
      <w:marLeft w:val="0"/>
      <w:marRight w:val="0"/>
      <w:marTop w:val="0"/>
      <w:marBottom w:val="0"/>
      <w:divBdr>
        <w:top w:val="none" w:sz="0" w:space="0" w:color="auto"/>
        <w:left w:val="none" w:sz="0" w:space="0" w:color="auto"/>
        <w:bottom w:val="none" w:sz="0" w:space="0" w:color="auto"/>
        <w:right w:val="none" w:sz="0" w:space="0" w:color="auto"/>
      </w:divBdr>
    </w:div>
    <w:div w:id="1085374013">
      <w:bodyDiv w:val="1"/>
      <w:marLeft w:val="0"/>
      <w:marRight w:val="0"/>
      <w:marTop w:val="0"/>
      <w:marBottom w:val="0"/>
      <w:divBdr>
        <w:top w:val="none" w:sz="0" w:space="0" w:color="auto"/>
        <w:left w:val="none" w:sz="0" w:space="0" w:color="auto"/>
        <w:bottom w:val="none" w:sz="0" w:space="0" w:color="auto"/>
        <w:right w:val="none" w:sz="0" w:space="0" w:color="auto"/>
      </w:divBdr>
    </w:div>
    <w:div w:id="1139036573">
      <w:bodyDiv w:val="1"/>
      <w:marLeft w:val="0"/>
      <w:marRight w:val="0"/>
      <w:marTop w:val="0"/>
      <w:marBottom w:val="0"/>
      <w:divBdr>
        <w:top w:val="none" w:sz="0" w:space="0" w:color="auto"/>
        <w:left w:val="none" w:sz="0" w:space="0" w:color="auto"/>
        <w:bottom w:val="none" w:sz="0" w:space="0" w:color="auto"/>
        <w:right w:val="none" w:sz="0" w:space="0" w:color="auto"/>
      </w:divBdr>
    </w:div>
    <w:div w:id="1141578267">
      <w:bodyDiv w:val="1"/>
      <w:marLeft w:val="0"/>
      <w:marRight w:val="0"/>
      <w:marTop w:val="0"/>
      <w:marBottom w:val="0"/>
      <w:divBdr>
        <w:top w:val="none" w:sz="0" w:space="0" w:color="auto"/>
        <w:left w:val="none" w:sz="0" w:space="0" w:color="auto"/>
        <w:bottom w:val="none" w:sz="0" w:space="0" w:color="auto"/>
        <w:right w:val="none" w:sz="0" w:space="0" w:color="auto"/>
      </w:divBdr>
    </w:div>
    <w:div w:id="1191603260">
      <w:bodyDiv w:val="1"/>
      <w:marLeft w:val="0"/>
      <w:marRight w:val="0"/>
      <w:marTop w:val="0"/>
      <w:marBottom w:val="0"/>
      <w:divBdr>
        <w:top w:val="none" w:sz="0" w:space="0" w:color="auto"/>
        <w:left w:val="none" w:sz="0" w:space="0" w:color="auto"/>
        <w:bottom w:val="none" w:sz="0" w:space="0" w:color="auto"/>
        <w:right w:val="none" w:sz="0" w:space="0" w:color="auto"/>
      </w:divBdr>
    </w:div>
    <w:div w:id="1258715730">
      <w:bodyDiv w:val="1"/>
      <w:marLeft w:val="0"/>
      <w:marRight w:val="0"/>
      <w:marTop w:val="0"/>
      <w:marBottom w:val="0"/>
      <w:divBdr>
        <w:top w:val="none" w:sz="0" w:space="0" w:color="auto"/>
        <w:left w:val="none" w:sz="0" w:space="0" w:color="auto"/>
        <w:bottom w:val="none" w:sz="0" w:space="0" w:color="auto"/>
        <w:right w:val="none" w:sz="0" w:space="0" w:color="auto"/>
      </w:divBdr>
    </w:div>
    <w:div w:id="1411198116">
      <w:bodyDiv w:val="1"/>
      <w:marLeft w:val="0"/>
      <w:marRight w:val="0"/>
      <w:marTop w:val="0"/>
      <w:marBottom w:val="0"/>
      <w:divBdr>
        <w:top w:val="none" w:sz="0" w:space="0" w:color="auto"/>
        <w:left w:val="none" w:sz="0" w:space="0" w:color="auto"/>
        <w:bottom w:val="none" w:sz="0" w:space="0" w:color="auto"/>
        <w:right w:val="none" w:sz="0" w:space="0" w:color="auto"/>
      </w:divBdr>
    </w:div>
    <w:div w:id="1567102616">
      <w:bodyDiv w:val="1"/>
      <w:marLeft w:val="0"/>
      <w:marRight w:val="0"/>
      <w:marTop w:val="0"/>
      <w:marBottom w:val="0"/>
      <w:divBdr>
        <w:top w:val="none" w:sz="0" w:space="0" w:color="auto"/>
        <w:left w:val="none" w:sz="0" w:space="0" w:color="auto"/>
        <w:bottom w:val="none" w:sz="0" w:space="0" w:color="auto"/>
        <w:right w:val="none" w:sz="0" w:space="0" w:color="auto"/>
      </w:divBdr>
    </w:div>
    <w:div w:id="1626814800">
      <w:bodyDiv w:val="1"/>
      <w:marLeft w:val="0"/>
      <w:marRight w:val="0"/>
      <w:marTop w:val="0"/>
      <w:marBottom w:val="0"/>
      <w:divBdr>
        <w:top w:val="none" w:sz="0" w:space="0" w:color="auto"/>
        <w:left w:val="none" w:sz="0" w:space="0" w:color="auto"/>
        <w:bottom w:val="none" w:sz="0" w:space="0" w:color="auto"/>
        <w:right w:val="none" w:sz="0" w:space="0" w:color="auto"/>
      </w:divBdr>
    </w:div>
    <w:div w:id="1628002483">
      <w:bodyDiv w:val="1"/>
      <w:marLeft w:val="0"/>
      <w:marRight w:val="0"/>
      <w:marTop w:val="0"/>
      <w:marBottom w:val="0"/>
      <w:divBdr>
        <w:top w:val="none" w:sz="0" w:space="0" w:color="auto"/>
        <w:left w:val="none" w:sz="0" w:space="0" w:color="auto"/>
        <w:bottom w:val="none" w:sz="0" w:space="0" w:color="auto"/>
        <w:right w:val="none" w:sz="0" w:space="0" w:color="auto"/>
      </w:divBdr>
    </w:div>
    <w:div w:id="1767532731">
      <w:bodyDiv w:val="1"/>
      <w:marLeft w:val="0"/>
      <w:marRight w:val="0"/>
      <w:marTop w:val="0"/>
      <w:marBottom w:val="0"/>
      <w:divBdr>
        <w:top w:val="none" w:sz="0" w:space="0" w:color="auto"/>
        <w:left w:val="none" w:sz="0" w:space="0" w:color="auto"/>
        <w:bottom w:val="none" w:sz="0" w:space="0" w:color="auto"/>
        <w:right w:val="none" w:sz="0" w:space="0" w:color="auto"/>
      </w:divBdr>
    </w:div>
    <w:div w:id="1770851539">
      <w:bodyDiv w:val="1"/>
      <w:marLeft w:val="0"/>
      <w:marRight w:val="0"/>
      <w:marTop w:val="0"/>
      <w:marBottom w:val="0"/>
      <w:divBdr>
        <w:top w:val="none" w:sz="0" w:space="0" w:color="auto"/>
        <w:left w:val="none" w:sz="0" w:space="0" w:color="auto"/>
        <w:bottom w:val="none" w:sz="0" w:space="0" w:color="auto"/>
        <w:right w:val="none" w:sz="0" w:space="0" w:color="auto"/>
      </w:divBdr>
    </w:div>
    <w:div w:id="1772818402">
      <w:bodyDiv w:val="1"/>
      <w:marLeft w:val="0"/>
      <w:marRight w:val="0"/>
      <w:marTop w:val="0"/>
      <w:marBottom w:val="0"/>
      <w:divBdr>
        <w:top w:val="none" w:sz="0" w:space="0" w:color="auto"/>
        <w:left w:val="none" w:sz="0" w:space="0" w:color="auto"/>
        <w:bottom w:val="none" w:sz="0" w:space="0" w:color="auto"/>
        <w:right w:val="none" w:sz="0" w:space="0" w:color="auto"/>
      </w:divBdr>
    </w:div>
    <w:div w:id="1785004474">
      <w:bodyDiv w:val="1"/>
      <w:marLeft w:val="0"/>
      <w:marRight w:val="0"/>
      <w:marTop w:val="0"/>
      <w:marBottom w:val="0"/>
      <w:divBdr>
        <w:top w:val="none" w:sz="0" w:space="0" w:color="auto"/>
        <w:left w:val="none" w:sz="0" w:space="0" w:color="auto"/>
        <w:bottom w:val="none" w:sz="0" w:space="0" w:color="auto"/>
        <w:right w:val="none" w:sz="0" w:space="0" w:color="auto"/>
      </w:divBdr>
    </w:div>
    <w:div w:id="1810711500">
      <w:bodyDiv w:val="1"/>
      <w:marLeft w:val="0"/>
      <w:marRight w:val="0"/>
      <w:marTop w:val="0"/>
      <w:marBottom w:val="0"/>
      <w:divBdr>
        <w:top w:val="none" w:sz="0" w:space="0" w:color="auto"/>
        <w:left w:val="none" w:sz="0" w:space="0" w:color="auto"/>
        <w:bottom w:val="none" w:sz="0" w:space="0" w:color="auto"/>
        <w:right w:val="none" w:sz="0" w:space="0" w:color="auto"/>
      </w:divBdr>
    </w:div>
    <w:div w:id="1815097044">
      <w:bodyDiv w:val="1"/>
      <w:marLeft w:val="0"/>
      <w:marRight w:val="0"/>
      <w:marTop w:val="0"/>
      <w:marBottom w:val="0"/>
      <w:divBdr>
        <w:top w:val="none" w:sz="0" w:space="0" w:color="auto"/>
        <w:left w:val="none" w:sz="0" w:space="0" w:color="auto"/>
        <w:bottom w:val="none" w:sz="0" w:space="0" w:color="auto"/>
        <w:right w:val="none" w:sz="0" w:space="0" w:color="auto"/>
      </w:divBdr>
    </w:div>
    <w:div w:id="1818261601">
      <w:bodyDiv w:val="1"/>
      <w:marLeft w:val="0"/>
      <w:marRight w:val="0"/>
      <w:marTop w:val="0"/>
      <w:marBottom w:val="0"/>
      <w:divBdr>
        <w:top w:val="none" w:sz="0" w:space="0" w:color="auto"/>
        <w:left w:val="none" w:sz="0" w:space="0" w:color="auto"/>
        <w:bottom w:val="none" w:sz="0" w:space="0" w:color="auto"/>
        <w:right w:val="none" w:sz="0" w:space="0" w:color="auto"/>
      </w:divBdr>
    </w:div>
    <w:div w:id="1821731015">
      <w:bodyDiv w:val="1"/>
      <w:marLeft w:val="0"/>
      <w:marRight w:val="0"/>
      <w:marTop w:val="0"/>
      <w:marBottom w:val="0"/>
      <w:divBdr>
        <w:top w:val="none" w:sz="0" w:space="0" w:color="auto"/>
        <w:left w:val="none" w:sz="0" w:space="0" w:color="auto"/>
        <w:bottom w:val="none" w:sz="0" w:space="0" w:color="auto"/>
        <w:right w:val="none" w:sz="0" w:space="0" w:color="auto"/>
      </w:divBdr>
    </w:div>
    <w:div w:id="1824924570">
      <w:bodyDiv w:val="1"/>
      <w:marLeft w:val="0"/>
      <w:marRight w:val="0"/>
      <w:marTop w:val="0"/>
      <w:marBottom w:val="0"/>
      <w:divBdr>
        <w:top w:val="none" w:sz="0" w:space="0" w:color="auto"/>
        <w:left w:val="none" w:sz="0" w:space="0" w:color="auto"/>
        <w:bottom w:val="none" w:sz="0" w:space="0" w:color="auto"/>
        <w:right w:val="none" w:sz="0" w:space="0" w:color="auto"/>
      </w:divBdr>
    </w:div>
    <w:div w:id="1827165381">
      <w:bodyDiv w:val="1"/>
      <w:marLeft w:val="0"/>
      <w:marRight w:val="0"/>
      <w:marTop w:val="0"/>
      <w:marBottom w:val="0"/>
      <w:divBdr>
        <w:top w:val="none" w:sz="0" w:space="0" w:color="auto"/>
        <w:left w:val="none" w:sz="0" w:space="0" w:color="auto"/>
        <w:bottom w:val="none" w:sz="0" w:space="0" w:color="auto"/>
        <w:right w:val="none" w:sz="0" w:space="0" w:color="auto"/>
      </w:divBdr>
    </w:div>
    <w:div w:id="1839496198">
      <w:bodyDiv w:val="1"/>
      <w:marLeft w:val="0"/>
      <w:marRight w:val="0"/>
      <w:marTop w:val="0"/>
      <w:marBottom w:val="0"/>
      <w:divBdr>
        <w:top w:val="none" w:sz="0" w:space="0" w:color="auto"/>
        <w:left w:val="none" w:sz="0" w:space="0" w:color="auto"/>
        <w:bottom w:val="none" w:sz="0" w:space="0" w:color="auto"/>
        <w:right w:val="none" w:sz="0" w:space="0" w:color="auto"/>
      </w:divBdr>
    </w:div>
    <w:div w:id="1845196257">
      <w:bodyDiv w:val="1"/>
      <w:marLeft w:val="0"/>
      <w:marRight w:val="0"/>
      <w:marTop w:val="0"/>
      <w:marBottom w:val="0"/>
      <w:divBdr>
        <w:top w:val="none" w:sz="0" w:space="0" w:color="auto"/>
        <w:left w:val="none" w:sz="0" w:space="0" w:color="auto"/>
        <w:bottom w:val="none" w:sz="0" w:space="0" w:color="auto"/>
        <w:right w:val="none" w:sz="0" w:space="0" w:color="auto"/>
      </w:divBdr>
    </w:div>
    <w:div w:id="1854954857">
      <w:bodyDiv w:val="1"/>
      <w:marLeft w:val="0"/>
      <w:marRight w:val="0"/>
      <w:marTop w:val="0"/>
      <w:marBottom w:val="0"/>
      <w:divBdr>
        <w:top w:val="none" w:sz="0" w:space="0" w:color="auto"/>
        <w:left w:val="none" w:sz="0" w:space="0" w:color="auto"/>
        <w:bottom w:val="none" w:sz="0" w:space="0" w:color="auto"/>
        <w:right w:val="none" w:sz="0" w:space="0" w:color="auto"/>
      </w:divBdr>
    </w:div>
    <w:div w:id="1907261256">
      <w:bodyDiv w:val="1"/>
      <w:marLeft w:val="0"/>
      <w:marRight w:val="0"/>
      <w:marTop w:val="0"/>
      <w:marBottom w:val="0"/>
      <w:divBdr>
        <w:top w:val="none" w:sz="0" w:space="0" w:color="auto"/>
        <w:left w:val="none" w:sz="0" w:space="0" w:color="auto"/>
        <w:bottom w:val="none" w:sz="0" w:space="0" w:color="auto"/>
        <w:right w:val="none" w:sz="0" w:space="0" w:color="auto"/>
      </w:divBdr>
    </w:div>
    <w:div w:id="2041933285">
      <w:bodyDiv w:val="1"/>
      <w:marLeft w:val="0"/>
      <w:marRight w:val="0"/>
      <w:marTop w:val="0"/>
      <w:marBottom w:val="0"/>
      <w:divBdr>
        <w:top w:val="none" w:sz="0" w:space="0" w:color="auto"/>
        <w:left w:val="none" w:sz="0" w:space="0" w:color="auto"/>
        <w:bottom w:val="none" w:sz="0" w:space="0" w:color="auto"/>
        <w:right w:val="none" w:sz="0" w:space="0" w:color="auto"/>
      </w:divBdr>
    </w:div>
    <w:div w:id="2078894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edia.fisheries.noaa.gov/dam-migration/k8-eo12866.pdf" TargetMode="External" /><Relationship Id="rId11" Type="http://schemas.openxmlformats.org/officeDocument/2006/relationships/hyperlink" Target="https://media.fisheries.noaa.gov/dam-migration/k13-addl-opm-guidance-reducing-regs.pdf" TargetMode="External" /><Relationship Id="rId12" Type="http://schemas.openxmlformats.org/officeDocument/2006/relationships/hyperlink" Target="https://oeab.noaa.gov/wp-content/uploads/2020/Documents/EO_13840_on_Ocean_Policy.pdf" TargetMode="External" /><Relationship Id="rId13" Type="http://schemas.openxmlformats.org/officeDocument/2006/relationships/hyperlink" Target="https://media.fisheries.noaa.gov/dam-migration/01-111-05.pdf" TargetMode="External" /><Relationship Id="rId14" Type="http://schemas.openxmlformats.org/officeDocument/2006/relationships/hyperlink" Target="https://www.noaa.gov/organization/budget-finance-performance/value-to-society/noaa-fy22-26-strategic-plan" TargetMode="External" /><Relationship Id="rId15" Type="http://schemas.openxmlformats.org/officeDocument/2006/relationships/hyperlink" Target="https://media.fisheries.noaa.gov/dam-migration/noaa_strategicplan_2019_singlesv5.pdf" TargetMode="External" /><Relationship Id="rId16" Type="http://schemas.openxmlformats.org/officeDocument/2006/relationships/hyperlink" Target="https://media.fisheries.noaa.gov/dam-migration/01-120-01.pdf" TargetMode="External" /><Relationship Id="rId17" Type="http://schemas.openxmlformats.org/officeDocument/2006/relationships/hyperlink" Target="https://repository.library.noaa.gov/view/noaa/17062" TargetMode="External" /><Relationship Id="rId18" Type="http://schemas.openxmlformats.org/officeDocument/2006/relationships/hyperlink" Target="https://media.fisheries.noaa.gov/dam-migration/01-121.pdf" TargetMode="External" /><Relationship Id="rId19" Type="http://schemas.openxmlformats.org/officeDocument/2006/relationships/hyperlink" Target="https://www.osec.doc.gov/opog/PrivacyAct/SORNs/noaa-6.html" TargetMode="External" /><Relationship Id="rId2" Type="http://schemas.openxmlformats.org/officeDocument/2006/relationships/settings" Target="settings.xml" /><Relationship Id="rId20" Type="http://schemas.openxmlformats.org/officeDocument/2006/relationships/hyperlink" Target="https://www.osec.doc.gov/opog/PrivacyAct/SORNs/noaa-19.html" TargetMode="External" /><Relationship Id="rId21" Type="http://schemas.openxmlformats.org/officeDocument/2006/relationships/hyperlink" Target="http://www.gpo.gov/fdsys/pkg/CFR-2014-title5-vol3/pdf/CFR-2014-title5-vol3-sec1320-9.pdf" TargetMode="External" /><Relationship Id="rId22" Type="http://schemas.openxmlformats.org/officeDocument/2006/relationships/hyperlink" Target="http://www.gpo.gov/fdsys/pkg/CFR-2014-title5-vol3/pdf/CFR-2014-title5-vol3-sec1320-8.pdf"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media.fisheries.noaa.gov/dam-migration/msa-amended-2007.pdf" TargetMode="External" /><Relationship Id="rId7" Type="http://schemas.openxmlformats.org/officeDocument/2006/relationships/hyperlink" Target="https://www.fisheries.noaa.gov/national/endangered-species-conservation/endangered-species-act" TargetMode="External" /><Relationship Id="rId8" Type="http://schemas.openxmlformats.org/officeDocument/2006/relationships/hyperlink" Target="https://www.govinfo.gov/content/pkg/STATUTE-83/pdf/STATUTE-83-Pg852.pdf" TargetMode="External" /><Relationship Id="rId9" Type="http://schemas.openxmlformats.org/officeDocument/2006/relationships/hyperlink" Target="https://advocacy.sba.gov/resources/the-regulatory-flexibility-ac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po.nmfs.noaa.gov/sites/default/files/TMSPO231.pdf" TargetMode="External" /><Relationship Id="rId2"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cb+J0M01FiToWZ3bEaSpYJSYfA==">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4816</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Joe.I.Terry</dc:creator>
  <cp:lastModifiedBy>Janet.Peery</cp:lastModifiedBy>
  <cp:revision>8</cp:revision>
  <cp:lastPrinted>2022-09-30T20:55:00Z</cp:lastPrinted>
  <dcterms:created xsi:type="dcterms:W3CDTF">2022-10-04T20:52:00Z</dcterms:created>
  <dcterms:modified xsi:type="dcterms:W3CDTF">2022-10-06T19:53:00Z</dcterms:modified>
</cp:coreProperties>
</file>