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6E81" w:rsidRPr="00232D26" w:rsidP="004B07A7" w14:paraId="75615C2A" w14:textId="77777777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SUPPORTING STATEMENT</w:t>
      </w:r>
    </w:p>
    <w:p w:rsidR="004F6E81" w:rsidRPr="00232D26" w:rsidP="004B07A7" w14:paraId="33199C30" w14:textId="77777777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C769F0" w:rsidP="004B07A7" w14:paraId="78B743A7" w14:textId="502CE2B7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0704-</w:t>
      </w:r>
      <w:r w:rsidRPr="00232D26" w:rsidR="004F6E81">
        <w:rPr>
          <w:sz w:val="24"/>
          <w:szCs w:val="24"/>
          <w:u w:val="single"/>
        </w:rPr>
        <w:t>0549</w:t>
      </w:r>
      <w:r w:rsidRPr="00232D26" w:rsidR="00232D26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Defense </w:t>
      </w:r>
      <w:r w:rsidR="000A6098">
        <w:rPr>
          <w:sz w:val="24"/>
          <w:szCs w:val="24"/>
          <w:u w:val="single"/>
        </w:rPr>
        <w:t>Contractors Performing</w:t>
      </w:r>
    </w:p>
    <w:p w:rsidR="00214DBC" w:rsidRPr="00232D26" w:rsidP="004B07A7" w14:paraId="7889AAAF" w14:textId="361FB032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Private Security Functions</w:t>
      </w:r>
      <w:r w:rsidR="001324D8">
        <w:rPr>
          <w:sz w:val="24"/>
          <w:szCs w:val="24"/>
          <w:u w:val="single"/>
        </w:rPr>
        <w:t xml:space="preserve"> Outside the United States</w:t>
      </w:r>
    </w:p>
    <w:p w:rsidR="00341A4D" w:rsidP="004B07A7" w14:paraId="54660631" w14:textId="1B8AFB6A">
      <w:pPr>
        <w:spacing w:after="0" w:line="240" w:lineRule="auto"/>
        <w:rPr>
          <w:sz w:val="24"/>
          <w:szCs w:val="24"/>
          <w:u w:val="single"/>
        </w:rPr>
      </w:pPr>
    </w:p>
    <w:p w:rsidR="00EF2825" w:rsidP="00B0224E" w14:paraId="3DDBC68F" w14:textId="262C08E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Summary of Changes from Previously Approved Collection</w:t>
      </w:r>
    </w:p>
    <w:p w:rsidR="00EF2825" w:rsidP="00F03864" w14:paraId="025D9561" w14:textId="77777777">
      <w:pPr>
        <w:spacing w:after="0" w:line="240" w:lineRule="auto"/>
        <w:rPr>
          <w:sz w:val="24"/>
          <w:szCs w:val="24"/>
          <w:u w:val="single"/>
        </w:rPr>
      </w:pPr>
    </w:p>
    <w:p w:rsidR="0060612C" w:rsidRPr="00F03864" w:rsidP="00F03864" w14:paraId="4EF9699E" w14:textId="4F9567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3864">
        <w:rPr>
          <w:sz w:val="24"/>
          <w:szCs w:val="24"/>
        </w:rPr>
        <w:t>The number of respondents and responses are reduced slightly for this renewal period.  See paragraph 15.</w:t>
      </w:r>
    </w:p>
    <w:p w:rsidR="00214DBC" w:rsidRPr="00EF2825" w:rsidP="00F03864" w14:paraId="69086123" w14:textId="77777777">
      <w:pPr>
        <w:spacing w:after="0" w:line="240" w:lineRule="auto"/>
        <w:rPr>
          <w:sz w:val="24"/>
          <w:szCs w:val="24"/>
        </w:rPr>
      </w:pPr>
    </w:p>
    <w:p w:rsidR="00214DBC" w:rsidRPr="00232D26" w:rsidP="00F03864" w14:paraId="018365AB" w14:textId="77777777">
      <w:pPr>
        <w:spacing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 xml:space="preserve">A.  </w:t>
      </w:r>
      <w:r w:rsidRPr="00232D26">
        <w:rPr>
          <w:caps/>
          <w:sz w:val="24"/>
          <w:szCs w:val="24"/>
          <w:u w:val="single"/>
        </w:rPr>
        <w:t>Justification</w:t>
      </w:r>
    </w:p>
    <w:p w:rsidR="00664CE7" w:rsidRPr="00232D26" w:rsidP="004B07A7" w14:paraId="28DFFE74" w14:textId="0791F63E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B51B3">
        <w:rPr>
          <w:sz w:val="24"/>
          <w:szCs w:val="24"/>
        </w:rPr>
        <w:t xml:space="preserve">1.  </w:t>
      </w:r>
      <w:r w:rsidRPr="00232D26">
        <w:rPr>
          <w:sz w:val="24"/>
          <w:szCs w:val="24"/>
          <w:u w:val="single"/>
        </w:rPr>
        <w:t>Need for the Information Collection</w:t>
      </w:r>
    </w:p>
    <w:p w:rsidR="00664CE7" w:rsidRPr="00232D26" w:rsidP="00F03864" w14:paraId="34317DDC" w14:textId="77777777">
      <w:pPr>
        <w:spacing w:after="0" w:line="240" w:lineRule="auto"/>
        <w:rPr>
          <w:sz w:val="24"/>
          <w:szCs w:val="24"/>
        </w:rPr>
      </w:pPr>
    </w:p>
    <w:p w:rsidR="00AE1A9D" w:rsidRPr="00232D26" w:rsidP="00F03864" w14:paraId="69B63E78" w14:textId="0C6CAED0">
      <w:pPr>
        <w:spacing w:after="0" w:line="240" w:lineRule="auto"/>
        <w:ind w:firstLine="36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160D">
        <w:rPr>
          <w:sz w:val="24"/>
          <w:szCs w:val="24"/>
        </w:rPr>
        <w:t xml:space="preserve">Section </w:t>
      </w:r>
      <w:r w:rsidRPr="00232D26" w:rsidR="00CF4A82">
        <w:rPr>
          <w:sz w:val="24"/>
          <w:szCs w:val="24"/>
        </w:rPr>
        <w:t>862 of the National Defense Authorization Act (NDAA) for Fiscal Year (FY) 2008, as amended</w:t>
      </w:r>
      <w:r w:rsidRPr="00232D26" w:rsidR="0005160D">
        <w:rPr>
          <w:sz w:val="24"/>
          <w:szCs w:val="24"/>
        </w:rPr>
        <w:t>,</w:t>
      </w:r>
      <w:r>
        <w:rPr>
          <w:rStyle w:val="FootnoteReference"/>
          <w:sz w:val="24"/>
          <w:szCs w:val="24"/>
        </w:rPr>
        <w:footnoteReference w:id="2"/>
      </w:r>
      <w:r w:rsidRPr="00232D26" w:rsidR="0005160D">
        <w:rPr>
          <w:sz w:val="24"/>
          <w:szCs w:val="24"/>
        </w:rPr>
        <w:t xml:space="preserve"> establishes</w:t>
      </w:r>
      <w:r w:rsidRPr="00232D26" w:rsidR="00FB32A2">
        <w:rPr>
          <w:sz w:val="24"/>
          <w:szCs w:val="24"/>
        </w:rPr>
        <w:t xml:space="preserve"> requirements and limitations for contractors performing private security functions</w:t>
      </w:r>
      <w:r w:rsidRPr="00232D26" w:rsidR="0005160D">
        <w:rPr>
          <w:sz w:val="24"/>
          <w:szCs w:val="24"/>
        </w:rPr>
        <w:t xml:space="preserve"> outside the United States</w:t>
      </w:r>
      <w:r w:rsidRPr="00232D26" w:rsidR="00FB32A2">
        <w:rPr>
          <w:sz w:val="24"/>
          <w:szCs w:val="24"/>
        </w:rPr>
        <w:t>. Section 862, as amended, is implemented at 32 CFR part 159, Private Security Contractors Operating in Contingency Operations,  and DoD Instruction</w:t>
      </w:r>
      <w:r w:rsidRPr="00232D26" w:rsidR="0005160D">
        <w:rPr>
          <w:sz w:val="24"/>
          <w:szCs w:val="24"/>
        </w:rPr>
        <w:t xml:space="preserve"> (DoDI)</w:t>
      </w:r>
      <w:r w:rsidRPr="00232D26" w:rsidR="00FB32A2">
        <w:rPr>
          <w:sz w:val="24"/>
          <w:szCs w:val="24"/>
        </w:rPr>
        <w:t xml:space="preserve"> 3020.</w:t>
      </w:r>
      <w:r w:rsidRPr="00232D26" w:rsidR="00CF4A82">
        <w:rPr>
          <w:sz w:val="24"/>
          <w:szCs w:val="24"/>
        </w:rPr>
        <w:t>50, Private Security Contractors (PSCs) Operating in Contingency Operations, Humanitarian or Peace Operations, or Other Military Operations or Exercises</w:t>
      </w:r>
      <w:r w:rsidRPr="00232D26" w:rsidR="00FB32A2">
        <w:rPr>
          <w:sz w:val="24"/>
          <w:szCs w:val="24"/>
        </w:rPr>
        <w:t>,</w:t>
      </w:r>
      <w:r w:rsidRPr="00232D26" w:rsidR="00CF4A82">
        <w:rPr>
          <w:sz w:val="24"/>
          <w:szCs w:val="24"/>
        </w:rPr>
        <w:t xml:space="preserve"> </w:t>
      </w:r>
      <w:r w:rsidRPr="00232D26" w:rsidR="00FB32A2">
        <w:rPr>
          <w:sz w:val="24"/>
          <w:szCs w:val="24"/>
        </w:rPr>
        <w:t xml:space="preserve">which require geographic combatant commanders to establish procedures and assign responsibilities for ensuring </w:t>
      </w:r>
      <w:r w:rsidRPr="00232D26" w:rsidR="00CC07BA">
        <w:rPr>
          <w:sz w:val="24"/>
          <w:szCs w:val="24"/>
        </w:rPr>
        <w:t xml:space="preserve">that </w:t>
      </w:r>
      <w:r w:rsidRPr="00232D26" w:rsidR="00FB32A2">
        <w:rPr>
          <w:sz w:val="24"/>
          <w:szCs w:val="24"/>
        </w:rPr>
        <w:t xml:space="preserve">contractors </w:t>
      </w:r>
      <w:r w:rsidRPr="00232D26" w:rsidR="00CC07BA">
        <w:rPr>
          <w:sz w:val="24"/>
          <w:szCs w:val="24"/>
        </w:rPr>
        <w:t xml:space="preserve">and contractor personnel report certain security incidents when performing private security functions in </w:t>
      </w:r>
      <w:r w:rsidRPr="00232D26" w:rsidR="0005160D">
        <w:rPr>
          <w:sz w:val="24"/>
          <w:szCs w:val="24"/>
        </w:rPr>
        <w:t>covered</w:t>
      </w:r>
      <w:r w:rsidRPr="00232D26" w:rsidR="00CC07BA">
        <w:rPr>
          <w:sz w:val="24"/>
          <w:szCs w:val="24"/>
        </w:rPr>
        <w:t xml:space="preserve"> operational areas</w:t>
      </w:r>
      <w:r w:rsidRPr="00232D26" w:rsidR="0005160D">
        <w:rPr>
          <w:sz w:val="24"/>
          <w:szCs w:val="24"/>
        </w:rPr>
        <w:t>.</w:t>
      </w:r>
      <w:r>
        <w:rPr>
          <w:rStyle w:val="FootnoteReference"/>
          <w:sz w:val="24"/>
          <w:szCs w:val="24"/>
        </w:rPr>
        <w:footnoteReference w:id="3"/>
      </w:r>
    </w:p>
    <w:p w:rsidR="00AE1A9D" w:rsidRPr="00232D26" w:rsidP="00F03864" w14:paraId="0F87661D" w14:textId="77777777">
      <w:pPr>
        <w:spacing w:after="0" w:line="240" w:lineRule="auto"/>
        <w:rPr>
          <w:sz w:val="24"/>
          <w:szCs w:val="24"/>
        </w:rPr>
      </w:pPr>
    </w:p>
    <w:p w:rsidR="002B0FD4" w:rsidRPr="00232D26" w:rsidP="00F03864" w14:paraId="58652087" w14:textId="4DF6E5E4">
      <w:p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>The clause at D</w:t>
      </w:r>
      <w:r w:rsidRPr="00232D26" w:rsidR="0005160D">
        <w:rPr>
          <w:sz w:val="24"/>
          <w:szCs w:val="24"/>
        </w:rPr>
        <w:t>efense Federal Acquisition Regulation Supplement (D</w:t>
      </w:r>
      <w:r w:rsidRPr="00232D26">
        <w:rPr>
          <w:sz w:val="24"/>
          <w:szCs w:val="24"/>
        </w:rPr>
        <w:t>FARS</w:t>
      </w:r>
      <w:r w:rsidRPr="00232D26" w:rsidR="0005160D">
        <w:rPr>
          <w:sz w:val="24"/>
          <w:szCs w:val="24"/>
        </w:rPr>
        <w:t>)</w:t>
      </w:r>
      <w:r w:rsidRPr="00232D26">
        <w:rPr>
          <w:sz w:val="24"/>
          <w:szCs w:val="24"/>
        </w:rPr>
        <w:t xml:space="preserve"> 252.225-7039, </w:t>
      </w:r>
      <w:r w:rsidRPr="00232D26" w:rsidR="00AE1A9D">
        <w:rPr>
          <w:sz w:val="24"/>
          <w:szCs w:val="24"/>
        </w:rPr>
        <w:t xml:space="preserve">Defense Contractors Performing Private Security Functions Outside the United States, </w:t>
      </w:r>
      <w:r w:rsidRPr="00232D26" w:rsidR="00E77571">
        <w:rPr>
          <w:sz w:val="24"/>
          <w:szCs w:val="24"/>
        </w:rPr>
        <w:t xml:space="preserve">(see </w:t>
      </w:r>
      <w:r w:rsidR="00EF2825">
        <w:rPr>
          <w:sz w:val="24"/>
          <w:szCs w:val="24"/>
        </w:rPr>
        <w:t>the final rule</w:t>
      </w:r>
      <w:r w:rsidRPr="00232D26" w:rsidR="00EF2825">
        <w:rPr>
          <w:sz w:val="24"/>
          <w:szCs w:val="24"/>
        </w:rPr>
        <w:t xml:space="preserve"> </w:t>
      </w:r>
      <w:r w:rsidR="00EF2825">
        <w:rPr>
          <w:sz w:val="24"/>
          <w:szCs w:val="24"/>
        </w:rPr>
        <w:t xml:space="preserve">for </w:t>
      </w:r>
      <w:r w:rsidRPr="00232D26" w:rsidR="00E77571">
        <w:rPr>
          <w:sz w:val="24"/>
          <w:szCs w:val="24"/>
        </w:rPr>
        <w:t xml:space="preserve">DFARS </w:t>
      </w:r>
      <w:r w:rsidR="00EF2825">
        <w:rPr>
          <w:sz w:val="24"/>
          <w:szCs w:val="24"/>
        </w:rPr>
        <w:t xml:space="preserve">Case </w:t>
      </w:r>
      <w:r w:rsidRPr="00232D26" w:rsidR="00E77571">
        <w:rPr>
          <w:sz w:val="24"/>
          <w:szCs w:val="24"/>
        </w:rPr>
        <w:t>2015-D021)</w:t>
      </w:r>
      <w:r w:rsidRPr="00232D26" w:rsidR="00AE1A9D">
        <w:rPr>
          <w:sz w:val="24"/>
          <w:szCs w:val="24"/>
        </w:rPr>
        <w:t xml:space="preserve"> </w:t>
      </w:r>
      <w:r w:rsidRPr="00232D26" w:rsidR="00E77571">
        <w:rPr>
          <w:sz w:val="24"/>
          <w:szCs w:val="24"/>
        </w:rPr>
        <w:t>require</w:t>
      </w:r>
      <w:r w:rsidR="00EB34AB">
        <w:rPr>
          <w:sz w:val="24"/>
          <w:szCs w:val="24"/>
        </w:rPr>
        <w:t>s</w:t>
      </w:r>
      <w:r w:rsidRPr="00232D26">
        <w:rPr>
          <w:sz w:val="24"/>
          <w:szCs w:val="24"/>
        </w:rPr>
        <w:t xml:space="preserve"> contractors and subcontractors performing private security functions in </w:t>
      </w:r>
      <w:r w:rsidRPr="00232D26" w:rsidR="0005160D">
        <w:rPr>
          <w:sz w:val="24"/>
          <w:szCs w:val="24"/>
        </w:rPr>
        <w:t xml:space="preserve">designated operational </w:t>
      </w:r>
      <w:r w:rsidRPr="00232D26">
        <w:rPr>
          <w:sz w:val="24"/>
          <w:szCs w:val="24"/>
        </w:rPr>
        <w:t xml:space="preserve">areas </w:t>
      </w:r>
      <w:r w:rsidRPr="00232D26" w:rsidR="0005160D">
        <w:rPr>
          <w:sz w:val="24"/>
          <w:szCs w:val="24"/>
        </w:rPr>
        <w:t xml:space="preserve">outside the United States </w:t>
      </w:r>
      <w:r w:rsidRPr="00232D26" w:rsidR="00E77571">
        <w:rPr>
          <w:sz w:val="24"/>
          <w:szCs w:val="24"/>
        </w:rPr>
        <w:t xml:space="preserve">to </w:t>
      </w:r>
      <w:r w:rsidRPr="00232D26" w:rsidR="00AE1A9D">
        <w:rPr>
          <w:sz w:val="24"/>
          <w:szCs w:val="24"/>
        </w:rPr>
        <w:t xml:space="preserve">comply with 32 CFR </w:t>
      </w:r>
      <w:r w:rsidR="00244EB6">
        <w:rPr>
          <w:sz w:val="24"/>
          <w:szCs w:val="24"/>
        </w:rPr>
        <w:t xml:space="preserve">part </w:t>
      </w:r>
      <w:r w:rsidRPr="00232D26" w:rsidR="00AE1A9D">
        <w:rPr>
          <w:sz w:val="24"/>
          <w:szCs w:val="24"/>
        </w:rPr>
        <w:t>159 and any orders, directives, and instructions contained in the contract on reporting</w:t>
      </w:r>
      <w:r w:rsidRPr="00232D26">
        <w:rPr>
          <w:sz w:val="24"/>
          <w:szCs w:val="24"/>
        </w:rPr>
        <w:t xml:space="preserve"> the following types of incidents to the geographic combatant commander if and when they occur:</w:t>
      </w:r>
    </w:p>
    <w:p w:rsidR="002B0FD4" w:rsidRPr="00232D26" w:rsidP="00F03864" w14:paraId="3A9DCB83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52952CB7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a</w:t>
      </w:r>
      <w:r w:rsidRPr="00232D26">
        <w:rPr>
          <w:rFonts w:ascii="Times New Roman" w:hAnsi="Times New Roman"/>
          <w:szCs w:val="24"/>
        </w:rPr>
        <w:t>)  A weapon is discharged by personnel performing private security functions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P="00F03864" w14:paraId="3FE1574D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42DEF140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b</w:t>
      </w:r>
      <w:r w:rsidRPr="00232D26">
        <w:rPr>
          <w:rFonts w:ascii="Times New Roman" w:hAnsi="Times New Roman"/>
          <w:szCs w:val="24"/>
        </w:rPr>
        <w:t>)  Personnel performing private security functions are attacked, killed, or injured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P="00F03864" w14:paraId="7DD9FAA4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2E714FFA" w14:textId="09D7A37D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c</w:t>
      </w:r>
      <w:r w:rsidRPr="00232D26">
        <w:rPr>
          <w:rFonts w:ascii="Times New Roman" w:hAnsi="Times New Roman"/>
          <w:szCs w:val="24"/>
        </w:rPr>
        <w:t xml:space="preserve">)  Persons are killed or injured or property is destroyed as a result of </w:t>
      </w:r>
      <w:r w:rsidR="00EA1F4A">
        <w:rPr>
          <w:rFonts w:ascii="Times New Roman" w:hAnsi="Times New Roman"/>
          <w:szCs w:val="24"/>
        </w:rPr>
        <w:t>conduct by contractor personnel.</w:t>
      </w:r>
    </w:p>
    <w:p w:rsidR="002B0FD4" w:rsidRPr="00232D26" w:rsidP="00F03864" w14:paraId="4C1600F6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032FC0BA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Pr="00232D26" w:rsidR="00174FE0">
        <w:rPr>
          <w:rFonts w:ascii="Times New Roman" w:hAnsi="Times New Roman"/>
          <w:szCs w:val="24"/>
        </w:rPr>
        <w:t>d</w:t>
      </w:r>
      <w:r w:rsidRPr="00232D26">
        <w:rPr>
          <w:rFonts w:ascii="Times New Roman" w:hAnsi="Times New Roman"/>
          <w:szCs w:val="24"/>
        </w:rPr>
        <w:t>)  A weapon is discharged against personnel performing private security functions or personnel performing such functions believe a weapon was so discharged</w:t>
      </w:r>
      <w:r w:rsidR="00EA1F4A">
        <w:rPr>
          <w:rFonts w:ascii="Times New Roman" w:hAnsi="Times New Roman"/>
          <w:szCs w:val="24"/>
        </w:rPr>
        <w:t>.</w:t>
      </w:r>
    </w:p>
    <w:p w:rsidR="0005160D" w:rsidRPr="00232D26" w:rsidP="00F03864" w14:paraId="5A014D80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7F070E9A" w14:textId="2892084B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Pr="00232D26" w:rsidR="00174FE0">
        <w:rPr>
          <w:rFonts w:ascii="Times New Roman" w:hAnsi="Times New Roman"/>
          <w:szCs w:val="24"/>
        </w:rPr>
        <w:t>e</w:t>
      </w:r>
      <w:r w:rsidRPr="00232D26">
        <w:rPr>
          <w:rFonts w:ascii="Times New Roman" w:hAnsi="Times New Roman"/>
          <w:szCs w:val="24"/>
        </w:rPr>
        <w:t>)  Active, non-lethal countermeasures (other than the discharge of a weapon) are employed by personnel performing private security functions in response to a perceived immediate threat.</w:t>
      </w:r>
    </w:p>
    <w:p w:rsidR="0003622F" w:rsidRPr="00232D26" w:rsidP="00F03864" w14:paraId="4CC81864" w14:textId="77777777">
      <w:pPr>
        <w:tabs>
          <w:tab w:val="left" w:pos="360"/>
          <w:tab w:val="left" w:pos="720"/>
        </w:tabs>
        <w:spacing w:after="0" w:line="240" w:lineRule="auto"/>
        <w:rPr>
          <w:sz w:val="24"/>
          <w:szCs w:val="24"/>
        </w:rPr>
      </w:pPr>
    </w:p>
    <w:p w:rsidR="0078442D" w:rsidRPr="00232D26" w:rsidP="00F03864" w14:paraId="335C8447" w14:textId="110A5B2D">
      <w:pPr>
        <w:pStyle w:val="ListParagraph"/>
        <w:tabs>
          <w:tab w:val="left" w:pos="360"/>
        </w:tabs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5F02C2">
        <w:rPr>
          <w:sz w:val="24"/>
          <w:szCs w:val="24"/>
        </w:rPr>
        <w:t xml:space="preserve">2.  </w:t>
      </w:r>
      <w:r w:rsidRPr="00232D26">
        <w:rPr>
          <w:sz w:val="24"/>
          <w:szCs w:val="24"/>
          <w:u w:val="single"/>
        </w:rPr>
        <w:t>Use of the Information</w:t>
      </w:r>
    </w:p>
    <w:p w:rsidR="0078442D" w:rsidRPr="00232D26" w:rsidP="00F03864" w14:paraId="7F4B6A5C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5F02C2" w:rsidRPr="00232D26" w:rsidP="00F03864" w14:paraId="0B3C5212" w14:textId="603D84FF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 xml:space="preserve">Geographic combatant commanders use the information </w:t>
      </w:r>
      <w:r w:rsidRPr="00232D26" w:rsidR="00CC07BA">
        <w:rPr>
          <w:sz w:val="24"/>
          <w:szCs w:val="24"/>
        </w:rPr>
        <w:t xml:space="preserve">reported by private security contractors </w:t>
      </w:r>
      <w:r w:rsidRPr="00232D26" w:rsidR="00E77571">
        <w:rPr>
          <w:sz w:val="24"/>
          <w:szCs w:val="24"/>
        </w:rPr>
        <w:t xml:space="preserve">on security incidents </w:t>
      </w:r>
      <w:r w:rsidRPr="00232D26" w:rsidR="00CC07BA">
        <w:rPr>
          <w:sz w:val="24"/>
          <w:szCs w:val="24"/>
        </w:rPr>
        <w:t>in order to properly account for and</w:t>
      </w:r>
      <w:r w:rsidRPr="00232D26">
        <w:rPr>
          <w:sz w:val="24"/>
          <w:szCs w:val="24"/>
        </w:rPr>
        <w:t xml:space="preserve"> track contractor personnel and assets in theater</w:t>
      </w:r>
      <w:r w:rsidRPr="00232D26" w:rsidR="00CC07BA">
        <w:rPr>
          <w:sz w:val="24"/>
          <w:szCs w:val="24"/>
        </w:rPr>
        <w:t xml:space="preserve"> and to respond to security incidents as deemed necessary.</w:t>
      </w:r>
    </w:p>
    <w:p w:rsidR="00EA47DF" w:rsidRPr="00232D26" w:rsidP="00F03864" w14:paraId="24253FC0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P="00F03864" w14:paraId="440B7FF7" w14:textId="3C559F9D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5F02C2">
        <w:rPr>
          <w:rFonts w:ascii="Times New Roman" w:hAnsi="Times New Roman"/>
          <w:szCs w:val="24"/>
        </w:rPr>
        <w:t xml:space="preserve">3.  </w:t>
      </w:r>
      <w:r w:rsidRPr="00232D26">
        <w:rPr>
          <w:rFonts w:ascii="Times New Roman" w:hAnsi="Times New Roman"/>
          <w:szCs w:val="24"/>
          <w:u w:val="single"/>
        </w:rPr>
        <w:t xml:space="preserve">Use of </w:t>
      </w:r>
      <w:r w:rsidRPr="00232D26" w:rsidR="005C3FC6">
        <w:rPr>
          <w:rFonts w:ascii="Times New Roman" w:hAnsi="Times New Roman"/>
          <w:szCs w:val="24"/>
          <w:u w:val="single"/>
        </w:rPr>
        <w:t>I</w:t>
      </w:r>
      <w:r w:rsidRPr="00232D26" w:rsidR="005F02C2">
        <w:rPr>
          <w:rFonts w:ascii="Times New Roman" w:hAnsi="Times New Roman"/>
          <w:szCs w:val="24"/>
          <w:u w:val="single"/>
        </w:rPr>
        <w:t xml:space="preserve">nformation </w:t>
      </w:r>
      <w:r w:rsidRPr="00232D26" w:rsidR="00C07802">
        <w:rPr>
          <w:rFonts w:ascii="Times New Roman" w:hAnsi="Times New Roman"/>
          <w:szCs w:val="24"/>
          <w:u w:val="single"/>
        </w:rPr>
        <w:t>T</w:t>
      </w:r>
      <w:r w:rsidRPr="00232D26" w:rsidR="005F02C2">
        <w:rPr>
          <w:rFonts w:ascii="Times New Roman" w:hAnsi="Times New Roman"/>
          <w:szCs w:val="24"/>
          <w:u w:val="single"/>
        </w:rPr>
        <w:t>echnology</w:t>
      </w:r>
    </w:p>
    <w:p w:rsidR="0078442D" w:rsidRPr="00232D26" w:rsidP="00F03864" w14:paraId="0839110F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5716B3" w:rsidRPr="00232D26" w:rsidP="00F03864" w14:paraId="10501643" w14:textId="4CE08843">
      <w:pPr>
        <w:pStyle w:val="DFARS"/>
        <w:tabs>
          <w:tab w:val="clear" w:pos="360"/>
          <w:tab w:val="left" w:pos="720"/>
          <w:tab w:val="clear" w:pos="81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B20905">
        <w:rPr>
          <w:rFonts w:ascii="Times New Roman" w:hAnsi="Times New Roman"/>
          <w:szCs w:val="24"/>
        </w:rPr>
        <w:t>Contractors are required to report i</w:t>
      </w:r>
      <w:r w:rsidRPr="00B20905" w:rsidR="00B20905">
        <w:rPr>
          <w:rFonts w:ascii="Times New Roman" w:hAnsi="Times New Roman"/>
          <w:szCs w:val="24"/>
        </w:rPr>
        <w:t xml:space="preserve">n accordance with orders and instructions established by the applicable </w:t>
      </w:r>
      <w:r w:rsidR="00EF2825">
        <w:rPr>
          <w:rFonts w:ascii="Times New Roman" w:hAnsi="Times New Roman"/>
          <w:szCs w:val="24"/>
        </w:rPr>
        <w:t>c</w:t>
      </w:r>
      <w:r w:rsidRPr="00B20905" w:rsidR="00B20905">
        <w:rPr>
          <w:rFonts w:ascii="Times New Roman" w:hAnsi="Times New Roman"/>
          <w:szCs w:val="24"/>
        </w:rPr>
        <w:t xml:space="preserve">ombatant </w:t>
      </w:r>
      <w:r w:rsidR="00EF2825">
        <w:rPr>
          <w:rFonts w:ascii="Times New Roman" w:hAnsi="Times New Roman"/>
          <w:szCs w:val="24"/>
        </w:rPr>
        <w:t>c</w:t>
      </w:r>
      <w:r w:rsidRPr="00B20905" w:rsidR="00B20905">
        <w:rPr>
          <w:rFonts w:ascii="Times New Roman" w:hAnsi="Times New Roman"/>
          <w:szCs w:val="24"/>
        </w:rPr>
        <w:t>ommander</w:t>
      </w:r>
      <w:r w:rsidR="00B20905">
        <w:rPr>
          <w:rFonts w:ascii="Times New Roman" w:hAnsi="Times New Roman"/>
          <w:szCs w:val="24"/>
        </w:rPr>
        <w:t xml:space="preserve">. </w:t>
      </w:r>
      <w:r w:rsidR="00963E33">
        <w:rPr>
          <w:rFonts w:ascii="Times New Roman" w:hAnsi="Times New Roman"/>
          <w:szCs w:val="24"/>
        </w:rPr>
        <w:t xml:space="preserve"> </w:t>
      </w:r>
      <w:r w:rsidRPr="00232D26">
        <w:rPr>
          <w:rFonts w:ascii="Times New Roman" w:hAnsi="Times New Roman"/>
          <w:szCs w:val="24"/>
        </w:rPr>
        <w:t>Improved i</w:t>
      </w:r>
      <w:r w:rsidRPr="00232D26" w:rsidR="00216418">
        <w:rPr>
          <w:rFonts w:ascii="Times New Roman" w:hAnsi="Times New Roman"/>
          <w:szCs w:val="24"/>
        </w:rPr>
        <w:t xml:space="preserve">nformation technology </w:t>
      </w:r>
      <w:r w:rsidRPr="00232D26">
        <w:rPr>
          <w:rFonts w:ascii="Times New Roman" w:hAnsi="Times New Roman"/>
          <w:szCs w:val="24"/>
        </w:rPr>
        <w:t xml:space="preserve">is used to the </w:t>
      </w:r>
      <w:r w:rsidRPr="00232D26" w:rsidR="00216418">
        <w:rPr>
          <w:rFonts w:ascii="Times New Roman" w:hAnsi="Times New Roman"/>
          <w:szCs w:val="24"/>
        </w:rPr>
        <w:t>maximum extent p</w:t>
      </w:r>
      <w:r w:rsidRPr="00232D26">
        <w:rPr>
          <w:rFonts w:ascii="Times New Roman" w:hAnsi="Times New Roman"/>
          <w:szCs w:val="24"/>
        </w:rPr>
        <w:t>racticable.</w:t>
      </w:r>
    </w:p>
    <w:p w:rsidR="005716B3" w:rsidRPr="00232D26" w:rsidP="00F03864" w14:paraId="6B72C973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P="00F03864" w14:paraId="2DA73B10" w14:textId="7C86924E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EA47DF">
        <w:rPr>
          <w:rFonts w:ascii="Times New Roman" w:hAnsi="Times New Roman"/>
          <w:szCs w:val="24"/>
        </w:rPr>
        <w:t xml:space="preserve">4.  </w:t>
      </w:r>
      <w:r w:rsidRPr="00232D26">
        <w:rPr>
          <w:rFonts w:ascii="Times New Roman" w:hAnsi="Times New Roman"/>
          <w:szCs w:val="24"/>
          <w:u w:val="single"/>
        </w:rPr>
        <w:t>Non-d</w:t>
      </w:r>
      <w:r w:rsidRPr="00232D26" w:rsidR="00EA47DF">
        <w:rPr>
          <w:rFonts w:ascii="Times New Roman" w:hAnsi="Times New Roman"/>
          <w:szCs w:val="24"/>
          <w:u w:val="single"/>
        </w:rPr>
        <w:t>uplication</w:t>
      </w:r>
    </w:p>
    <w:p w:rsidR="0078442D" w:rsidRPr="00232D26" w:rsidP="00F03864" w14:paraId="03919914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4221FE" w:rsidRPr="00232D26" w:rsidP="00F03864" w14:paraId="03AA3397" w14:textId="5CD84549">
      <w:pPr>
        <w:pStyle w:val="DFARS"/>
        <w:tabs>
          <w:tab w:val="clear" w:pos="360"/>
          <w:tab w:val="left" w:pos="720"/>
          <w:tab w:val="clear" w:pos="81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AA46A7">
        <w:rPr>
          <w:rFonts w:ascii="Times New Roman" w:hAnsi="Times New Roman"/>
          <w:szCs w:val="24"/>
        </w:rPr>
        <w:t xml:space="preserve">As a matter of policy, DoD reviews the </w:t>
      </w:r>
      <w:r w:rsidR="008322B0">
        <w:rPr>
          <w:rFonts w:ascii="Times New Roman" w:hAnsi="Times New Roman"/>
          <w:szCs w:val="24"/>
        </w:rPr>
        <w:t>Federal Acquisition Regulation (</w:t>
      </w:r>
      <w:r w:rsidRPr="00232D26" w:rsidR="00AA46A7">
        <w:rPr>
          <w:rFonts w:ascii="Times New Roman" w:hAnsi="Times New Roman"/>
          <w:szCs w:val="24"/>
        </w:rPr>
        <w:t>FAR</w:t>
      </w:r>
      <w:r w:rsidR="008322B0">
        <w:rPr>
          <w:rFonts w:ascii="Times New Roman" w:hAnsi="Times New Roman"/>
          <w:szCs w:val="24"/>
        </w:rPr>
        <w:t>)</w:t>
      </w:r>
      <w:r w:rsidRPr="00232D26" w:rsidR="00AA46A7">
        <w:rPr>
          <w:rFonts w:ascii="Times New Roman" w:hAnsi="Times New Roman"/>
          <w:szCs w:val="24"/>
        </w:rPr>
        <w:t xml:space="preserve"> to determine if adequate language already exists.  </w:t>
      </w:r>
      <w:r w:rsidRPr="00232D26" w:rsidR="00AE1A9D">
        <w:rPr>
          <w:rFonts w:ascii="Times New Roman" w:hAnsi="Times New Roman"/>
          <w:szCs w:val="24"/>
        </w:rPr>
        <w:t xml:space="preserve">The clause at FAR 52.225-26, Contractors Performing Private Security Functions, </w:t>
      </w:r>
      <w:r w:rsidR="00751914">
        <w:rPr>
          <w:rFonts w:ascii="Times New Roman" w:hAnsi="Times New Roman"/>
          <w:szCs w:val="24"/>
        </w:rPr>
        <w:t>was</w:t>
      </w:r>
      <w:r w:rsidRPr="00232D26" w:rsidR="00AE1A9D">
        <w:rPr>
          <w:rFonts w:ascii="Times New Roman" w:hAnsi="Times New Roman"/>
          <w:szCs w:val="24"/>
        </w:rPr>
        <w:t xml:space="preserve"> amended </w:t>
      </w:r>
      <w:r w:rsidRPr="00232D26" w:rsidR="006343CC">
        <w:rPr>
          <w:rFonts w:ascii="Times New Roman" w:hAnsi="Times New Roman"/>
          <w:szCs w:val="24"/>
        </w:rPr>
        <w:t xml:space="preserve">(see FAR case 2014-018) </w:t>
      </w:r>
      <w:r w:rsidRPr="00232D26" w:rsidR="00AE1A9D">
        <w:rPr>
          <w:rFonts w:ascii="Times New Roman" w:hAnsi="Times New Roman"/>
          <w:szCs w:val="24"/>
        </w:rPr>
        <w:t xml:space="preserve">to remove </w:t>
      </w:r>
      <w:r w:rsidRPr="00232D26" w:rsidR="00E77571">
        <w:rPr>
          <w:rFonts w:ascii="Times New Roman" w:hAnsi="Times New Roman"/>
          <w:szCs w:val="24"/>
        </w:rPr>
        <w:t xml:space="preserve">all references to </w:t>
      </w:r>
      <w:r w:rsidRPr="00232D26" w:rsidR="00AE1A9D">
        <w:rPr>
          <w:rFonts w:ascii="Times New Roman" w:hAnsi="Times New Roman"/>
          <w:szCs w:val="24"/>
        </w:rPr>
        <w:t>DoD</w:t>
      </w:r>
      <w:r w:rsidRPr="00232D26" w:rsidR="00E77571">
        <w:rPr>
          <w:rFonts w:ascii="Times New Roman" w:hAnsi="Times New Roman"/>
          <w:szCs w:val="24"/>
        </w:rPr>
        <w:t>-specific</w:t>
      </w:r>
      <w:r w:rsidRPr="00232D26" w:rsidR="00AE1A9D">
        <w:rPr>
          <w:rFonts w:ascii="Times New Roman" w:hAnsi="Times New Roman"/>
          <w:szCs w:val="24"/>
        </w:rPr>
        <w:t xml:space="preserve"> requirements for private security contractors </w:t>
      </w:r>
      <w:r w:rsidRPr="00232D26" w:rsidR="00E77571">
        <w:rPr>
          <w:rFonts w:ascii="Times New Roman" w:hAnsi="Times New Roman"/>
          <w:szCs w:val="24"/>
        </w:rPr>
        <w:t xml:space="preserve">performing outside the United States, </w:t>
      </w:r>
      <w:r w:rsidRPr="00232D26" w:rsidR="00AE1A9D">
        <w:rPr>
          <w:rFonts w:ascii="Times New Roman" w:hAnsi="Times New Roman"/>
          <w:szCs w:val="24"/>
        </w:rPr>
        <w:t>to include the above-described security incident reporting requirement</w:t>
      </w:r>
      <w:r w:rsidR="004B07A7">
        <w:rPr>
          <w:rFonts w:ascii="Times New Roman" w:hAnsi="Times New Roman"/>
          <w:szCs w:val="24"/>
        </w:rPr>
        <w:t>.  The DoD-specific requirements</w:t>
      </w:r>
      <w:r w:rsidRPr="00232D26" w:rsidR="00AE1A9D">
        <w:rPr>
          <w:rFonts w:ascii="Times New Roman" w:hAnsi="Times New Roman"/>
          <w:szCs w:val="24"/>
        </w:rPr>
        <w:t xml:space="preserve"> </w:t>
      </w:r>
      <w:r w:rsidR="00751914">
        <w:rPr>
          <w:rFonts w:ascii="Times New Roman" w:hAnsi="Times New Roman"/>
          <w:szCs w:val="24"/>
        </w:rPr>
        <w:t>were</w:t>
      </w:r>
      <w:r w:rsidRPr="00232D26" w:rsidR="00AE1A9D">
        <w:rPr>
          <w:rFonts w:ascii="Times New Roman" w:hAnsi="Times New Roman"/>
          <w:szCs w:val="24"/>
        </w:rPr>
        <w:t xml:space="preserve"> consolidated under </w:t>
      </w:r>
      <w:r w:rsidRPr="00232D26" w:rsidR="00E77571">
        <w:rPr>
          <w:rFonts w:ascii="Times New Roman" w:hAnsi="Times New Roman"/>
          <w:szCs w:val="24"/>
        </w:rPr>
        <w:t xml:space="preserve">the clause at </w:t>
      </w:r>
      <w:r w:rsidRPr="00232D26" w:rsidR="00AE1A9D">
        <w:rPr>
          <w:rFonts w:ascii="Times New Roman" w:hAnsi="Times New Roman"/>
          <w:szCs w:val="24"/>
        </w:rPr>
        <w:t>DFARS 252.225-7039</w:t>
      </w:r>
      <w:r w:rsidRPr="00232D26" w:rsidR="00AA46A7">
        <w:rPr>
          <w:rFonts w:ascii="Times New Roman" w:hAnsi="Times New Roman"/>
          <w:szCs w:val="24"/>
        </w:rPr>
        <w:t xml:space="preserve">.  </w:t>
      </w:r>
      <w:r w:rsidRPr="00232D26">
        <w:rPr>
          <w:rFonts w:ascii="Times New Roman" w:hAnsi="Times New Roman"/>
          <w:szCs w:val="24"/>
        </w:rPr>
        <w:t>There is no duplication of data collection.</w:t>
      </w:r>
    </w:p>
    <w:p w:rsidR="005C3FC6" w:rsidRPr="00232D26" w:rsidP="00F03864" w14:paraId="3389D87C" w14:textId="77777777">
      <w:pPr>
        <w:spacing w:after="0" w:line="240" w:lineRule="auto"/>
        <w:ind w:left="360"/>
        <w:rPr>
          <w:rFonts w:eastAsia="Times New Roman"/>
          <w:spacing w:val="-5"/>
          <w:kern w:val="20"/>
          <w:sz w:val="24"/>
          <w:szCs w:val="24"/>
        </w:rPr>
      </w:pPr>
    </w:p>
    <w:p w:rsidR="00341439" w:rsidRPr="00232D26" w:rsidP="00F03864" w14:paraId="4A42E277" w14:textId="74B3EF3F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5.  </w:t>
      </w:r>
      <w:r w:rsidRPr="00232D26">
        <w:rPr>
          <w:sz w:val="24"/>
          <w:szCs w:val="24"/>
          <w:u w:val="single"/>
        </w:rPr>
        <w:t xml:space="preserve">Burden on </w:t>
      </w:r>
      <w:r w:rsidRPr="00232D26" w:rsidR="004221FE">
        <w:rPr>
          <w:sz w:val="24"/>
          <w:szCs w:val="24"/>
          <w:u w:val="single"/>
        </w:rPr>
        <w:t xml:space="preserve">Small </w:t>
      </w:r>
      <w:r w:rsidRPr="00232D26" w:rsidR="005C3FC6">
        <w:rPr>
          <w:sz w:val="24"/>
          <w:szCs w:val="24"/>
          <w:u w:val="single"/>
        </w:rPr>
        <w:t>Business</w:t>
      </w:r>
    </w:p>
    <w:p w:rsidR="00341439" w:rsidRPr="00232D26" w:rsidP="00F03864" w14:paraId="02F6CBC5" w14:textId="77777777">
      <w:pPr>
        <w:spacing w:after="0" w:line="240" w:lineRule="auto"/>
        <w:rPr>
          <w:sz w:val="24"/>
          <w:szCs w:val="24"/>
        </w:rPr>
      </w:pPr>
    </w:p>
    <w:p w:rsidR="004221FE" w:rsidRPr="00232D26" w:rsidP="00F03864" w14:paraId="50F4048E" w14:textId="7FF9415D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 xml:space="preserve">The </w:t>
      </w:r>
      <w:r w:rsidRPr="00232D26" w:rsidR="005A6D24">
        <w:rPr>
          <w:sz w:val="24"/>
          <w:szCs w:val="24"/>
        </w:rPr>
        <w:t xml:space="preserve">burden applied to small business is the </w:t>
      </w:r>
      <w:r w:rsidRPr="00232D26">
        <w:rPr>
          <w:sz w:val="24"/>
          <w:szCs w:val="24"/>
        </w:rPr>
        <w:t xml:space="preserve">minimum consistent with applicable laws, </w:t>
      </w:r>
      <w:r w:rsidRPr="00232D26" w:rsidR="005A6D24">
        <w:rPr>
          <w:sz w:val="24"/>
          <w:szCs w:val="24"/>
        </w:rPr>
        <w:t>regulations, e</w:t>
      </w:r>
      <w:r w:rsidRPr="00232D26">
        <w:rPr>
          <w:sz w:val="24"/>
          <w:szCs w:val="24"/>
        </w:rPr>
        <w:t>xecutive orders, and prudent business practices.</w:t>
      </w:r>
    </w:p>
    <w:p w:rsidR="005C3FC6" w:rsidRPr="00232D26" w:rsidP="00F03864" w14:paraId="3C5F9A13" w14:textId="77777777">
      <w:pPr>
        <w:spacing w:after="0" w:line="240" w:lineRule="auto"/>
        <w:ind w:left="360"/>
        <w:rPr>
          <w:sz w:val="24"/>
          <w:szCs w:val="24"/>
        </w:rPr>
      </w:pPr>
    </w:p>
    <w:p w:rsidR="00341439" w:rsidRPr="00232D26" w:rsidP="00F03864" w14:paraId="3AA69741" w14:textId="2D2EC80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6.  </w:t>
      </w:r>
      <w:r w:rsidRPr="00232D26">
        <w:rPr>
          <w:sz w:val="24"/>
          <w:szCs w:val="24"/>
          <w:u w:val="single"/>
        </w:rPr>
        <w:t xml:space="preserve">Less Frequent </w:t>
      </w:r>
      <w:r w:rsidRPr="00232D26" w:rsidR="000438B2">
        <w:rPr>
          <w:sz w:val="24"/>
          <w:szCs w:val="24"/>
          <w:u w:val="single"/>
        </w:rPr>
        <w:t>Collecti</w:t>
      </w:r>
      <w:r w:rsidRPr="00232D26" w:rsidR="005C3FC6">
        <w:rPr>
          <w:sz w:val="24"/>
          <w:szCs w:val="24"/>
          <w:u w:val="single"/>
        </w:rPr>
        <w:t>o</w:t>
      </w:r>
      <w:r w:rsidRPr="00232D26" w:rsidR="000438B2">
        <w:rPr>
          <w:sz w:val="24"/>
          <w:szCs w:val="24"/>
          <w:u w:val="single"/>
        </w:rPr>
        <w:t>n</w:t>
      </w:r>
    </w:p>
    <w:p w:rsidR="00341439" w:rsidRPr="00232D26" w:rsidP="00F03864" w14:paraId="240575FA" w14:textId="77777777">
      <w:pPr>
        <w:spacing w:after="0" w:line="240" w:lineRule="auto"/>
        <w:rPr>
          <w:sz w:val="24"/>
          <w:szCs w:val="24"/>
        </w:rPr>
      </w:pPr>
    </w:p>
    <w:p w:rsidR="000438B2" w:rsidRPr="00232D26" w:rsidP="00F03864" w14:paraId="008BB7BD" w14:textId="6467D5E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902837">
        <w:rPr>
          <w:sz w:val="24"/>
          <w:szCs w:val="24"/>
        </w:rPr>
        <w:t>I</w:t>
      </w:r>
      <w:r w:rsidRPr="00232D26" w:rsidR="000B51B3">
        <w:rPr>
          <w:sz w:val="24"/>
          <w:szCs w:val="24"/>
        </w:rPr>
        <w:t xml:space="preserve">n order to meet the requirements of </w:t>
      </w:r>
      <w:r w:rsidRPr="00232D26" w:rsidR="007829A6">
        <w:rPr>
          <w:sz w:val="24"/>
          <w:szCs w:val="24"/>
        </w:rPr>
        <w:t>32 CFR part 159</w:t>
      </w:r>
      <w:r w:rsidRPr="00232D26" w:rsidR="000B51B3">
        <w:rPr>
          <w:sz w:val="24"/>
          <w:szCs w:val="24"/>
        </w:rPr>
        <w:t>, contractors are required to provide timely notification</w:t>
      </w:r>
      <w:r w:rsidRPr="00232D26" w:rsidR="00692E22">
        <w:rPr>
          <w:sz w:val="24"/>
          <w:szCs w:val="24"/>
        </w:rPr>
        <w:t>,</w:t>
      </w:r>
      <w:r w:rsidRPr="00232D26" w:rsidR="000B51B3">
        <w:rPr>
          <w:sz w:val="24"/>
          <w:szCs w:val="24"/>
        </w:rPr>
        <w:t xml:space="preserve"> </w:t>
      </w:r>
      <w:r w:rsidRPr="00232D26" w:rsidR="00692E22">
        <w:rPr>
          <w:sz w:val="24"/>
          <w:szCs w:val="24"/>
        </w:rPr>
        <w:t xml:space="preserve">in accordance with orders and instructions established by the </w:t>
      </w:r>
      <w:r w:rsidR="00244EB6">
        <w:rPr>
          <w:sz w:val="24"/>
          <w:szCs w:val="24"/>
        </w:rPr>
        <w:t>g</w:t>
      </w:r>
      <w:r w:rsidRPr="00232D26" w:rsidR="00692E22">
        <w:rPr>
          <w:sz w:val="24"/>
          <w:szCs w:val="24"/>
        </w:rPr>
        <w:t xml:space="preserve">eographic </w:t>
      </w:r>
      <w:r w:rsidR="00244EB6">
        <w:rPr>
          <w:sz w:val="24"/>
          <w:szCs w:val="24"/>
        </w:rPr>
        <w:t>c</w:t>
      </w:r>
      <w:r w:rsidRPr="00232D26" w:rsidR="00692E22">
        <w:rPr>
          <w:sz w:val="24"/>
          <w:szCs w:val="24"/>
        </w:rPr>
        <w:t xml:space="preserve">ombatant </w:t>
      </w:r>
      <w:r w:rsidR="00244EB6">
        <w:rPr>
          <w:sz w:val="24"/>
          <w:szCs w:val="24"/>
        </w:rPr>
        <w:t>c</w:t>
      </w:r>
      <w:r w:rsidRPr="00232D26" w:rsidR="00692E22">
        <w:rPr>
          <w:sz w:val="24"/>
          <w:szCs w:val="24"/>
        </w:rPr>
        <w:t xml:space="preserve">ommander when </w:t>
      </w:r>
      <w:r w:rsidRPr="00232D26" w:rsidR="000B51B3">
        <w:rPr>
          <w:sz w:val="24"/>
          <w:szCs w:val="24"/>
        </w:rPr>
        <w:t xml:space="preserve">an incident occurs. </w:t>
      </w:r>
      <w:r w:rsidRPr="00232D26" w:rsidR="00BD16F7">
        <w:rPr>
          <w:sz w:val="24"/>
          <w:szCs w:val="24"/>
        </w:rPr>
        <w:t xml:space="preserve"> </w:t>
      </w:r>
      <w:r w:rsidRPr="00232D26" w:rsidR="005F60D3">
        <w:rPr>
          <w:sz w:val="24"/>
          <w:szCs w:val="24"/>
        </w:rPr>
        <w:t>Reporting of incidents is necessary for the geographic combatant commander to respond</w:t>
      </w:r>
      <w:r w:rsidRPr="00232D26" w:rsidR="00E77571">
        <w:rPr>
          <w:sz w:val="24"/>
          <w:szCs w:val="24"/>
        </w:rPr>
        <w:t>,</w:t>
      </w:r>
      <w:r w:rsidRPr="00232D26" w:rsidR="005F60D3">
        <w:rPr>
          <w:sz w:val="24"/>
          <w:szCs w:val="24"/>
        </w:rPr>
        <w:t xml:space="preserve"> as deemed necessary</w:t>
      </w:r>
      <w:r w:rsidRPr="00232D26" w:rsidR="00E77571">
        <w:rPr>
          <w:sz w:val="24"/>
          <w:szCs w:val="24"/>
        </w:rPr>
        <w:t>, to security incidents</w:t>
      </w:r>
      <w:r w:rsidRPr="00232D26" w:rsidR="00BD16F7">
        <w:rPr>
          <w:sz w:val="24"/>
          <w:szCs w:val="24"/>
        </w:rPr>
        <w:t xml:space="preserve"> in designated operational areas</w:t>
      </w:r>
      <w:r w:rsidRPr="00232D26" w:rsidR="005F60D3">
        <w:rPr>
          <w:sz w:val="24"/>
          <w:szCs w:val="24"/>
        </w:rPr>
        <w:t>.</w:t>
      </w:r>
      <w:r w:rsidRPr="00232D26" w:rsidR="00751CE5">
        <w:rPr>
          <w:sz w:val="24"/>
          <w:szCs w:val="24"/>
        </w:rPr>
        <w:t xml:space="preserve">  Non-reporting of </w:t>
      </w:r>
      <w:r w:rsidR="00244EB6">
        <w:rPr>
          <w:sz w:val="24"/>
          <w:szCs w:val="24"/>
        </w:rPr>
        <w:t xml:space="preserve">an </w:t>
      </w:r>
      <w:r w:rsidRPr="00232D26" w:rsidR="00751CE5">
        <w:rPr>
          <w:sz w:val="24"/>
          <w:szCs w:val="24"/>
        </w:rPr>
        <w:t>incident could lead to administrative action or the removal, as appropriate, of PSCs and PSC personnel.</w:t>
      </w:r>
    </w:p>
    <w:p w:rsidR="005C3FC6" w:rsidRPr="00232D26" w:rsidP="00F03864" w14:paraId="0B147ED1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2C51D166" w14:textId="3E6B967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7.  </w:t>
      </w:r>
      <w:r w:rsidRPr="00232D26">
        <w:rPr>
          <w:sz w:val="24"/>
          <w:szCs w:val="24"/>
          <w:u w:val="single"/>
        </w:rPr>
        <w:t>Paperwork Reduction Act Guidelines</w:t>
      </w:r>
    </w:p>
    <w:p w:rsidR="00341439" w:rsidRPr="00232D26" w:rsidP="00F03864" w14:paraId="59DB013E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41CB9F26" w14:textId="3BD2ABA1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  <w:t>There are no special circumstance</w:t>
      </w:r>
      <w:r w:rsidR="00F72764">
        <w:rPr>
          <w:sz w:val="24"/>
          <w:szCs w:val="24"/>
        </w:rPr>
        <w:t>s</w:t>
      </w:r>
      <w:r w:rsidRPr="00232D26">
        <w:rPr>
          <w:sz w:val="24"/>
          <w:szCs w:val="24"/>
        </w:rPr>
        <w:t xml:space="preserve"> that require the collection to be conducted in a manner inconsistent with the guidelines delineated in </w:t>
      </w:r>
      <w:r w:rsidRPr="00232D26" w:rsidR="00BD16F7">
        <w:rPr>
          <w:sz w:val="24"/>
          <w:szCs w:val="24"/>
        </w:rPr>
        <w:t>5 CFR 1320.5(d)(2).</w:t>
      </w:r>
    </w:p>
    <w:p w:rsidR="007829A6" w:rsidRPr="00232D26" w:rsidP="00F03864" w14:paraId="3BA53B17" w14:textId="77777777">
      <w:pPr>
        <w:spacing w:after="0" w:line="240" w:lineRule="auto"/>
        <w:rPr>
          <w:sz w:val="24"/>
          <w:szCs w:val="24"/>
        </w:rPr>
      </w:pPr>
    </w:p>
    <w:p w:rsidR="00195983" w:rsidRPr="00232D26" w:rsidP="00F03864" w14:paraId="4CD8A35E" w14:textId="4551155C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8.  </w:t>
      </w:r>
      <w:r w:rsidRPr="00232D26">
        <w:rPr>
          <w:sz w:val="24"/>
          <w:szCs w:val="24"/>
          <w:u w:val="single"/>
        </w:rPr>
        <w:t>Consultation and Public Comments</w:t>
      </w:r>
    </w:p>
    <w:p w:rsidR="00195983" w:rsidP="00F03864" w14:paraId="2E0027F7" w14:textId="7E867C2C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9609B3" w:rsidP="00F03864" w14:paraId="67A7AE05" w14:textId="3D12AA4D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(a) </w:t>
      </w:r>
      <w:r w:rsidR="00244E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additional consultation apart from soliciting </w:t>
      </w:r>
      <w:r w:rsidR="00757722">
        <w:rPr>
          <w:sz w:val="24"/>
          <w:szCs w:val="24"/>
        </w:rPr>
        <w:t>p</w:t>
      </w:r>
      <w:r>
        <w:rPr>
          <w:sz w:val="24"/>
          <w:szCs w:val="24"/>
        </w:rPr>
        <w:t>ublic comments through the Federal Register was conducted for this submission</w:t>
      </w:r>
      <w:r w:rsidR="002A3E58">
        <w:rPr>
          <w:sz w:val="24"/>
          <w:szCs w:val="24"/>
        </w:rPr>
        <w:t xml:space="preserve">.  Subject matter experts within DoD were consulted to verify burden estimates.  </w:t>
      </w:r>
      <w:r w:rsidRPr="00232D26" w:rsidR="002A3E58">
        <w:rPr>
          <w:sz w:val="24"/>
          <w:szCs w:val="24"/>
        </w:rPr>
        <w:t>Collection is consistent with the guidelines in 5 CFR 1320.6.</w:t>
      </w:r>
    </w:p>
    <w:p w:rsidR="002A3E58" w:rsidP="00F03864" w14:paraId="02554D70" w14:textId="1D886E1F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2A3E58" w:rsidP="00F03864" w14:paraId="60ED5A4E" w14:textId="6638971E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(b)  A 60-day notice was published in the </w:t>
      </w:r>
      <w:r w:rsidRPr="00F03864">
        <w:rPr>
          <w:i/>
          <w:sz w:val="24"/>
          <w:szCs w:val="24"/>
        </w:rPr>
        <w:t>Federal Register</w:t>
      </w:r>
      <w:r>
        <w:rPr>
          <w:sz w:val="24"/>
          <w:szCs w:val="24"/>
        </w:rPr>
        <w:t xml:space="preserve"> </w:t>
      </w:r>
      <w:r w:rsidRPr="00FF1938">
        <w:rPr>
          <w:sz w:val="24"/>
          <w:szCs w:val="24"/>
        </w:rPr>
        <w:t xml:space="preserve">on </w:t>
      </w:r>
      <w:r w:rsidRPr="00A44F64" w:rsidR="000A1193">
        <w:rPr>
          <w:sz w:val="24"/>
          <w:szCs w:val="24"/>
        </w:rPr>
        <w:t>June 22,</w:t>
      </w:r>
      <w:r w:rsidRPr="00A44F64">
        <w:rPr>
          <w:sz w:val="24"/>
          <w:szCs w:val="24"/>
        </w:rPr>
        <w:t xml:space="preserve"> 20</w:t>
      </w:r>
      <w:r w:rsidRPr="00A44F64" w:rsidR="002671EA">
        <w:rPr>
          <w:sz w:val="24"/>
          <w:szCs w:val="24"/>
        </w:rPr>
        <w:t>22</w:t>
      </w:r>
      <w:r w:rsidRPr="00A44F64">
        <w:rPr>
          <w:sz w:val="24"/>
          <w:szCs w:val="24"/>
        </w:rPr>
        <w:t xml:space="preserve">, at </w:t>
      </w:r>
      <w:hyperlink r:id="rId6" w:history="1">
        <w:r w:rsidRPr="00A44F64" w:rsidR="00BC55EF">
          <w:rPr>
            <w:rStyle w:val="Hyperlink"/>
            <w:sz w:val="24"/>
            <w:szCs w:val="24"/>
          </w:rPr>
          <w:t>87</w:t>
        </w:r>
        <w:r w:rsidRPr="00A44F64">
          <w:rPr>
            <w:rStyle w:val="Hyperlink"/>
            <w:sz w:val="24"/>
            <w:szCs w:val="24"/>
          </w:rPr>
          <w:t xml:space="preserve"> FR </w:t>
        </w:r>
        <w:r w:rsidRPr="00A44F64" w:rsidR="00BC55EF">
          <w:rPr>
            <w:rStyle w:val="Hyperlink"/>
            <w:sz w:val="24"/>
            <w:szCs w:val="24"/>
          </w:rPr>
          <w:t>37315</w:t>
        </w:r>
      </w:hyperlink>
      <w:r w:rsidRPr="00FF1938" w:rsidR="002671EA">
        <w:rPr>
          <w:sz w:val="24"/>
          <w:szCs w:val="24"/>
        </w:rPr>
        <w:t>.</w:t>
      </w:r>
      <w:r w:rsidRPr="00FF1938">
        <w:rPr>
          <w:sz w:val="24"/>
          <w:szCs w:val="24"/>
        </w:rPr>
        <w:t xml:space="preserve">  </w:t>
      </w:r>
      <w:r w:rsidR="00FF1938">
        <w:rPr>
          <w:sz w:val="24"/>
          <w:szCs w:val="24"/>
        </w:rPr>
        <w:t>N</w:t>
      </w:r>
      <w:r w:rsidRPr="00A44F64" w:rsidR="00BC55EF">
        <w:rPr>
          <w:sz w:val="24"/>
          <w:szCs w:val="24"/>
        </w:rPr>
        <w:t>o</w:t>
      </w:r>
      <w:r>
        <w:rPr>
          <w:sz w:val="24"/>
          <w:szCs w:val="24"/>
        </w:rPr>
        <w:t xml:space="preserve"> public comments were received.</w:t>
      </w:r>
    </w:p>
    <w:p w:rsidR="004F6CE0" w:rsidRPr="00232D26" w:rsidP="00F03864" w14:paraId="040AB92E" w14:textId="0856A218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7829A6" w:rsidP="00F03864" w14:paraId="2A6EDE0C" w14:textId="61005C1C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ab/>
      </w:r>
      <w:r w:rsidR="002A3E58">
        <w:rPr>
          <w:sz w:val="24"/>
          <w:szCs w:val="24"/>
        </w:rPr>
        <w:t xml:space="preserve">(c)  A 30-day was published in the </w:t>
      </w:r>
      <w:r w:rsidRPr="00F03864" w:rsidR="002A3E58">
        <w:rPr>
          <w:i/>
          <w:sz w:val="24"/>
          <w:szCs w:val="24"/>
        </w:rPr>
        <w:t>Federal Register</w:t>
      </w:r>
      <w:r w:rsidR="002A3E58">
        <w:rPr>
          <w:sz w:val="24"/>
          <w:szCs w:val="24"/>
        </w:rPr>
        <w:t xml:space="preserve"> on </w:t>
      </w:r>
      <w:r w:rsidR="000A6098">
        <w:rPr>
          <w:sz w:val="24"/>
          <w:szCs w:val="24"/>
        </w:rPr>
        <w:t>September 7</w:t>
      </w:r>
      <w:r w:rsidRPr="000A6098" w:rsidR="002A3E58">
        <w:rPr>
          <w:sz w:val="24"/>
          <w:szCs w:val="24"/>
        </w:rPr>
        <w:t>, 20</w:t>
      </w:r>
      <w:r w:rsidRPr="000A6098" w:rsidR="002671EA">
        <w:rPr>
          <w:sz w:val="24"/>
          <w:szCs w:val="24"/>
        </w:rPr>
        <w:t>22</w:t>
      </w:r>
      <w:r w:rsidRPr="000A6098" w:rsidR="002A3E58">
        <w:rPr>
          <w:sz w:val="24"/>
          <w:szCs w:val="24"/>
        </w:rPr>
        <w:t xml:space="preserve">, at </w:t>
      </w:r>
      <w:hyperlink r:id="rId7" w:history="1">
        <w:r w:rsidRPr="000A6098" w:rsidR="000A6098">
          <w:rPr>
            <w:rStyle w:val="Hyperlink"/>
            <w:sz w:val="24"/>
            <w:szCs w:val="24"/>
          </w:rPr>
          <w:t>87</w:t>
        </w:r>
        <w:r w:rsidRPr="000A6098" w:rsidR="002A3E58">
          <w:rPr>
            <w:rStyle w:val="Hyperlink"/>
            <w:sz w:val="24"/>
            <w:szCs w:val="24"/>
          </w:rPr>
          <w:t xml:space="preserve"> </w:t>
        </w:r>
        <w:bookmarkStart w:id="0" w:name="_GoBack"/>
        <w:bookmarkEnd w:id="0"/>
        <w:r w:rsidRPr="000A6098" w:rsidR="002A3E58">
          <w:rPr>
            <w:rStyle w:val="Hyperlink"/>
            <w:sz w:val="24"/>
            <w:szCs w:val="24"/>
          </w:rPr>
          <w:t>F</w:t>
        </w:r>
        <w:r w:rsidRPr="000A6098" w:rsidR="002A3E58">
          <w:rPr>
            <w:rStyle w:val="Hyperlink"/>
            <w:sz w:val="24"/>
            <w:szCs w:val="24"/>
          </w:rPr>
          <w:t xml:space="preserve">R </w:t>
        </w:r>
        <w:r w:rsidRPr="000A6098" w:rsidR="000A6098">
          <w:rPr>
            <w:rStyle w:val="Hyperlink"/>
            <w:sz w:val="24"/>
            <w:szCs w:val="24"/>
          </w:rPr>
          <w:t>54679</w:t>
        </w:r>
      </w:hyperlink>
      <w:r w:rsidR="002A3E58">
        <w:rPr>
          <w:sz w:val="24"/>
          <w:szCs w:val="24"/>
        </w:rPr>
        <w:t>.</w:t>
      </w:r>
    </w:p>
    <w:p w:rsidR="002A3E58" w:rsidRPr="00232D26" w:rsidP="00F03864" w14:paraId="654E704C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341439" w:rsidRPr="00232D26" w:rsidP="00F03864" w14:paraId="7A493F02" w14:textId="7B7C238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9.  </w:t>
      </w:r>
      <w:r w:rsidRPr="00232D26">
        <w:rPr>
          <w:sz w:val="24"/>
          <w:szCs w:val="24"/>
          <w:u w:val="single"/>
        </w:rPr>
        <w:t>Gifts or P</w:t>
      </w:r>
      <w:r w:rsidRPr="00232D26" w:rsidR="000438B2">
        <w:rPr>
          <w:sz w:val="24"/>
          <w:szCs w:val="24"/>
          <w:u w:val="single"/>
        </w:rPr>
        <w:t>ayment</w:t>
      </w:r>
    </w:p>
    <w:p w:rsidR="00341439" w:rsidRPr="00232D26" w:rsidP="00F03864" w14:paraId="670328F5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7F473B4E" w14:textId="1E5A6B04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438B2">
        <w:rPr>
          <w:sz w:val="24"/>
          <w:szCs w:val="24"/>
        </w:rPr>
        <w:t>No payment or gift will be provided to respondents, other than remuneration of contractors under their contracts.</w:t>
      </w:r>
    </w:p>
    <w:p w:rsidR="007829A6" w:rsidRPr="00232D26" w:rsidP="00F03864" w14:paraId="6ABB2CA6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29ACCC53" w14:textId="370EC8B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7829A6">
        <w:rPr>
          <w:sz w:val="24"/>
          <w:szCs w:val="24"/>
        </w:rPr>
        <w:t xml:space="preserve">10. </w:t>
      </w:r>
      <w:r w:rsidRPr="00232D26" w:rsidR="00E77571">
        <w:rPr>
          <w:sz w:val="24"/>
          <w:szCs w:val="24"/>
        </w:rPr>
        <w:t xml:space="preserve"> </w:t>
      </w:r>
      <w:r w:rsidRPr="00232D26" w:rsidR="002055AB">
        <w:rPr>
          <w:sz w:val="24"/>
          <w:szCs w:val="24"/>
          <w:u w:val="single"/>
        </w:rPr>
        <w:t>C</w:t>
      </w:r>
      <w:r w:rsidRPr="00232D26" w:rsidR="00EA47DF">
        <w:rPr>
          <w:sz w:val="24"/>
          <w:szCs w:val="24"/>
          <w:u w:val="single"/>
        </w:rPr>
        <w:t>onfidentiality</w:t>
      </w:r>
    </w:p>
    <w:p w:rsidR="00341439" w:rsidRPr="00232D26" w:rsidP="00F03864" w14:paraId="652754D5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30EE5090" w14:textId="6FC884A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>Th</w:t>
      </w:r>
      <w:r w:rsidRPr="00232D26" w:rsidR="00943228">
        <w:rPr>
          <w:sz w:val="24"/>
          <w:szCs w:val="24"/>
        </w:rPr>
        <w:t>e</w:t>
      </w:r>
      <w:r w:rsidRPr="00232D26" w:rsidR="00EA47DF">
        <w:rPr>
          <w:sz w:val="24"/>
          <w:szCs w:val="24"/>
        </w:rPr>
        <w:t xml:space="preserve"> information</w:t>
      </w:r>
      <w:r w:rsidRPr="00232D26" w:rsidR="00943228">
        <w:rPr>
          <w:sz w:val="24"/>
          <w:szCs w:val="24"/>
        </w:rPr>
        <w:t xml:space="preserve"> collected will be</w:t>
      </w:r>
      <w:r w:rsidRPr="00232D26" w:rsidR="00EA47DF">
        <w:rPr>
          <w:sz w:val="24"/>
          <w:szCs w:val="24"/>
        </w:rPr>
        <w:t xml:space="preserve"> disclosed only to the extent consistent with</w:t>
      </w:r>
      <w:r w:rsidRPr="00232D26" w:rsidR="002055AB">
        <w:rPr>
          <w:sz w:val="24"/>
          <w:szCs w:val="24"/>
        </w:rPr>
        <w:t xml:space="preserve"> </w:t>
      </w:r>
      <w:r w:rsidRPr="00232D26" w:rsidR="00052CC1">
        <w:rPr>
          <w:sz w:val="24"/>
          <w:szCs w:val="24"/>
        </w:rPr>
        <w:t>statutory requirements</w:t>
      </w:r>
      <w:r w:rsidRPr="00232D26" w:rsidR="000B51B3">
        <w:rPr>
          <w:sz w:val="24"/>
          <w:szCs w:val="24"/>
        </w:rPr>
        <w:t xml:space="preserve">, current </w:t>
      </w:r>
      <w:r w:rsidRPr="00232D26" w:rsidR="00BD16F7">
        <w:rPr>
          <w:sz w:val="24"/>
          <w:szCs w:val="24"/>
        </w:rPr>
        <w:t>regulations</w:t>
      </w:r>
      <w:r w:rsidR="00244EB6">
        <w:rPr>
          <w:sz w:val="24"/>
          <w:szCs w:val="24"/>
        </w:rPr>
        <w:t>,</w:t>
      </w:r>
      <w:r w:rsidRPr="00232D26" w:rsidR="000B51B3">
        <w:rPr>
          <w:sz w:val="24"/>
          <w:szCs w:val="24"/>
        </w:rPr>
        <w:t xml:space="preserve"> and</w:t>
      </w:r>
      <w:r w:rsidRPr="00232D26" w:rsidR="00052CC1">
        <w:rPr>
          <w:sz w:val="24"/>
          <w:szCs w:val="24"/>
        </w:rPr>
        <w:t xml:space="preserve"> prudent business practices</w:t>
      </w:r>
      <w:r w:rsidRPr="00232D26" w:rsidR="000B51B3">
        <w:rPr>
          <w:sz w:val="24"/>
          <w:szCs w:val="24"/>
        </w:rPr>
        <w:t>.</w:t>
      </w:r>
    </w:p>
    <w:p w:rsidR="007829A6" w:rsidRPr="00232D26" w:rsidP="00F03864" w14:paraId="41956E58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1CB6EB21" w14:textId="2E90C45F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11. </w:t>
      </w:r>
      <w:r w:rsidRPr="00232D26" w:rsidR="00E77571">
        <w:rPr>
          <w:sz w:val="24"/>
          <w:szCs w:val="24"/>
        </w:rPr>
        <w:t xml:space="preserve"> </w:t>
      </w:r>
      <w:r w:rsidRPr="00232D26" w:rsidR="002055AB">
        <w:rPr>
          <w:sz w:val="24"/>
          <w:szCs w:val="24"/>
          <w:u w:val="single"/>
        </w:rPr>
        <w:t>Sensitive Q</w:t>
      </w:r>
      <w:r w:rsidRPr="00232D26" w:rsidR="00EA47DF">
        <w:rPr>
          <w:sz w:val="24"/>
          <w:szCs w:val="24"/>
          <w:u w:val="single"/>
        </w:rPr>
        <w:t>uestions</w:t>
      </w:r>
    </w:p>
    <w:p w:rsidR="00341439" w:rsidRPr="00232D26" w:rsidP="00F03864" w14:paraId="30671D91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7EE60F93" w14:textId="479B5F5F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2055AB">
        <w:rPr>
          <w:sz w:val="24"/>
          <w:szCs w:val="24"/>
        </w:rPr>
        <w:t xml:space="preserve">Questions of a sensitive nature </w:t>
      </w:r>
      <w:r w:rsidRPr="00232D26" w:rsidR="000B51B3">
        <w:rPr>
          <w:sz w:val="24"/>
          <w:szCs w:val="24"/>
        </w:rPr>
        <w:t>are not involved.</w:t>
      </w:r>
    </w:p>
    <w:p w:rsidR="007829A6" w:rsidRPr="00232D26" w:rsidP="00F03864" w14:paraId="5AF07AAE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569F3DDA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12.  </w:t>
      </w:r>
      <w:r w:rsidRPr="00232D26">
        <w:rPr>
          <w:sz w:val="24"/>
          <w:szCs w:val="24"/>
          <w:u w:val="single"/>
        </w:rPr>
        <w:t>Respondent Burden, and its Labor Costs</w:t>
      </w:r>
    </w:p>
    <w:p w:rsidR="00341439" w:rsidRPr="00232D26" w:rsidP="00F03864" w14:paraId="3614A977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51B608D4" w14:textId="57A8E3D8">
      <w:pPr>
        <w:tabs>
          <w:tab w:val="left" w:pos="81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5B8F">
        <w:rPr>
          <w:sz w:val="24"/>
          <w:szCs w:val="24"/>
        </w:rPr>
        <w:t xml:space="preserve">a. </w:t>
      </w:r>
      <w:r w:rsidRPr="00232D26" w:rsidR="00E25B8F">
        <w:rPr>
          <w:sz w:val="24"/>
          <w:szCs w:val="24"/>
          <w:u w:val="single"/>
        </w:rPr>
        <w:t>Estimates</w:t>
      </w:r>
      <w:r w:rsidRPr="00232D26" w:rsidR="002055AB">
        <w:rPr>
          <w:sz w:val="24"/>
          <w:szCs w:val="24"/>
          <w:u w:val="single"/>
        </w:rPr>
        <w:t xml:space="preserve"> of </w:t>
      </w:r>
      <w:r w:rsidRPr="00232D26" w:rsidR="00C07802">
        <w:rPr>
          <w:sz w:val="24"/>
          <w:szCs w:val="24"/>
          <w:u w:val="single"/>
        </w:rPr>
        <w:t>Public</w:t>
      </w:r>
      <w:r w:rsidRPr="00232D26" w:rsidR="002055AB">
        <w:rPr>
          <w:sz w:val="24"/>
          <w:szCs w:val="24"/>
          <w:u w:val="single"/>
        </w:rPr>
        <w:t xml:space="preserve"> Burden</w:t>
      </w:r>
    </w:p>
    <w:p w:rsidR="00341439" w:rsidRPr="00232D26" w:rsidP="00F03864" w14:paraId="4F7D9B9C" w14:textId="77777777">
      <w:pP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997D86" w:rsidRPr="00232D26" w:rsidP="00F03864" w14:paraId="20C78D69" w14:textId="77777777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2100">
        <w:rPr>
          <w:sz w:val="24"/>
          <w:szCs w:val="24"/>
        </w:rPr>
        <w:t xml:space="preserve">The estimated annual cost to the public </w:t>
      </w:r>
      <w:r w:rsidRPr="00232D26" w:rsidR="009B1B98">
        <w:rPr>
          <w:sz w:val="24"/>
          <w:szCs w:val="24"/>
        </w:rPr>
        <w:t xml:space="preserve">for the subject reporting requirement </w:t>
      </w:r>
      <w:r w:rsidRPr="00232D26" w:rsidR="00052100">
        <w:rPr>
          <w:sz w:val="24"/>
          <w:szCs w:val="24"/>
        </w:rPr>
        <w:t>is</w:t>
      </w:r>
      <w:r w:rsidRPr="00232D26" w:rsidR="009B1B98">
        <w:rPr>
          <w:sz w:val="24"/>
          <w:szCs w:val="24"/>
        </w:rPr>
        <w:t xml:space="preserve"> as follows</w:t>
      </w:r>
      <w:r w:rsidRPr="00232D26" w:rsidR="00052100">
        <w:rPr>
          <w:sz w:val="24"/>
          <w:szCs w:val="24"/>
        </w:rPr>
        <w:t>:</w:t>
      </w:r>
    </w:p>
    <w:p w:rsidR="00997D86" w:rsidRPr="00F03864" w:rsidP="00F03864" w14:paraId="2288B18A" w14:textId="7777777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380"/>
        <w:gridCol w:w="1530"/>
      </w:tblGrid>
      <w:tr w14:paraId="03FA8DB5" w14:textId="77777777" w:rsidTr="00E245B1">
        <w:tblPrEx>
          <w:tblW w:w="0" w:type="auto"/>
          <w:tblInd w:w="108" w:type="dxa"/>
          <w:tblLook w:val="04A0"/>
        </w:tblPrEx>
        <w:tc>
          <w:tcPr>
            <w:tcW w:w="8910" w:type="dxa"/>
            <w:gridSpan w:val="2"/>
          </w:tcPr>
          <w:p w:rsidR="009D3BDA" w:rsidRPr="00232D26" w:rsidP="009D3BDA" w14:paraId="710FBE0B" w14:textId="77777777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Respondent Burden Hours:  252.225-7039</w:t>
            </w:r>
          </w:p>
        </w:tc>
      </w:tr>
      <w:tr w14:paraId="544FEE12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6343CC" w14:paraId="3E1B06D6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respondents</w:t>
            </w:r>
          </w:p>
        </w:tc>
        <w:tc>
          <w:tcPr>
            <w:tcW w:w="1530" w:type="dxa"/>
            <w:vAlign w:val="center"/>
          </w:tcPr>
          <w:p w:rsidR="00323CB3" w:rsidRPr="00232D26" w:rsidP="00A32746" w14:paraId="2DE20E6B" w14:textId="240A4C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14:paraId="27B8CA5D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244EB6" w14:paraId="196D0228" w14:textId="7E951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</w:t>
            </w:r>
            <w:r w:rsidRPr="00232D26">
              <w:rPr>
                <w:sz w:val="24"/>
                <w:szCs w:val="24"/>
              </w:rPr>
              <w:t xml:space="preserve">esponses </w:t>
            </w:r>
            <w:r w:rsidRPr="00232D26" w:rsidR="006343CC">
              <w:rPr>
                <w:sz w:val="24"/>
                <w:szCs w:val="24"/>
              </w:rPr>
              <w:t>per respondent</w:t>
            </w:r>
          </w:p>
        </w:tc>
        <w:tc>
          <w:tcPr>
            <w:tcW w:w="1530" w:type="dxa"/>
            <w:vAlign w:val="center"/>
          </w:tcPr>
          <w:p w:rsidR="00323CB3" w:rsidRPr="009609B3" w:rsidP="00B0258C" w14:paraId="05F8754D" w14:textId="3932317F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>4</w:t>
            </w:r>
          </w:p>
        </w:tc>
      </w:tr>
      <w:tr w14:paraId="5AC19C16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77381EE2" w14:textId="73874BF8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Number of </w:t>
            </w:r>
            <w:r w:rsidR="00244EB6">
              <w:rPr>
                <w:sz w:val="24"/>
                <w:szCs w:val="24"/>
              </w:rPr>
              <w:t xml:space="preserve">total annual </w:t>
            </w:r>
            <w:r w:rsidRPr="00232D26">
              <w:rPr>
                <w:sz w:val="24"/>
                <w:szCs w:val="24"/>
              </w:rPr>
              <w:t>responses (a)</w:t>
            </w:r>
          </w:p>
        </w:tc>
        <w:tc>
          <w:tcPr>
            <w:tcW w:w="1530" w:type="dxa"/>
            <w:vAlign w:val="center"/>
          </w:tcPr>
          <w:p w:rsidR="00323CB3" w:rsidRPr="009609B3" w:rsidP="00A32746" w14:paraId="3F05C0C8" w14:textId="3A385F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14:paraId="2F3D6A09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508DD341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Hours per response (b)</w:t>
            </w:r>
          </w:p>
        </w:tc>
        <w:tc>
          <w:tcPr>
            <w:tcW w:w="1530" w:type="dxa"/>
            <w:vAlign w:val="center"/>
          </w:tcPr>
          <w:p w:rsidR="00323CB3" w:rsidRPr="009609B3" w:rsidP="00B0258C" w14:paraId="6BEE4797" w14:textId="55A194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609B3">
              <w:rPr>
                <w:sz w:val="24"/>
                <w:szCs w:val="24"/>
              </w:rPr>
              <w:t>.5</w:t>
            </w:r>
          </w:p>
        </w:tc>
      </w:tr>
      <w:tr w14:paraId="2A1C9A6C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244EB6" w14:paraId="6219B09C" w14:textId="76C38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respondent burden </w:t>
            </w:r>
            <w:r w:rsidRPr="00232D26" w:rsidR="006343CC">
              <w:rPr>
                <w:sz w:val="24"/>
                <w:szCs w:val="24"/>
              </w:rPr>
              <w:t>hours</w:t>
            </w:r>
            <w:r w:rsidRPr="00232D26" w:rsidR="009D3BD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total annual </w:t>
            </w:r>
            <w:r w:rsidRPr="00232D26" w:rsidR="009D3BDA">
              <w:rPr>
                <w:sz w:val="24"/>
                <w:szCs w:val="24"/>
              </w:rPr>
              <w:t xml:space="preserve">responses multiplied </w:t>
            </w:r>
            <w:r>
              <w:rPr>
                <w:sz w:val="24"/>
                <w:szCs w:val="24"/>
              </w:rPr>
              <w:t xml:space="preserve">by </w:t>
            </w:r>
            <w:r w:rsidRPr="00232D26" w:rsidR="009D3BDA">
              <w:rPr>
                <w:sz w:val="24"/>
                <w:szCs w:val="24"/>
              </w:rPr>
              <w:t>hours per response)</w:t>
            </w:r>
          </w:p>
        </w:tc>
        <w:tc>
          <w:tcPr>
            <w:tcW w:w="1530" w:type="dxa"/>
            <w:vAlign w:val="center"/>
          </w:tcPr>
          <w:p w:rsidR="00323CB3" w:rsidRPr="009609B3" w:rsidP="00244EB6" w14:paraId="0E994C9B" w14:textId="4759EF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14:paraId="4D39818A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265CD8FC" w14:textId="02A64EE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Cost per hour</w:t>
            </w:r>
            <w:r w:rsidR="00244EB6">
              <w:rPr>
                <w:sz w:val="24"/>
                <w:szCs w:val="24"/>
              </w:rPr>
              <w:t xml:space="preserve"> (hourly wage)</w:t>
            </w:r>
            <w:r w:rsidRPr="00232D26">
              <w:rPr>
                <w:sz w:val="24"/>
                <w:szCs w:val="24"/>
              </w:rPr>
              <w:t xml:space="preserve"> (c)</w:t>
            </w:r>
          </w:p>
        </w:tc>
        <w:tc>
          <w:tcPr>
            <w:tcW w:w="1530" w:type="dxa"/>
            <w:vAlign w:val="center"/>
          </w:tcPr>
          <w:p w:rsidR="00323CB3" w:rsidRPr="009609B3" w:rsidP="00F83871" w14:paraId="52FCF46B" w14:textId="6055FA63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>$</w:t>
            </w:r>
            <w:r w:rsidR="009609B3">
              <w:rPr>
                <w:sz w:val="24"/>
                <w:szCs w:val="24"/>
              </w:rPr>
              <w:t>4</w:t>
            </w:r>
            <w:r w:rsidR="00F83871">
              <w:rPr>
                <w:sz w:val="24"/>
                <w:szCs w:val="24"/>
              </w:rPr>
              <w:t>9</w:t>
            </w:r>
          </w:p>
        </w:tc>
      </w:tr>
      <w:tr w14:paraId="75FB6F29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6343CC" w14:paraId="322B6EB7" w14:textId="5D739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burden per response</w:t>
            </w:r>
          </w:p>
        </w:tc>
        <w:tc>
          <w:tcPr>
            <w:tcW w:w="1530" w:type="dxa"/>
            <w:vAlign w:val="center"/>
          </w:tcPr>
          <w:p w:rsidR="00323CB3" w:rsidRPr="00232D26" w:rsidP="00FF1938" w14:paraId="47432551" w14:textId="367508E9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244EB6">
              <w:rPr>
                <w:sz w:val="24"/>
                <w:szCs w:val="24"/>
              </w:rPr>
              <w:t>24.50</w:t>
            </w:r>
          </w:p>
        </w:tc>
      </w:tr>
      <w:tr w14:paraId="4622F926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244EB6" w:rsidRPr="00232D26" w:rsidP="00244EB6" w14:paraId="4B27EFFA" w14:textId="7715E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labor burden</w:t>
            </w:r>
          </w:p>
        </w:tc>
        <w:tc>
          <w:tcPr>
            <w:tcW w:w="1530" w:type="dxa"/>
            <w:vAlign w:val="center"/>
          </w:tcPr>
          <w:p w:rsidR="00244EB6" w:rsidRPr="00232D26" w:rsidP="00FF1938" w14:paraId="562E37E4" w14:textId="72913DB2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980</w:t>
            </w:r>
          </w:p>
        </w:tc>
      </w:tr>
    </w:tbl>
    <w:p w:rsidR="00997D86" w:rsidRPr="00F03864" w:rsidP="00F03864" w14:paraId="49E476D3" w14:textId="77777777">
      <w:pPr>
        <w:spacing w:after="0" w:line="240" w:lineRule="auto"/>
        <w:rPr>
          <w:sz w:val="24"/>
          <w:szCs w:val="24"/>
        </w:rPr>
      </w:pPr>
    </w:p>
    <w:p w:rsidR="00997D86" w:rsidRPr="00232D26" w:rsidP="00F03864" w14:paraId="5CAF4B1A" w14:textId="77777777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  <w:u w:val="single"/>
        </w:rPr>
        <w:t>Notes</w:t>
      </w:r>
      <w:r w:rsidRPr="00232D26">
        <w:rPr>
          <w:sz w:val="24"/>
          <w:szCs w:val="24"/>
        </w:rPr>
        <w:t>:</w:t>
      </w:r>
    </w:p>
    <w:p w:rsidR="00542EEC" w:rsidRPr="00232D26" w:rsidP="00F03864" w14:paraId="4BE1051A" w14:textId="77777777">
      <w:pPr>
        <w:spacing w:after="0" w:line="240" w:lineRule="auto"/>
        <w:rPr>
          <w:sz w:val="24"/>
          <w:szCs w:val="24"/>
        </w:rPr>
      </w:pPr>
    </w:p>
    <w:p w:rsidR="00542EEC" w:rsidRPr="00232D26" w:rsidP="00F03864" w14:paraId="128D9C6D" w14:textId="42E39CAD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2100">
        <w:rPr>
          <w:sz w:val="24"/>
          <w:szCs w:val="24"/>
        </w:rPr>
        <w:t>(</w:t>
      </w:r>
      <w:r w:rsidRPr="00232D26">
        <w:rPr>
          <w:sz w:val="24"/>
          <w:szCs w:val="24"/>
        </w:rPr>
        <w:t xml:space="preserve">a) </w:t>
      </w:r>
      <w:r w:rsidRPr="00232D26" w:rsidR="009B1B98">
        <w:rPr>
          <w:sz w:val="24"/>
          <w:szCs w:val="24"/>
        </w:rPr>
        <w:t xml:space="preserve"> </w:t>
      </w:r>
      <w:r w:rsidRPr="00232D26">
        <w:rPr>
          <w:sz w:val="24"/>
          <w:szCs w:val="24"/>
        </w:rPr>
        <w:t xml:space="preserve">The </w:t>
      </w:r>
      <w:r w:rsidRPr="00232D26" w:rsidR="004B426C">
        <w:rPr>
          <w:sz w:val="24"/>
          <w:szCs w:val="24"/>
        </w:rPr>
        <w:t>OSD subject matter experts</w:t>
      </w:r>
      <w:r w:rsidRPr="00232D26">
        <w:rPr>
          <w:sz w:val="24"/>
          <w:szCs w:val="24"/>
        </w:rPr>
        <w:t xml:space="preserve"> on </w:t>
      </w:r>
      <w:r w:rsidRPr="00232D26" w:rsidR="009B1B98">
        <w:rPr>
          <w:sz w:val="24"/>
          <w:szCs w:val="24"/>
        </w:rPr>
        <w:t>c</w:t>
      </w:r>
      <w:r w:rsidRPr="00232D26">
        <w:rPr>
          <w:sz w:val="24"/>
          <w:szCs w:val="24"/>
        </w:rPr>
        <w:t xml:space="preserve">ontractors </w:t>
      </w:r>
      <w:r w:rsidRPr="00232D26" w:rsidR="009B1B98">
        <w:rPr>
          <w:sz w:val="24"/>
          <w:szCs w:val="24"/>
        </w:rPr>
        <w:t>p</w:t>
      </w:r>
      <w:r w:rsidRPr="00232D26">
        <w:rPr>
          <w:sz w:val="24"/>
          <w:szCs w:val="24"/>
        </w:rPr>
        <w:t xml:space="preserve">erforming </w:t>
      </w:r>
      <w:r w:rsidRPr="00232D26" w:rsidR="009B1B98">
        <w:rPr>
          <w:sz w:val="24"/>
          <w:szCs w:val="24"/>
        </w:rPr>
        <w:t>private s</w:t>
      </w:r>
      <w:r w:rsidRPr="00232D26">
        <w:rPr>
          <w:sz w:val="24"/>
          <w:szCs w:val="24"/>
        </w:rPr>
        <w:t xml:space="preserve">ecurity </w:t>
      </w:r>
      <w:r w:rsidRPr="00232D26" w:rsidR="009B1B98">
        <w:rPr>
          <w:sz w:val="24"/>
          <w:szCs w:val="24"/>
        </w:rPr>
        <w:t>f</w:t>
      </w:r>
      <w:r w:rsidRPr="00232D26">
        <w:rPr>
          <w:sz w:val="24"/>
          <w:szCs w:val="24"/>
        </w:rPr>
        <w:t>unctions have estimated an average of 4 incidents per month</w:t>
      </w:r>
      <w:r w:rsidRPr="00232D26" w:rsidR="0091347B">
        <w:rPr>
          <w:sz w:val="24"/>
          <w:szCs w:val="24"/>
        </w:rPr>
        <w:t xml:space="preserve"> or </w:t>
      </w:r>
      <w:r w:rsidR="00A32746">
        <w:rPr>
          <w:sz w:val="24"/>
          <w:szCs w:val="24"/>
        </w:rPr>
        <w:t>32</w:t>
      </w:r>
      <w:r w:rsidRPr="00232D26" w:rsidR="00E76DA1">
        <w:rPr>
          <w:sz w:val="24"/>
          <w:szCs w:val="24"/>
        </w:rPr>
        <w:t xml:space="preserve"> incidents </w:t>
      </w:r>
      <w:r w:rsidRPr="00232D26" w:rsidR="009B1B98">
        <w:rPr>
          <w:sz w:val="24"/>
          <w:szCs w:val="24"/>
        </w:rPr>
        <w:t xml:space="preserve">(responses) </w:t>
      </w:r>
      <w:r w:rsidRPr="00232D26" w:rsidR="00E76DA1">
        <w:rPr>
          <w:sz w:val="24"/>
          <w:szCs w:val="24"/>
        </w:rPr>
        <w:t>per year</w:t>
      </w:r>
      <w:r w:rsidR="009609B3">
        <w:rPr>
          <w:sz w:val="24"/>
          <w:szCs w:val="24"/>
        </w:rPr>
        <w:t xml:space="preserve"> from </w:t>
      </w:r>
      <w:r w:rsidR="00A32746">
        <w:rPr>
          <w:sz w:val="24"/>
          <w:szCs w:val="24"/>
        </w:rPr>
        <w:t>8</w:t>
      </w:r>
      <w:r w:rsidR="009609B3">
        <w:rPr>
          <w:sz w:val="24"/>
          <w:szCs w:val="24"/>
        </w:rPr>
        <w:t xml:space="preserve"> </w:t>
      </w:r>
      <w:r w:rsidR="009609B3">
        <w:rPr>
          <w:sz w:val="24"/>
          <w:szCs w:val="24"/>
        </w:rPr>
        <w:t>respondents</w:t>
      </w:r>
      <w:r w:rsidRPr="00232D26" w:rsidR="00E76DA1">
        <w:rPr>
          <w:sz w:val="24"/>
          <w:szCs w:val="24"/>
        </w:rPr>
        <w:t>.</w:t>
      </w:r>
      <w:r w:rsidR="00FF1938">
        <w:rPr>
          <w:sz w:val="24"/>
          <w:szCs w:val="24"/>
        </w:rPr>
        <w:t xml:space="preserve">  This estimate of 8</w:t>
      </w:r>
      <w:r w:rsidR="00FD0AB8">
        <w:rPr>
          <w:sz w:val="24"/>
          <w:szCs w:val="24"/>
        </w:rPr>
        <w:t xml:space="preserve"> respondents</w:t>
      </w:r>
      <w:r w:rsidR="00FF1938">
        <w:rPr>
          <w:sz w:val="24"/>
          <w:szCs w:val="24"/>
        </w:rPr>
        <w:t xml:space="preserve"> is revised upwards to 10 to reflect the minimum number of respondents </w:t>
      </w:r>
      <w:r w:rsidR="00FD0AB8">
        <w:rPr>
          <w:sz w:val="24"/>
          <w:szCs w:val="24"/>
        </w:rPr>
        <w:t>to invoke</w:t>
      </w:r>
      <w:r w:rsidR="00FF1938">
        <w:rPr>
          <w:sz w:val="24"/>
          <w:szCs w:val="24"/>
        </w:rPr>
        <w:t xml:space="preserve"> the Paperwork Reduction Act</w:t>
      </w:r>
      <w:r w:rsidR="0056071E">
        <w:rPr>
          <w:sz w:val="24"/>
          <w:szCs w:val="24"/>
        </w:rPr>
        <w:t xml:space="preserve"> and to ensure OMB clear</w:t>
      </w:r>
      <w:r w:rsidR="00B0224E">
        <w:rPr>
          <w:sz w:val="24"/>
          <w:szCs w:val="24"/>
        </w:rPr>
        <w:t>a</w:t>
      </w:r>
      <w:r w:rsidR="0056071E">
        <w:rPr>
          <w:sz w:val="24"/>
          <w:szCs w:val="24"/>
        </w:rPr>
        <w:t xml:space="preserve">nce should the number of respondents </w:t>
      </w:r>
      <w:r w:rsidR="00B0224E">
        <w:rPr>
          <w:sz w:val="24"/>
          <w:szCs w:val="24"/>
        </w:rPr>
        <w:t xml:space="preserve">reach or </w:t>
      </w:r>
      <w:r w:rsidR="0056071E">
        <w:rPr>
          <w:sz w:val="24"/>
          <w:szCs w:val="24"/>
        </w:rPr>
        <w:t>exceed 10 during the renewal period</w:t>
      </w:r>
      <w:r w:rsidR="00FF1938">
        <w:rPr>
          <w:sz w:val="24"/>
          <w:szCs w:val="24"/>
        </w:rPr>
        <w:t>.</w:t>
      </w:r>
    </w:p>
    <w:p w:rsidR="00E76DA1" w:rsidRPr="00232D26" w:rsidP="00F03864" w14:paraId="5DB6BD3D" w14:textId="77777777">
      <w:pPr>
        <w:spacing w:after="0" w:line="240" w:lineRule="auto"/>
        <w:rPr>
          <w:sz w:val="24"/>
          <w:szCs w:val="24"/>
        </w:rPr>
      </w:pPr>
    </w:p>
    <w:p w:rsidR="004B426C" w:rsidRPr="00232D26" w:rsidP="00F03864" w14:paraId="4686BD7A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9B1B98">
        <w:rPr>
          <w:sz w:val="24"/>
          <w:szCs w:val="24"/>
        </w:rPr>
        <w:t>(</w:t>
      </w:r>
      <w:r w:rsidRPr="00232D26" w:rsidR="00E76DA1">
        <w:rPr>
          <w:sz w:val="24"/>
          <w:szCs w:val="24"/>
        </w:rPr>
        <w:t xml:space="preserve">b) </w:t>
      </w:r>
      <w:r w:rsidRPr="00232D26" w:rsidR="009B1B98">
        <w:rPr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Based on the nature of the task, the subject matter experts determined that it takes </w:t>
      </w:r>
      <w:r w:rsidRPr="00232D26" w:rsidR="009B1B98">
        <w:rPr>
          <w:rFonts w:eastAsia="Times New Roman"/>
          <w:sz w:val="24"/>
          <w:szCs w:val="24"/>
        </w:rPr>
        <w:t>approximately</w:t>
      </w:r>
      <w:r w:rsidRPr="00232D26">
        <w:rPr>
          <w:rFonts w:eastAsia="Times New Roman"/>
          <w:sz w:val="24"/>
          <w:szCs w:val="24"/>
        </w:rPr>
        <w:t xml:space="preserve"> 30 minutes for each contractor to retrieve, prepare, and submit the information for each </w:t>
      </w:r>
      <w:r w:rsidRPr="00232D26" w:rsidR="00E77571">
        <w:rPr>
          <w:rFonts w:eastAsia="Times New Roman"/>
          <w:sz w:val="24"/>
          <w:szCs w:val="24"/>
        </w:rPr>
        <w:t xml:space="preserve">incident </w:t>
      </w:r>
      <w:r w:rsidRPr="00232D26">
        <w:rPr>
          <w:rFonts w:eastAsia="Times New Roman"/>
          <w:sz w:val="24"/>
          <w:szCs w:val="24"/>
        </w:rPr>
        <w:t>re</w:t>
      </w:r>
      <w:r w:rsidRPr="00232D26" w:rsidR="0091347B">
        <w:rPr>
          <w:rFonts w:eastAsia="Times New Roman"/>
          <w:sz w:val="24"/>
          <w:szCs w:val="24"/>
        </w:rPr>
        <w:t>port</w:t>
      </w:r>
      <w:r w:rsidRPr="00232D26">
        <w:rPr>
          <w:rFonts w:eastAsia="Times New Roman"/>
          <w:sz w:val="24"/>
          <w:szCs w:val="24"/>
        </w:rPr>
        <w:t>.</w:t>
      </w:r>
    </w:p>
    <w:p w:rsidR="00244EB6" w:rsidP="00244EB6" w14:paraId="773F56DD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4B426C" w:rsidRPr="00232D26" w:rsidP="00244EB6" w14:paraId="3A1FD5E0" w14:textId="29693F4E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c) </w:t>
      </w:r>
      <w:r w:rsidRPr="00232D26" w:rsidR="009B1B98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Based on our assessment, the complexity of the work is equivalent to that of a </w:t>
      </w:r>
      <w:r w:rsidR="00B0224E">
        <w:rPr>
          <w:rFonts w:eastAsia="Times New Roman"/>
          <w:sz w:val="24"/>
          <w:szCs w:val="24"/>
        </w:rPr>
        <w:t>General Schedule (</w:t>
      </w:r>
      <w:r w:rsidRPr="00232D26">
        <w:rPr>
          <w:rFonts w:eastAsia="Times New Roman"/>
          <w:sz w:val="24"/>
          <w:szCs w:val="24"/>
        </w:rPr>
        <w:t>GS</w:t>
      </w:r>
      <w:r w:rsidR="00B0224E">
        <w:rPr>
          <w:rFonts w:eastAsia="Times New Roman"/>
          <w:sz w:val="24"/>
          <w:szCs w:val="24"/>
        </w:rPr>
        <w:t xml:space="preserve">) grade </w:t>
      </w:r>
      <w:r w:rsidRPr="00232D26">
        <w:rPr>
          <w:rFonts w:eastAsia="Times New Roman"/>
          <w:sz w:val="24"/>
          <w:szCs w:val="24"/>
        </w:rPr>
        <w:t xml:space="preserve">11.  </w:t>
      </w:r>
      <w:r w:rsidR="009609B3">
        <w:rPr>
          <w:rFonts w:eastAsia="Times New Roman"/>
          <w:sz w:val="24"/>
          <w:szCs w:val="24"/>
        </w:rPr>
        <w:t>The hourly rate is</w:t>
      </w:r>
      <w:r w:rsidRPr="00232D26">
        <w:rPr>
          <w:rFonts w:eastAsia="Times New Roman"/>
          <w:sz w:val="24"/>
          <w:szCs w:val="24"/>
        </w:rPr>
        <w:t xml:space="preserve"> calculated by adding an overhead factor of 36.25% (taken from OMB Memo M-08-13, which provides standard cost factors for agency use) to the calendar year 20</w:t>
      </w:r>
      <w:r w:rsidR="00653625">
        <w:rPr>
          <w:rFonts w:eastAsia="Times New Roman"/>
          <w:sz w:val="24"/>
          <w:szCs w:val="24"/>
        </w:rPr>
        <w:t>22</w:t>
      </w:r>
      <w:r w:rsidR="009609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Office of Personnel Management rate </w:t>
      </w:r>
      <w:r w:rsidR="009609B3">
        <w:rPr>
          <w:rFonts w:eastAsia="Times New Roman"/>
          <w:sz w:val="24"/>
          <w:szCs w:val="24"/>
        </w:rPr>
        <w:t xml:space="preserve">for the Rest of the U.S. </w:t>
      </w:r>
      <w:r w:rsidRPr="00232D26">
        <w:rPr>
          <w:rFonts w:eastAsia="Times New Roman"/>
          <w:sz w:val="24"/>
          <w:szCs w:val="24"/>
        </w:rPr>
        <w:t>for a GS-11, step 5 as follows:</w:t>
      </w:r>
    </w:p>
    <w:p w:rsidR="004B426C" w:rsidRPr="00232D26" w:rsidP="00244EB6" w14:paraId="725CC312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703"/>
        <w:gridCol w:w="1440"/>
      </w:tblGrid>
      <w:tr w14:paraId="647EF803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6BB47B6D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Cost per hour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5F00867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14:paraId="04CB670E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P="00B0258C" w14:paraId="75FD6573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GS-11, step 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P="00653625" w14:paraId="1529EF3B" w14:textId="3470448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653625">
              <w:rPr>
                <w:rFonts w:eastAsia="Times New Roman"/>
                <w:color w:val="000000"/>
                <w:sz w:val="24"/>
                <w:szCs w:val="24"/>
              </w:rPr>
              <w:t>35.96</w:t>
            </w:r>
          </w:p>
        </w:tc>
      </w:tr>
      <w:tr w14:paraId="34ED51E4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P="00B0258C" w14:paraId="0A3D358B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OMB burden @ 36.25%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P="00653625" w14:paraId="693BC479" w14:textId="5201237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$</w:t>
            </w:r>
            <w:r w:rsidR="00653625">
              <w:rPr>
                <w:rFonts w:eastAsia="Times New Roman"/>
                <w:color w:val="000000"/>
                <w:sz w:val="24"/>
                <w:szCs w:val="24"/>
                <w:u w:val="single"/>
              </w:rPr>
              <w:t>13.04</w:t>
            </w:r>
          </w:p>
        </w:tc>
      </w:tr>
      <w:tr w14:paraId="7DED16D7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F6B5BF1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653625" w14:paraId="24B2E44D" w14:textId="10B97554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653625">
              <w:rPr>
                <w:rFonts w:eastAsia="Times New Roman"/>
                <w:color w:val="000000"/>
                <w:sz w:val="24"/>
                <w:szCs w:val="24"/>
              </w:rPr>
              <w:t>49.00</w:t>
            </w:r>
          </w:p>
        </w:tc>
      </w:tr>
      <w:tr w14:paraId="34B5B930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B923124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Rounded to the nearest dollar: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F83871" w14:paraId="0273EF73" w14:textId="35D6D1B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9609B3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F83871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Pr="00232D26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</w:tr>
    </w:tbl>
    <w:p w:rsidR="00E76DA1" w:rsidRPr="00232D26" w:rsidP="00997D86" w14:paraId="3A8E38F0" w14:textId="1DCD3CE7">
      <w:pPr>
        <w:spacing w:after="0"/>
        <w:rPr>
          <w:sz w:val="24"/>
          <w:szCs w:val="24"/>
        </w:rPr>
      </w:pPr>
    </w:p>
    <w:p w:rsidR="009D3BDA" w:rsidRPr="00232D26" w:rsidP="00B0224E" w14:paraId="7D2B1923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13. </w:t>
      </w:r>
      <w:r w:rsidRPr="00232D26">
        <w:rPr>
          <w:sz w:val="24"/>
          <w:szCs w:val="24"/>
          <w:u w:val="single"/>
        </w:rPr>
        <w:t>Respondent Costs Other Than Burden Hour Costs</w:t>
      </w:r>
    </w:p>
    <w:p w:rsidR="009D3BDA" w:rsidRPr="00232D26" w:rsidP="00F03864" w14:paraId="79705EA1" w14:textId="77777777">
      <w:pPr>
        <w:spacing w:after="0" w:line="240" w:lineRule="auto"/>
        <w:rPr>
          <w:sz w:val="24"/>
          <w:szCs w:val="24"/>
        </w:rPr>
      </w:pPr>
    </w:p>
    <w:p w:rsidR="00052CC1" w:rsidRPr="00232D26" w:rsidP="00F03864" w14:paraId="66EB3DB2" w14:textId="77777777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>DoD does not estimate any annual cost burden apart from the hour burden in Item 12.</w:t>
      </w:r>
    </w:p>
    <w:p w:rsidR="00052CC1" w:rsidRPr="00232D26" w:rsidP="00F03864" w14:paraId="69AAD590" w14:textId="77777777">
      <w:pPr>
        <w:spacing w:after="0" w:line="240" w:lineRule="auto"/>
        <w:rPr>
          <w:sz w:val="24"/>
          <w:szCs w:val="24"/>
        </w:rPr>
      </w:pPr>
    </w:p>
    <w:p w:rsidR="009D3BDA" w:rsidRPr="00232D26" w:rsidP="00F03864" w14:paraId="59CFF7D6" w14:textId="37C7D0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14. </w:t>
      </w:r>
      <w:r w:rsidRPr="00232D26" w:rsidR="002055AB">
        <w:rPr>
          <w:sz w:val="24"/>
          <w:szCs w:val="24"/>
          <w:u w:val="single"/>
        </w:rPr>
        <w:t>Cost</w:t>
      </w:r>
      <w:r w:rsidRPr="00232D26" w:rsidR="00E225B6">
        <w:rPr>
          <w:sz w:val="24"/>
          <w:szCs w:val="24"/>
          <w:u w:val="single"/>
        </w:rPr>
        <w:t xml:space="preserve"> to the </w:t>
      </w:r>
      <w:r w:rsidRPr="00232D26">
        <w:rPr>
          <w:sz w:val="24"/>
          <w:szCs w:val="24"/>
          <w:u w:val="single"/>
        </w:rPr>
        <w:t xml:space="preserve">Federal </w:t>
      </w:r>
      <w:r w:rsidRPr="00232D26" w:rsidR="00E225B6">
        <w:rPr>
          <w:sz w:val="24"/>
          <w:szCs w:val="24"/>
          <w:u w:val="single"/>
        </w:rPr>
        <w:t>Government</w:t>
      </w:r>
    </w:p>
    <w:p w:rsidR="00B0224E" w:rsidP="00F03864" w14:paraId="1144B5BC" w14:textId="77777777">
      <w:pPr>
        <w:spacing w:after="0" w:line="240" w:lineRule="auto"/>
        <w:rPr>
          <w:sz w:val="24"/>
          <w:szCs w:val="24"/>
        </w:rPr>
      </w:pPr>
    </w:p>
    <w:p w:rsidR="009F2F43" w:rsidP="00F03864" w14:paraId="1A63B69E" w14:textId="31D971D4">
      <w:pPr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664CE7">
        <w:rPr>
          <w:sz w:val="24"/>
          <w:szCs w:val="24"/>
        </w:rPr>
        <w:t>The estimated annual cost to the Government for receiving, reviewing, analyzing, and forwarding the information submitted by the</w:t>
      </w:r>
      <w:r w:rsidR="00312FF6">
        <w:rPr>
          <w:rFonts w:eastAsia="Times New Roman"/>
          <w:sz w:val="24"/>
          <w:szCs w:val="24"/>
        </w:rPr>
        <w:t xml:space="preserve"> contractor is as follows:</w:t>
      </w:r>
    </w:p>
    <w:p w:rsidR="00B0224E" w:rsidRPr="00232D26" w:rsidP="00F03864" w14:paraId="6353F748" w14:textId="77777777">
      <w:pPr>
        <w:spacing w:after="0" w:line="240" w:lineRule="auto"/>
        <w:rPr>
          <w:rFonts w:eastAsia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073"/>
        <w:gridCol w:w="1169"/>
      </w:tblGrid>
      <w:tr w14:paraId="0115DD78" w14:textId="77777777" w:rsidTr="009D3BDA">
        <w:tblPrEx>
          <w:tblW w:w="0" w:type="auto"/>
          <w:tblInd w:w="108" w:type="dxa"/>
          <w:tblLook w:val="04A0"/>
        </w:tblPrEx>
        <w:tc>
          <w:tcPr>
            <w:tcW w:w="9270" w:type="dxa"/>
            <w:gridSpan w:val="2"/>
          </w:tcPr>
          <w:p w:rsidR="009D3BDA" w:rsidRPr="00232D26" w:rsidP="009D3BDA" w14:paraId="7E61981F" w14:textId="77777777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Federal Government Burden Hours:  252.225-7039</w:t>
            </w:r>
          </w:p>
        </w:tc>
      </w:tr>
      <w:tr w14:paraId="7BFAFC47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7038AB" w14:paraId="3EDDEFFA" w14:textId="0C767271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Number of </w:t>
            </w:r>
            <w:r w:rsidR="00B0224E">
              <w:rPr>
                <w:sz w:val="24"/>
                <w:szCs w:val="24"/>
              </w:rPr>
              <w:t xml:space="preserve">total annual </w:t>
            </w:r>
            <w:r w:rsidRPr="00232D26">
              <w:rPr>
                <w:sz w:val="24"/>
                <w:szCs w:val="24"/>
              </w:rPr>
              <w:t>responses (a)</w:t>
            </w:r>
          </w:p>
        </w:tc>
        <w:tc>
          <w:tcPr>
            <w:tcW w:w="1170" w:type="dxa"/>
            <w:vAlign w:val="center"/>
          </w:tcPr>
          <w:p w:rsidR="009B1B98" w:rsidRPr="00232D26" w:rsidP="00F83871" w14:paraId="634C2A2D" w14:textId="2EE0BA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14:paraId="2EBE6AAB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6343CC" w14:paraId="66AD1A44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Hours per </w:t>
            </w:r>
            <w:r w:rsidRPr="00232D26">
              <w:rPr>
                <w:sz w:val="24"/>
                <w:szCs w:val="24"/>
              </w:rPr>
              <w:t>response</w:t>
            </w:r>
            <w:r w:rsidRPr="00232D26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170" w:type="dxa"/>
            <w:vAlign w:val="center"/>
          </w:tcPr>
          <w:p w:rsidR="009B1B98" w:rsidRPr="009609B3" w:rsidP="00B0224E" w14:paraId="19D580E4" w14:textId="45AE5F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609B3" w:rsidR="00323CB3">
              <w:rPr>
                <w:sz w:val="24"/>
                <w:szCs w:val="24"/>
              </w:rPr>
              <w:t>.5</w:t>
            </w:r>
          </w:p>
        </w:tc>
      </w:tr>
      <w:tr w14:paraId="7C0BB494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9D3BDA" w14:paraId="5A0EF2AB" w14:textId="4D888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hour (c)</w:t>
            </w:r>
          </w:p>
        </w:tc>
        <w:tc>
          <w:tcPr>
            <w:tcW w:w="1170" w:type="dxa"/>
            <w:vAlign w:val="center"/>
          </w:tcPr>
          <w:p w:rsidR="009B1B98" w:rsidRPr="009609B3" w:rsidP="00B0224E" w14:paraId="0A806E14" w14:textId="08CC8E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$49</w:t>
            </w:r>
          </w:p>
        </w:tc>
      </w:tr>
      <w:tr w14:paraId="63EF7759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7038AB" w14:paraId="681B7E42" w14:textId="7F4D7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response</w:t>
            </w:r>
          </w:p>
        </w:tc>
        <w:tc>
          <w:tcPr>
            <w:tcW w:w="1170" w:type="dxa"/>
            <w:vAlign w:val="center"/>
          </w:tcPr>
          <w:p w:rsidR="009B1B98" w:rsidRPr="009609B3" w:rsidP="003E0DF6" w14:paraId="01C7AAC8" w14:textId="3D5F35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$24.50</w:t>
            </w:r>
          </w:p>
        </w:tc>
      </w:tr>
      <w:tr w14:paraId="4F07F393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B0224E" w14:paraId="74C2701E" w14:textId="269AD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</w:t>
            </w:r>
            <w:r w:rsidRPr="00232D26" w:rsidR="009D3BD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Total annual responses</w:t>
            </w:r>
            <w:r w:rsidRPr="00232D26" w:rsidR="009D3BDA">
              <w:rPr>
                <w:sz w:val="24"/>
                <w:szCs w:val="24"/>
              </w:rPr>
              <w:t xml:space="preserve"> multiplied by cost per </w:t>
            </w:r>
            <w:r>
              <w:rPr>
                <w:sz w:val="24"/>
                <w:szCs w:val="24"/>
              </w:rPr>
              <w:t>response</w:t>
            </w:r>
            <w:r w:rsidRPr="00232D26" w:rsidR="009D3BDA"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9B1B98" w:rsidRPr="00232D26" w:rsidP="00FF1938" w14:paraId="6254171F" w14:textId="1462B233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FF1938">
              <w:rPr>
                <w:sz w:val="24"/>
                <w:szCs w:val="24"/>
              </w:rPr>
              <w:t>980</w:t>
            </w:r>
          </w:p>
        </w:tc>
      </w:tr>
    </w:tbl>
    <w:p w:rsidR="009F2F43" w:rsidRPr="00232D26" w:rsidP="00B0224E" w14:paraId="7F183D25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9F2F43" w:rsidRPr="00232D26" w:rsidP="00F03864" w14:paraId="5FEEA01D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  <w:u w:val="single"/>
        </w:rPr>
        <w:t>Notes</w:t>
      </w:r>
      <w:r w:rsidRPr="00232D26">
        <w:rPr>
          <w:rFonts w:eastAsia="Times New Roman"/>
          <w:sz w:val="24"/>
          <w:szCs w:val="24"/>
        </w:rPr>
        <w:t>:</w:t>
      </w:r>
    </w:p>
    <w:p w:rsidR="009F2F43" w:rsidRPr="00232D26" w:rsidP="00F03864" w14:paraId="6081531F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P="00F03864" w14:paraId="5C5EBD41" w14:textId="295B0C1F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a)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>Per paragraph 12</w:t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a), we estimate that the Government receives approximately </w:t>
      </w:r>
      <w:r w:rsidR="00FF1938">
        <w:rPr>
          <w:rFonts w:eastAsia="Times New Roman"/>
          <w:sz w:val="24"/>
          <w:szCs w:val="24"/>
        </w:rPr>
        <w:t>40</w:t>
      </w:r>
      <w:r w:rsidRPr="00232D26" w:rsidR="00FF1938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contractor </w:t>
      </w:r>
      <w:r w:rsidRPr="00232D26" w:rsidR="009B1B98">
        <w:rPr>
          <w:rFonts w:eastAsia="Times New Roman"/>
          <w:sz w:val="24"/>
          <w:szCs w:val="24"/>
        </w:rPr>
        <w:t>incident reports each year</w:t>
      </w:r>
      <w:r w:rsidRPr="00232D26">
        <w:rPr>
          <w:rFonts w:eastAsia="Times New Roman"/>
          <w:sz w:val="24"/>
          <w:szCs w:val="24"/>
        </w:rPr>
        <w:t>.</w:t>
      </w:r>
    </w:p>
    <w:p w:rsidR="009F2F43" w:rsidRPr="00232D26" w:rsidP="00F03864" w14:paraId="398F3D28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P="00F03864" w14:paraId="4729F981" w14:textId="318CC7F0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323CB3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b)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According to </w:t>
      </w:r>
      <w:r w:rsidRPr="00232D26" w:rsidR="00323CB3">
        <w:rPr>
          <w:rFonts w:eastAsia="Times New Roman"/>
          <w:sz w:val="24"/>
          <w:szCs w:val="24"/>
        </w:rPr>
        <w:t xml:space="preserve">OSD </w:t>
      </w:r>
      <w:r w:rsidRPr="00232D26">
        <w:rPr>
          <w:rFonts w:eastAsia="Times New Roman"/>
          <w:sz w:val="24"/>
          <w:szCs w:val="24"/>
        </w:rPr>
        <w:t>subject matter experts</w:t>
      </w:r>
      <w:r w:rsidRPr="00232D26" w:rsidR="006343CC">
        <w:rPr>
          <w:rFonts w:eastAsia="Times New Roman"/>
          <w:sz w:val="24"/>
          <w:szCs w:val="24"/>
        </w:rPr>
        <w:t xml:space="preserve"> on contractors performing private security functions</w:t>
      </w:r>
      <w:r w:rsidRPr="00232D26">
        <w:rPr>
          <w:rFonts w:eastAsia="Times New Roman"/>
          <w:sz w:val="24"/>
          <w:szCs w:val="24"/>
        </w:rPr>
        <w:t xml:space="preserve">, it takes </w:t>
      </w:r>
      <w:r w:rsidRPr="00232D26" w:rsidR="00323CB3">
        <w:rPr>
          <w:rFonts w:eastAsia="Times New Roman"/>
          <w:sz w:val="24"/>
          <w:szCs w:val="24"/>
        </w:rPr>
        <w:t>approximately</w:t>
      </w:r>
      <w:r w:rsidRPr="00232D26">
        <w:rPr>
          <w:rFonts w:eastAsia="Times New Roman"/>
          <w:sz w:val="24"/>
          <w:szCs w:val="24"/>
        </w:rPr>
        <w:t xml:space="preserve"> 30 minutes for the Government to receive, review, and analyze the information for each incident</w:t>
      </w:r>
      <w:r w:rsidRPr="00232D26" w:rsidR="006343CC">
        <w:rPr>
          <w:rFonts w:eastAsia="Times New Roman"/>
          <w:sz w:val="24"/>
          <w:szCs w:val="24"/>
        </w:rPr>
        <w:t xml:space="preserve"> reported by a contractor</w:t>
      </w:r>
      <w:r w:rsidRPr="00232D26">
        <w:rPr>
          <w:rFonts w:eastAsia="Times New Roman"/>
          <w:sz w:val="24"/>
          <w:szCs w:val="24"/>
        </w:rPr>
        <w:t>.</w:t>
      </w:r>
    </w:p>
    <w:p w:rsidR="009F2F43" w:rsidRPr="00232D26" w:rsidP="00F03864" w14:paraId="305598C4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4475AA" w:rsidP="00F03864" w14:paraId="7E0AA802" w14:textId="2FB333D5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323CB3">
        <w:rPr>
          <w:rFonts w:eastAsia="Times New Roman"/>
          <w:sz w:val="24"/>
          <w:szCs w:val="24"/>
        </w:rPr>
        <w:t>(</w:t>
      </w:r>
      <w:r w:rsidRPr="00232D26" w:rsidR="009F2F43">
        <w:rPr>
          <w:rFonts w:eastAsia="Times New Roman"/>
          <w:sz w:val="24"/>
          <w:szCs w:val="24"/>
        </w:rPr>
        <w:t xml:space="preserve">c)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 w:rsidR="009F2F43">
        <w:rPr>
          <w:rFonts w:eastAsia="Times New Roman"/>
          <w:sz w:val="24"/>
          <w:szCs w:val="24"/>
        </w:rPr>
        <w:t>Based on our assessment, the complexity of the work is equivalent to that of a GS-11</w:t>
      </w:r>
      <w:r w:rsidR="003E0DF6">
        <w:rPr>
          <w:rFonts w:eastAsia="Times New Roman"/>
          <w:sz w:val="24"/>
          <w:szCs w:val="24"/>
        </w:rPr>
        <w:t>, step 5</w:t>
      </w:r>
      <w:r w:rsidRPr="00232D26" w:rsidR="009F2F43">
        <w:rPr>
          <w:rFonts w:eastAsia="Times New Roman"/>
          <w:sz w:val="24"/>
          <w:szCs w:val="24"/>
        </w:rPr>
        <w:t xml:space="preserve">.  </w:t>
      </w:r>
      <w:r w:rsidR="002A3E58">
        <w:rPr>
          <w:rFonts w:eastAsia="Times New Roman"/>
          <w:sz w:val="24"/>
          <w:szCs w:val="24"/>
        </w:rPr>
        <w:t>See the rate calculation in paragraph 12(c) above.</w:t>
      </w:r>
    </w:p>
    <w:p w:rsidR="00EB34AB" w:rsidP="00F03864" w14:paraId="4CBC7730" w14:textId="34590FF2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79DC421E" w14:textId="6AEB455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15. </w:t>
      </w:r>
      <w:r w:rsidRPr="00232D26" w:rsidR="00C07802">
        <w:rPr>
          <w:sz w:val="24"/>
          <w:szCs w:val="24"/>
          <w:u w:val="single"/>
        </w:rPr>
        <w:t>Reason for Changes in Burden</w:t>
      </w:r>
    </w:p>
    <w:p w:rsidR="00B0224E" w:rsidP="00F03864" w14:paraId="7F915347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3E0DF6" w:rsidP="00F03864" w14:paraId="2E35DADB" w14:textId="092D9A94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>
        <w:rPr>
          <w:sz w:val="24"/>
          <w:szCs w:val="24"/>
        </w:rPr>
        <w:t>Due to change in operations in Afghanistan and continued use in other operational areas</w:t>
      </w:r>
      <w:r w:rsidR="00B0224E">
        <w:rPr>
          <w:sz w:val="24"/>
          <w:szCs w:val="24"/>
        </w:rPr>
        <w:t>,</w:t>
      </w:r>
      <w:r>
        <w:rPr>
          <w:sz w:val="24"/>
          <w:szCs w:val="24"/>
        </w:rPr>
        <w:t xml:space="preserve"> the </w:t>
      </w:r>
      <w:r w:rsidR="0060612C">
        <w:rPr>
          <w:sz w:val="24"/>
          <w:szCs w:val="24"/>
        </w:rPr>
        <w:t xml:space="preserve">estimated </w:t>
      </w:r>
      <w:r>
        <w:rPr>
          <w:sz w:val="24"/>
          <w:szCs w:val="24"/>
        </w:rPr>
        <w:t>number of incidents (responses) per year have reduced from</w:t>
      </w:r>
      <w:r w:rsidR="0060612C">
        <w:rPr>
          <w:sz w:val="24"/>
          <w:szCs w:val="24"/>
        </w:rPr>
        <w:t xml:space="preserve"> 48 to 40 and the number of respondents from</w:t>
      </w:r>
      <w:r>
        <w:rPr>
          <w:sz w:val="24"/>
          <w:szCs w:val="24"/>
        </w:rPr>
        <w:t xml:space="preserve"> 12 to </w:t>
      </w:r>
      <w:r w:rsidR="00FD0AB8">
        <w:rPr>
          <w:sz w:val="24"/>
          <w:szCs w:val="24"/>
        </w:rPr>
        <w:t>10</w:t>
      </w:r>
      <w:r>
        <w:rPr>
          <w:sz w:val="24"/>
          <w:szCs w:val="24"/>
        </w:rPr>
        <w:t xml:space="preserve">.  This reduced the estimated hours from 24 to </w:t>
      </w:r>
      <w:r w:rsidR="00FD0AB8">
        <w:rPr>
          <w:sz w:val="24"/>
          <w:szCs w:val="24"/>
        </w:rPr>
        <w:t>20</w:t>
      </w:r>
      <w:r>
        <w:rPr>
          <w:sz w:val="24"/>
          <w:szCs w:val="24"/>
        </w:rPr>
        <w:t xml:space="preserve">.  </w:t>
      </w:r>
      <w:r w:rsidR="00B0224E">
        <w:rPr>
          <w:sz w:val="24"/>
          <w:szCs w:val="24"/>
        </w:rPr>
        <w:t xml:space="preserve">Using </w:t>
      </w:r>
      <w:r>
        <w:rPr>
          <w:sz w:val="24"/>
          <w:szCs w:val="24"/>
        </w:rPr>
        <w:t xml:space="preserve">the current 2022 labor rate </w:t>
      </w:r>
      <w:r w:rsidR="00242109">
        <w:rPr>
          <w:sz w:val="24"/>
          <w:szCs w:val="24"/>
        </w:rPr>
        <w:t xml:space="preserve">of $49, </w:t>
      </w:r>
      <w:r>
        <w:rPr>
          <w:sz w:val="24"/>
          <w:szCs w:val="24"/>
        </w:rPr>
        <w:t xml:space="preserve">the public and </w:t>
      </w:r>
      <w:r w:rsidR="00B0224E">
        <w:rPr>
          <w:sz w:val="24"/>
          <w:szCs w:val="24"/>
        </w:rPr>
        <w:t>G</w:t>
      </w:r>
      <w:r>
        <w:rPr>
          <w:sz w:val="24"/>
          <w:szCs w:val="24"/>
        </w:rPr>
        <w:t>overnment burden ha</w:t>
      </w:r>
      <w:r w:rsidR="00242109">
        <w:rPr>
          <w:sz w:val="24"/>
          <w:szCs w:val="24"/>
        </w:rPr>
        <w:t>ve</w:t>
      </w:r>
      <w:r>
        <w:rPr>
          <w:sz w:val="24"/>
          <w:szCs w:val="24"/>
        </w:rPr>
        <w:t xml:space="preserve"> reduced from $1,080 to $</w:t>
      </w:r>
      <w:r w:rsidR="0060612C">
        <w:rPr>
          <w:sz w:val="24"/>
          <w:szCs w:val="24"/>
        </w:rPr>
        <w:t>980</w:t>
      </w:r>
      <w:r>
        <w:rPr>
          <w:sz w:val="24"/>
          <w:szCs w:val="24"/>
        </w:rPr>
        <w:t>.</w:t>
      </w:r>
    </w:p>
    <w:p w:rsidR="00FD0AB8" w:rsidRPr="00232D26" w:rsidP="00F03864" w14:paraId="0D026934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tbl>
      <w:tblPr>
        <w:tblW w:w="9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0"/>
        <w:gridCol w:w="2002"/>
        <w:gridCol w:w="2001"/>
        <w:gridCol w:w="2005"/>
      </w:tblGrid>
      <w:tr w14:paraId="621E23AA" w14:textId="77777777" w:rsidTr="001E2158">
        <w:tblPrEx>
          <w:tblW w:w="947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2D3EEEE2" w14:textId="1F8354FF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Change in Burden</w:t>
            </w:r>
            <w:r w:rsidR="00A44F64">
              <w:rPr>
                <w:sz w:val="24"/>
                <w:szCs w:val="24"/>
              </w:rPr>
              <w:t xml:space="preserve">  0704-0549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625F2001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2019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765BA046" w14:textId="649CA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34209C6F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Difference</w:t>
            </w:r>
          </w:p>
        </w:tc>
      </w:tr>
      <w:tr w14:paraId="575A4D80" w14:textId="77777777" w:rsidTr="001E2158">
        <w:tblPrEx>
          <w:tblW w:w="9478" w:type="dxa"/>
          <w:tblInd w:w="108" w:type="dxa"/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394B2CB1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Number of respondents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13FE466A" w14:textId="121FA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1CE00842" w14:textId="743B9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59A984D9" w14:textId="1F1A0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</w:tr>
      <w:tr w14:paraId="6A0BA5A3" w14:textId="77777777" w:rsidTr="001E2158">
        <w:tblPrEx>
          <w:tblW w:w="9478" w:type="dxa"/>
          <w:tblInd w:w="108" w:type="dxa"/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3E5C0B15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annual responses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6C21E776" w14:textId="7C3F1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6BB99AF7" w14:textId="2CB2C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4A7AF4BC" w14:textId="63B28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</w:tr>
      <w:tr w14:paraId="29EC7D06" w14:textId="77777777" w:rsidTr="00A44F64">
        <w:tblPrEx>
          <w:tblW w:w="9478" w:type="dxa"/>
          <w:tblInd w:w="108" w:type="dxa"/>
          <w:tblLook w:val="04A0"/>
        </w:tblPrEx>
        <w:trPr>
          <w:trHeight w:val="386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5BDE5A25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Hours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7C3527E9" w14:textId="1B9B3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1E491A1F" w14:textId="5744A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757BD021" w14:textId="55711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  <w:tr w14:paraId="3178F258" w14:textId="77777777" w:rsidTr="00A44F64">
        <w:tblPrEx>
          <w:tblW w:w="9478" w:type="dxa"/>
          <w:tblInd w:w="108" w:type="dxa"/>
          <w:tblLook w:val="04A0"/>
        </w:tblPrEx>
        <w:trPr>
          <w:trHeight w:val="386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70850C8B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Cost per hour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60612C" w14:paraId="3B3F27A2" w14:textId="5CF5CCA2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 w:rsidR="0060612C">
              <w:rPr>
                <w:sz w:val="24"/>
                <w:szCs w:val="24"/>
              </w:rPr>
              <w:t>45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00E04480" w14:textId="26B95268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4</w:t>
            </w:r>
            <w:r w:rsidRPr="00FD0AB8">
              <w:rPr>
                <w:sz w:val="24"/>
                <w:szCs w:val="24"/>
              </w:rPr>
              <w:t>9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60612C" w14:paraId="36B0A364" w14:textId="0193BE59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+$</w:t>
            </w:r>
            <w:r w:rsidR="0060612C">
              <w:rPr>
                <w:sz w:val="24"/>
                <w:szCs w:val="24"/>
              </w:rPr>
              <w:t>4</w:t>
            </w:r>
          </w:p>
        </w:tc>
      </w:tr>
      <w:tr w14:paraId="2571F7C2" w14:textId="77777777" w:rsidTr="00A44F64">
        <w:tblPrEx>
          <w:tblW w:w="9478" w:type="dxa"/>
          <w:tblInd w:w="108" w:type="dxa"/>
          <w:tblLook w:val="04A0"/>
        </w:tblPrEx>
        <w:trPr>
          <w:trHeight w:val="395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07F5F60F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Cost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01ED59FF" w14:textId="4785ECDB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1,080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09A23620" w14:textId="519D2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$980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2F031CBB" w14:textId="365C0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-$100</w:t>
            </w:r>
          </w:p>
        </w:tc>
      </w:tr>
    </w:tbl>
    <w:p w:rsidR="00A44F64" w:rsidP="004475AA" w14:paraId="43CE98EB" w14:textId="358FC5D5">
      <w:pPr>
        <w:tabs>
          <w:tab w:val="left" w:pos="360"/>
        </w:tabs>
        <w:rPr>
          <w:sz w:val="24"/>
          <w:szCs w:val="24"/>
        </w:rPr>
      </w:pPr>
    </w:p>
    <w:p w:rsidR="004475AA" w:rsidRPr="00232D26" w:rsidP="00F03864" w14:paraId="130F1F43" w14:textId="60B4F34D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16. </w:t>
      </w:r>
      <w:r w:rsidRPr="00232D26" w:rsidR="00EE14EB">
        <w:rPr>
          <w:sz w:val="24"/>
          <w:szCs w:val="24"/>
          <w:u w:val="single"/>
        </w:rPr>
        <w:t>Publication</w:t>
      </w:r>
      <w:r w:rsidRPr="00232D26">
        <w:rPr>
          <w:sz w:val="24"/>
          <w:szCs w:val="24"/>
          <w:u w:val="single"/>
        </w:rPr>
        <w:t xml:space="preserve"> of Results</w:t>
      </w:r>
    </w:p>
    <w:p w:rsidR="00B0224E" w:rsidP="00F03864" w14:paraId="1D646499" w14:textId="77777777">
      <w:pPr>
        <w:spacing w:after="0" w:line="240" w:lineRule="auto"/>
        <w:rPr>
          <w:sz w:val="24"/>
          <w:szCs w:val="24"/>
        </w:rPr>
      </w:pPr>
    </w:p>
    <w:p w:rsidR="00E225B6" w:rsidRPr="00232D26" w:rsidP="00F03864" w14:paraId="462F113A" w14:textId="057AF290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>Results of this collection will not be published.</w:t>
      </w:r>
    </w:p>
    <w:p w:rsidR="00B0224E" w:rsidP="00F03864" w14:paraId="46167AE3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16B4A747" w14:textId="25D62FD6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17. </w:t>
      </w:r>
      <w:r w:rsidRPr="00232D26">
        <w:rPr>
          <w:sz w:val="24"/>
          <w:szCs w:val="24"/>
          <w:u w:val="single"/>
        </w:rPr>
        <w:t>Non-Display of OMB E</w:t>
      </w:r>
      <w:r w:rsidRPr="00232D26" w:rsidR="00EE14EB">
        <w:rPr>
          <w:sz w:val="24"/>
          <w:szCs w:val="24"/>
          <w:u w:val="single"/>
        </w:rPr>
        <w:t>xpiration Date</w:t>
      </w:r>
    </w:p>
    <w:p w:rsidR="00B0224E" w:rsidP="00F03864" w14:paraId="79D8415D" w14:textId="77777777">
      <w:pPr>
        <w:spacing w:after="0" w:line="240" w:lineRule="auto"/>
        <w:rPr>
          <w:sz w:val="24"/>
          <w:szCs w:val="24"/>
        </w:rPr>
      </w:pPr>
    </w:p>
    <w:p w:rsidR="00E225B6" w:rsidRPr="00232D26" w:rsidP="00F03864" w14:paraId="2B821407" w14:textId="384CEAC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DoD does not seek approval to not </w:t>
      </w:r>
      <w:r w:rsidRPr="00232D26" w:rsidR="00EE14EB">
        <w:rPr>
          <w:sz w:val="24"/>
          <w:szCs w:val="24"/>
        </w:rPr>
        <w:t>display of the expiration date for OMB approval of the information collection</w:t>
      </w:r>
      <w:r w:rsidRPr="00232D26">
        <w:rPr>
          <w:sz w:val="24"/>
          <w:szCs w:val="24"/>
        </w:rPr>
        <w:t>.</w:t>
      </w:r>
    </w:p>
    <w:p w:rsidR="00B0224E" w:rsidP="00F03864" w14:paraId="273CC0A6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38472417" w14:textId="2515CE2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18. </w:t>
      </w:r>
      <w:r w:rsidRPr="00232D26">
        <w:rPr>
          <w:sz w:val="24"/>
          <w:szCs w:val="24"/>
          <w:u w:val="single"/>
        </w:rPr>
        <w:t>Exceptions to “</w:t>
      </w:r>
      <w:r w:rsidRPr="00232D26" w:rsidR="00C07802">
        <w:rPr>
          <w:sz w:val="24"/>
          <w:szCs w:val="24"/>
          <w:u w:val="single"/>
        </w:rPr>
        <w:t>C</w:t>
      </w:r>
      <w:r w:rsidRPr="00232D26" w:rsidR="00E225B6">
        <w:rPr>
          <w:sz w:val="24"/>
          <w:szCs w:val="24"/>
          <w:u w:val="single"/>
        </w:rPr>
        <w:t>ertification</w:t>
      </w:r>
      <w:r w:rsidRPr="00232D26">
        <w:rPr>
          <w:sz w:val="24"/>
          <w:szCs w:val="24"/>
          <w:u w:val="single"/>
        </w:rPr>
        <w:t xml:space="preserve"> for Paperwork Reduction Submissions”</w:t>
      </w:r>
    </w:p>
    <w:p w:rsidR="00B0224E" w:rsidP="00F03864" w14:paraId="33EDB756" w14:textId="77777777">
      <w:pPr>
        <w:spacing w:after="0" w:line="240" w:lineRule="auto"/>
        <w:rPr>
          <w:sz w:val="24"/>
          <w:szCs w:val="24"/>
        </w:rPr>
      </w:pPr>
    </w:p>
    <w:p w:rsidR="00A44F64" w:rsidRPr="004F6E81" w:rsidP="00F03864" w14:paraId="73947BBC" w14:textId="4F9AAA7F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E14EB">
        <w:rPr>
          <w:sz w:val="24"/>
          <w:szCs w:val="24"/>
        </w:rPr>
        <w:t>There are no exceptions to the certification accompanying this Paperwork Reduction Act submission</w:t>
      </w:r>
      <w:r w:rsidRPr="00232D26" w:rsidR="00E225B6">
        <w:rPr>
          <w:sz w:val="24"/>
          <w:szCs w:val="24"/>
        </w:rPr>
        <w:t>.</w:t>
      </w:r>
    </w:p>
    <w:sectPr w:rsidSect="00664CE7">
      <w:footerReference w:type="default" r:id="rId8"/>
      <w:pgSz w:w="12240" w:h="15840"/>
      <w:pgMar w:top="1440" w:right="1440" w:bottom="1440" w:left="1440" w:header="720" w:footer="30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187985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rFonts w:ascii="Courier New" w:hAnsi="Courier New" w:cs="Courier New"/>
          </w:rPr>
          <w:id w:val="-1669238322"/>
          <w:docPartObj>
            <w:docPartGallery w:val="Page Numbers (Top of Page)"/>
            <w:docPartUnique/>
          </w:docPartObj>
        </w:sdtPr>
        <w:sdtContent>
          <w:p w:rsidR="00446EDD" w:rsidRPr="00E77571" w:rsidP="00232D26" w14:paraId="716D99ED" w14:textId="2FD4FFB2">
            <w:pPr>
              <w:pStyle w:val="Footer"/>
              <w:jc w:val="center"/>
              <w:rPr>
                <w:rFonts w:ascii="Courier New" w:hAnsi="Courier New" w:cs="Courier New"/>
              </w:rPr>
            </w:pPr>
            <w:r w:rsidRPr="004475AA">
              <w:rPr>
                <w:bCs/>
                <w:sz w:val="24"/>
                <w:szCs w:val="24"/>
              </w:rPr>
              <w:fldChar w:fldCharType="begin"/>
            </w:r>
            <w:r w:rsidRPr="004475AA">
              <w:rPr>
                <w:bCs/>
              </w:rPr>
              <w:instrText xml:space="preserve"> PAGE </w:instrText>
            </w:r>
            <w:r w:rsidRPr="004475AA">
              <w:rPr>
                <w:bCs/>
                <w:sz w:val="24"/>
                <w:szCs w:val="24"/>
              </w:rPr>
              <w:fldChar w:fldCharType="separate"/>
            </w:r>
            <w:r w:rsidR="000A6098">
              <w:rPr>
                <w:bCs/>
                <w:noProof/>
              </w:rPr>
              <w:t>3</w:t>
            </w:r>
            <w:r w:rsidRPr="004475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7571" w14:paraId="14B715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F5846" w:rsidP="00214DBC" w14:paraId="2D72B796" w14:textId="77777777">
      <w:pPr>
        <w:spacing w:after="0" w:line="240" w:lineRule="auto"/>
      </w:pPr>
      <w:r>
        <w:separator/>
      </w:r>
    </w:p>
  </w:footnote>
  <w:footnote w:type="continuationSeparator" w:id="1">
    <w:p w:rsidR="008F5846" w:rsidP="00214DBC" w14:paraId="1C159E43" w14:textId="77777777">
      <w:pPr>
        <w:spacing w:after="0" w:line="240" w:lineRule="auto"/>
      </w:pPr>
      <w:r>
        <w:continuationSeparator/>
      </w:r>
    </w:p>
  </w:footnote>
  <w:footnote w:id="2">
    <w:p w:rsidR="0005160D" w:rsidRPr="0003622F" w:rsidP="00E77571" w14:paraId="168BE2AC" w14:textId="77777777">
      <w:pPr>
        <w:pStyle w:val="FootnoteText"/>
        <w:spacing w:after="120"/>
        <w:rPr>
          <w:rFonts w:ascii="Times New Roman" w:hAnsi="Times New Roman"/>
        </w:rPr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Section 862 of FY 2008 NDAA was amended by sections 853 of the FY 2009 NDAA, 813(b) of the FY 2010 NDAA, and 832 of the FY 2011 NDAA.</w:t>
      </w:r>
    </w:p>
  </w:footnote>
  <w:footnote w:id="3">
    <w:p w:rsidR="0005160D" w14:paraId="0F838ECB" w14:textId="77777777">
      <w:pPr>
        <w:pStyle w:val="FootnoteText"/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See paragraph (a)(1)(v) of 32 CFR 159.6 and paragraph 1.a.(5) of Enclosure 3 of DoDI 3020.50.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865C2"/>
    <w:multiLevelType w:val="hybridMultilevel"/>
    <w:tmpl w:val="9E86EA5A"/>
    <w:lvl w:ilvl="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01DF"/>
    <w:multiLevelType w:val="singleLevel"/>
    <w:tmpl w:val="E4BCA1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66562B02"/>
    <w:multiLevelType w:val="singleLevel"/>
    <w:tmpl w:val="6CC42EE2"/>
    <w:lvl w:ilvl="0">
      <w:start w:val="1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>
    <w:nsid w:val="6F9C04D1"/>
    <w:multiLevelType w:val="hybridMultilevel"/>
    <w:tmpl w:val="D736C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F8"/>
    <w:rsid w:val="0000414A"/>
    <w:rsid w:val="0003622F"/>
    <w:rsid w:val="000438B2"/>
    <w:rsid w:val="0005160D"/>
    <w:rsid w:val="00052100"/>
    <w:rsid w:val="00052CC1"/>
    <w:rsid w:val="00060D47"/>
    <w:rsid w:val="00086E02"/>
    <w:rsid w:val="00090E11"/>
    <w:rsid w:val="000A1193"/>
    <w:rsid w:val="000A6098"/>
    <w:rsid w:val="000B51B3"/>
    <w:rsid w:val="000D2DA3"/>
    <w:rsid w:val="001324D8"/>
    <w:rsid w:val="001510C1"/>
    <w:rsid w:val="00174FE0"/>
    <w:rsid w:val="001848D7"/>
    <w:rsid w:val="00195983"/>
    <w:rsid w:val="002055AB"/>
    <w:rsid w:val="00207F7E"/>
    <w:rsid w:val="00214DBC"/>
    <w:rsid w:val="00216418"/>
    <w:rsid w:val="002260C2"/>
    <w:rsid w:val="00226960"/>
    <w:rsid w:val="00232D26"/>
    <w:rsid w:val="00242109"/>
    <w:rsid w:val="00244EB6"/>
    <w:rsid w:val="002671EA"/>
    <w:rsid w:val="002707E5"/>
    <w:rsid w:val="002A3E58"/>
    <w:rsid w:val="002B0FD4"/>
    <w:rsid w:val="002E4854"/>
    <w:rsid w:val="002F58BC"/>
    <w:rsid w:val="00312FF6"/>
    <w:rsid w:val="00323CB3"/>
    <w:rsid w:val="00341439"/>
    <w:rsid w:val="00341A4D"/>
    <w:rsid w:val="00365EAE"/>
    <w:rsid w:val="00392BE8"/>
    <w:rsid w:val="003D7300"/>
    <w:rsid w:val="003E0DF6"/>
    <w:rsid w:val="004221FE"/>
    <w:rsid w:val="00446EDD"/>
    <w:rsid w:val="004475AA"/>
    <w:rsid w:val="00481410"/>
    <w:rsid w:val="00493D4A"/>
    <w:rsid w:val="004B07A7"/>
    <w:rsid w:val="004B426C"/>
    <w:rsid w:val="004C58BF"/>
    <w:rsid w:val="004F6CE0"/>
    <w:rsid w:val="004F6E81"/>
    <w:rsid w:val="00542EEC"/>
    <w:rsid w:val="0056071E"/>
    <w:rsid w:val="00563E97"/>
    <w:rsid w:val="005716B3"/>
    <w:rsid w:val="005A6D24"/>
    <w:rsid w:val="005C3FC6"/>
    <w:rsid w:val="005F02C2"/>
    <w:rsid w:val="005F60D3"/>
    <w:rsid w:val="0060612C"/>
    <w:rsid w:val="006232A5"/>
    <w:rsid w:val="006343CC"/>
    <w:rsid w:val="00653625"/>
    <w:rsid w:val="00664CE7"/>
    <w:rsid w:val="00692E22"/>
    <w:rsid w:val="006E1575"/>
    <w:rsid w:val="007038AB"/>
    <w:rsid w:val="00746E4A"/>
    <w:rsid w:val="00751914"/>
    <w:rsid w:val="00751CE5"/>
    <w:rsid w:val="00757722"/>
    <w:rsid w:val="007829A6"/>
    <w:rsid w:val="0078442D"/>
    <w:rsid w:val="007936EF"/>
    <w:rsid w:val="007F04A0"/>
    <w:rsid w:val="008322B0"/>
    <w:rsid w:val="008847EF"/>
    <w:rsid w:val="008C5D0B"/>
    <w:rsid w:val="008F11A7"/>
    <w:rsid w:val="008F5846"/>
    <w:rsid w:val="00902837"/>
    <w:rsid w:val="0091347B"/>
    <w:rsid w:val="00943228"/>
    <w:rsid w:val="0095174E"/>
    <w:rsid w:val="009609B3"/>
    <w:rsid w:val="00963E33"/>
    <w:rsid w:val="00997D86"/>
    <w:rsid w:val="009B1B98"/>
    <w:rsid w:val="009D3BDA"/>
    <w:rsid w:val="009E0560"/>
    <w:rsid w:val="009F2F43"/>
    <w:rsid w:val="00A32746"/>
    <w:rsid w:val="00A44F64"/>
    <w:rsid w:val="00A64E2F"/>
    <w:rsid w:val="00A67284"/>
    <w:rsid w:val="00AA46A7"/>
    <w:rsid w:val="00AE1A9D"/>
    <w:rsid w:val="00B01920"/>
    <w:rsid w:val="00B0224E"/>
    <w:rsid w:val="00B0258C"/>
    <w:rsid w:val="00B20905"/>
    <w:rsid w:val="00B43B0F"/>
    <w:rsid w:val="00B8390D"/>
    <w:rsid w:val="00B92E0E"/>
    <w:rsid w:val="00BC55EF"/>
    <w:rsid w:val="00BD123D"/>
    <w:rsid w:val="00BD16F7"/>
    <w:rsid w:val="00C07802"/>
    <w:rsid w:val="00C213EC"/>
    <w:rsid w:val="00C62BBC"/>
    <w:rsid w:val="00C73E32"/>
    <w:rsid w:val="00C769F0"/>
    <w:rsid w:val="00C900CF"/>
    <w:rsid w:val="00CC07BA"/>
    <w:rsid w:val="00CC5923"/>
    <w:rsid w:val="00CF4A82"/>
    <w:rsid w:val="00D04AA9"/>
    <w:rsid w:val="00D46F6D"/>
    <w:rsid w:val="00DC7673"/>
    <w:rsid w:val="00E04FE9"/>
    <w:rsid w:val="00E225B6"/>
    <w:rsid w:val="00E25B8F"/>
    <w:rsid w:val="00E473E3"/>
    <w:rsid w:val="00E666AA"/>
    <w:rsid w:val="00E76DA1"/>
    <w:rsid w:val="00E77571"/>
    <w:rsid w:val="00EA1F4A"/>
    <w:rsid w:val="00EA47DF"/>
    <w:rsid w:val="00EB34AB"/>
    <w:rsid w:val="00EE14EB"/>
    <w:rsid w:val="00EF2825"/>
    <w:rsid w:val="00F03864"/>
    <w:rsid w:val="00F17FF8"/>
    <w:rsid w:val="00F32615"/>
    <w:rsid w:val="00F40599"/>
    <w:rsid w:val="00F44877"/>
    <w:rsid w:val="00F72764"/>
    <w:rsid w:val="00F83871"/>
    <w:rsid w:val="00FB32A2"/>
    <w:rsid w:val="00FB3373"/>
    <w:rsid w:val="00FB7155"/>
    <w:rsid w:val="00FD0AB8"/>
    <w:rsid w:val="00FE286F"/>
    <w:rsid w:val="00FF19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87B16B"/>
  <w15:docId w15:val="{A35C154C-B72B-48B7-B651-ECA7B4A8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2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8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60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federalregister.gov/documents/2022/06/22/2022-13353/information-collection-requirements-defense-federal-acquisition-regulation-supplement-contractors" TargetMode="External" /><Relationship Id="rId7" Type="http://schemas.openxmlformats.org/officeDocument/2006/relationships/hyperlink" Target="https://www.govinfo.gov/content/pkg/FR-2022-09-07/pdf/2022-19285.pdf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2999F-131F-4D5B-B397-752F577A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OSD-CIO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murphymk</dc:creator>
  <cp:lastModifiedBy>Johnson, Jennifer D CIV OSD OUSD A-S (USA)</cp:lastModifiedBy>
  <cp:revision>2</cp:revision>
  <cp:lastPrinted>2019-08-26T19:06:00Z</cp:lastPrinted>
  <dcterms:created xsi:type="dcterms:W3CDTF">2022-09-07T13:10:00Z</dcterms:created>
  <dcterms:modified xsi:type="dcterms:W3CDTF">2022-09-07T13:10:00Z</dcterms:modified>
</cp:coreProperties>
</file>