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63C6" w:rsidP="00507969" w:rsidRDefault="00F563C6" w14:paraId="6544EB8F" w14:textId="77777777">
      <w:pPr>
        <w:jc w:val="center"/>
        <w:rPr>
          <w:b/>
          <w:color w:val="000000"/>
        </w:rPr>
      </w:pPr>
    </w:p>
    <w:p w:rsidRPr="00094A4D" w:rsidR="00FB7637" w:rsidP="00507969" w:rsidRDefault="00094A4D" w14:paraId="7EC6E043" w14:textId="6171C950">
      <w:pPr>
        <w:jc w:val="center"/>
        <w:rPr>
          <w:b/>
          <w:color w:val="000000"/>
        </w:rPr>
      </w:pPr>
      <w:r w:rsidRPr="00094A4D">
        <w:rPr>
          <w:b/>
          <w:color w:val="000000"/>
        </w:rPr>
        <w:t>ENVIRONMENTAL IMPACT CONSIDERATIONS</w:t>
      </w:r>
    </w:p>
    <w:p w:rsidR="00413124" w:rsidP="00507969" w:rsidRDefault="00D0521B" w14:paraId="2B0F155C" w14:textId="77777777">
      <w:pPr>
        <w:jc w:val="center"/>
        <w:rPr>
          <w:bCs/>
          <w:color w:val="000000"/>
        </w:rPr>
      </w:pPr>
      <w:r w:rsidRPr="00B82C30">
        <w:rPr>
          <w:bCs/>
          <w:color w:val="000000"/>
        </w:rPr>
        <w:t xml:space="preserve"> </w:t>
      </w:r>
    </w:p>
    <w:p w:rsidR="00B23769" w:rsidP="00507969" w:rsidRDefault="00D0521B" w14:paraId="2E9669DF" w14:textId="59FBC706">
      <w:pPr>
        <w:jc w:val="center"/>
        <w:rPr>
          <w:bCs/>
          <w:color w:val="000000"/>
        </w:rPr>
      </w:pPr>
      <w:r w:rsidRPr="00B82C30">
        <w:rPr>
          <w:bCs/>
          <w:color w:val="000000"/>
        </w:rPr>
        <w:t>21 CFR Part 25</w:t>
      </w:r>
    </w:p>
    <w:p w:rsidRPr="00B82C30" w:rsidR="00B82C30" w:rsidP="00507969" w:rsidRDefault="00B82C30" w14:paraId="2224FC6A" w14:textId="77777777">
      <w:pPr>
        <w:jc w:val="center"/>
        <w:rPr>
          <w:bCs/>
          <w:color w:val="000000"/>
        </w:rPr>
      </w:pPr>
    </w:p>
    <w:p w:rsidRPr="00413124" w:rsidR="00EC7077" w:rsidP="00507969" w:rsidRDefault="0009252F" w14:paraId="1BC07824" w14:textId="065696C2">
      <w:pPr>
        <w:jc w:val="center"/>
        <w:rPr>
          <w:bCs/>
          <w:color w:val="000000"/>
        </w:rPr>
      </w:pPr>
      <w:r w:rsidRPr="00094A4D">
        <w:rPr>
          <w:bCs/>
          <w:color w:val="000000"/>
          <w:u w:val="single"/>
        </w:rPr>
        <w:t xml:space="preserve">OMB Control No. </w:t>
      </w:r>
      <w:r w:rsidRPr="00094A4D" w:rsidR="00EB7538">
        <w:rPr>
          <w:bCs/>
          <w:color w:val="000000"/>
          <w:u w:val="single"/>
        </w:rPr>
        <w:t>0910-</w:t>
      </w:r>
      <w:r w:rsidRPr="00094A4D" w:rsidR="00D0521B">
        <w:rPr>
          <w:bCs/>
          <w:color w:val="000000"/>
          <w:u w:val="single"/>
        </w:rPr>
        <w:t>0322</w:t>
      </w:r>
      <w:r w:rsidR="00094A4D">
        <w:rPr>
          <w:bCs/>
          <w:color w:val="000000"/>
        </w:rPr>
        <w:t xml:space="preserve"> – Revision</w:t>
      </w:r>
    </w:p>
    <w:p w:rsidR="00EC7077" w:rsidP="00507969" w:rsidRDefault="00EC7077" w14:paraId="7CF108FA" w14:textId="77777777">
      <w:pPr>
        <w:rPr>
          <w:bCs/>
          <w:color w:val="000000"/>
        </w:rPr>
      </w:pPr>
    </w:p>
    <w:p w:rsidR="009672FD" w:rsidP="009672FD" w:rsidRDefault="00EB7538" w14:paraId="54625173" w14:textId="10384B2E">
      <w:pPr>
        <w:jc w:val="center"/>
        <w:rPr>
          <w:bCs/>
          <w:color w:val="000000"/>
        </w:rPr>
      </w:pPr>
      <w:r w:rsidRPr="00EC7077">
        <w:rPr>
          <w:bCs/>
          <w:color w:val="000000"/>
        </w:rPr>
        <w:t>SUPPORTING STATEMENT</w:t>
      </w:r>
    </w:p>
    <w:p w:rsidR="009672FD" w:rsidP="00507969" w:rsidRDefault="009672FD" w14:paraId="330C0F1D" w14:textId="77777777">
      <w:pPr>
        <w:rPr>
          <w:bCs/>
          <w:color w:val="000000"/>
        </w:rPr>
      </w:pPr>
    </w:p>
    <w:p w:rsidR="00413124" w:rsidP="00507969" w:rsidRDefault="00EC7077" w14:paraId="7E2D4F9C" w14:textId="5ADB8862">
      <w:pPr>
        <w:rPr>
          <w:bCs/>
          <w:color w:val="000000"/>
        </w:rPr>
      </w:pPr>
      <w:r>
        <w:rPr>
          <w:b/>
          <w:color w:val="000000"/>
        </w:rPr>
        <w:t>Part A:  Justification</w:t>
      </w:r>
    </w:p>
    <w:p w:rsidRPr="00EC7077" w:rsidR="00EB7538" w:rsidP="00507969" w:rsidRDefault="00EC7077" w14:paraId="4AD7D9BC" w14:textId="42E24992">
      <w:pPr>
        <w:rPr>
          <w:b/>
          <w:color w:val="000000"/>
        </w:rPr>
      </w:pPr>
      <w:r>
        <w:rPr>
          <w:b/>
          <w:color w:val="000000"/>
        </w:rPr>
        <w:t xml:space="preserve"> </w:t>
      </w:r>
    </w:p>
    <w:p w:rsidRPr="00290E45" w:rsidR="008B30AB" w:rsidP="00507969" w:rsidRDefault="00EB7538" w14:paraId="4A5D243E" w14:textId="77777777">
      <w:pPr>
        <w:numPr>
          <w:ilvl w:val="0"/>
          <w:numId w:val="1"/>
        </w:numPr>
        <w:tabs>
          <w:tab w:val="clear" w:pos="720"/>
        </w:tabs>
        <w:ind w:left="0"/>
        <w:rPr>
          <w:color w:val="000000"/>
          <w:u w:val="single"/>
        </w:rPr>
      </w:pPr>
      <w:r w:rsidRPr="00290E45">
        <w:rPr>
          <w:color w:val="000000"/>
          <w:u w:val="single"/>
        </w:rPr>
        <w:t>Circumstances Making the Collection of Information Necessary</w:t>
      </w:r>
    </w:p>
    <w:p w:rsidR="00413124" w:rsidP="00507969" w:rsidRDefault="00413124" w14:paraId="5326AE93" w14:textId="77777777">
      <w:pPr>
        <w:rPr>
          <w:color w:val="000000"/>
        </w:rPr>
      </w:pPr>
    </w:p>
    <w:p w:rsidR="007F5E39" w:rsidP="00507969" w:rsidRDefault="00543AEF" w14:paraId="5912166F" w14:textId="6449274E">
      <w:pPr>
        <w:rPr>
          <w:color w:val="000000"/>
        </w:rPr>
      </w:pPr>
      <w:r>
        <w:rPr>
          <w:color w:val="000000"/>
        </w:rPr>
        <w:t xml:space="preserve">This information </w:t>
      </w:r>
      <w:r w:rsidR="00C13CB9">
        <w:rPr>
          <w:color w:val="000000"/>
        </w:rPr>
        <w:t>collection supports Food and Drug Administration (</w:t>
      </w:r>
      <w:r w:rsidRPr="00290E45" w:rsidR="00D0521B">
        <w:rPr>
          <w:color w:val="000000"/>
        </w:rPr>
        <w:t>FDA</w:t>
      </w:r>
      <w:r w:rsidR="00C13CB9">
        <w:rPr>
          <w:color w:val="000000"/>
        </w:rPr>
        <w:t>, us or we) regulation</w:t>
      </w:r>
      <w:r w:rsidR="000E1A29">
        <w:rPr>
          <w:color w:val="000000"/>
        </w:rPr>
        <w:t>s</w:t>
      </w:r>
      <w:r w:rsidR="00CB599A">
        <w:rPr>
          <w:color w:val="000000"/>
        </w:rPr>
        <w:t xml:space="preserve"> </w:t>
      </w:r>
      <w:r w:rsidR="0049474E">
        <w:rPr>
          <w:color w:val="000000"/>
        </w:rPr>
        <w:t xml:space="preserve">that </w:t>
      </w:r>
      <w:r w:rsidRPr="009E6C9F" w:rsidR="00ED415A">
        <w:t xml:space="preserve">implement section 102(2) of </w:t>
      </w:r>
      <w:r w:rsidR="00FA2BB7">
        <w:t>t</w:t>
      </w:r>
      <w:r w:rsidRPr="00FA2BB7" w:rsidR="00FA2BB7">
        <w:t>he National Environmental Policy Act of 1969 (NEPA)</w:t>
      </w:r>
      <w:r w:rsidR="00C426A3">
        <w:t xml:space="preserve">.  </w:t>
      </w:r>
      <w:r w:rsidRPr="007A7179" w:rsidR="007A7179">
        <w:t>Regulations in part 25 (21 CFR part 25)</w:t>
      </w:r>
      <w:r w:rsidR="00251CF5">
        <w:t xml:space="preserve">, </w:t>
      </w:r>
      <w:r w:rsidRPr="00251CF5" w:rsidR="00251CF5">
        <w:rPr>
          <w:i/>
          <w:iCs/>
        </w:rPr>
        <w:t>Environmental Impact Considerations</w:t>
      </w:r>
      <w:r w:rsidR="00251CF5">
        <w:t>,</w:t>
      </w:r>
      <w:r w:rsidRPr="007A7179" w:rsidR="007A7179">
        <w:t xml:space="preserve"> set forth FDA procedures with regard to NEPA requirements (part 25, subpart A); identify actions that require the preparation of an E</w:t>
      </w:r>
      <w:r w:rsidR="007E7B4A">
        <w:t>nvironmental Assessment (E</w:t>
      </w:r>
      <w:r w:rsidRPr="007A7179" w:rsidR="007A7179">
        <w:t>A</w:t>
      </w:r>
      <w:r w:rsidR="007E7B4A">
        <w:t>)</w:t>
      </w:r>
      <w:r w:rsidRPr="007A7179" w:rsidR="007A7179">
        <w:t xml:space="preserve"> (part 25, subpart B); explain </w:t>
      </w:r>
      <w:r w:rsidR="007E7B4A">
        <w:t>categorical exclusions (</w:t>
      </w:r>
      <w:r w:rsidRPr="007A7179" w:rsidR="007A7179">
        <w:t>CEs</w:t>
      </w:r>
      <w:r w:rsidR="00606A9B">
        <w:t>)</w:t>
      </w:r>
      <w:r w:rsidRPr="007A7179" w:rsidR="007A7179">
        <w:t xml:space="preserve"> (part 25, subpart C); and discuss the preparation of documents (part 25, subpart D).</w:t>
      </w:r>
      <w:r w:rsidR="00606A9B">
        <w:t xml:space="preserve">  </w:t>
      </w:r>
      <w:r w:rsidR="00C426A3">
        <w:t xml:space="preserve">The regulations </w:t>
      </w:r>
      <w:r w:rsidRPr="009E6C9F" w:rsidR="00ED415A">
        <w:t xml:space="preserve">also supplement procedural provisions of NEPA that were published by the Council on Environmental Quality (CEQ) in </w:t>
      </w:r>
      <w:hyperlink w:history="1" r:id="rId8">
        <w:r w:rsidRPr="009E6C9F" w:rsidR="00ED415A">
          <w:rPr>
            <w:color w:val="0000FF"/>
            <w:u w:val="single"/>
          </w:rPr>
          <w:t>40 CFR parts 1500</w:t>
        </w:r>
      </w:hyperlink>
      <w:r w:rsidRPr="009E6C9F" w:rsidR="00ED415A">
        <w:t xml:space="preserve"> through </w:t>
      </w:r>
      <w:hyperlink w:history="1" r:id="rId9">
        <w:r w:rsidRPr="009E6C9F" w:rsidR="00ED415A">
          <w:rPr>
            <w:color w:val="0000FF"/>
            <w:u w:val="single"/>
          </w:rPr>
          <w:t>1508</w:t>
        </w:r>
      </w:hyperlink>
      <w:r w:rsidRPr="009E6C9F" w:rsidR="00ED415A">
        <w:t xml:space="preserve"> and the procedures included in the “</w:t>
      </w:r>
      <w:r w:rsidRPr="008E0210" w:rsidR="00ED415A">
        <w:rPr>
          <w:i/>
          <w:iCs/>
        </w:rPr>
        <w:t>HHS General Administration Manual, part 30: Environmental Protection</w:t>
      </w:r>
      <w:r w:rsidRPr="009E6C9F" w:rsidR="00ED415A">
        <w:t>” (</w:t>
      </w:r>
      <w:hyperlink w:history="1" r:id="rId10">
        <w:r w:rsidRPr="009E6C9F" w:rsidR="00ED415A">
          <w:rPr>
            <w:color w:val="0000FF"/>
            <w:u w:val="single"/>
          </w:rPr>
          <w:t>45 FR 76519</w:t>
        </w:r>
      </w:hyperlink>
      <w:r w:rsidRPr="009E6C9F" w:rsidR="00ED415A">
        <w:t xml:space="preserve"> to 76534, November 19, 1980).</w:t>
      </w:r>
      <w:r w:rsidR="00186831">
        <w:rPr>
          <w:color w:val="000000"/>
        </w:rPr>
        <w:t xml:space="preserve">  </w:t>
      </w:r>
      <w:r w:rsidRPr="00290E45" w:rsidR="00D0521B">
        <w:rPr>
          <w:color w:val="000000"/>
        </w:rPr>
        <w:t>Section 102(2)(C) of NEPA requires the preparation of an environmental impact statement (EIS) for every major Federal action that will significantly affect the quality of the human environment.</w:t>
      </w:r>
      <w:r w:rsidR="008C7FA1">
        <w:rPr>
          <w:color w:val="000000"/>
        </w:rPr>
        <w:t xml:space="preserve">  </w:t>
      </w:r>
      <w:r w:rsidR="007C01DE">
        <w:rPr>
          <w:color w:val="000000"/>
        </w:rPr>
        <w:t>Accordingly, i</w:t>
      </w:r>
      <w:r w:rsidR="00A47790">
        <w:rPr>
          <w:color w:val="000000"/>
        </w:rPr>
        <w:t xml:space="preserve">mplementing </w:t>
      </w:r>
      <w:r w:rsidRPr="00290E45" w:rsidR="00D0521B">
        <w:rPr>
          <w:color w:val="000000"/>
        </w:rPr>
        <w:t xml:space="preserve">regulations </w:t>
      </w:r>
      <w:r w:rsidRPr="00290E45" w:rsidR="00DA1795">
        <w:rPr>
          <w:color w:val="000000"/>
        </w:rPr>
        <w:t xml:space="preserve">in </w:t>
      </w:r>
      <w:r w:rsidRPr="00290E45" w:rsidR="00D0521B">
        <w:rPr>
          <w:color w:val="000000"/>
        </w:rPr>
        <w:t>21 CFR part 25</w:t>
      </w:r>
      <w:r w:rsidR="00D00ED0">
        <w:rPr>
          <w:color w:val="000000"/>
        </w:rPr>
        <w:t xml:space="preserve"> </w:t>
      </w:r>
      <w:r w:rsidRPr="00290E45" w:rsidR="00D0521B">
        <w:rPr>
          <w:color w:val="000000"/>
        </w:rPr>
        <w:t xml:space="preserve">require the submission of a claim for a </w:t>
      </w:r>
      <w:r w:rsidR="00606A9B">
        <w:rPr>
          <w:color w:val="000000"/>
        </w:rPr>
        <w:t xml:space="preserve">CE or an EA </w:t>
      </w:r>
      <w:r w:rsidR="00CB789D">
        <w:rPr>
          <w:color w:val="000000"/>
        </w:rPr>
        <w:t>for a</w:t>
      </w:r>
      <w:r w:rsidRPr="00D00ED0" w:rsidR="00D00ED0">
        <w:rPr>
          <w:color w:val="000000"/>
        </w:rPr>
        <w:t>ll applications or petitions requesting agency</w:t>
      </w:r>
      <w:r w:rsidR="00CB789D">
        <w:rPr>
          <w:color w:val="000000"/>
        </w:rPr>
        <w:t xml:space="preserve"> action</w:t>
      </w:r>
      <w:r w:rsidRPr="00290E45" w:rsidR="00D0521B">
        <w:rPr>
          <w:color w:val="000000"/>
        </w:rPr>
        <w:t>.</w:t>
      </w:r>
    </w:p>
    <w:p w:rsidR="007F5E39" w:rsidP="00507969" w:rsidRDefault="007F5E39" w14:paraId="0C40054A" w14:textId="77777777">
      <w:pPr>
        <w:rPr>
          <w:color w:val="000000"/>
        </w:rPr>
      </w:pPr>
    </w:p>
    <w:p w:rsidR="00BA0EC6" w:rsidP="00507969" w:rsidRDefault="00D0521B" w14:paraId="6B8DC118" w14:textId="77CA3323">
      <w:pPr>
        <w:rPr>
          <w:color w:val="000000"/>
        </w:rPr>
      </w:pPr>
      <w:r w:rsidRPr="00290E45">
        <w:rPr>
          <w:color w:val="000000"/>
        </w:rPr>
        <w:t>A categorical exclusion applies to certain classes of FDA-regulated actions that usually have little or no potential to cause significant environmental effects and are excluded from the requirements to prepare an EA or EIS.  Section 25.15(a) and (d) specifies the procedures for submitting to FDA a claim for a categorical exclusion.  Extraordinary circumstances (§ 25.21), which may result in significant environmental impacts, may exist for some actions that are usually categorically excluded.  An EA provides information that is used to determine whether an FDA action could result in a significant environmental impact.  Sections 25.40(a) and (c) specif</w:t>
      </w:r>
      <w:r w:rsidR="00A87587">
        <w:rPr>
          <w:color w:val="000000"/>
        </w:rPr>
        <w:t>y</w:t>
      </w:r>
      <w:r w:rsidRPr="00290E45">
        <w:rPr>
          <w:color w:val="000000"/>
        </w:rPr>
        <w:t xml:space="preserve"> the content requirements for EAs for non</w:t>
      </w:r>
      <w:r w:rsidR="00C6432A">
        <w:rPr>
          <w:color w:val="000000"/>
        </w:rPr>
        <w:t>-</w:t>
      </w:r>
      <w:r w:rsidRPr="00290E45">
        <w:rPr>
          <w:color w:val="000000"/>
        </w:rPr>
        <w:t>excluded actions.</w:t>
      </w:r>
      <w:r w:rsidR="00226BC0">
        <w:t xml:space="preserve">  Where the agency </w:t>
      </w:r>
      <w:r w:rsidRPr="00290E45">
        <w:rPr>
          <w:color w:val="000000"/>
        </w:rPr>
        <w:t xml:space="preserve">finds that no significant environmental effects </w:t>
      </w:r>
      <w:r w:rsidR="00226BC0">
        <w:rPr>
          <w:color w:val="000000"/>
        </w:rPr>
        <w:t xml:space="preserve">is </w:t>
      </w:r>
      <w:r w:rsidRPr="00290E45">
        <w:rPr>
          <w:color w:val="000000"/>
        </w:rPr>
        <w:t>expected, a finding of no significant impact (FONSI)</w:t>
      </w:r>
      <w:r w:rsidR="003A30E9">
        <w:rPr>
          <w:color w:val="000000"/>
        </w:rPr>
        <w:t xml:space="preserve"> is prepared</w:t>
      </w:r>
      <w:r w:rsidRPr="00290E45">
        <w:rPr>
          <w:color w:val="000000"/>
        </w:rPr>
        <w:t>.</w:t>
      </w:r>
      <w:r w:rsidR="007F5E39">
        <w:rPr>
          <w:color w:val="000000"/>
        </w:rPr>
        <w:t xml:space="preserve">  </w:t>
      </w:r>
      <w:r w:rsidR="00BA0EC6">
        <w:rPr>
          <w:color w:val="000000"/>
        </w:rPr>
        <w:t xml:space="preserve">We are revising the information collection to include </w:t>
      </w:r>
      <w:r w:rsidR="00642C44">
        <w:rPr>
          <w:color w:val="000000"/>
        </w:rPr>
        <w:t xml:space="preserve">burden that may result from recommendations found in the guidance document, </w:t>
      </w:r>
      <w:r w:rsidRPr="0039265B" w:rsidR="0039265B">
        <w:rPr>
          <w:color w:val="000000"/>
        </w:rPr>
        <w:t>“</w:t>
      </w:r>
      <w:r w:rsidRPr="00642C44" w:rsidR="0039265B">
        <w:rPr>
          <w:i/>
          <w:iCs/>
          <w:color w:val="000000"/>
        </w:rPr>
        <w:t>Preparing a Claim of Categorical Exclusion or an Environmental Assessment for Submission to the Center for Food Safety and Applied Nutrition</w:t>
      </w:r>
      <w:r w:rsidRPr="0039265B" w:rsidR="0039265B">
        <w:rPr>
          <w:color w:val="000000"/>
        </w:rPr>
        <w:t>”</w:t>
      </w:r>
      <w:r w:rsidR="00B65865">
        <w:rPr>
          <w:color w:val="000000"/>
        </w:rPr>
        <w:t xml:space="preserve"> (May 2006),</w:t>
      </w:r>
      <w:r w:rsidRPr="0039265B" w:rsidR="0039265B">
        <w:rPr>
          <w:color w:val="000000"/>
        </w:rPr>
        <w:t xml:space="preserve"> that do not themselves create requirements</w:t>
      </w:r>
      <w:r w:rsidR="00383AB4">
        <w:rPr>
          <w:color w:val="000000"/>
        </w:rPr>
        <w:t xml:space="preserve">, but rather, explain </w:t>
      </w:r>
      <w:r w:rsidRPr="0039265B" w:rsidR="0039265B">
        <w:rPr>
          <w:color w:val="000000"/>
        </w:rPr>
        <w:t>FDA</w:t>
      </w:r>
      <w:r w:rsidR="00383AB4">
        <w:rPr>
          <w:color w:val="000000"/>
        </w:rPr>
        <w:t xml:space="preserve"> procedures</w:t>
      </w:r>
      <w:r w:rsidRPr="0039265B" w:rsidR="0039265B">
        <w:rPr>
          <w:color w:val="000000"/>
        </w:rPr>
        <w:t>.</w:t>
      </w:r>
      <w:r w:rsidR="00F67DE2">
        <w:rPr>
          <w:color w:val="000000"/>
        </w:rPr>
        <w:t xml:space="preserve">  This information collection activity is currently approved in OMB Control No. 0910-0541.</w:t>
      </w:r>
    </w:p>
    <w:p w:rsidRPr="00226BC0" w:rsidR="003A30E9" w:rsidP="00507969" w:rsidRDefault="003A30E9" w14:paraId="73F0CB34" w14:textId="77777777"/>
    <w:p w:rsidR="00BA0EC6" w:rsidP="00507969" w:rsidRDefault="00ED0CF8" w14:paraId="15D0EC81" w14:textId="38420366">
      <w:pPr>
        <w:rPr>
          <w:color w:val="000000"/>
        </w:rPr>
      </w:pPr>
      <w:r>
        <w:rPr>
          <w:color w:val="000000"/>
        </w:rPr>
        <w:lastRenderedPageBreak/>
        <w:t xml:space="preserve">We therefore </w:t>
      </w:r>
      <w:r w:rsidRPr="00290E45" w:rsidR="00A67A7D">
        <w:rPr>
          <w:color w:val="000000"/>
        </w:rPr>
        <w:t xml:space="preserve">request OMB approval for the </w:t>
      </w:r>
      <w:r w:rsidR="00BD77E6">
        <w:rPr>
          <w:color w:val="000000"/>
        </w:rPr>
        <w:t xml:space="preserve">information collection </w:t>
      </w:r>
      <w:r w:rsidR="00671804">
        <w:rPr>
          <w:color w:val="000000"/>
        </w:rPr>
        <w:t xml:space="preserve">provisions </w:t>
      </w:r>
      <w:r w:rsidR="008B2E52">
        <w:rPr>
          <w:color w:val="000000"/>
        </w:rPr>
        <w:t xml:space="preserve">found </w:t>
      </w:r>
      <w:r w:rsidR="003A30E9">
        <w:rPr>
          <w:color w:val="000000"/>
        </w:rPr>
        <w:t>in 21 CFR part 25</w:t>
      </w:r>
      <w:r w:rsidR="008B2E52">
        <w:rPr>
          <w:color w:val="000000"/>
        </w:rPr>
        <w:t xml:space="preserve">, as well as information collection associated with </w:t>
      </w:r>
      <w:r w:rsidR="00671804">
        <w:rPr>
          <w:color w:val="000000"/>
        </w:rPr>
        <w:t>recommendations found in the referenced agency guidance document</w:t>
      </w:r>
      <w:r w:rsidR="00D47EA8">
        <w:rPr>
          <w:color w:val="000000"/>
        </w:rPr>
        <w:t xml:space="preserve"> pertaining to </w:t>
      </w:r>
      <w:r w:rsidR="000252AD">
        <w:rPr>
          <w:color w:val="000000"/>
        </w:rPr>
        <w:t xml:space="preserve">submissions to </w:t>
      </w:r>
      <w:r w:rsidR="00D47EA8">
        <w:rPr>
          <w:color w:val="000000"/>
        </w:rPr>
        <w:t>CFSAN</w:t>
      </w:r>
      <w:r w:rsidR="00671804">
        <w:rPr>
          <w:color w:val="000000"/>
        </w:rPr>
        <w:t>.</w:t>
      </w:r>
    </w:p>
    <w:p w:rsidR="00A67A7D" w:rsidP="00507969" w:rsidRDefault="00A67A7D" w14:paraId="791F9DD5" w14:textId="0B0DDE1E">
      <w:pPr>
        <w:rPr>
          <w:color w:val="000000"/>
        </w:rPr>
      </w:pPr>
    </w:p>
    <w:p w:rsidRPr="00290E45" w:rsidR="008B30AB" w:rsidP="00507969" w:rsidRDefault="00EB7538" w14:paraId="2E7E74CD" w14:textId="18D5AD22">
      <w:pPr>
        <w:numPr>
          <w:ilvl w:val="0"/>
          <w:numId w:val="1"/>
        </w:numPr>
        <w:tabs>
          <w:tab w:val="clear" w:pos="720"/>
        </w:tabs>
        <w:ind w:left="0"/>
        <w:rPr>
          <w:color w:val="000000"/>
          <w:u w:val="single"/>
        </w:rPr>
      </w:pPr>
      <w:r w:rsidRPr="00290E45">
        <w:rPr>
          <w:color w:val="000000"/>
          <w:u w:val="single"/>
        </w:rPr>
        <w:t xml:space="preserve">Purpose and Use of the Information Collection </w:t>
      </w:r>
    </w:p>
    <w:p w:rsidR="009E6C9F" w:rsidP="00507969" w:rsidRDefault="009E6C9F" w14:paraId="101D88D1" w14:textId="77777777">
      <w:pPr>
        <w:rPr>
          <w:color w:val="000000"/>
        </w:rPr>
      </w:pPr>
    </w:p>
    <w:p w:rsidRPr="00290E45" w:rsidR="00CB789D" w:rsidP="00507969" w:rsidRDefault="00CB789D" w14:paraId="199480C6" w14:textId="387A6D0E">
      <w:pPr>
        <w:rPr>
          <w:color w:val="000000"/>
        </w:rPr>
      </w:pPr>
      <w:r>
        <w:rPr>
          <w:color w:val="000000"/>
        </w:rPr>
        <w:t xml:space="preserve">FDA uses the information collection </w:t>
      </w:r>
      <w:r w:rsidRPr="00290E45">
        <w:rPr>
          <w:color w:val="000000"/>
        </w:rPr>
        <w:t xml:space="preserve">to assess the environmental impact of </w:t>
      </w:r>
      <w:r>
        <w:rPr>
          <w:color w:val="000000"/>
        </w:rPr>
        <w:t xml:space="preserve">its </w:t>
      </w:r>
      <w:r w:rsidRPr="00290E45">
        <w:rPr>
          <w:color w:val="000000"/>
        </w:rPr>
        <w:t>actions.</w:t>
      </w:r>
    </w:p>
    <w:p w:rsidR="000D7D62" w:rsidP="00507969" w:rsidRDefault="009E6C9F" w14:paraId="04ACF592" w14:textId="558F9C0B">
      <w:r w:rsidRPr="009E6C9F">
        <w:t>NEPA</w:t>
      </w:r>
      <w:r w:rsidR="000D7D62">
        <w:t xml:space="preserve"> </w:t>
      </w:r>
      <w:r w:rsidRPr="009E6C9F">
        <w:t>directs that, to the fullest extent possible, the policies, regulations, and public laws of the United States shall be interpreted and administered in accordance with the policies set forth in NEPA.</w:t>
      </w:r>
      <w:r w:rsidR="000D7D62">
        <w:t xml:space="preserve">  </w:t>
      </w:r>
      <w:r w:rsidRPr="009E6C9F">
        <w:t xml:space="preserve">All agencies of the Federal Government shall comply with the procedures in section 102(2) of NEPA except where compliance would be inconsistent with other statutory requirements. </w:t>
      </w:r>
    </w:p>
    <w:p w:rsidRPr="00290E45" w:rsidR="00507969" w:rsidP="00507969" w:rsidRDefault="00507969" w14:paraId="73092115" w14:textId="77777777">
      <w:pPr>
        <w:rPr>
          <w:color w:val="000000"/>
        </w:rPr>
      </w:pPr>
    </w:p>
    <w:p w:rsidRPr="00290E45" w:rsidR="002746DB" w:rsidP="00507969" w:rsidRDefault="00EB7538" w14:paraId="5322CFF4" w14:textId="77777777">
      <w:pPr>
        <w:numPr>
          <w:ilvl w:val="0"/>
          <w:numId w:val="1"/>
        </w:numPr>
        <w:tabs>
          <w:tab w:val="clear" w:pos="720"/>
        </w:tabs>
        <w:ind w:left="0"/>
        <w:rPr>
          <w:color w:val="000000"/>
          <w:u w:val="single"/>
        </w:rPr>
      </w:pPr>
      <w:r w:rsidRPr="00290E45">
        <w:rPr>
          <w:color w:val="000000"/>
          <w:u w:val="single"/>
        </w:rPr>
        <w:t xml:space="preserve">Use of Improved Information Technology and Burden Reduction </w:t>
      </w:r>
    </w:p>
    <w:p w:rsidR="00331CF7" w:rsidP="00507969" w:rsidRDefault="00331CF7" w14:paraId="747DB552" w14:textId="77777777">
      <w:pPr>
        <w:rPr>
          <w:color w:val="000000"/>
        </w:rPr>
      </w:pPr>
    </w:p>
    <w:p w:rsidRPr="00726CF2" w:rsidR="00F95F51" w:rsidP="00507969" w:rsidRDefault="00B7389B" w14:paraId="491BEA95" w14:textId="4855234A">
      <w:pPr>
        <w:rPr>
          <w:highlight w:val="yellow"/>
        </w:rPr>
      </w:pPr>
      <w:r>
        <w:rPr>
          <w:color w:val="000000"/>
        </w:rPr>
        <w:t xml:space="preserve">We </w:t>
      </w:r>
      <w:r w:rsidRPr="00290E45" w:rsidR="007E35DF">
        <w:rPr>
          <w:color w:val="000000"/>
        </w:rPr>
        <w:t xml:space="preserve">estimate 95% of respondents will use electronic means to fulfill the </w:t>
      </w:r>
      <w:r>
        <w:rPr>
          <w:color w:val="000000"/>
        </w:rPr>
        <w:t xml:space="preserve">information collection.  </w:t>
      </w:r>
      <w:r w:rsidR="00A534C4">
        <w:rPr>
          <w:color w:val="000000"/>
        </w:rPr>
        <w:t xml:space="preserve">Submissions made to CFSAN are supported by </w:t>
      </w:r>
      <w:r w:rsidRPr="00086B38" w:rsidR="00F95F51">
        <w:t xml:space="preserve">the </w:t>
      </w:r>
      <w:r w:rsidR="00F95F51">
        <w:t>CFSAN Online Submission Module</w:t>
      </w:r>
      <w:r w:rsidRPr="00086B38" w:rsidR="00F95F51">
        <w:t xml:space="preserve"> (</w:t>
      </w:r>
      <w:r w:rsidR="00F95F51">
        <w:t>COSM</w:t>
      </w:r>
      <w:r w:rsidRPr="00086B38" w:rsidR="00F95F51">
        <w:t xml:space="preserve">).  </w:t>
      </w:r>
      <w:r w:rsidR="00F95F51">
        <w:t xml:space="preserve">COSM is part of FDA’s </w:t>
      </w:r>
      <w:r w:rsidRPr="00BA7C27" w:rsidR="00F95F51">
        <w:t>Electronic Submission Gateway (ESG)</w:t>
      </w:r>
      <w:r w:rsidR="00F95F51">
        <w:t>,</w:t>
      </w:r>
      <w:r w:rsidRPr="00086B38" w:rsidR="00F95F51">
        <w:t xml:space="preserve"> an electronic system that </w:t>
      </w:r>
      <w:r w:rsidR="00F95F51">
        <w:t>also</w:t>
      </w:r>
      <w:r w:rsidR="001A3D6B">
        <w:t xml:space="preserve"> supports a number of </w:t>
      </w:r>
      <w:r w:rsidRPr="00086B38" w:rsidR="00F95F51">
        <w:t xml:space="preserve">other information collections.  </w:t>
      </w:r>
      <w:r w:rsidR="00F95F51">
        <w:t>We</w:t>
      </w:r>
      <w:r w:rsidRPr="00301451" w:rsidR="00F95F51">
        <w:t xml:space="preserve"> </w:t>
      </w:r>
      <w:r w:rsidR="00F95F51">
        <w:t>also</w:t>
      </w:r>
      <w:r w:rsidRPr="00301451" w:rsidR="00F95F51">
        <w:t xml:space="preserve"> accept information supporting claims of categorical exclusion or an EA by e-mail.</w:t>
      </w:r>
    </w:p>
    <w:p w:rsidR="00B16DA8" w:rsidP="00507969" w:rsidRDefault="00B16DA8" w14:paraId="3B84EDBD" w14:textId="77777777">
      <w:pPr>
        <w:rPr>
          <w:color w:val="000000"/>
        </w:rPr>
      </w:pPr>
    </w:p>
    <w:p w:rsidRPr="00290E45" w:rsidR="002746DB" w:rsidP="00507969" w:rsidRDefault="00EB7538" w14:paraId="3E7A2C63" w14:textId="77777777">
      <w:pPr>
        <w:numPr>
          <w:ilvl w:val="0"/>
          <w:numId w:val="1"/>
        </w:numPr>
        <w:tabs>
          <w:tab w:val="clear" w:pos="720"/>
        </w:tabs>
        <w:ind w:left="0"/>
        <w:rPr>
          <w:color w:val="000000"/>
          <w:u w:val="single"/>
        </w:rPr>
      </w:pPr>
      <w:r w:rsidRPr="00290E45">
        <w:rPr>
          <w:color w:val="000000"/>
          <w:u w:val="single"/>
        </w:rPr>
        <w:t xml:space="preserve">Efforts to Identify Duplication and Use of Similar Information </w:t>
      </w:r>
    </w:p>
    <w:p w:rsidR="00331CF7" w:rsidP="00507969" w:rsidRDefault="00331CF7" w14:paraId="02B7F908" w14:textId="77777777">
      <w:pPr>
        <w:rPr>
          <w:color w:val="000000"/>
        </w:rPr>
      </w:pPr>
    </w:p>
    <w:p w:rsidRPr="00290E45" w:rsidR="000F7BF7" w:rsidP="00507969" w:rsidRDefault="00331CF7" w14:paraId="7005A91B" w14:textId="43DF4DBB">
      <w:pPr>
        <w:rPr>
          <w:color w:val="000000"/>
        </w:rPr>
      </w:pPr>
      <w:r>
        <w:rPr>
          <w:color w:val="000000"/>
        </w:rPr>
        <w:t>We are una</w:t>
      </w:r>
      <w:r w:rsidR="000F7BF7">
        <w:rPr>
          <w:color w:val="000000"/>
        </w:rPr>
        <w:t>ware of duplicative information collection.  Upon OMB review and approval of this request, we intend to discontinue control no. 0910-</w:t>
      </w:r>
      <w:r w:rsidR="00C06B1D">
        <w:rPr>
          <w:color w:val="000000"/>
        </w:rPr>
        <w:t>0</w:t>
      </w:r>
      <w:r w:rsidR="000F7BF7">
        <w:rPr>
          <w:color w:val="000000"/>
        </w:rPr>
        <w:t>541</w:t>
      </w:r>
      <w:r w:rsidR="00C06B1D">
        <w:rPr>
          <w:color w:val="000000"/>
        </w:rPr>
        <w:t>.</w:t>
      </w:r>
    </w:p>
    <w:p w:rsidRPr="00290E45" w:rsidR="00B16DA8" w:rsidP="00507969" w:rsidRDefault="00B16DA8" w14:paraId="46C6133E" w14:textId="77777777">
      <w:pPr>
        <w:rPr>
          <w:color w:val="000000"/>
        </w:rPr>
      </w:pPr>
    </w:p>
    <w:p w:rsidRPr="00290E45" w:rsidR="002746DB" w:rsidP="00507969" w:rsidRDefault="00EB7538" w14:paraId="2902827E" w14:textId="77777777">
      <w:pPr>
        <w:numPr>
          <w:ilvl w:val="0"/>
          <w:numId w:val="1"/>
        </w:numPr>
        <w:tabs>
          <w:tab w:val="clear" w:pos="720"/>
        </w:tabs>
        <w:ind w:left="0"/>
        <w:rPr>
          <w:color w:val="000000"/>
          <w:u w:val="single"/>
        </w:rPr>
      </w:pPr>
      <w:r w:rsidRPr="00290E45">
        <w:rPr>
          <w:color w:val="000000"/>
          <w:u w:val="single"/>
        </w:rPr>
        <w:t>Impact on Small Businesses or Other Small Entities</w:t>
      </w:r>
    </w:p>
    <w:p w:rsidR="00331CF7" w:rsidP="00507969" w:rsidRDefault="00331CF7" w14:paraId="54E55B69" w14:textId="77777777">
      <w:pPr>
        <w:rPr>
          <w:color w:val="000000"/>
        </w:rPr>
      </w:pPr>
    </w:p>
    <w:p w:rsidR="00717CF6" w:rsidP="00507969" w:rsidRDefault="00C06B1D" w14:paraId="6054D88A" w14:textId="06BE854E">
      <w:pPr>
        <w:rPr>
          <w:color w:val="000000"/>
        </w:rPr>
      </w:pPr>
      <w:r>
        <w:rPr>
          <w:color w:val="000000"/>
        </w:rPr>
        <w:t>We do not believe the information collection imposes undue burden on small entities.</w:t>
      </w:r>
    </w:p>
    <w:p w:rsidRPr="00290E45" w:rsidR="00331CF7" w:rsidP="00507969" w:rsidRDefault="00331CF7" w14:paraId="15BF34A9" w14:textId="77777777">
      <w:pPr>
        <w:rPr>
          <w:color w:val="000000"/>
          <w:highlight w:val="yellow"/>
        </w:rPr>
      </w:pPr>
    </w:p>
    <w:p w:rsidRPr="00290E45" w:rsidR="00CD77C3" w:rsidP="00507969" w:rsidRDefault="00EB7538" w14:paraId="32040BE3" w14:textId="77777777">
      <w:pPr>
        <w:numPr>
          <w:ilvl w:val="0"/>
          <w:numId w:val="1"/>
        </w:numPr>
        <w:tabs>
          <w:tab w:val="clear" w:pos="720"/>
        </w:tabs>
        <w:ind w:left="0"/>
        <w:rPr>
          <w:color w:val="000000"/>
          <w:u w:val="single"/>
        </w:rPr>
      </w:pPr>
      <w:r w:rsidRPr="00290E45">
        <w:rPr>
          <w:color w:val="000000"/>
          <w:u w:val="single"/>
        </w:rPr>
        <w:t>Consequences of Collecting the Information Less Frequently</w:t>
      </w:r>
    </w:p>
    <w:p w:rsidR="00331CF7" w:rsidP="00507969" w:rsidRDefault="00331CF7" w14:paraId="705D6DC6" w14:textId="77777777">
      <w:pPr>
        <w:rPr>
          <w:color w:val="000000"/>
        </w:rPr>
      </w:pPr>
    </w:p>
    <w:p w:rsidR="00F74935" w:rsidP="00507969" w:rsidRDefault="009D2891" w14:paraId="6048D090" w14:textId="428BE3BF">
      <w:pPr>
        <w:rPr>
          <w:color w:val="000000"/>
        </w:rPr>
      </w:pPr>
      <w:r>
        <w:rPr>
          <w:color w:val="000000"/>
        </w:rPr>
        <w:t xml:space="preserve">The information collection schedule is consistent with statutory and regulatory </w:t>
      </w:r>
      <w:r w:rsidR="00525C7A">
        <w:rPr>
          <w:color w:val="000000"/>
        </w:rPr>
        <w:t xml:space="preserve">requirements.  </w:t>
      </w:r>
      <w:r w:rsidRPr="00290E45" w:rsidR="00F74935">
        <w:rPr>
          <w:color w:val="000000"/>
        </w:rPr>
        <w:t>There are no legal obstacles to reduce the burden for this collection of information.</w:t>
      </w:r>
    </w:p>
    <w:p w:rsidRPr="00290E45" w:rsidR="00331CF7" w:rsidP="00507969" w:rsidRDefault="00331CF7" w14:paraId="4865A0A1" w14:textId="77777777">
      <w:pPr>
        <w:rPr>
          <w:color w:val="000000"/>
          <w:highlight w:val="yellow"/>
        </w:rPr>
      </w:pPr>
    </w:p>
    <w:p w:rsidRPr="00290E45" w:rsidR="00CD77C3" w:rsidP="00507969" w:rsidRDefault="00EB7538" w14:paraId="647620FE" w14:textId="77777777">
      <w:pPr>
        <w:numPr>
          <w:ilvl w:val="0"/>
          <w:numId w:val="1"/>
        </w:numPr>
        <w:tabs>
          <w:tab w:val="clear" w:pos="720"/>
        </w:tabs>
        <w:ind w:left="0"/>
        <w:rPr>
          <w:color w:val="000000"/>
          <w:u w:val="single"/>
        </w:rPr>
      </w:pPr>
      <w:r w:rsidRPr="00290E45">
        <w:rPr>
          <w:color w:val="000000"/>
          <w:u w:val="single"/>
        </w:rPr>
        <w:t>Special Circumstances Relating to the Guidelines of 5 CFR 1320.5</w:t>
      </w:r>
    </w:p>
    <w:p w:rsidR="00331CF7" w:rsidP="00507969" w:rsidRDefault="00331CF7" w14:paraId="1D993F63" w14:textId="77777777">
      <w:pPr>
        <w:rPr>
          <w:color w:val="000000"/>
        </w:rPr>
      </w:pPr>
    </w:p>
    <w:p w:rsidR="008108FA" w:rsidP="00507969" w:rsidRDefault="008108FA" w14:paraId="22DC93B5" w14:textId="21AE7B2E">
      <w:pPr>
        <w:rPr>
          <w:color w:val="000000"/>
        </w:rPr>
      </w:pPr>
      <w:r w:rsidRPr="00290E45">
        <w:rPr>
          <w:color w:val="000000"/>
        </w:rPr>
        <w:t>There are no special circumstances for this collection of information.</w:t>
      </w:r>
      <w:r w:rsidR="00525C7A">
        <w:t xml:space="preserve">  Information collection recommended </w:t>
      </w:r>
      <w:r w:rsidRPr="00BF6362" w:rsidR="00BF6362">
        <w:rPr>
          <w:color w:val="000000"/>
        </w:rPr>
        <w:t>in the guidance does not involve more than quarterly submission of information to the agency, written responses to the agency in less than 30 days, submission of more than an original and 2 copies, retention of records for more than three years, or the use of statistical methods.  However, a firm’s submission of a claim of categorical exclusion or an EA may contain trade secret and commercial confidential information.  This information is protected by FDA as set out below in the response to item 10 of this supporting statement.</w:t>
      </w:r>
    </w:p>
    <w:p w:rsidRPr="00290E45" w:rsidR="00331CF7" w:rsidP="00507969" w:rsidRDefault="00331CF7" w14:paraId="32BA23C2" w14:textId="77777777">
      <w:pPr>
        <w:rPr>
          <w:color w:val="000000"/>
        </w:rPr>
      </w:pPr>
    </w:p>
    <w:p w:rsidRPr="00290E45" w:rsidR="00F44EDA" w:rsidP="00507969" w:rsidRDefault="00EB7538" w14:paraId="031B3BA8" w14:textId="77777777">
      <w:pPr>
        <w:numPr>
          <w:ilvl w:val="0"/>
          <w:numId w:val="1"/>
        </w:numPr>
        <w:tabs>
          <w:tab w:val="clear" w:pos="720"/>
        </w:tabs>
        <w:ind w:left="0"/>
        <w:rPr>
          <w:color w:val="000000"/>
          <w:u w:val="single"/>
        </w:rPr>
      </w:pPr>
      <w:r w:rsidRPr="00290E45">
        <w:rPr>
          <w:color w:val="000000"/>
          <w:u w:val="single"/>
        </w:rPr>
        <w:t>Comments in Response to the Federal Register Notice and Efforts to Consult Outside the Agency</w:t>
      </w:r>
    </w:p>
    <w:p w:rsidR="00331CF7" w:rsidP="00507969" w:rsidRDefault="00331CF7" w14:paraId="0EFC303D" w14:textId="77777777">
      <w:pPr>
        <w:rPr>
          <w:color w:val="000000"/>
        </w:rPr>
      </w:pPr>
    </w:p>
    <w:p w:rsidRPr="00331CF7" w:rsidR="008F6856" w:rsidP="00507969" w:rsidRDefault="00CD77C3" w14:paraId="478C575A" w14:textId="2516D620">
      <w:r w:rsidRPr="00290E45">
        <w:rPr>
          <w:color w:val="000000"/>
        </w:rPr>
        <w:t xml:space="preserve">In accordance with 5 CFR 1320.8(d), </w:t>
      </w:r>
      <w:r w:rsidR="00525C7A">
        <w:rPr>
          <w:color w:val="000000"/>
        </w:rPr>
        <w:t xml:space="preserve">we published a </w:t>
      </w:r>
      <w:r w:rsidRPr="00290E45">
        <w:rPr>
          <w:color w:val="000000"/>
        </w:rPr>
        <w:t xml:space="preserve">60 day notice </w:t>
      </w:r>
      <w:r w:rsidR="00525C7A">
        <w:rPr>
          <w:color w:val="000000"/>
        </w:rPr>
        <w:t xml:space="preserve">soliciting </w:t>
      </w:r>
      <w:r w:rsidRPr="00290E45">
        <w:rPr>
          <w:color w:val="000000"/>
        </w:rPr>
        <w:t>public</w:t>
      </w:r>
      <w:r w:rsidRPr="00290E45" w:rsidR="00DD09F5">
        <w:rPr>
          <w:color w:val="000000"/>
        </w:rPr>
        <w:t xml:space="preserve"> comment in the </w:t>
      </w:r>
      <w:r w:rsidRPr="00525C7A" w:rsidR="00525C7A">
        <w:rPr>
          <w:color w:val="000000"/>
          <w:u w:val="single"/>
        </w:rPr>
        <w:t>Federal Register</w:t>
      </w:r>
      <w:r w:rsidRPr="00290E45" w:rsidR="00DD09F5">
        <w:rPr>
          <w:color w:val="000000"/>
        </w:rPr>
        <w:t xml:space="preserve"> of</w:t>
      </w:r>
      <w:r w:rsidR="00FF3211">
        <w:rPr>
          <w:color w:val="000000"/>
        </w:rPr>
        <w:t xml:space="preserve"> August 25, 2021</w:t>
      </w:r>
      <w:r w:rsidR="009E3210">
        <w:rPr>
          <w:color w:val="000000"/>
        </w:rPr>
        <w:t>(</w:t>
      </w:r>
      <w:r w:rsidR="00FF3211">
        <w:rPr>
          <w:color w:val="000000"/>
        </w:rPr>
        <w:t xml:space="preserve">86 </w:t>
      </w:r>
      <w:r w:rsidR="009E3210">
        <w:rPr>
          <w:color w:val="000000"/>
        </w:rPr>
        <w:t xml:space="preserve">FR </w:t>
      </w:r>
      <w:r w:rsidR="00FF3211">
        <w:rPr>
          <w:color w:val="000000"/>
        </w:rPr>
        <w:t>47501</w:t>
      </w:r>
      <w:r w:rsidR="009E3210">
        <w:rPr>
          <w:color w:val="000000"/>
        </w:rPr>
        <w:t xml:space="preserve">). </w:t>
      </w:r>
      <w:r w:rsidR="00525C7A">
        <w:rPr>
          <w:color w:val="000000"/>
        </w:rPr>
        <w:t xml:space="preserve">  </w:t>
      </w:r>
      <w:r w:rsidR="008F6856">
        <w:t xml:space="preserve">Although one comment was received, it was not responsive to the four collection of information topics solicited. </w:t>
      </w:r>
    </w:p>
    <w:p w:rsidR="00EE503E" w:rsidP="00507969" w:rsidRDefault="00EE503E" w14:paraId="2871B020" w14:textId="77777777">
      <w:pPr>
        <w:rPr>
          <w:color w:val="000000"/>
        </w:rPr>
      </w:pPr>
    </w:p>
    <w:p w:rsidRPr="00290E45" w:rsidR="00CD77C3" w:rsidP="00507969" w:rsidRDefault="00EB7538" w14:paraId="69762548" w14:textId="015CDC85">
      <w:pPr>
        <w:numPr>
          <w:ilvl w:val="0"/>
          <w:numId w:val="1"/>
        </w:numPr>
        <w:tabs>
          <w:tab w:val="clear" w:pos="720"/>
        </w:tabs>
        <w:ind w:left="0"/>
        <w:rPr>
          <w:color w:val="000000"/>
          <w:u w:val="single"/>
        </w:rPr>
      </w:pPr>
      <w:r w:rsidRPr="00290E45">
        <w:rPr>
          <w:color w:val="000000"/>
          <w:u w:val="single"/>
        </w:rPr>
        <w:t>Explanation of Any Payment or Gift to Respondents</w:t>
      </w:r>
    </w:p>
    <w:p w:rsidR="00331CF7" w:rsidP="00507969" w:rsidRDefault="00331CF7" w14:paraId="6C7EA615" w14:textId="77777777">
      <w:pPr>
        <w:rPr>
          <w:color w:val="000000"/>
        </w:rPr>
      </w:pPr>
    </w:p>
    <w:p w:rsidR="00CD77C3" w:rsidP="00507969" w:rsidRDefault="00525C7A" w14:paraId="74811930" w14:textId="508D0B7C">
      <w:pPr>
        <w:rPr>
          <w:color w:val="000000"/>
        </w:rPr>
      </w:pPr>
      <w:r>
        <w:rPr>
          <w:color w:val="000000"/>
        </w:rPr>
        <w:t xml:space="preserve">No remuneration is provided to respondents to the information collection.  The information </w:t>
      </w:r>
      <w:r w:rsidR="00FC74F5">
        <w:rPr>
          <w:color w:val="000000"/>
        </w:rPr>
        <w:t>is necessary to obtain a benefit (action by FDA)</w:t>
      </w:r>
      <w:r w:rsidRPr="00290E45" w:rsidR="00F74935">
        <w:rPr>
          <w:color w:val="000000"/>
        </w:rPr>
        <w:t>.</w:t>
      </w:r>
    </w:p>
    <w:p w:rsidRPr="00290E45" w:rsidR="00FC74F5" w:rsidP="00507969" w:rsidRDefault="00FC74F5" w14:paraId="177A320C" w14:textId="77777777">
      <w:pPr>
        <w:rPr>
          <w:color w:val="000000"/>
        </w:rPr>
      </w:pPr>
    </w:p>
    <w:p w:rsidRPr="00290E45" w:rsidR="00CD77C3" w:rsidP="00507969" w:rsidRDefault="00EB7538" w14:paraId="17B04512" w14:textId="77777777">
      <w:pPr>
        <w:numPr>
          <w:ilvl w:val="0"/>
          <w:numId w:val="1"/>
        </w:numPr>
        <w:tabs>
          <w:tab w:val="clear" w:pos="720"/>
        </w:tabs>
        <w:ind w:left="0"/>
        <w:rPr>
          <w:color w:val="000000"/>
          <w:u w:val="single"/>
        </w:rPr>
      </w:pPr>
      <w:r w:rsidRPr="00290E45">
        <w:rPr>
          <w:color w:val="000000"/>
          <w:u w:val="single"/>
        </w:rPr>
        <w:t>Assurance of Confidentiality Provided to Respondents</w:t>
      </w:r>
    </w:p>
    <w:p w:rsidR="00331CF7" w:rsidP="00507969" w:rsidRDefault="00331CF7" w14:paraId="60811B6B" w14:textId="77777777">
      <w:pPr>
        <w:rPr>
          <w:color w:val="000000"/>
        </w:rPr>
      </w:pPr>
    </w:p>
    <w:p w:rsidR="00331CF7" w:rsidP="00507969" w:rsidRDefault="00331CF7" w14:paraId="5405C33E" w14:textId="1DCBFE26">
      <w:r w:rsidRPr="00301451">
        <w:t xml:space="preserve">Information submitted to FDA in a claim of categorical exclusion or an EA may contain trade secret and commercial confidential information.  Only information that is releasable under the agency’s regulations in 21 CFR part 20 would be released to the public.  This information is also safeguarded by </w:t>
      </w:r>
      <w:r>
        <w:t>s</w:t>
      </w:r>
      <w:r w:rsidRPr="00301451">
        <w:t xml:space="preserve">ection 301(j) of the </w:t>
      </w:r>
      <w:r>
        <w:t>Federal Food, Drug, and Cosmetic Act</w:t>
      </w:r>
      <w:r w:rsidRPr="00301451">
        <w:t xml:space="preserve"> and would be protected from disclosure under the Freedom of Information Act (FOIA) under sections 552(a) an</w:t>
      </w:r>
      <w:r>
        <w:t>d (b) (5 U.S.C. 552(a) and (b)).</w:t>
      </w:r>
    </w:p>
    <w:p w:rsidRPr="00611088" w:rsidR="00331CF7" w:rsidP="00507969" w:rsidRDefault="00331CF7" w14:paraId="7C200686" w14:textId="77777777">
      <w:pPr>
        <w:rPr>
          <w:i/>
        </w:rPr>
      </w:pPr>
    </w:p>
    <w:p w:rsidRPr="00F563C6" w:rsidR="00331CF7" w:rsidP="00507969" w:rsidRDefault="00D45669" w14:paraId="34425A93" w14:textId="1C1B7D8A">
      <w:pPr>
        <w:rPr>
          <w:i/>
        </w:rPr>
      </w:pPr>
      <w:r w:rsidRPr="00D45669">
        <w:t xml:space="preserve">In preparing this supporting statement, </w:t>
      </w:r>
      <w:r>
        <w:t>we</w:t>
      </w:r>
      <w:r w:rsidR="00F563C6">
        <w:t xml:space="preserve"> also</w:t>
      </w:r>
      <w:r>
        <w:t xml:space="preserve"> consulted with our </w:t>
      </w:r>
      <w:r w:rsidRPr="00D45669">
        <w:t>Privacy Office to ensure appropriate handling of information collected.</w:t>
      </w:r>
      <w:r>
        <w:t xml:space="preserve">  </w:t>
      </w:r>
      <w:r w:rsidR="00D274EE">
        <w:t xml:space="preserve">Although </w:t>
      </w:r>
      <w:r w:rsidRPr="00315F6D" w:rsidR="00331CF7">
        <w:t>personally identifiable information (PII)</w:t>
      </w:r>
      <w:r w:rsidR="001A4170">
        <w:t>,</w:t>
      </w:r>
      <w:r w:rsidRPr="00315F6D" w:rsidR="00331CF7">
        <w:t xml:space="preserve"> or other data of a personal nature</w:t>
      </w:r>
      <w:r w:rsidR="001A4170">
        <w:t>,</w:t>
      </w:r>
      <w:r w:rsidRPr="00315F6D" w:rsidR="00331CF7">
        <w:t xml:space="preserve"> </w:t>
      </w:r>
      <w:r w:rsidR="00D274EE">
        <w:t>is collected in conjunction with</w:t>
      </w:r>
      <w:r w:rsidR="00BF2C06">
        <w:t xml:space="preserve"> </w:t>
      </w:r>
      <w:r w:rsidR="00A74B55">
        <w:t xml:space="preserve">the regulations in 21 CFR part 25, the information is </w:t>
      </w:r>
      <w:r w:rsidR="0058417F">
        <w:t xml:space="preserve">provided </w:t>
      </w:r>
      <w:r w:rsidR="00A74B55">
        <w:t xml:space="preserve">as part of </w:t>
      </w:r>
      <w:r w:rsidR="009B1840">
        <w:t>requests for agency action governed by product specific</w:t>
      </w:r>
      <w:r w:rsidR="0058417F">
        <w:t xml:space="preserve"> submissions</w:t>
      </w:r>
      <w:r w:rsidR="009B1840">
        <w:t xml:space="preserve">.  We have determined, therefore, that </w:t>
      </w:r>
      <w:r w:rsidRPr="00315F6D" w:rsidR="00331CF7">
        <w:t>although PII is collected</w:t>
      </w:r>
      <w:r w:rsidR="00316446">
        <w:t xml:space="preserve"> in conjunction with associated submissions to the agency, </w:t>
      </w:r>
      <w:r w:rsidRPr="00315F6D" w:rsidR="00331CF7">
        <w:t xml:space="preserve">the particular notice and other requirements of the </w:t>
      </w:r>
      <w:r w:rsidR="004700EB">
        <w:t xml:space="preserve">Privacy </w:t>
      </w:r>
      <w:r w:rsidRPr="00315F6D" w:rsidR="00331CF7">
        <w:t>Act do not apply.</w:t>
      </w:r>
      <w:r w:rsidR="00331CF7">
        <w:t xml:space="preserve"> </w:t>
      </w:r>
      <w:r w:rsidRPr="00315F6D" w:rsidR="00331CF7">
        <w:t xml:space="preserve"> Specifically, </w:t>
      </w:r>
      <w:r w:rsidR="00331CF7">
        <w:t>we</w:t>
      </w:r>
      <w:r w:rsidRPr="00315F6D" w:rsidR="00331CF7">
        <w:t xml:space="preserve"> do not use name or any other personal identifier to routinely retrieve records from the information collected.</w:t>
      </w:r>
    </w:p>
    <w:p w:rsidRPr="00331CF7" w:rsidR="00331CF7" w:rsidP="00507969" w:rsidRDefault="00331CF7" w14:paraId="7DDAA0B5" w14:textId="77777777"/>
    <w:p w:rsidRPr="00290E45" w:rsidR="004C6979" w:rsidP="00507969" w:rsidRDefault="00EB7538" w14:paraId="6FFE27AD" w14:textId="77777777">
      <w:pPr>
        <w:numPr>
          <w:ilvl w:val="0"/>
          <w:numId w:val="1"/>
        </w:numPr>
        <w:tabs>
          <w:tab w:val="clear" w:pos="720"/>
        </w:tabs>
        <w:ind w:left="0"/>
        <w:rPr>
          <w:color w:val="000000"/>
          <w:u w:val="single"/>
        </w:rPr>
      </w:pPr>
      <w:r w:rsidRPr="00290E45">
        <w:rPr>
          <w:color w:val="000000"/>
          <w:u w:val="single"/>
        </w:rPr>
        <w:t>Justification for Sensitive Questions</w:t>
      </w:r>
    </w:p>
    <w:p w:rsidR="0003368F" w:rsidP="00507969" w:rsidRDefault="0003368F" w14:paraId="047CD089" w14:textId="77777777">
      <w:pPr>
        <w:rPr>
          <w:color w:val="000000"/>
        </w:rPr>
      </w:pPr>
    </w:p>
    <w:p w:rsidR="004C6979" w:rsidP="00507969" w:rsidRDefault="006433ED" w14:paraId="0444FC55" w14:textId="4358C480">
      <w:pPr>
        <w:rPr>
          <w:color w:val="000000"/>
        </w:rPr>
      </w:pPr>
      <w:r w:rsidRPr="00290E45">
        <w:rPr>
          <w:color w:val="000000"/>
        </w:rPr>
        <w:t>There are no questions of a sensitive nature in the environmental impact requirements.</w:t>
      </w:r>
    </w:p>
    <w:p w:rsidRPr="00290E45" w:rsidR="0003368F" w:rsidP="00507969" w:rsidRDefault="0003368F" w14:paraId="3F774D33" w14:textId="77777777">
      <w:pPr>
        <w:rPr>
          <w:color w:val="000000"/>
        </w:rPr>
      </w:pPr>
    </w:p>
    <w:p w:rsidRPr="00290E45" w:rsidR="004C6979" w:rsidP="00507969" w:rsidRDefault="00EB7538" w14:paraId="6590EC51" w14:textId="77777777">
      <w:pPr>
        <w:numPr>
          <w:ilvl w:val="0"/>
          <w:numId w:val="1"/>
        </w:numPr>
        <w:tabs>
          <w:tab w:val="clear" w:pos="720"/>
        </w:tabs>
        <w:ind w:left="0"/>
        <w:rPr>
          <w:color w:val="000000"/>
          <w:u w:val="single"/>
        </w:rPr>
      </w:pPr>
      <w:r w:rsidRPr="00290E45">
        <w:rPr>
          <w:color w:val="000000"/>
          <w:u w:val="single"/>
        </w:rPr>
        <w:t>Estimates of Annualized Burden Hours and Costs</w:t>
      </w:r>
    </w:p>
    <w:p w:rsidR="009B0810" w:rsidP="00507969" w:rsidRDefault="009B0810" w14:paraId="70C7EBDD" w14:textId="3DDEECD7">
      <w:pPr>
        <w:pStyle w:val="BodyText2"/>
        <w:jc w:val="center"/>
        <w:rPr>
          <w:color w:val="000000"/>
        </w:rPr>
      </w:pPr>
    </w:p>
    <w:p w:rsidRPr="0003368F" w:rsidR="006F360D" w:rsidP="006F360D" w:rsidRDefault="006F360D" w14:paraId="2C30D4B1" w14:textId="66456C34">
      <w:pPr>
        <w:pStyle w:val="BodyText2"/>
        <w:rPr>
          <w:i/>
          <w:iCs/>
          <w:color w:val="000000"/>
        </w:rPr>
      </w:pPr>
      <w:r w:rsidRPr="0003368F">
        <w:rPr>
          <w:i/>
          <w:iCs/>
          <w:color w:val="000000"/>
        </w:rPr>
        <w:t>12a.  Annualized Hourly Burden Estimate</w:t>
      </w:r>
    </w:p>
    <w:p w:rsidRPr="00376949" w:rsidR="00376949" w:rsidP="00376949" w:rsidRDefault="00376949" w14:paraId="18807866" w14:textId="77777777">
      <w:pPr>
        <w:pStyle w:val="BodyText2"/>
        <w:rPr>
          <w:color w:val="000000"/>
        </w:rPr>
      </w:pPr>
    </w:p>
    <w:p w:rsidRPr="00376949" w:rsidR="00376949" w:rsidP="00376949" w:rsidRDefault="00376949" w14:paraId="1397AD69" w14:textId="77777777">
      <w:pPr>
        <w:pStyle w:val="BodyText2"/>
        <w:jc w:val="center"/>
        <w:rPr>
          <w:color w:val="000000"/>
          <w:sz w:val="22"/>
          <w:szCs w:val="22"/>
        </w:rPr>
      </w:pPr>
      <w:r w:rsidRPr="00376949">
        <w:rPr>
          <w:color w:val="000000"/>
          <w:sz w:val="22"/>
          <w:szCs w:val="22"/>
        </w:rPr>
        <w:t>Table 1.--Estimated Annual Reporting Burden</w:t>
      </w:r>
      <w:r w:rsidRPr="00376949">
        <w:rPr>
          <w:color w:val="000000"/>
          <w:sz w:val="22"/>
          <w:szCs w:val="22"/>
          <w:vertAlign w:val="superscript"/>
        </w:rPr>
        <w:t>1</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5"/>
        <w:gridCol w:w="1441"/>
        <w:gridCol w:w="1620"/>
        <w:gridCol w:w="1275"/>
        <w:gridCol w:w="1488"/>
        <w:gridCol w:w="1011"/>
      </w:tblGrid>
      <w:tr w:rsidRPr="00376949" w:rsidR="00376949" w:rsidTr="001154C5" w14:paraId="20899709" w14:textId="77777777">
        <w:trPr>
          <w:cantSplit/>
          <w:trHeight w:val="20"/>
          <w:tblHeader/>
          <w:jc w:val="center"/>
        </w:trPr>
        <w:tc>
          <w:tcPr>
            <w:tcW w:w="2515" w:type="dxa"/>
            <w:shd w:val="clear" w:color="auto" w:fill="auto"/>
          </w:tcPr>
          <w:p w:rsidRPr="00376949" w:rsidR="00376949" w:rsidP="00376949" w:rsidRDefault="00376949" w14:paraId="3CE44C24" w14:textId="77777777">
            <w:pPr>
              <w:pStyle w:val="BodyText2"/>
              <w:rPr>
                <w:color w:val="000000"/>
                <w:sz w:val="22"/>
                <w:szCs w:val="22"/>
              </w:rPr>
            </w:pPr>
            <w:r w:rsidRPr="00376949">
              <w:rPr>
                <w:color w:val="000000"/>
                <w:sz w:val="22"/>
                <w:szCs w:val="22"/>
              </w:rPr>
              <w:t>21 CFR part 25; Activity</w:t>
            </w:r>
          </w:p>
        </w:tc>
        <w:tc>
          <w:tcPr>
            <w:tcW w:w="1441" w:type="dxa"/>
            <w:shd w:val="clear" w:color="auto" w:fill="auto"/>
          </w:tcPr>
          <w:p w:rsidRPr="00376949" w:rsidR="00376949" w:rsidP="00376949" w:rsidRDefault="00376949" w14:paraId="1D49E75C" w14:textId="77777777">
            <w:pPr>
              <w:pStyle w:val="BodyText2"/>
              <w:rPr>
                <w:color w:val="000000"/>
                <w:sz w:val="22"/>
                <w:szCs w:val="22"/>
              </w:rPr>
            </w:pPr>
            <w:r w:rsidRPr="00376949">
              <w:rPr>
                <w:color w:val="000000"/>
                <w:sz w:val="22"/>
                <w:szCs w:val="22"/>
              </w:rPr>
              <w:t>No. of Respondents</w:t>
            </w:r>
          </w:p>
        </w:tc>
        <w:tc>
          <w:tcPr>
            <w:tcW w:w="1620" w:type="dxa"/>
            <w:shd w:val="clear" w:color="auto" w:fill="auto"/>
          </w:tcPr>
          <w:p w:rsidRPr="00376949" w:rsidR="00376949" w:rsidP="00376949" w:rsidRDefault="00376949" w14:paraId="373D6593" w14:textId="77777777">
            <w:pPr>
              <w:pStyle w:val="BodyText2"/>
              <w:rPr>
                <w:color w:val="000000"/>
                <w:sz w:val="22"/>
                <w:szCs w:val="22"/>
              </w:rPr>
            </w:pPr>
            <w:r w:rsidRPr="00376949">
              <w:rPr>
                <w:bCs/>
                <w:color w:val="000000"/>
                <w:sz w:val="22"/>
                <w:szCs w:val="22"/>
              </w:rPr>
              <w:t>No. of Responses per Respondent</w:t>
            </w:r>
          </w:p>
        </w:tc>
        <w:tc>
          <w:tcPr>
            <w:tcW w:w="1275" w:type="dxa"/>
            <w:shd w:val="clear" w:color="auto" w:fill="auto"/>
          </w:tcPr>
          <w:p w:rsidRPr="00376949" w:rsidR="00376949" w:rsidP="00376949" w:rsidRDefault="00376949" w14:paraId="496E983C" w14:textId="77777777">
            <w:pPr>
              <w:pStyle w:val="BodyText2"/>
              <w:rPr>
                <w:color w:val="000000"/>
                <w:sz w:val="22"/>
                <w:szCs w:val="22"/>
              </w:rPr>
            </w:pPr>
            <w:r w:rsidRPr="00376949">
              <w:rPr>
                <w:color w:val="000000"/>
                <w:sz w:val="22"/>
                <w:szCs w:val="22"/>
              </w:rPr>
              <w:t>Total Annual Responses</w:t>
            </w:r>
          </w:p>
        </w:tc>
        <w:tc>
          <w:tcPr>
            <w:tcW w:w="0" w:type="auto"/>
            <w:shd w:val="clear" w:color="auto" w:fill="auto"/>
          </w:tcPr>
          <w:p w:rsidRPr="00376949" w:rsidR="00376949" w:rsidP="00376949" w:rsidRDefault="00376949" w14:paraId="32D31BDA" w14:textId="77777777">
            <w:pPr>
              <w:pStyle w:val="BodyText2"/>
              <w:rPr>
                <w:color w:val="000000"/>
                <w:sz w:val="22"/>
                <w:szCs w:val="22"/>
              </w:rPr>
            </w:pPr>
            <w:r w:rsidRPr="00376949">
              <w:rPr>
                <w:bCs/>
                <w:color w:val="000000"/>
                <w:sz w:val="22"/>
                <w:szCs w:val="22"/>
              </w:rPr>
              <w:t>Average Burden per Response</w:t>
            </w:r>
          </w:p>
        </w:tc>
        <w:tc>
          <w:tcPr>
            <w:tcW w:w="0" w:type="auto"/>
            <w:shd w:val="clear" w:color="auto" w:fill="auto"/>
          </w:tcPr>
          <w:p w:rsidRPr="00376949" w:rsidR="00376949" w:rsidP="00376949" w:rsidRDefault="00376949" w14:paraId="67E03CCE" w14:textId="77777777">
            <w:pPr>
              <w:pStyle w:val="BodyText2"/>
              <w:rPr>
                <w:color w:val="000000"/>
                <w:sz w:val="22"/>
                <w:szCs w:val="22"/>
              </w:rPr>
            </w:pPr>
            <w:r w:rsidRPr="00376949">
              <w:rPr>
                <w:color w:val="000000"/>
                <w:sz w:val="22"/>
                <w:szCs w:val="22"/>
              </w:rPr>
              <w:t>Total Hours</w:t>
            </w:r>
          </w:p>
        </w:tc>
      </w:tr>
      <w:tr w:rsidRPr="00376949" w:rsidR="00376949" w:rsidTr="001154C5" w14:paraId="5037C8EB" w14:textId="77777777">
        <w:trPr>
          <w:cantSplit/>
          <w:trHeight w:val="20"/>
          <w:jc w:val="center"/>
        </w:trPr>
        <w:tc>
          <w:tcPr>
            <w:tcW w:w="0" w:type="auto"/>
            <w:gridSpan w:val="6"/>
            <w:shd w:val="clear" w:color="auto" w:fill="auto"/>
          </w:tcPr>
          <w:p w:rsidRPr="00376949" w:rsidR="00376949" w:rsidP="00376949" w:rsidRDefault="00376949" w14:paraId="5973F2D5" w14:textId="77777777">
            <w:pPr>
              <w:pStyle w:val="BodyText2"/>
              <w:rPr>
                <w:color w:val="000000"/>
                <w:sz w:val="22"/>
                <w:szCs w:val="22"/>
              </w:rPr>
            </w:pPr>
            <w:r w:rsidRPr="00376949">
              <w:rPr>
                <w:color w:val="000000"/>
                <w:sz w:val="22"/>
                <w:szCs w:val="22"/>
              </w:rPr>
              <w:t>Section 25.40(c); actions excluded from the requirement to prepare EA or EIS:</w:t>
            </w:r>
          </w:p>
        </w:tc>
      </w:tr>
      <w:tr w:rsidRPr="00376949" w:rsidR="00376949" w:rsidTr="001154C5" w14:paraId="2BA9CEE6" w14:textId="77777777">
        <w:trPr>
          <w:cantSplit/>
          <w:trHeight w:val="20"/>
          <w:jc w:val="center"/>
        </w:trPr>
        <w:tc>
          <w:tcPr>
            <w:tcW w:w="2515" w:type="dxa"/>
            <w:shd w:val="clear" w:color="auto" w:fill="auto"/>
          </w:tcPr>
          <w:p w:rsidRPr="00376949" w:rsidR="00376949" w:rsidP="00376949" w:rsidRDefault="00376949" w14:paraId="0723BCA9" w14:textId="77777777">
            <w:pPr>
              <w:pStyle w:val="BodyText2"/>
              <w:rPr>
                <w:color w:val="000000"/>
                <w:sz w:val="22"/>
                <w:szCs w:val="22"/>
              </w:rPr>
            </w:pPr>
            <w:r w:rsidRPr="00376949">
              <w:rPr>
                <w:color w:val="000000"/>
                <w:sz w:val="22"/>
                <w:szCs w:val="22"/>
              </w:rPr>
              <w:lastRenderedPageBreak/>
              <w:t>Center for Drug Evaluation and Research (CDER)</w:t>
            </w:r>
          </w:p>
        </w:tc>
        <w:tc>
          <w:tcPr>
            <w:tcW w:w="1441" w:type="dxa"/>
            <w:shd w:val="clear" w:color="auto" w:fill="auto"/>
          </w:tcPr>
          <w:p w:rsidRPr="00376949" w:rsidR="00376949" w:rsidP="00376949" w:rsidRDefault="00376949" w14:paraId="01095858" w14:textId="77777777">
            <w:pPr>
              <w:pStyle w:val="BodyText2"/>
              <w:rPr>
                <w:color w:val="000000"/>
                <w:sz w:val="22"/>
                <w:szCs w:val="22"/>
              </w:rPr>
            </w:pPr>
            <w:r w:rsidRPr="00376949">
              <w:rPr>
                <w:color w:val="000000"/>
                <w:sz w:val="22"/>
                <w:szCs w:val="22"/>
              </w:rPr>
              <w:t>14</w:t>
            </w:r>
          </w:p>
        </w:tc>
        <w:tc>
          <w:tcPr>
            <w:tcW w:w="1620" w:type="dxa"/>
            <w:shd w:val="clear" w:color="auto" w:fill="auto"/>
          </w:tcPr>
          <w:p w:rsidRPr="00376949" w:rsidR="00376949" w:rsidP="00376949" w:rsidRDefault="00376949" w14:paraId="5E8EDD3E" w14:textId="77777777">
            <w:pPr>
              <w:pStyle w:val="BodyText2"/>
              <w:rPr>
                <w:color w:val="000000"/>
                <w:sz w:val="22"/>
                <w:szCs w:val="22"/>
              </w:rPr>
            </w:pPr>
            <w:r w:rsidRPr="00376949">
              <w:rPr>
                <w:color w:val="000000"/>
                <w:sz w:val="22"/>
                <w:szCs w:val="22"/>
              </w:rPr>
              <w:t>0.9285</w:t>
            </w:r>
          </w:p>
        </w:tc>
        <w:tc>
          <w:tcPr>
            <w:tcW w:w="1275" w:type="dxa"/>
            <w:shd w:val="clear" w:color="auto" w:fill="auto"/>
          </w:tcPr>
          <w:p w:rsidRPr="00376949" w:rsidR="00376949" w:rsidP="00376949" w:rsidRDefault="00376949" w14:paraId="29CA72FC" w14:textId="77777777">
            <w:pPr>
              <w:pStyle w:val="BodyText2"/>
              <w:rPr>
                <w:color w:val="000000"/>
                <w:sz w:val="22"/>
                <w:szCs w:val="22"/>
              </w:rPr>
            </w:pPr>
            <w:r w:rsidRPr="00376949">
              <w:rPr>
                <w:color w:val="000000"/>
                <w:sz w:val="22"/>
                <w:szCs w:val="22"/>
              </w:rPr>
              <w:t>13</w:t>
            </w:r>
          </w:p>
        </w:tc>
        <w:tc>
          <w:tcPr>
            <w:tcW w:w="0" w:type="auto"/>
            <w:shd w:val="clear" w:color="auto" w:fill="auto"/>
          </w:tcPr>
          <w:p w:rsidRPr="00376949" w:rsidR="00376949" w:rsidP="00376949" w:rsidRDefault="00376949" w14:paraId="56A9FC38" w14:textId="77777777">
            <w:pPr>
              <w:pStyle w:val="BodyText2"/>
              <w:rPr>
                <w:color w:val="000000"/>
                <w:sz w:val="22"/>
                <w:szCs w:val="22"/>
              </w:rPr>
            </w:pPr>
            <w:r w:rsidRPr="00376949">
              <w:rPr>
                <w:color w:val="000000"/>
                <w:sz w:val="22"/>
                <w:szCs w:val="22"/>
              </w:rPr>
              <w:t>3,400</w:t>
            </w:r>
          </w:p>
        </w:tc>
        <w:tc>
          <w:tcPr>
            <w:tcW w:w="0" w:type="auto"/>
            <w:shd w:val="clear" w:color="auto" w:fill="auto"/>
          </w:tcPr>
          <w:p w:rsidRPr="00376949" w:rsidR="00376949" w:rsidP="00376949" w:rsidRDefault="00376949" w14:paraId="523DE5E8" w14:textId="77777777">
            <w:pPr>
              <w:pStyle w:val="BodyText2"/>
              <w:rPr>
                <w:color w:val="000000"/>
                <w:sz w:val="22"/>
                <w:szCs w:val="22"/>
              </w:rPr>
            </w:pPr>
            <w:r w:rsidRPr="00376949">
              <w:rPr>
                <w:color w:val="000000"/>
                <w:sz w:val="22"/>
                <w:szCs w:val="22"/>
              </w:rPr>
              <w:t>44,200</w:t>
            </w:r>
          </w:p>
        </w:tc>
      </w:tr>
      <w:tr w:rsidRPr="00376949" w:rsidR="00376949" w:rsidTr="001154C5" w14:paraId="7B19B52D" w14:textId="77777777">
        <w:trPr>
          <w:cantSplit/>
          <w:trHeight w:val="20"/>
          <w:jc w:val="center"/>
        </w:trPr>
        <w:tc>
          <w:tcPr>
            <w:tcW w:w="2515" w:type="dxa"/>
            <w:shd w:val="clear" w:color="auto" w:fill="auto"/>
          </w:tcPr>
          <w:p w:rsidRPr="00376949" w:rsidR="00376949" w:rsidP="00376949" w:rsidRDefault="00376949" w14:paraId="2C730A53" w14:textId="77777777">
            <w:pPr>
              <w:pStyle w:val="BodyText2"/>
              <w:rPr>
                <w:color w:val="000000"/>
                <w:sz w:val="22"/>
                <w:szCs w:val="22"/>
              </w:rPr>
            </w:pPr>
            <w:r w:rsidRPr="00376949">
              <w:rPr>
                <w:color w:val="000000"/>
                <w:sz w:val="22"/>
                <w:szCs w:val="22"/>
              </w:rPr>
              <w:t>Center for Devices and Radiological Health (CDRH)</w:t>
            </w:r>
          </w:p>
        </w:tc>
        <w:tc>
          <w:tcPr>
            <w:tcW w:w="1441" w:type="dxa"/>
            <w:shd w:val="clear" w:color="auto" w:fill="auto"/>
          </w:tcPr>
          <w:p w:rsidRPr="00376949" w:rsidR="00376949" w:rsidP="00376949" w:rsidRDefault="00376949" w14:paraId="545FD18A" w14:textId="77777777">
            <w:pPr>
              <w:pStyle w:val="BodyText2"/>
              <w:rPr>
                <w:color w:val="000000"/>
                <w:sz w:val="22"/>
                <w:szCs w:val="22"/>
              </w:rPr>
            </w:pPr>
            <w:r w:rsidRPr="00376949">
              <w:rPr>
                <w:color w:val="000000"/>
                <w:sz w:val="22"/>
                <w:szCs w:val="22"/>
              </w:rPr>
              <w:t>0</w:t>
            </w:r>
          </w:p>
        </w:tc>
        <w:tc>
          <w:tcPr>
            <w:tcW w:w="1620" w:type="dxa"/>
            <w:shd w:val="clear" w:color="auto" w:fill="auto"/>
          </w:tcPr>
          <w:p w:rsidRPr="00376949" w:rsidR="00376949" w:rsidP="00376949" w:rsidRDefault="00376949" w14:paraId="7AF68E98" w14:textId="77777777">
            <w:pPr>
              <w:pStyle w:val="BodyText2"/>
              <w:rPr>
                <w:color w:val="000000"/>
                <w:sz w:val="22"/>
                <w:szCs w:val="22"/>
              </w:rPr>
            </w:pPr>
            <w:r w:rsidRPr="00376949">
              <w:rPr>
                <w:color w:val="000000"/>
                <w:sz w:val="22"/>
                <w:szCs w:val="22"/>
              </w:rPr>
              <w:t>-</w:t>
            </w:r>
          </w:p>
        </w:tc>
        <w:tc>
          <w:tcPr>
            <w:tcW w:w="1275" w:type="dxa"/>
            <w:shd w:val="clear" w:color="auto" w:fill="auto"/>
          </w:tcPr>
          <w:p w:rsidRPr="00376949" w:rsidR="00376949" w:rsidP="00376949" w:rsidRDefault="00376949" w14:paraId="5FC959E6" w14:textId="77777777">
            <w:pPr>
              <w:pStyle w:val="BodyText2"/>
              <w:rPr>
                <w:color w:val="000000"/>
                <w:sz w:val="22"/>
                <w:szCs w:val="22"/>
              </w:rPr>
            </w:pPr>
            <w:r w:rsidRPr="00376949">
              <w:rPr>
                <w:color w:val="000000"/>
                <w:sz w:val="22"/>
                <w:szCs w:val="22"/>
              </w:rPr>
              <w:t>0</w:t>
            </w:r>
          </w:p>
        </w:tc>
        <w:tc>
          <w:tcPr>
            <w:tcW w:w="0" w:type="auto"/>
            <w:shd w:val="clear" w:color="auto" w:fill="auto"/>
          </w:tcPr>
          <w:p w:rsidRPr="00376949" w:rsidR="00376949" w:rsidP="00376949" w:rsidRDefault="00376949" w14:paraId="4A8AAFFC" w14:textId="77777777">
            <w:pPr>
              <w:pStyle w:val="BodyText2"/>
              <w:rPr>
                <w:color w:val="000000"/>
                <w:sz w:val="22"/>
                <w:szCs w:val="22"/>
              </w:rPr>
            </w:pPr>
            <w:r w:rsidRPr="00376949">
              <w:rPr>
                <w:color w:val="000000"/>
                <w:sz w:val="22"/>
                <w:szCs w:val="22"/>
              </w:rPr>
              <w:t>-</w:t>
            </w:r>
          </w:p>
        </w:tc>
        <w:tc>
          <w:tcPr>
            <w:tcW w:w="0" w:type="auto"/>
            <w:shd w:val="clear" w:color="auto" w:fill="auto"/>
          </w:tcPr>
          <w:p w:rsidRPr="00376949" w:rsidR="00376949" w:rsidP="00376949" w:rsidRDefault="00376949" w14:paraId="458E31CF" w14:textId="77777777">
            <w:pPr>
              <w:pStyle w:val="BodyText2"/>
              <w:rPr>
                <w:color w:val="000000"/>
                <w:sz w:val="22"/>
                <w:szCs w:val="22"/>
              </w:rPr>
            </w:pPr>
            <w:r w:rsidRPr="00376949">
              <w:rPr>
                <w:color w:val="000000"/>
                <w:sz w:val="22"/>
                <w:szCs w:val="22"/>
              </w:rPr>
              <w:t>0</w:t>
            </w:r>
          </w:p>
        </w:tc>
      </w:tr>
      <w:tr w:rsidRPr="00376949" w:rsidR="00376949" w:rsidTr="001154C5" w14:paraId="439AC8D8" w14:textId="77777777">
        <w:trPr>
          <w:cantSplit/>
          <w:trHeight w:val="20"/>
          <w:jc w:val="center"/>
        </w:trPr>
        <w:tc>
          <w:tcPr>
            <w:tcW w:w="2515" w:type="dxa"/>
            <w:shd w:val="clear" w:color="auto" w:fill="auto"/>
          </w:tcPr>
          <w:p w:rsidRPr="00376949" w:rsidR="00376949" w:rsidDel="00215B02" w:rsidP="00376949" w:rsidRDefault="00376949" w14:paraId="24487D87" w14:textId="77777777">
            <w:pPr>
              <w:pStyle w:val="BodyText2"/>
              <w:rPr>
                <w:color w:val="000000"/>
                <w:sz w:val="22"/>
                <w:szCs w:val="22"/>
              </w:rPr>
            </w:pPr>
            <w:r w:rsidRPr="00376949">
              <w:rPr>
                <w:color w:val="000000"/>
                <w:sz w:val="22"/>
                <w:szCs w:val="22"/>
              </w:rPr>
              <w:t>Center for Biologics Evaluation and Research (CBER)</w:t>
            </w:r>
          </w:p>
        </w:tc>
        <w:tc>
          <w:tcPr>
            <w:tcW w:w="1441" w:type="dxa"/>
            <w:shd w:val="clear" w:color="auto" w:fill="auto"/>
          </w:tcPr>
          <w:p w:rsidRPr="00376949" w:rsidR="00376949" w:rsidDel="00215B02" w:rsidP="00376949" w:rsidRDefault="00376949" w14:paraId="0C047964" w14:textId="77777777">
            <w:pPr>
              <w:pStyle w:val="BodyText2"/>
              <w:rPr>
                <w:color w:val="000000"/>
                <w:sz w:val="22"/>
                <w:szCs w:val="22"/>
              </w:rPr>
            </w:pPr>
            <w:r w:rsidRPr="00376949">
              <w:rPr>
                <w:color w:val="000000"/>
                <w:sz w:val="22"/>
                <w:szCs w:val="22"/>
              </w:rPr>
              <w:t>4</w:t>
            </w:r>
          </w:p>
        </w:tc>
        <w:tc>
          <w:tcPr>
            <w:tcW w:w="1620" w:type="dxa"/>
            <w:shd w:val="clear" w:color="auto" w:fill="auto"/>
          </w:tcPr>
          <w:p w:rsidRPr="00376949" w:rsidR="00376949" w:rsidDel="00215B02" w:rsidP="00376949" w:rsidRDefault="00376949" w14:paraId="22B1A089" w14:textId="77777777">
            <w:pPr>
              <w:pStyle w:val="BodyText2"/>
              <w:rPr>
                <w:color w:val="000000"/>
                <w:sz w:val="22"/>
                <w:szCs w:val="22"/>
              </w:rPr>
            </w:pPr>
            <w:r w:rsidRPr="00376949">
              <w:rPr>
                <w:color w:val="000000"/>
                <w:sz w:val="22"/>
                <w:szCs w:val="22"/>
              </w:rPr>
              <w:t>1</w:t>
            </w:r>
          </w:p>
        </w:tc>
        <w:tc>
          <w:tcPr>
            <w:tcW w:w="1275" w:type="dxa"/>
            <w:shd w:val="clear" w:color="auto" w:fill="auto"/>
          </w:tcPr>
          <w:p w:rsidRPr="00376949" w:rsidR="00376949" w:rsidDel="00215B02" w:rsidP="00376949" w:rsidRDefault="00376949" w14:paraId="13686BE2" w14:textId="77777777">
            <w:pPr>
              <w:pStyle w:val="BodyText2"/>
              <w:rPr>
                <w:color w:val="000000"/>
                <w:sz w:val="22"/>
                <w:szCs w:val="22"/>
              </w:rPr>
            </w:pPr>
            <w:r w:rsidRPr="00376949">
              <w:rPr>
                <w:color w:val="000000"/>
                <w:sz w:val="22"/>
                <w:szCs w:val="22"/>
              </w:rPr>
              <w:t>4</w:t>
            </w:r>
          </w:p>
        </w:tc>
        <w:tc>
          <w:tcPr>
            <w:tcW w:w="0" w:type="auto"/>
            <w:shd w:val="clear" w:color="auto" w:fill="auto"/>
          </w:tcPr>
          <w:p w:rsidRPr="00376949" w:rsidR="00376949" w:rsidDel="000B746A" w:rsidP="00376949" w:rsidRDefault="00376949" w14:paraId="27FF74DA" w14:textId="77777777">
            <w:pPr>
              <w:pStyle w:val="BodyText2"/>
              <w:rPr>
                <w:color w:val="000000"/>
                <w:sz w:val="22"/>
                <w:szCs w:val="22"/>
              </w:rPr>
            </w:pPr>
            <w:r w:rsidRPr="00376949">
              <w:rPr>
                <w:color w:val="000000"/>
                <w:sz w:val="22"/>
                <w:szCs w:val="22"/>
              </w:rPr>
              <w:t>3,400</w:t>
            </w:r>
          </w:p>
        </w:tc>
        <w:tc>
          <w:tcPr>
            <w:tcW w:w="0" w:type="auto"/>
            <w:shd w:val="clear" w:color="auto" w:fill="auto"/>
          </w:tcPr>
          <w:p w:rsidRPr="00376949" w:rsidR="00376949" w:rsidDel="00215B02" w:rsidP="00376949" w:rsidRDefault="00376949" w14:paraId="0E328812" w14:textId="77777777">
            <w:pPr>
              <w:pStyle w:val="BodyText2"/>
              <w:rPr>
                <w:color w:val="000000"/>
                <w:sz w:val="22"/>
                <w:szCs w:val="22"/>
              </w:rPr>
            </w:pPr>
            <w:r w:rsidRPr="00376949">
              <w:rPr>
                <w:color w:val="000000"/>
                <w:sz w:val="22"/>
                <w:szCs w:val="22"/>
              </w:rPr>
              <w:t>13,600</w:t>
            </w:r>
          </w:p>
        </w:tc>
      </w:tr>
      <w:tr w:rsidRPr="00376949" w:rsidR="00376949" w:rsidTr="001154C5" w14:paraId="15FF93EA" w14:textId="77777777">
        <w:trPr>
          <w:cantSplit/>
          <w:trHeight w:val="20"/>
          <w:jc w:val="center"/>
        </w:trPr>
        <w:tc>
          <w:tcPr>
            <w:tcW w:w="2515" w:type="dxa"/>
            <w:shd w:val="clear" w:color="auto" w:fill="auto"/>
          </w:tcPr>
          <w:p w:rsidRPr="00376949" w:rsidR="00376949" w:rsidDel="00215B02" w:rsidP="00376949" w:rsidRDefault="00376949" w14:paraId="2417EA0D" w14:textId="77777777">
            <w:pPr>
              <w:pStyle w:val="BodyText2"/>
              <w:rPr>
                <w:color w:val="000000"/>
                <w:sz w:val="22"/>
                <w:szCs w:val="22"/>
              </w:rPr>
            </w:pPr>
            <w:r w:rsidRPr="00376949">
              <w:rPr>
                <w:color w:val="000000"/>
                <w:sz w:val="22"/>
                <w:szCs w:val="22"/>
              </w:rPr>
              <w:t>Center for Veterinary Medicine (CVM)</w:t>
            </w:r>
          </w:p>
        </w:tc>
        <w:tc>
          <w:tcPr>
            <w:tcW w:w="1441" w:type="dxa"/>
            <w:shd w:val="clear" w:color="auto" w:fill="auto"/>
          </w:tcPr>
          <w:p w:rsidRPr="00376949" w:rsidR="00376949" w:rsidDel="00215B02" w:rsidP="00376949" w:rsidRDefault="00376949" w14:paraId="447AB78F" w14:textId="77777777">
            <w:pPr>
              <w:pStyle w:val="BodyText2"/>
              <w:rPr>
                <w:color w:val="000000"/>
                <w:sz w:val="22"/>
                <w:szCs w:val="22"/>
              </w:rPr>
            </w:pPr>
            <w:r w:rsidRPr="00376949">
              <w:rPr>
                <w:color w:val="000000"/>
                <w:sz w:val="22"/>
                <w:szCs w:val="22"/>
              </w:rPr>
              <w:t>9</w:t>
            </w:r>
          </w:p>
        </w:tc>
        <w:tc>
          <w:tcPr>
            <w:tcW w:w="1620" w:type="dxa"/>
            <w:shd w:val="clear" w:color="auto" w:fill="auto"/>
          </w:tcPr>
          <w:p w:rsidRPr="00376949" w:rsidR="00376949" w:rsidDel="00215B02" w:rsidP="00376949" w:rsidRDefault="00376949" w14:paraId="32E0C3B0" w14:textId="77777777">
            <w:pPr>
              <w:pStyle w:val="BodyText2"/>
              <w:rPr>
                <w:color w:val="000000"/>
                <w:sz w:val="22"/>
                <w:szCs w:val="22"/>
              </w:rPr>
            </w:pPr>
            <w:r w:rsidRPr="00376949">
              <w:rPr>
                <w:color w:val="000000"/>
                <w:sz w:val="22"/>
                <w:szCs w:val="22"/>
              </w:rPr>
              <w:t>1</w:t>
            </w:r>
          </w:p>
        </w:tc>
        <w:tc>
          <w:tcPr>
            <w:tcW w:w="1275" w:type="dxa"/>
            <w:shd w:val="clear" w:color="auto" w:fill="auto"/>
          </w:tcPr>
          <w:p w:rsidRPr="00376949" w:rsidR="00376949" w:rsidDel="00215B02" w:rsidP="00376949" w:rsidRDefault="00376949" w14:paraId="73C00F80" w14:textId="77777777">
            <w:pPr>
              <w:pStyle w:val="BodyText2"/>
              <w:rPr>
                <w:color w:val="000000"/>
                <w:sz w:val="22"/>
                <w:szCs w:val="22"/>
              </w:rPr>
            </w:pPr>
            <w:r w:rsidRPr="00376949">
              <w:rPr>
                <w:color w:val="000000"/>
                <w:sz w:val="22"/>
                <w:szCs w:val="22"/>
              </w:rPr>
              <w:t>9</w:t>
            </w:r>
          </w:p>
        </w:tc>
        <w:tc>
          <w:tcPr>
            <w:tcW w:w="0" w:type="auto"/>
            <w:shd w:val="clear" w:color="auto" w:fill="auto"/>
          </w:tcPr>
          <w:p w:rsidRPr="00376949" w:rsidR="00376949" w:rsidDel="000B746A" w:rsidP="00376949" w:rsidRDefault="00376949" w14:paraId="2A1F962A" w14:textId="77777777">
            <w:pPr>
              <w:pStyle w:val="BodyText2"/>
              <w:rPr>
                <w:color w:val="000000"/>
                <w:sz w:val="22"/>
                <w:szCs w:val="22"/>
              </w:rPr>
            </w:pPr>
            <w:r w:rsidRPr="00376949">
              <w:rPr>
                <w:color w:val="000000"/>
                <w:sz w:val="22"/>
                <w:szCs w:val="22"/>
              </w:rPr>
              <w:t>2,160</w:t>
            </w:r>
          </w:p>
        </w:tc>
        <w:tc>
          <w:tcPr>
            <w:tcW w:w="0" w:type="auto"/>
            <w:shd w:val="clear" w:color="auto" w:fill="auto"/>
          </w:tcPr>
          <w:p w:rsidRPr="00376949" w:rsidR="00376949" w:rsidDel="00215B02" w:rsidP="00376949" w:rsidRDefault="00376949" w14:paraId="18D09C0E" w14:textId="77777777">
            <w:pPr>
              <w:pStyle w:val="BodyText2"/>
              <w:rPr>
                <w:color w:val="000000"/>
                <w:sz w:val="22"/>
                <w:szCs w:val="22"/>
              </w:rPr>
            </w:pPr>
            <w:r w:rsidRPr="00376949">
              <w:rPr>
                <w:color w:val="000000"/>
                <w:sz w:val="22"/>
                <w:szCs w:val="22"/>
              </w:rPr>
              <w:t>19,440</w:t>
            </w:r>
          </w:p>
        </w:tc>
      </w:tr>
      <w:tr w:rsidRPr="00376949" w:rsidR="00376949" w:rsidTr="001154C5" w14:paraId="5B730E26" w14:textId="77777777">
        <w:trPr>
          <w:cantSplit/>
          <w:trHeight w:val="20"/>
          <w:jc w:val="center"/>
        </w:trPr>
        <w:tc>
          <w:tcPr>
            <w:tcW w:w="2515" w:type="dxa"/>
            <w:shd w:val="clear" w:color="auto" w:fill="auto"/>
          </w:tcPr>
          <w:p w:rsidRPr="00376949" w:rsidR="00376949" w:rsidP="00376949" w:rsidRDefault="00376949" w14:paraId="08DA2EC9" w14:textId="77777777">
            <w:pPr>
              <w:pStyle w:val="BodyText2"/>
              <w:rPr>
                <w:color w:val="000000"/>
                <w:sz w:val="22"/>
                <w:szCs w:val="22"/>
              </w:rPr>
            </w:pPr>
            <w:r w:rsidRPr="00376949">
              <w:rPr>
                <w:color w:val="000000"/>
                <w:sz w:val="22"/>
                <w:szCs w:val="22"/>
              </w:rPr>
              <w:t>Center for Tobacco Products (CTP)</w:t>
            </w:r>
          </w:p>
        </w:tc>
        <w:tc>
          <w:tcPr>
            <w:tcW w:w="1441" w:type="dxa"/>
            <w:shd w:val="clear" w:color="auto" w:fill="auto"/>
          </w:tcPr>
          <w:p w:rsidRPr="00376949" w:rsidR="00376949" w:rsidDel="00215B02" w:rsidP="00376949" w:rsidRDefault="00376949" w14:paraId="35418008" w14:textId="77777777">
            <w:pPr>
              <w:pStyle w:val="BodyText2"/>
              <w:rPr>
                <w:color w:val="000000"/>
                <w:sz w:val="22"/>
                <w:szCs w:val="22"/>
              </w:rPr>
            </w:pPr>
            <w:r w:rsidRPr="00376949">
              <w:rPr>
                <w:color w:val="000000"/>
                <w:sz w:val="22"/>
                <w:szCs w:val="22"/>
              </w:rPr>
              <w:t>14</w:t>
            </w:r>
          </w:p>
        </w:tc>
        <w:tc>
          <w:tcPr>
            <w:tcW w:w="1620" w:type="dxa"/>
            <w:shd w:val="clear" w:color="auto" w:fill="auto"/>
          </w:tcPr>
          <w:p w:rsidRPr="00376949" w:rsidR="00376949" w:rsidDel="00215B02" w:rsidP="00376949" w:rsidRDefault="00376949" w14:paraId="2CD9706D" w14:textId="77777777">
            <w:pPr>
              <w:pStyle w:val="BodyText2"/>
              <w:rPr>
                <w:color w:val="000000"/>
                <w:sz w:val="22"/>
                <w:szCs w:val="22"/>
              </w:rPr>
            </w:pPr>
            <w:r w:rsidRPr="00376949">
              <w:rPr>
                <w:color w:val="000000"/>
                <w:sz w:val="22"/>
                <w:szCs w:val="22"/>
              </w:rPr>
              <w:t>1</w:t>
            </w:r>
          </w:p>
        </w:tc>
        <w:tc>
          <w:tcPr>
            <w:tcW w:w="1275" w:type="dxa"/>
            <w:shd w:val="clear" w:color="auto" w:fill="auto"/>
          </w:tcPr>
          <w:p w:rsidRPr="00376949" w:rsidR="00376949" w:rsidDel="00215B02" w:rsidP="00376949" w:rsidRDefault="00376949" w14:paraId="2CBABDF2" w14:textId="77777777">
            <w:pPr>
              <w:pStyle w:val="BodyText2"/>
              <w:rPr>
                <w:color w:val="000000"/>
                <w:sz w:val="22"/>
                <w:szCs w:val="22"/>
              </w:rPr>
            </w:pPr>
            <w:r w:rsidRPr="00376949">
              <w:rPr>
                <w:color w:val="000000"/>
                <w:sz w:val="22"/>
                <w:szCs w:val="22"/>
              </w:rPr>
              <w:t>14</w:t>
            </w:r>
          </w:p>
        </w:tc>
        <w:tc>
          <w:tcPr>
            <w:tcW w:w="0" w:type="auto"/>
            <w:shd w:val="clear" w:color="auto" w:fill="auto"/>
          </w:tcPr>
          <w:p w:rsidRPr="00376949" w:rsidR="00376949" w:rsidDel="000B746A" w:rsidP="00376949" w:rsidRDefault="00376949" w14:paraId="1315B72C" w14:textId="77777777">
            <w:pPr>
              <w:pStyle w:val="BodyText2"/>
              <w:rPr>
                <w:color w:val="000000"/>
                <w:sz w:val="22"/>
                <w:szCs w:val="22"/>
              </w:rPr>
            </w:pPr>
            <w:r w:rsidRPr="00376949">
              <w:rPr>
                <w:color w:val="000000"/>
                <w:sz w:val="22"/>
                <w:szCs w:val="22"/>
              </w:rPr>
              <w:t>80</w:t>
            </w:r>
          </w:p>
        </w:tc>
        <w:tc>
          <w:tcPr>
            <w:tcW w:w="0" w:type="auto"/>
            <w:shd w:val="clear" w:color="auto" w:fill="auto"/>
          </w:tcPr>
          <w:p w:rsidRPr="00376949" w:rsidR="00376949" w:rsidDel="00215B02" w:rsidP="00376949" w:rsidRDefault="00376949" w14:paraId="4320C6AF" w14:textId="77777777">
            <w:pPr>
              <w:pStyle w:val="BodyText2"/>
              <w:rPr>
                <w:color w:val="000000"/>
                <w:sz w:val="22"/>
                <w:szCs w:val="22"/>
              </w:rPr>
            </w:pPr>
            <w:r w:rsidRPr="00376949">
              <w:rPr>
                <w:color w:val="000000"/>
                <w:sz w:val="22"/>
                <w:szCs w:val="22"/>
              </w:rPr>
              <w:t>1,120</w:t>
            </w:r>
          </w:p>
        </w:tc>
      </w:tr>
      <w:tr w:rsidRPr="00376949" w:rsidR="00376949" w:rsidTr="001154C5" w14:paraId="5F37D61A" w14:textId="77777777">
        <w:trPr>
          <w:cantSplit/>
          <w:trHeight w:val="20"/>
          <w:jc w:val="center"/>
        </w:trPr>
        <w:tc>
          <w:tcPr>
            <w:tcW w:w="2515" w:type="dxa"/>
            <w:shd w:val="clear" w:color="auto" w:fill="auto"/>
          </w:tcPr>
          <w:p w:rsidRPr="00376949" w:rsidR="00376949" w:rsidP="00376949" w:rsidRDefault="00376949" w14:paraId="67F2BB31" w14:textId="77777777">
            <w:pPr>
              <w:pStyle w:val="BodyText2"/>
              <w:rPr>
                <w:color w:val="000000"/>
                <w:sz w:val="22"/>
                <w:szCs w:val="22"/>
              </w:rPr>
            </w:pPr>
            <w:r w:rsidRPr="00376949">
              <w:rPr>
                <w:bCs/>
                <w:color w:val="000000"/>
                <w:sz w:val="22"/>
                <w:szCs w:val="22"/>
              </w:rPr>
              <w:t>Center for Food Safety and Applied Nutrition (</w:t>
            </w:r>
            <w:r w:rsidRPr="00376949">
              <w:rPr>
                <w:color w:val="000000"/>
                <w:sz w:val="22"/>
                <w:szCs w:val="22"/>
              </w:rPr>
              <w:t>CFSAN)</w:t>
            </w:r>
          </w:p>
        </w:tc>
        <w:tc>
          <w:tcPr>
            <w:tcW w:w="1441" w:type="dxa"/>
            <w:shd w:val="clear" w:color="auto" w:fill="auto"/>
          </w:tcPr>
          <w:p w:rsidRPr="00376949" w:rsidR="00376949" w:rsidP="00376949" w:rsidRDefault="00376949" w14:paraId="66043C83" w14:textId="77777777">
            <w:pPr>
              <w:pStyle w:val="BodyText2"/>
              <w:rPr>
                <w:color w:val="000000"/>
                <w:sz w:val="22"/>
                <w:szCs w:val="22"/>
              </w:rPr>
            </w:pPr>
            <w:r w:rsidRPr="00376949">
              <w:rPr>
                <w:color w:val="000000"/>
                <w:sz w:val="22"/>
                <w:szCs w:val="22"/>
              </w:rPr>
              <w:t>57</w:t>
            </w:r>
          </w:p>
        </w:tc>
        <w:tc>
          <w:tcPr>
            <w:tcW w:w="1620" w:type="dxa"/>
            <w:shd w:val="clear" w:color="auto" w:fill="auto"/>
          </w:tcPr>
          <w:p w:rsidRPr="00376949" w:rsidR="00376949" w:rsidP="00376949" w:rsidRDefault="00376949" w14:paraId="4B925524" w14:textId="77777777">
            <w:pPr>
              <w:pStyle w:val="BodyText2"/>
              <w:rPr>
                <w:color w:val="000000"/>
                <w:sz w:val="22"/>
                <w:szCs w:val="22"/>
              </w:rPr>
            </w:pPr>
            <w:r w:rsidRPr="00376949">
              <w:rPr>
                <w:color w:val="000000"/>
                <w:sz w:val="22"/>
                <w:szCs w:val="22"/>
              </w:rPr>
              <w:t>1</w:t>
            </w:r>
          </w:p>
        </w:tc>
        <w:tc>
          <w:tcPr>
            <w:tcW w:w="1275" w:type="dxa"/>
            <w:shd w:val="clear" w:color="auto" w:fill="auto"/>
          </w:tcPr>
          <w:p w:rsidRPr="00376949" w:rsidR="00376949" w:rsidP="00376949" w:rsidRDefault="00376949" w14:paraId="47D920F7" w14:textId="77777777">
            <w:pPr>
              <w:pStyle w:val="BodyText2"/>
              <w:rPr>
                <w:color w:val="000000"/>
                <w:sz w:val="22"/>
                <w:szCs w:val="22"/>
              </w:rPr>
            </w:pPr>
            <w:r w:rsidRPr="00376949">
              <w:rPr>
                <w:color w:val="000000"/>
                <w:sz w:val="22"/>
                <w:szCs w:val="22"/>
              </w:rPr>
              <w:t>57</w:t>
            </w:r>
          </w:p>
        </w:tc>
        <w:tc>
          <w:tcPr>
            <w:tcW w:w="0" w:type="auto"/>
            <w:shd w:val="clear" w:color="auto" w:fill="auto"/>
          </w:tcPr>
          <w:p w:rsidRPr="00376949" w:rsidR="00376949" w:rsidP="00376949" w:rsidRDefault="00376949" w14:paraId="6FD28A3B" w14:textId="77777777">
            <w:pPr>
              <w:pStyle w:val="BodyText2"/>
              <w:rPr>
                <w:color w:val="000000"/>
                <w:sz w:val="22"/>
                <w:szCs w:val="22"/>
              </w:rPr>
            </w:pPr>
            <w:r w:rsidRPr="00376949">
              <w:rPr>
                <w:color w:val="000000"/>
                <w:sz w:val="22"/>
                <w:szCs w:val="22"/>
              </w:rPr>
              <w:t>180</w:t>
            </w:r>
          </w:p>
        </w:tc>
        <w:tc>
          <w:tcPr>
            <w:tcW w:w="0" w:type="auto"/>
            <w:shd w:val="clear" w:color="auto" w:fill="auto"/>
          </w:tcPr>
          <w:p w:rsidRPr="00376949" w:rsidR="00376949" w:rsidP="00376949" w:rsidRDefault="00376949" w14:paraId="7B0DE5DA" w14:textId="77777777">
            <w:pPr>
              <w:pStyle w:val="BodyText2"/>
              <w:rPr>
                <w:color w:val="000000"/>
                <w:sz w:val="22"/>
                <w:szCs w:val="22"/>
              </w:rPr>
            </w:pPr>
            <w:r w:rsidRPr="00376949">
              <w:rPr>
                <w:color w:val="000000"/>
                <w:sz w:val="22"/>
                <w:szCs w:val="22"/>
              </w:rPr>
              <w:t>10,260</w:t>
            </w:r>
          </w:p>
        </w:tc>
      </w:tr>
      <w:tr w:rsidRPr="00376949" w:rsidR="00376949" w:rsidTr="001154C5" w14:paraId="5EE19E71" w14:textId="77777777">
        <w:trPr>
          <w:cantSplit/>
          <w:trHeight w:val="20"/>
          <w:jc w:val="center"/>
        </w:trPr>
        <w:tc>
          <w:tcPr>
            <w:tcW w:w="5576" w:type="dxa"/>
            <w:gridSpan w:val="3"/>
            <w:shd w:val="clear" w:color="auto" w:fill="auto"/>
          </w:tcPr>
          <w:p w:rsidRPr="00376949" w:rsidR="00376949" w:rsidDel="00215B02" w:rsidP="00376949" w:rsidRDefault="00376949" w14:paraId="7C1D91A9" w14:textId="77777777">
            <w:pPr>
              <w:pStyle w:val="BodyText2"/>
              <w:rPr>
                <w:color w:val="000000"/>
                <w:sz w:val="22"/>
                <w:szCs w:val="22"/>
              </w:rPr>
            </w:pPr>
            <w:r w:rsidRPr="00376949">
              <w:rPr>
                <w:color w:val="000000"/>
                <w:sz w:val="22"/>
                <w:szCs w:val="22"/>
              </w:rPr>
              <w:t>Subtotal</w:t>
            </w:r>
          </w:p>
        </w:tc>
        <w:tc>
          <w:tcPr>
            <w:tcW w:w="1275" w:type="dxa"/>
            <w:shd w:val="clear" w:color="auto" w:fill="auto"/>
          </w:tcPr>
          <w:p w:rsidRPr="00376949" w:rsidR="00376949" w:rsidDel="00215B02" w:rsidP="00376949" w:rsidRDefault="00376949" w14:paraId="156A0805" w14:textId="77777777">
            <w:pPr>
              <w:pStyle w:val="BodyText2"/>
              <w:rPr>
                <w:color w:val="000000"/>
                <w:sz w:val="22"/>
                <w:szCs w:val="22"/>
              </w:rPr>
            </w:pPr>
            <w:r w:rsidRPr="00376949">
              <w:rPr>
                <w:color w:val="000000"/>
                <w:sz w:val="22"/>
                <w:szCs w:val="22"/>
              </w:rPr>
              <w:t>97</w:t>
            </w:r>
          </w:p>
        </w:tc>
        <w:tc>
          <w:tcPr>
            <w:tcW w:w="0" w:type="auto"/>
            <w:shd w:val="clear" w:color="auto" w:fill="auto"/>
          </w:tcPr>
          <w:p w:rsidRPr="00376949" w:rsidR="00376949" w:rsidDel="000B746A" w:rsidP="00376949" w:rsidRDefault="00376949" w14:paraId="1FC2529A" w14:textId="77777777">
            <w:pPr>
              <w:pStyle w:val="BodyText2"/>
              <w:rPr>
                <w:color w:val="000000"/>
                <w:sz w:val="22"/>
                <w:szCs w:val="22"/>
              </w:rPr>
            </w:pPr>
          </w:p>
        </w:tc>
        <w:tc>
          <w:tcPr>
            <w:tcW w:w="0" w:type="auto"/>
            <w:shd w:val="clear" w:color="auto" w:fill="auto"/>
          </w:tcPr>
          <w:p w:rsidRPr="00376949" w:rsidR="00376949" w:rsidDel="00215B02" w:rsidP="00376949" w:rsidRDefault="00376949" w14:paraId="7CE7ACEB" w14:textId="77777777">
            <w:pPr>
              <w:pStyle w:val="BodyText2"/>
              <w:rPr>
                <w:color w:val="000000"/>
                <w:sz w:val="22"/>
                <w:szCs w:val="22"/>
              </w:rPr>
            </w:pPr>
            <w:r w:rsidRPr="00376949">
              <w:rPr>
                <w:color w:val="000000"/>
                <w:sz w:val="22"/>
                <w:szCs w:val="22"/>
              </w:rPr>
              <w:t>88,620</w:t>
            </w:r>
          </w:p>
        </w:tc>
      </w:tr>
      <w:tr w:rsidRPr="00376949" w:rsidR="00376949" w:rsidTr="001154C5" w14:paraId="56BD4CFF" w14:textId="77777777">
        <w:trPr>
          <w:cantSplit/>
          <w:trHeight w:val="20"/>
          <w:jc w:val="center"/>
        </w:trPr>
        <w:tc>
          <w:tcPr>
            <w:tcW w:w="0" w:type="auto"/>
            <w:gridSpan w:val="6"/>
            <w:shd w:val="clear" w:color="auto" w:fill="auto"/>
          </w:tcPr>
          <w:p w:rsidRPr="00376949" w:rsidR="00376949" w:rsidDel="00215B02" w:rsidP="00376949" w:rsidRDefault="00376949" w14:paraId="1088449F" w14:textId="77777777">
            <w:pPr>
              <w:pStyle w:val="BodyText2"/>
              <w:rPr>
                <w:color w:val="000000"/>
                <w:sz w:val="22"/>
                <w:szCs w:val="22"/>
              </w:rPr>
            </w:pPr>
            <w:r w:rsidRPr="00376949">
              <w:rPr>
                <w:color w:val="000000"/>
                <w:sz w:val="22"/>
                <w:szCs w:val="22"/>
              </w:rPr>
              <w:t>Section 25.15(d); actions subject to CE:</w:t>
            </w:r>
          </w:p>
        </w:tc>
      </w:tr>
      <w:tr w:rsidRPr="00376949" w:rsidR="00376949" w:rsidTr="001154C5" w14:paraId="3DC3D30E" w14:textId="77777777">
        <w:trPr>
          <w:cantSplit/>
          <w:trHeight w:val="20"/>
          <w:jc w:val="center"/>
        </w:trPr>
        <w:tc>
          <w:tcPr>
            <w:tcW w:w="2515" w:type="dxa"/>
            <w:shd w:val="clear" w:color="auto" w:fill="auto"/>
          </w:tcPr>
          <w:p w:rsidRPr="00376949" w:rsidR="00376949" w:rsidDel="00215B02" w:rsidP="00376949" w:rsidRDefault="00376949" w14:paraId="373FA62F" w14:textId="77777777">
            <w:pPr>
              <w:pStyle w:val="BodyText2"/>
              <w:rPr>
                <w:color w:val="000000"/>
                <w:sz w:val="22"/>
                <w:szCs w:val="22"/>
              </w:rPr>
            </w:pPr>
            <w:r w:rsidRPr="00376949">
              <w:rPr>
                <w:color w:val="000000"/>
                <w:sz w:val="22"/>
                <w:szCs w:val="22"/>
              </w:rPr>
              <w:t>CDER</w:t>
            </w:r>
          </w:p>
        </w:tc>
        <w:tc>
          <w:tcPr>
            <w:tcW w:w="1441" w:type="dxa"/>
            <w:shd w:val="clear" w:color="auto" w:fill="auto"/>
          </w:tcPr>
          <w:p w:rsidRPr="00376949" w:rsidR="00376949" w:rsidDel="00215B02" w:rsidP="00376949" w:rsidRDefault="00376949" w14:paraId="1FD720DC" w14:textId="77777777">
            <w:pPr>
              <w:pStyle w:val="BodyText2"/>
              <w:rPr>
                <w:color w:val="000000"/>
                <w:sz w:val="22"/>
                <w:szCs w:val="22"/>
              </w:rPr>
            </w:pPr>
            <w:r w:rsidRPr="00376949">
              <w:rPr>
                <w:color w:val="000000"/>
                <w:sz w:val="22"/>
                <w:szCs w:val="22"/>
              </w:rPr>
              <w:t>5,186</w:t>
            </w:r>
          </w:p>
        </w:tc>
        <w:tc>
          <w:tcPr>
            <w:tcW w:w="1620" w:type="dxa"/>
            <w:shd w:val="clear" w:color="auto" w:fill="auto"/>
          </w:tcPr>
          <w:p w:rsidRPr="00376949" w:rsidR="00376949" w:rsidDel="00215B02" w:rsidP="00376949" w:rsidRDefault="00376949" w14:paraId="1B144BDA" w14:textId="77777777">
            <w:pPr>
              <w:pStyle w:val="BodyText2"/>
              <w:rPr>
                <w:color w:val="000000"/>
                <w:sz w:val="22"/>
                <w:szCs w:val="22"/>
              </w:rPr>
            </w:pPr>
            <w:r w:rsidRPr="00376949">
              <w:rPr>
                <w:color w:val="000000"/>
                <w:sz w:val="22"/>
                <w:szCs w:val="22"/>
              </w:rPr>
              <w:t>4.2273</w:t>
            </w:r>
          </w:p>
        </w:tc>
        <w:tc>
          <w:tcPr>
            <w:tcW w:w="1275" w:type="dxa"/>
            <w:shd w:val="clear" w:color="auto" w:fill="auto"/>
          </w:tcPr>
          <w:p w:rsidRPr="00376949" w:rsidR="00376949" w:rsidDel="00215B02" w:rsidP="00376949" w:rsidRDefault="00376949" w14:paraId="74AE98F3" w14:textId="77777777">
            <w:pPr>
              <w:pStyle w:val="BodyText2"/>
              <w:rPr>
                <w:color w:val="000000"/>
                <w:sz w:val="22"/>
                <w:szCs w:val="22"/>
              </w:rPr>
            </w:pPr>
            <w:r w:rsidRPr="00376949">
              <w:rPr>
                <w:color w:val="000000"/>
                <w:sz w:val="22"/>
                <w:szCs w:val="22"/>
              </w:rPr>
              <w:t>21,923</w:t>
            </w:r>
          </w:p>
        </w:tc>
        <w:tc>
          <w:tcPr>
            <w:tcW w:w="0" w:type="auto"/>
            <w:shd w:val="clear" w:color="auto" w:fill="auto"/>
          </w:tcPr>
          <w:p w:rsidRPr="00376949" w:rsidR="00376949" w:rsidDel="000B746A" w:rsidP="00376949" w:rsidRDefault="00376949" w14:paraId="692E894D" w14:textId="77777777">
            <w:pPr>
              <w:pStyle w:val="BodyText2"/>
              <w:rPr>
                <w:color w:val="000000"/>
                <w:sz w:val="22"/>
                <w:szCs w:val="22"/>
              </w:rPr>
            </w:pPr>
            <w:r w:rsidRPr="00376949">
              <w:rPr>
                <w:color w:val="000000"/>
                <w:sz w:val="22"/>
                <w:szCs w:val="22"/>
              </w:rPr>
              <w:t>8</w:t>
            </w:r>
          </w:p>
        </w:tc>
        <w:tc>
          <w:tcPr>
            <w:tcW w:w="0" w:type="auto"/>
            <w:shd w:val="clear" w:color="auto" w:fill="auto"/>
          </w:tcPr>
          <w:p w:rsidRPr="00376949" w:rsidR="00376949" w:rsidDel="00215B02" w:rsidP="00376949" w:rsidRDefault="00376949" w14:paraId="395645E2" w14:textId="77777777">
            <w:pPr>
              <w:pStyle w:val="BodyText2"/>
              <w:rPr>
                <w:color w:val="000000"/>
                <w:sz w:val="22"/>
                <w:szCs w:val="22"/>
              </w:rPr>
            </w:pPr>
            <w:r w:rsidRPr="00376949">
              <w:rPr>
                <w:color w:val="000000"/>
                <w:sz w:val="22"/>
                <w:szCs w:val="22"/>
              </w:rPr>
              <w:t>175,384</w:t>
            </w:r>
          </w:p>
        </w:tc>
      </w:tr>
      <w:tr w:rsidRPr="00376949" w:rsidR="00376949" w:rsidTr="001154C5" w14:paraId="7CC64441" w14:textId="77777777">
        <w:trPr>
          <w:cantSplit/>
          <w:trHeight w:val="20"/>
          <w:jc w:val="center"/>
        </w:trPr>
        <w:tc>
          <w:tcPr>
            <w:tcW w:w="2515" w:type="dxa"/>
            <w:shd w:val="clear" w:color="auto" w:fill="auto"/>
          </w:tcPr>
          <w:p w:rsidRPr="00376949" w:rsidR="00376949" w:rsidDel="00215B02" w:rsidP="00376949" w:rsidRDefault="00376949" w14:paraId="1C84A5C4" w14:textId="77777777">
            <w:pPr>
              <w:pStyle w:val="BodyText2"/>
              <w:rPr>
                <w:color w:val="000000"/>
                <w:sz w:val="22"/>
                <w:szCs w:val="22"/>
              </w:rPr>
            </w:pPr>
            <w:r w:rsidRPr="00376949">
              <w:rPr>
                <w:color w:val="000000"/>
                <w:sz w:val="22"/>
                <w:szCs w:val="22"/>
              </w:rPr>
              <w:t>CDRH</w:t>
            </w:r>
          </w:p>
        </w:tc>
        <w:tc>
          <w:tcPr>
            <w:tcW w:w="1441" w:type="dxa"/>
            <w:shd w:val="clear" w:color="auto" w:fill="auto"/>
          </w:tcPr>
          <w:p w:rsidRPr="00376949" w:rsidR="00376949" w:rsidDel="00215B02" w:rsidP="00376949" w:rsidRDefault="00376949" w14:paraId="27D81656" w14:textId="77777777">
            <w:pPr>
              <w:pStyle w:val="BodyText2"/>
              <w:rPr>
                <w:color w:val="000000"/>
                <w:sz w:val="22"/>
                <w:szCs w:val="22"/>
              </w:rPr>
            </w:pPr>
            <w:r w:rsidRPr="00376949">
              <w:rPr>
                <w:color w:val="000000"/>
                <w:sz w:val="22"/>
                <w:szCs w:val="22"/>
              </w:rPr>
              <w:t>62</w:t>
            </w:r>
          </w:p>
        </w:tc>
        <w:tc>
          <w:tcPr>
            <w:tcW w:w="1620" w:type="dxa"/>
            <w:shd w:val="clear" w:color="auto" w:fill="auto"/>
          </w:tcPr>
          <w:p w:rsidRPr="00376949" w:rsidR="00376949" w:rsidDel="00215B02" w:rsidP="00376949" w:rsidRDefault="00376949" w14:paraId="27DDBBAF" w14:textId="77777777">
            <w:pPr>
              <w:pStyle w:val="BodyText2"/>
              <w:rPr>
                <w:color w:val="000000"/>
                <w:sz w:val="22"/>
                <w:szCs w:val="22"/>
              </w:rPr>
            </w:pPr>
            <w:r w:rsidRPr="00376949">
              <w:rPr>
                <w:color w:val="000000"/>
                <w:sz w:val="22"/>
                <w:szCs w:val="22"/>
              </w:rPr>
              <w:t>1</w:t>
            </w:r>
          </w:p>
        </w:tc>
        <w:tc>
          <w:tcPr>
            <w:tcW w:w="1275" w:type="dxa"/>
            <w:shd w:val="clear" w:color="auto" w:fill="auto"/>
          </w:tcPr>
          <w:p w:rsidRPr="00376949" w:rsidR="00376949" w:rsidDel="00215B02" w:rsidP="00376949" w:rsidRDefault="00376949" w14:paraId="0075E545" w14:textId="77777777">
            <w:pPr>
              <w:pStyle w:val="BodyText2"/>
              <w:rPr>
                <w:color w:val="000000"/>
                <w:sz w:val="22"/>
                <w:szCs w:val="22"/>
              </w:rPr>
            </w:pPr>
            <w:r w:rsidRPr="00376949">
              <w:rPr>
                <w:color w:val="000000"/>
                <w:sz w:val="22"/>
                <w:szCs w:val="22"/>
              </w:rPr>
              <w:t>62</w:t>
            </w:r>
          </w:p>
        </w:tc>
        <w:tc>
          <w:tcPr>
            <w:tcW w:w="0" w:type="auto"/>
            <w:shd w:val="clear" w:color="auto" w:fill="auto"/>
          </w:tcPr>
          <w:p w:rsidRPr="00376949" w:rsidR="00376949" w:rsidDel="000B746A" w:rsidP="00376949" w:rsidRDefault="00376949" w14:paraId="45E9407D" w14:textId="77777777">
            <w:pPr>
              <w:pStyle w:val="BodyText2"/>
              <w:rPr>
                <w:color w:val="000000"/>
                <w:sz w:val="22"/>
                <w:szCs w:val="22"/>
              </w:rPr>
            </w:pPr>
            <w:r w:rsidRPr="00376949">
              <w:rPr>
                <w:color w:val="000000"/>
                <w:sz w:val="22"/>
                <w:szCs w:val="22"/>
              </w:rPr>
              <w:t>6</w:t>
            </w:r>
          </w:p>
        </w:tc>
        <w:tc>
          <w:tcPr>
            <w:tcW w:w="0" w:type="auto"/>
            <w:shd w:val="clear" w:color="auto" w:fill="auto"/>
          </w:tcPr>
          <w:p w:rsidRPr="00376949" w:rsidR="00376949" w:rsidDel="00215B02" w:rsidP="00376949" w:rsidRDefault="00376949" w14:paraId="205BCCA3" w14:textId="77777777">
            <w:pPr>
              <w:pStyle w:val="BodyText2"/>
              <w:rPr>
                <w:color w:val="000000"/>
                <w:sz w:val="22"/>
                <w:szCs w:val="22"/>
              </w:rPr>
            </w:pPr>
            <w:r w:rsidRPr="00376949">
              <w:rPr>
                <w:color w:val="000000"/>
                <w:sz w:val="22"/>
                <w:szCs w:val="22"/>
              </w:rPr>
              <w:t>372</w:t>
            </w:r>
          </w:p>
        </w:tc>
      </w:tr>
      <w:tr w:rsidRPr="00376949" w:rsidR="00376949" w:rsidTr="001154C5" w14:paraId="5A034310" w14:textId="77777777">
        <w:trPr>
          <w:cantSplit/>
          <w:trHeight w:val="20"/>
          <w:jc w:val="center"/>
        </w:trPr>
        <w:tc>
          <w:tcPr>
            <w:tcW w:w="2515" w:type="dxa"/>
            <w:shd w:val="clear" w:color="auto" w:fill="auto"/>
          </w:tcPr>
          <w:p w:rsidRPr="00376949" w:rsidR="00376949" w:rsidDel="00215B02" w:rsidP="00376949" w:rsidRDefault="00376949" w14:paraId="5D3576E9" w14:textId="77777777">
            <w:pPr>
              <w:pStyle w:val="BodyText2"/>
              <w:rPr>
                <w:color w:val="000000"/>
                <w:sz w:val="22"/>
                <w:szCs w:val="22"/>
              </w:rPr>
            </w:pPr>
            <w:r w:rsidRPr="00376949">
              <w:rPr>
                <w:color w:val="000000"/>
                <w:sz w:val="22"/>
                <w:szCs w:val="22"/>
              </w:rPr>
              <w:t>CBER</w:t>
            </w:r>
          </w:p>
        </w:tc>
        <w:tc>
          <w:tcPr>
            <w:tcW w:w="1441" w:type="dxa"/>
            <w:shd w:val="clear" w:color="auto" w:fill="auto"/>
          </w:tcPr>
          <w:p w:rsidRPr="00376949" w:rsidR="00376949" w:rsidDel="00215B02" w:rsidP="00376949" w:rsidRDefault="00376949" w14:paraId="671FA7E0" w14:textId="77777777">
            <w:pPr>
              <w:pStyle w:val="BodyText2"/>
              <w:rPr>
                <w:color w:val="000000"/>
                <w:sz w:val="22"/>
                <w:szCs w:val="22"/>
              </w:rPr>
            </w:pPr>
            <w:r w:rsidRPr="00376949">
              <w:rPr>
                <w:color w:val="000000"/>
                <w:sz w:val="22"/>
                <w:szCs w:val="22"/>
              </w:rPr>
              <w:t>3,575</w:t>
            </w:r>
          </w:p>
        </w:tc>
        <w:tc>
          <w:tcPr>
            <w:tcW w:w="1620" w:type="dxa"/>
            <w:shd w:val="clear" w:color="auto" w:fill="auto"/>
          </w:tcPr>
          <w:p w:rsidRPr="00376949" w:rsidR="00376949" w:rsidDel="00215B02" w:rsidP="00376949" w:rsidRDefault="00376949" w14:paraId="44783768" w14:textId="77777777">
            <w:pPr>
              <w:pStyle w:val="BodyText2"/>
              <w:rPr>
                <w:color w:val="000000"/>
                <w:sz w:val="22"/>
                <w:szCs w:val="22"/>
              </w:rPr>
            </w:pPr>
            <w:r w:rsidRPr="00376949">
              <w:rPr>
                <w:color w:val="000000"/>
                <w:sz w:val="22"/>
                <w:szCs w:val="22"/>
              </w:rPr>
              <w:t>2</w:t>
            </w:r>
          </w:p>
        </w:tc>
        <w:tc>
          <w:tcPr>
            <w:tcW w:w="1275" w:type="dxa"/>
            <w:shd w:val="clear" w:color="auto" w:fill="auto"/>
          </w:tcPr>
          <w:p w:rsidRPr="00376949" w:rsidR="00376949" w:rsidDel="00215B02" w:rsidP="00376949" w:rsidRDefault="00376949" w14:paraId="52F2745C" w14:textId="77777777">
            <w:pPr>
              <w:pStyle w:val="BodyText2"/>
              <w:rPr>
                <w:color w:val="000000"/>
                <w:sz w:val="22"/>
                <w:szCs w:val="22"/>
              </w:rPr>
            </w:pPr>
            <w:r w:rsidRPr="00376949">
              <w:rPr>
                <w:color w:val="000000"/>
                <w:sz w:val="22"/>
                <w:szCs w:val="22"/>
              </w:rPr>
              <w:t>7,150</w:t>
            </w:r>
          </w:p>
        </w:tc>
        <w:tc>
          <w:tcPr>
            <w:tcW w:w="0" w:type="auto"/>
            <w:shd w:val="clear" w:color="auto" w:fill="auto"/>
          </w:tcPr>
          <w:p w:rsidRPr="00376949" w:rsidR="00376949" w:rsidDel="000B746A" w:rsidP="00376949" w:rsidRDefault="00376949" w14:paraId="3A66D69F" w14:textId="77777777">
            <w:pPr>
              <w:pStyle w:val="BodyText2"/>
              <w:rPr>
                <w:color w:val="000000"/>
                <w:sz w:val="22"/>
                <w:szCs w:val="22"/>
              </w:rPr>
            </w:pPr>
            <w:r w:rsidRPr="00376949">
              <w:rPr>
                <w:color w:val="000000"/>
                <w:sz w:val="22"/>
                <w:szCs w:val="22"/>
              </w:rPr>
              <w:t>8</w:t>
            </w:r>
          </w:p>
        </w:tc>
        <w:tc>
          <w:tcPr>
            <w:tcW w:w="0" w:type="auto"/>
            <w:shd w:val="clear" w:color="auto" w:fill="auto"/>
          </w:tcPr>
          <w:p w:rsidRPr="00376949" w:rsidR="00376949" w:rsidDel="00215B02" w:rsidP="00376949" w:rsidRDefault="00376949" w14:paraId="16446C81" w14:textId="77777777">
            <w:pPr>
              <w:pStyle w:val="BodyText2"/>
              <w:rPr>
                <w:color w:val="000000"/>
                <w:sz w:val="22"/>
                <w:szCs w:val="22"/>
              </w:rPr>
            </w:pPr>
            <w:r w:rsidRPr="00376949">
              <w:rPr>
                <w:color w:val="000000"/>
                <w:sz w:val="22"/>
                <w:szCs w:val="22"/>
              </w:rPr>
              <w:t>57,200</w:t>
            </w:r>
          </w:p>
        </w:tc>
      </w:tr>
      <w:tr w:rsidRPr="00376949" w:rsidR="00376949" w:rsidTr="001154C5" w14:paraId="5CC125D9" w14:textId="77777777">
        <w:trPr>
          <w:cantSplit/>
          <w:trHeight w:val="20"/>
          <w:jc w:val="center"/>
        </w:trPr>
        <w:tc>
          <w:tcPr>
            <w:tcW w:w="2515" w:type="dxa"/>
            <w:shd w:val="clear" w:color="auto" w:fill="auto"/>
          </w:tcPr>
          <w:p w:rsidRPr="00376949" w:rsidR="00376949" w:rsidP="00376949" w:rsidRDefault="00376949" w14:paraId="4A30B17A" w14:textId="77777777">
            <w:pPr>
              <w:pStyle w:val="BodyText2"/>
              <w:rPr>
                <w:color w:val="000000"/>
                <w:sz w:val="22"/>
                <w:szCs w:val="22"/>
              </w:rPr>
            </w:pPr>
            <w:r w:rsidRPr="00376949">
              <w:rPr>
                <w:color w:val="000000"/>
                <w:sz w:val="22"/>
                <w:szCs w:val="22"/>
              </w:rPr>
              <w:t>CVM</w:t>
            </w:r>
          </w:p>
        </w:tc>
        <w:tc>
          <w:tcPr>
            <w:tcW w:w="1441" w:type="dxa"/>
            <w:shd w:val="clear" w:color="auto" w:fill="auto"/>
          </w:tcPr>
          <w:p w:rsidRPr="00376949" w:rsidR="00376949" w:rsidP="00376949" w:rsidRDefault="00376949" w14:paraId="4915680A" w14:textId="77777777">
            <w:pPr>
              <w:pStyle w:val="BodyText2"/>
              <w:rPr>
                <w:color w:val="000000"/>
                <w:sz w:val="22"/>
                <w:szCs w:val="22"/>
              </w:rPr>
            </w:pPr>
            <w:r w:rsidRPr="00376949">
              <w:rPr>
                <w:color w:val="000000"/>
                <w:sz w:val="22"/>
                <w:szCs w:val="22"/>
              </w:rPr>
              <w:t>114</w:t>
            </w:r>
          </w:p>
        </w:tc>
        <w:tc>
          <w:tcPr>
            <w:tcW w:w="1620" w:type="dxa"/>
            <w:shd w:val="clear" w:color="auto" w:fill="auto"/>
          </w:tcPr>
          <w:p w:rsidRPr="00376949" w:rsidR="00376949" w:rsidP="00376949" w:rsidRDefault="00376949" w14:paraId="554535DA" w14:textId="77777777">
            <w:pPr>
              <w:pStyle w:val="BodyText2"/>
              <w:rPr>
                <w:color w:val="000000"/>
                <w:sz w:val="22"/>
                <w:szCs w:val="22"/>
              </w:rPr>
            </w:pPr>
            <w:r w:rsidRPr="00376949">
              <w:rPr>
                <w:color w:val="000000"/>
                <w:sz w:val="22"/>
                <w:szCs w:val="22"/>
              </w:rPr>
              <w:t>10</w:t>
            </w:r>
          </w:p>
        </w:tc>
        <w:tc>
          <w:tcPr>
            <w:tcW w:w="1275" w:type="dxa"/>
            <w:shd w:val="clear" w:color="auto" w:fill="auto"/>
          </w:tcPr>
          <w:p w:rsidRPr="00376949" w:rsidR="00376949" w:rsidP="00376949" w:rsidRDefault="00376949" w14:paraId="5B2FCD73" w14:textId="77777777">
            <w:pPr>
              <w:pStyle w:val="BodyText2"/>
              <w:rPr>
                <w:color w:val="000000"/>
                <w:sz w:val="22"/>
                <w:szCs w:val="22"/>
              </w:rPr>
            </w:pPr>
            <w:r w:rsidRPr="00376949">
              <w:rPr>
                <w:color w:val="000000"/>
                <w:sz w:val="22"/>
                <w:szCs w:val="22"/>
              </w:rPr>
              <w:t>1,140</w:t>
            </w:r>
          </w:p>
        </w:tc>
        <w:tc>
          <w:tcPr>
            <w:tcW w:w="0" w:type="auto"/>
            <w:shd w:val="clear" w:color="auto" w:fill="auto"/>
          </w:tcPr>
          <w:p w:rsidRPr="00376949" w:rsidR="00376949" w:rsidP="00376949" w:rsidRDefault="00376949" w14:paraId="53E9AC23" w14:textId="77777777">
            <w:pPr>
              <w:pStyle w:val="BodyText2"/>
              <w:rPr>
                <w:color w:val="000000"/>
                <w:sz w:val="22"/>
                <w:szCs w:val="22"/>
              </w:rPr>
            </w:pPr>
            <w:r w:rsidRPr="00376949">
              <w:rPr>
                <w:color w:val="000000"/>
                <w:sz w:val="22"/>
                <w:szCs w:val="22"/>
              </w:rPr>
              <w:t>2,160</w:t>
            </w:r>
          </w:p>
        </w:tc>
        <w:tc>
          <w:tcPr>
            <w:tcW w:w="0" w:type="auto"/>
            <w:shd w:val="clear" w:color="auto" w:fill="auto"/>
          </w:tcPr>
          <w:p w:rsidRPr="00376949" w:rsidR="00376949" w:rsidP="00376949" w:rsidRDefault="00376949" w14:paraId="467DA21E" w14:textId="77777777">
            <w:pPr>
              <w:pStyle w:val="BodyText2"/>
              <w:rPr>
                <w:color w:val="000000"/>
                <w:sz w:val="22"/>
                <w:szCs w:val="22"/>
              </w:rPr>
            </w:pPr>
            <w:r w:rsidRPr="00376949">
              <w:rPr>
                <w:color w:val="000000"/>
                <w:sz w:val="22"/>
                <w:szCs w:val="22"/>
              </w:rPr>
              <w:t>3,420</w:t>
            </w:r>
          </w:p>
        </w:tc>
      </w:tr>
      <w:tr w:rsidRPr="00376949" w:rsidR="00376949" w:rsidTr="001154C5" w14:paraId="500A5281" w14:textId="77777777">
        <w:trPr>
          <w:cantSplit/>
          <w:trHeight w:val="20"/>
          <w:jc w:val="center"/>
        </w:trPr>
        <w:tc>
          <w:tcPr>
            <w:tcW w:w="2515" w:type="dxa"/>
            <w:shd w:val="clear" w:color="auto" w:fill="auto"/>
          </w:tcPr>
          <w:p w:rsidRPr="00376949" w:rsidR="00376949" w:rsidP="00376949" w:rsidRDefault="00376949" w14:paraId="78D5E493" w14:textId="77777777">
            <w:pPr>
              <w:pStyle w:val="BodyText2"/>
              <w:rPr>
                <w:color w:val="000000"/>
                <w:sz w:val="22"/>
                <w:szCs w:val="22"/>
              </w:rPr>
            </w:pPr>
            <w:r w:rsidRPr="00376949">
              <w:rPr>
                <w:color w:val="000000"/>
                <w:sz w:val="22"/>
                <w:szCs w:val="22"/>
              </w:rPr>
              <w:t>CTP</w:t>
            </w:r>
          </w:p>
        </w:tc>
        <w:tc>
          <w:tcPr>
            <w:tcW w:w="1441" w:type="dxa"/>
            <w:shd w:val="clear" w:color="auto" w:fill="auto"/>
          </w:tcPr>
          <w:p w:rsidRPr="00376949" w:rsidR="00376949" w:rsidP="00376949" w:rsidRDefault="00376949" w14:paraId="40AEC713" w14:textId="77777777">
            <w:pPr>
              <w:pStyle w:val="BodyText2"/>
              <w:rPr>
                <w:color w:val="000000"/>
                <w:sz w:val="22"/>
                <w:szCs w:val="22"/>
              </w:rPr>
            </w:pPr>
            <w:r w:rsidRPr="00376949">
              <w:rPr>
                <w:color w:val="000000"/>
                <w:sz w:val="22"/>
                <w:szCs w:val="22"/>
              </w:rPr>
              <w:t>0</w:t>
            </w:r>
          </w:p>
        </w:tc>
        <w:tc>
          <w:tcPr>
            <w:tcW w:w="1620" w:type="dxa"/>
            <w:shd w:val="clear" w:color="auto" w:fill="auto"/>
          </w:tcPr>
          <w:p w:rsidRPr="00376949" w:rsidR="00376949" w:rsidP="00376949" w:rsidRDefault="00376949" w14:paraId="0C17FE7F" w14:textId="77777777">
            <w:pPr>
              <w:pStyle w:val="BodyText2"/>
              <w:rPr>
                <w:color w:val="000000"/>
                <w:sz w:val="22"/>
                <w:szCs w:val="22"/>
              </w:rPr>
            </w:pPr>
            <w:r w:rsidRPr="00376949">
              <w:rPr>
                <w:color w:val="000000"/>
                <w:sz w:val="22"/>
                <w:szCs w:val="22"/>
              </w:rPr>
              <w:t>-</w:t>
            </w:r>
          </w:p>
        </w:tc>
        <w:tc>
          <w:tcPr>
            <w:tcW w:w="1275" w:type="dxa"/>
            <w:shd w:val="clear" w:color="auto" w:fill="auto"/>
          </w:tcPr>
          <w:p w:rsidRPr="00376949" w:rsidR="00376949" w:rsidP="00376949" w:rsidRDefault="00376949" w14:paraId="0F8AF268" w14:textId="77777777">
            <w:pPr>
              <w:pStyle w:val="BodyText2"/>
              <w:rPr>
                <w:color w:val="000000"/>
                <w:sz w:val="22"/>
                <w:szCs w:val="22"/>
              </w:rPr>
            </w:pPr>
            <w:r w:rsidRPr="00376949">
              <w:rPr>
                <w:color w:val="000000"/>
                <w:sz w:val="22"/>
                <w:szCs w:val="22"/>
              </w:rPr>
              <w:t>0</w:t>
            </w:r>
          </w:p>
        </w:tc>
        <w:tc>
          <w:tcPr>
            <w:tcW w:w="0" w:type="auto"/>
            <w:shd w:val="clear" w:color="auto" w:fill="auto"/>
          </w:tcPr>
          <w:p w:rsidRPr="00376949" w:rsidR="00376949" w:rsidP="00376949" w:rsidRDefault="00376949" w14:paraId="60822FF5" w14:textId="77777777">
            <w:pPr>
              <w:pStyle w:val="BodyText2"/>
              <w:rPr>
                <w:color w:val="000000"/>
                <w:sz w:val="22"/>
                <w:szCs w:val="22"/>
              </w:rPr>
            </w:pPr>
            <w:r w:rsidRPr="00376949">
              <w:rPr>
                <w:color w:val="000000"/>
                <w:sz w:val="22"/>
                <w:szCs w:val="22"/>
              </w:rPr>
              <w:t>-</w:t>
            </w:r>
          </w:p>
        </w:tc>
        <w:tc>
          <w:tcPr>
            <w:tcW w:w="0" w:type="auto"/>
            <w:shd w:val="clear" w:color="auto" w:fill="auto"/>
          </w:tcPr>
          <w:p w:rsidRPr="00376949" w:rsidR="00376949" w:rsidP="00376949" w:rsidRDefault="00376949" w14:paraId="7D76C256" w14:textId="77777777">
            <w:pPr>
              <w:pStyle w:val="BodyText2"/>
              <w:rPr>
                <w:color w:val="000000"/>
                <w:sz w:val="22"/>
                <w:szCs w:val="22"/>
              </w:rPr>
            </w:pPr>
            <w:r w:rsidRPr="00376949">
              <w:rPr>
                <w:color w:val="000000"/>
                <w:sz w:val="22"/>
                <w:szCs w:val="22"/>
              </w:rPr>
              <w:t>0</w:t>
            </w:r>
          </w:p>
        </w:tc>
      </w:tr>
      <w:tr w:rsidRPr="00376949" w:rsidR="00376949" w:rsidTr="001154C5" w14:paraId="44C70702" w14:textId="77777777">
        <w:trPr>
          <w:cantSplit/>
          <w:trHeight w:val="20"/>
          <w:jc w:val="center"/>
        </w:trPr>
        <w:tc>
          <w:tcPr>
            <w:tcW w:w="2515" w:type="dxa"/>
            <w:shd w:val="clear" w:color="auto" w:fill="auto"/>
          </w:tcPr>
          <w:p w:rsidRPr="00376949" w:rsidR="00376949" w:rsidP="00376949" w:rsidRDefault="00376949" w14:paraId="370C030B" w14:textId="77777777">
            <w:pPr>
              <w:pStyle w:val="BodyText2"/>
              <w:rPr>
                <w:color w:val="000000"/>
                <w:sz w:val="22"/>
                <w:szCs w:val="22"/>
              </w:rPr>
            </w:pPr>
            <w:r w:rsidRPr="00376949">
              <w:rPr>
                <w:color w:val="000000"/>
                <w:sz w:val="22"/>
                <w:szCs w:val="22"/>
              </w:rPr>
              <w:t>CFSAN</w:t>
            </w:r>
          </w:p>
        </w:tc>
        <w:tc>
          <w:tcPr>
            <w:tcW w:w="1441" w:type="dxa"/>
            <w:shd w:val="clear" w:color="auto" w:fill="auto"/>
          </w:tcPr>
          <w:p w:rsidRPr="00376949" w:rsidR="00376949" w:rsidP="00376949" w:rsidRDefault="00376949" w14:paraId="62DD9137" w14:textId="77777777">
            <w:pPr>
              <w:pStyle w:val="BodyText2"/>
              <w:rPr>
                <w:color w:val="000000"/>
                <w:sz w:val="22"/>
                <w:szCs w:val="22"/>
              </w:rPr>
            </w:pPr>
            <w:r w:rsidRPr="00376949">
              <w:rPr>
                <w:color w:val="000000"/>
                <w:sz w:val="22"/>
                <w:szCs w:val="22"/>
              </w:rPr>
              <w:t>51</w:t>
            </w:r>
          </w:p>
        </w:tc>
        <w:tc>
          <w:tcPr>
            <w:tcW w:w="1620" w:type="dxa"/>
            <w:shd w:val="clear" w:color="auto" w:fill="auto"/>
          </w:tcPr>
          <w:p w:rsidRPr="00376949" w:rsidR="00376949" w:rsidP="00376949" w:rsidRDefault="00376949" w14:paraId="6918CB1C" w14:textId="77777777">
            <w:pPr>
              <w:pStyle w:val="BodyText2"/>
              <w:rPr>
                <w:color w:val="000000"/>
                <w:sz w:val="22"/>
                <w:szCs w:val="22"/>
              </w:rPr>
            </w:pPr>
            <w:r w:rsidRPr="00376949">
              <w:rPr>
                <w:color w:val="000000"/>
                <w:sz w:val="22"/>
                <w:szCs w:val="22"/>
              </w:rPr>
              <w:t>1</w:t>
            </w:r>
          </w:p>
        </w:tc>
        <w:tc>
          <w:tcPr>
            <w:tcW w:w="1275" w:type="dxa"/>
            <w:shd w:val="clear" w:color="auto" w:fill="auto"/>
          </w:tcPr>
          <w:p w:rsidRPr="00376949" w:rsidR="00376949" w:rsidP="00376949" w:rsidRDefault="00376949" w14:paraId="7734F318" w14:textId="77777777">
            <w:pPr>
              <w:pStyle w:val="BodyText2"/>
              <w:rPr>
                <w:color w:val="000000"/>
                <w:sz w:val="22"/>
                <w:szCs w:val="22"/>
              </w:rPr>
            </w:pPr>
            <w:r w:rsidRPr="00376949">
              <w:rPr>
                <w:color w:val="000000"/>
                <w:sz w:val="22"/>
                <w:szCs w:val="22"/>
              </w:rPr>
              <w:t>51</w:t>
            </w:r>
          </w:p>
        </w:tc>
        <w:tc>
          <w:tcPr>
            <w:tcW w:w="0" w:type="auto"/>
            <w:shd w:val="clear" w:color="auto" w:fill="auto"/>
          </w:tcPr>
          <w:p w:rsidRPr="00376949" w:rsidR="00376949" w:rsidP="00376949" w:rsidRDefault="00376949" w14:paraId="455EDE93" w14:textId="77777777">
            <w:pPr>
              <w:pStyle w:val="BodyText2"/>
              <w:rPr>
                <w:color w:val="000000"/>
                <w:sz w:val="22"/>
                <w:szCs w:val="22"/>
              </w:rPr>
            </w:pPr>
            <w:r w:rsidRPr="00376949">
              <w:rPr>
                <w:color w:val="000000"/>
                <w:sz w:val="22"/>
                <w:szCs w:val="22"/>
              </w:rPr>
              <w:t>8</w:t>
            </w:r>
          </w:p>
        </w:tc>
        <w:tc>
          <w:tcPr>
            <w:tcW w:w="0" w:type="auto"/>
            <w:shd w:val="clear" w:color="auto" w:fill="auto"/>
          </w:tcPr>
          <w:p w:rsidRPr="00376949" w:rsidR="00376949" w:rsidP="00376949" w:rsidRDefault="00376949" w14:paraId="638D74CF" w14:textId="77777777">
            <w:pPr>
              <w:pStyle w:val="BodyText2"/>
              <w:rPr>
                <w:color w:val="000000"/>
                <w:sz w:val="22"/>
                <w:szCs w:val="22"/>
              </w:rPr>
            </w:pPr>
            <w:r w:rsidRPr="00376949">
              <w:rPr>
                <w:color w:val="000000"/>
                <w:sz w:val="22"/>
                <w:szCs w:val="22"/>
              </w:rPr>
              <w:t>408</w:t>
            </w:r>
          </w:p>
        </w:tc>
      </w:tr>
      <w:tr w:rsidRPr="00376949" w:rsidR="00376949" w:rsidTr="001154C5" w14:paraId="47CCF74E" w14:textId="77777777">
        <w:trPr>
          <w:cantSplit/>
          <w:trHeight w:val="20"/>
          <w:jc w:val="center"/>
        </w:trPr>
        <w:tc>
          <w:tcPr>
            <w:tcW w:w="5576" w:type="dxa"/>
            <w:gridSpan w:val="3"/>
            <w:shd w:val="clear" w:color="auto" w:fill="auto"/>
          </w:tcPr>
          <w:p w:rsidRPr="00376949" w:rsidR="00376949" w:rsidP="00376949" w:rsidRDefault="00376949" w14:paraId="2264C174" w14:textId="77777777">
            <w:pPr>
              <w:pStyle w:val="BodyText2"/>
              <w:rPr>
                <w:color w:val="000000"/>
                <w:sz w:val="22"/>
                <w:szCs w:val="22"/>
              </w:rPr>
            </w:pPr>
            <w:r w:rsidRPr="00376949">
              <w:rPr>
                <w:color w:val="000000"/>
                <w:sz w:val="22"/>
                <w:szCs w:val="22"/>
              </w:rPr>
              <w:t>Subtotal</w:t>
            </w:r>
          </w:p>
        </w:tc>
        <w:tc>
          <w:tcPr>
            <w:tcW w:w="1275" w:type="dxa"/>
            <w:shd w:val="clear" w:color="auto" w:fill="auto"/>
          </w:tcPr>
          <w:p w:rsidRPr="00376949" w:rsidR="00376949" w:rsidP="00376949" w:rsidRDefault="00376949" w14:paraId="0E5E3DEF" w14:textId="77777777">
            <w:pPr>
              <w:pStyle w:val="BodyText2"/>
              <w:rPr>
                <w:color w:val="000000"/>
                <w:sz w:val="22"/>
                <w:szCs w:val="22"/>
              </w:rPr>
            </w:pPr>
            <w:r w:rsidRPr="00376949">
              <w:rPr>
                <w:color w:val="000000"/>
                <w:sz w:val="22"/>
                <w:szCs w:val="22"/>
              </w:rPr>
              <w:t>30,326</w:t>
            </w:r>
          </w:p>
        </w:tc>
        <w:tc>
          <w:tcPr>
            <w:tcW w:w="0" w:type="auto"/>
            <w:shd w:val="clear" w:color="auto" w:fill="auto"/>
          </w:tcPr>
          <w:p w:rsidRPr="00376949" w:rsidR="00376949" w:rsidP="00376949" w:rsidRDefault="00376949" w14:paraId="507AB58B" w14:textId="77777777">
            <w:pPr>
              <w:pStyle w:val="BodyText2"/>
              <w:rPr>
                <w:color w:val="000000"/>
                <w:sz w:val="22"/>
                <w:szCs w:val="22"/>
              </w:rPr>
            </w:pPr>
          </w:p>
        </w:tc>
        <w:tc>
          <w:tcPr>
            <w:tcW w:w="0" w:type="auto"/>
            <w:shd w:val="clear" w:color="auto" w:fill="auto"/>
          </w:tcPr>
          <w:p w:rsidRPr="00376949" w:rsidR="00376949" w:rsidP="00376949" w:rsidRDefault="00376949" w14:paraId="0E93666C" w14:textId="77777777">
            <w:pPr>
              <w:pStyle w:val="BodyText2"/>
              <w:rPr>
                <w:color w:val="000000"/>
                <w:sz w:val="22"/>
                <w:szCs w:val="22"/>
              </w:rPr>
            </w:pPr>
            <w:r w:rsidRPr="00376949">
              <w:rPr>
                <w:color w:val="000000"/>
                <w:sz w:val="22"/>
                <w:szCs w:val="22"/>
              </w:rPr>
              <w:t>236,784</w:t>
            </w:r>
          </w:p>
        </w:tc>
      </w:tr>
      <w:tr w:rsidRPr="00376949" w:rsidR="00376949" w:rsidTr="001154C5" w14:paraId="0BB77544" w14:textId="77777777">
        <w:trPr>
          <w:cantSplit/>
          <w:trHeight w:val="20"/>
          <w:jc w:val="center"/>
        </w:trPr>
        <w:tc>
          <w:tcPr>
            <w:tcW w:w="5576" w:type="dxa"/>
            <w:gridSpan w:val="3"/>
            <w:shd w:val="clear" w:color="auto" w:fill="auto"/>
          </w:tcPr>
          <w:p w:rsidRPr="00376949" w:rsidR="00376949" w:rsidP="00376949" w:rsidRDefault="00376949" w14:paraId="1D383C69" w14:textId="77777777">
            <w:pPr>
              <w:pStyle w:val="BodyText2"/>
              <w:rPr>
                <w:color w:val="000000"/>
                <w:sz w:val="22"/>
                <w:szCs w:val="22"/>
              </w:rPr>
            </w:pPr>
            <w:r w:rsidRPr="00376949">
              <w:rPr>
                <w:color w:val="000000"/>
                <w:sz w:val="22"/>
                <w:szCs w:val="22"/>
              </w:rPr>
              <w:t>Total</w:t>
            </w:r>
          </w:p>
        </w:tc>
        <w:tc>
          <w:tcPr>
            <w:tcW w:w="1275" w:type="dxa"/>
            <w:shd w:val="clear" w:color="auto" w:fill="auto"/>
          </w:tcPr>
          <w:p w:rsidRPr="00376949" w:rsidR="00376949" w:rsidP="00376949" w:rsidRDefault="00376949" w14:paraId="11725027" w14:textId="77777777">
            <w:pPr>
              <w:pStyle w:val="BodyText2"/>
              <w:rPr>
                <w:color w:val="000000"/>
                <w:sz w:val="22"/>
                <w:szCs w:val="22"/>
              </w:rPr>
            </w:pPr>
            <w:r w:rsidRPr="00376949">
              <w:rPr>
                <w:color w:val="000000"/>
                <w:sz w:val="22"/>
                <w:szCs w:val="22"/>
              </w:rPr>
              <w:t>30,423</w:t>
            </w:r>
          </w:p>
        </w:tc>
        <w:tc>
          <w:tcPr>
            <w:tcW w:w="0" w:type="auto"/>
            <w:shd w:val="clear" w:color="auto" w:fill="auto"/>
          </w:tcPr>
          <w:p w:rsidRPr="00376949" w:rsidR="00376949" w:rsidP="00376949" w:rsidRDefault="00376949" w14:paraId="6979B0FF" w14:textId="77777777">
            <w:pPr>
              <w:pStyle w:val="BodyText2"/>
              <w:rPr>
                <w:color w:val="000000"/>
                <w:sz w:val="22"/>
                <w:szCs w:val="22"/>
              </w:rPr>
            </w:pPr>
          </w:p>
        </w:tc>
        <w:tc>
          <w:tcPr>
            <w:tcW w:w="0" w:type="auto"/>
            <w:shd w:val="clear" w:color="auto" w:fill="auto"/>
          </w:tcPr>
          <w:p w:rsidRPr="00376949" w:rsidR="00376949" w:rsidP="00376949" w:rsidRDefault="00376949" w14:paraId="7C8815C1" w14:textId="77777777">
            <w:pPr>
              <w:pStyle w:val="BodyText2"/>
              <w:rPr>
                <w:color w:val="000000"/>
                <w:sz w:val="22"/>
                <w:szCs w:val="22"/>
              </w:rPr>
            </w:pPr>
            <w:r w:rsidRPr="00376949">
              <w:rPr>
                <w:color w:val="000000"/>
                <w:sz w:val="22"/>
                <w:szCs w:val="22"/>
              </w:rPr>
              <w:t>325,404</w:t>
            </w:r>
          </w:p>
        </w:tc>
      </w:tr>
    </w:tbl>
    <w:p w:rsidRPr="00376949" w:rsidR="00376949" w:rsidP="00376949" w:rsidRDefault="00376949" w14:paraId="181A77C4" w14:textId="77777777">
      <w:pPr>
        <w:pStyle w:val="BodyText2"/>
        <w:rPr>
          <w:color w:val="000000"/>
          <w:sz w:val="20"/>
        </w:rPr>
      </w:pPr>
      <w:r w:rsidRPr="00376949">
        <w:rPr>
          <w:color w:val="000000"/>
          <w:sz w:val="20"/>
          <w:vertAlign w:val="superscript"/>
        </w:rPr>
        <w:t>1</w:t>
      </w:r>
      <w:r w:rsidRPr="00376949">
        <w:rPr>
          <w:color w:val="000000"/>
          <w:sz w:val="20"/>
        </w:rPr>
        <w:t xml:space="preserve"> There are no capital, or operational and maintenance costs associated with the information collection.</w:t>
      </w:r>
    </w:p>
    <w:p w:rsidRPr="00376949" w:rsidR="00376949" w:rsidP="00376949" w:rsidRDefault="00376949" w14:paraId="4A71474F" w14:textId="77777777">
      <w:pPr>
        <w:pStyle w:val="BodyText2"/>
        <w:rPr>
          <w:color w:val="000000"/>
        </w:rPr>
      </w:pPr>
    </w:p>
    <w:p w:rsidR="00376949" w:rsidP="00376949" w:rsidRDefault="00376949" w14:paraId="76C988DF" w14:textId="7128B7B9">
      <w:pPr>
        <w:pStyle w:val="BodyText2"/>
        <w:rPr>
          <w:color w:val="000000"/>
        </w:rPr>
      </w:pPr>
      <w:bookmarkStart w:name="_Hlk106258148" w:id="0"/>
      <w:r w:rsidRPr="00376949">
        <w:rPr>
          <w:color w:val="000000"/>
        </w:rPr>
        <w:t>CDER:</w:t>
      </w:r>
    </w:p>
    <w:p w:rsidRPr="00376949" w:rsidR="006A440E" w:rsidP="00376949" w:rsidRDefault="006A440E" w14:paraId="421D3A41" w14:textId="77777777">
      <w:pPr>
        <w:pStyle w:val="BodyText2"/>
        <w:rPr>
          <w:color w:val="000000"/>
        </w:rPr>
      </w:pPr>
    </w:p>
    <w:p w:rsidRPr="00376949" w:rsidR="00376949" w:rsidP="00376949" w:rsidRDefault="00376949" w14:paraId="2C94D7C9" w14:textId="77777777">
      <w:pPr>
        <w:pStyle w:val="BodyText2"/>
        <w:rPr>
          <w:color w:val="000000"/>
        </w:rPr>
      </w:pPr>
      <w:r w:rsidRPr="00376949">
        <w:rPr>
          <w:color w:val="000000"/>
        </w:rPr>
        <w:t>Under §§ 312.23(a)(7)(iv)(e), 314.50(d)(1)(iii), and 314.94(a)(9)(i) (21 CFR 312.23(a)(7)(iv)(e), 314.50(d)(1)(iii), and 314.94(a)(9)(i)), each investigational new drug application (IND), new drug application (NDA), and abbreviated new drug application (ANDA) must contain a claim for CE under § 25.30 or § 25.31, or an EA under § 25.40.</w:t>
      </w:r>
    </w:p>
    <w:p w:rsidR="006A440E" w:rsidP="00376949" w:rsidRDefault="006A440E" w14:paraId="0F425BA9" w14:textId="77777777">
      <w:pPr>
        <w:pStyle w:val="BodyText2"/>
        <w:rPr>
          <w:color w:val="000000"/>
        </w:rPr>
      </w:pPr>
    </w:p>
    <w:p w:rsidRPr="00376949" w:rsidR="00376949" w:rsidP="00376949" w:rsidRDefault="00376949" w14:paraId="65270EC3" w14:textId="7650A7CD">
      <w:pPr>
        <w:pStyle w:val="BodyText2"/>
        <w:rPr>
          <w:color w:val="000000"/>
        </w:rPr>
      </w:pPr>
      <w:r w:rsidRPr="00376949">
        <w:rPr>
          <w:color w:val="000000"/>
        </w:rPr>
        <w:t>CDRH:</w:t>
      </w:r>
    </w:p>
    <w:p w:rsidR="006A440E" w:rsidP="00376949" w:rsidRDefault="006A440E" w14:paraId="7C304667" w14:textId="77777777">
      <w:pPr>
        <w:pStyle w:val="BodyText2"/>
        <w:rPr>
          <w:color w:val="000000"/>
        </w:rPr>
      </w:pPr>
    </w:p>
    <w:p w:rsidRPr="00376949" w:rsidR="00376949" w:rsidP="00376949" w:rsidRDefault="00376949" w14:paraId="266E3964" w14:textId="7FC3235B">
      <w:pPr>
        <w:pStyle w:val="BodyText2"/>
        <w:rPr>
          <w:color w:val="000000"/>
        </w:rPr>
      </w:pPr>
      <w:r w:rsidRPr="00376949">
        <w:rPr>
          <w:color w:val="000000"/>
        </w:rPr>
        <w:t xml:space="preserve">Under § 814.20(b)(11) (21 CFR 814.20(b)(11)), premarket approvals (PMAs) (original PMAs and supplements) must contain a claim for CE under § 25.30 or § 25.34 or an EA under § 25.40. </w:t>
      </w:r>
    </w:p>
    <w:p w:rsidR="006A440E" w:rsidP="00376949" w:rsidRDefault="006A440E" w14:paraId="0A8E0546" w14:textId="77777777">
      <w:pPr>
        <w:pStyle w:val="BodyText2"/>
        <w:rPr>
          <w:color w:val="000000"/>
        </w:rPr>
      </w:pPr>
    </w:p>
    <w:p w:rsidR="00090A20" w:rsidRDefault="00090A20" w14:paraId="0895DEF4" w14:textId="77777777">
      <w:pPr>
        <w:rPr>
          <w:color w:val="000000"/>
          <w:szCs w:val="20"/>
        </w:rPr>
      </w:pPr>
      <w:r>
        <w:rPr>
          <w:color w:val="000000"/>
        </w:rPr>
        <w:br w:type="page"/>
      </w:r>
    </w:p>
    <w:p w:rsidRPr="00376949" w:rsidR="00376949" w:rsidP="00376949" w:rsidRDefault="00376949" w14:paraId="6D9C700A" w14:textId="24EF3A22">
      <w:pPr>
        <w:pStyle w:val="BodyText2"/>
        <w:rPr>
          <w:color w:val="000000"/>
        </w:rPr>
      </w:pPr>
      <w:r w:rsidRPr="00376949">
        <w:rPr>
          <w:color w:val="000000"/>
        </w:rPr>
        <w:lastRenderedPageBreak/>
        <w:t>CBER:</w:t>
      </w:r>
    </w:p>
    <w:p w:rsidR="006A440E" w:rsidP="00376949" w:rsidRDefault="006A440E" w14:paraId="425F0DE9" w14:textId="77777777">
      <w:pPr>
        <w:pStyle w:val="BodyText2"/>
        <w:rPr>
          <w:color w:val="000000"/>
        </w:rPr>
      </w:pPr>
    </w:p>
    <w:p w:rsidRPr="00376949" w:rsidR="00376949" w:rsidP="00376949" w:rsidRDefault="00376949" w14:paraId="2583311C" w14:textId="056D04D5">
      <w:pPr>
        <w:pStyle w:val="BodyText2"/>
        <w:rPr>
          <w:color w:val="000000"/>
        </w:rPr>
      </w:pPr>
      <w:r w:rsidRPr="00376949">
        <w:rPr>
          <w:color w:val="000000"/>
        </w:rPr>
        <w:t xml:space="preserve">Under 21 CFR 601.2(a), biologic license applications (BLAs) as well as INDs (§ 312.23), NDAs (§ 314.50), ANDAs (§ 314.94), and PMAs (§ 814.20) must contain either a claim of CE under § 25.30 or § 25.32 or an EA under § 25.40. </w:t>
      </w:r>
    </w:p>
    <w:p w:rsidR="006A440E" w:rsidP="00376949" w:rsidRDefault="006A440E" w14:paraId="0DA3BD0B" w14:textId="77777777">
      <w:pPr>
        <w:pStyle w:val="BodyText2"/>
        <w:rPr>
          <w:color w:val="000000"/>
        </w:rPr>
      </w:pPr>
    </w:p>
    <w:p w:rsidRPr="00376949" w:rsidR="00376949" w:rsidP="00376949" w:rsidRDefault="00376949" w14:paraId="34FFD437" w14:textId="53A575C4">
      <w:pPr>
        <w:pStyle w:val="BodyText2"/>
        <w:rPr>
          <w:color w:val="000000"/>
        </w:rPr>
      </w:pPr>
      <w:r w:rsidRPr="00376949">
        <w:rPr>
          <w:color w:val="000000"/>
        </w:rPr>
        <w:t>CVM:</w:t>
      </w:r>
    </w:p>
    <w:p w:rsidR="006A440E" w:rsidP="00376949" w:rsidRDefault="006A440E" w14:paraId="2BF14A23" w14:textId="77777777">
      <w:pPr>
        <w:pStyle w:val="BodyText2"/>
        <w:rPr>
          <w:color w:val="000000"/>
        </w:rPr>
      </w:pPr>
    </w:p>
    <w:p w:rsidRPr="00376949" w:rsidR="00376949" w:rsidP="00376949" w:rsidRDefault="00376949" w14:paraId="557D220A" w14:textId="5D98047E">
      <w:pPr>
        <w:pStyle w:val="BodyText2"/>
        <w:rPr>
          <w:color w:val="000000"/>
        </w:rPr>
      </w:pPr>
      <w:r w:rsidRPr="00376949">
        <w:rPr>
          <w:color w:val="000000"/>
        </w:rPr>
        <w:t>Under 21 CFR 514.1(b)(14), new animal drug applications (NADAs) and abbreviated new animal drug applications (ANADAs); 21 CFR 514.8(a)(1) supplemental NADAs and ANADAs; 21 CFR 511.1(b)(10) investigational new animal drug applications and generic investigational new animal drug applications, and 21 CFR 571.1(c) food additive petitions must contain a claim for CE under § 25.30 or § 25.32 or an EA under § 25.40.</w:t>
      </w:r>
    </w:p>
    <w:p w:rsidR="006A440E" w:rsidP="00376949" w:rsidRDefault="006A440E" w14:paraId="7ADB456F" w14:textId="77777777">
      <w:pPr>
        <w:pStyle w:val="BodyText2"/>
        <w:rPr>
          <w:color w:val="000000"/>
        </w:rPr>
      </w:pPr>
    </w:p>
    <w:p w:rsidRPr="00376949" w:rsidR="00376949" w:rsidP="00376949" w:rsidRDefault="00376949" w14:paraId="3C8FAE3A" w14:textId="4903B972">
      <w:pPr>
        <w:pStyle w:val="BodyText2"/>
        <w:rPr>
          <w:color w:val="000000"/>
        </w:rPr>
      </w:pPr>
      <w:r w:rsidRPr="00376949">
        <w:rPr>
          <w:color w:val="000000"/>
        </w:rPr>
        <w:t>CTP:</w:t>
      </w:r>
    </w:p>
    <w:p w:rsidR="006A440E" w:rsidP="00376949" w:rsidRDefault="006A440E" w14:paraId="5F32B855" w14:textId="77777777">
      <w:pPr>
        <w:pStyle w:val="BodyText2"/>
        <w:rPr>
          <w:color w:val="000000"/>
        </w:rPr>
      </w:pPr>
    </w:p>
    <w:p w:rsidRPr="00376949" w:rsidR="00376949" w:rsidP="00376949" w:rsidRDefault="00376949" w14:paraId="6F1BC3AE" w14:textId="28304779">
      <w:pPr>
        <w:pStyle w:val="BodyText2"/>
        <w:rPr>
          <w:bCs/>
          <w:color w:val="000000"/>
        </w:rPr>
      </w:pPr>
      <w:r w:rsidRPr="00376949">
        <w:rPr>
          <w:color w:val="000000"/>
        </w:rPr>
        <w:t>Under sections 905, 910, and 911 of the FD&amp;C Act (21 U.S.C. 387e, 387j, and 387k), product applications and supplements, premarket tobacco applications (PMTAs), substantial equivalences (SEs), exemption from SEs, and modified risk tobacco product applications must contain a claim for a CE or an EA</w:t>
      </w:r>
      <w:r w:rsidRPr="00376949">
        <w:rPr>
          <w:bCs/>
          <w:color w:val="000000"/>
        </w:rPr>
        <w:t>.  Upon evaluation, we have concluded that the majority of the EA burden for tobacco products is accounted for in other information collections currently approved by OMB.  The burden we attribute to SEs is currently approved in OMB control number 0910-0673; the burden we attribute to PMTAs is currently approved in OMB control number 0910-0768; and the burden we attribute to SE exemptions is currently approved in OMB control number 0910-0684.</w:t>
      </w:r>
    </w:p>
    <w:bookmarkEnd w:id="0"/>
    <w:p w:rsidR="006A440E" w:rsidP="00376949" w:rsidRDefault="006A440E" w14:paraId="3C956A26" w14:textId="77777777">
      <w:pPr>
        <w:pStyle w:val="BodyText2"/>
        <w:rPr>
          <w:bCs/>
          <w:color w:val="000000"/>
        </w:rPr>
      </w:pPr>
    </w:p>
    <w:p w:rsidRPr="00376949" w:rsidR="00376949" w:rsidP="00376949" w:rsidRDefault="00376949" w14:paraId="172ED789" w14:textId="37D68ABE">
      <w:pPr>
        <w:pStyle w:val="BodyText2"/>
        <w:rPr>
          <w:bCs/>
          <w:color w:val="000000"/>
        </w:rPr>
      </w:pPr>
      <w:r w:rsidRPr="00376949">
        <w:rPr>
          <w:bCs/>
          <w:color w:val="000000"/>
        </w:rPr>
        <w:t>CFSAN:</w:t>
      </w:r>
    </w:p>
    <w:p w:rsidR="006A440E" w:rsidP="00376949" w:rsidRDefault="006A440E" w14:paraId="27025108" w14:textId="77777777">
      <w:pPr>
        <w:pStyle w:val="BodyText2"/>
        <w:rPr>
          <w:color w:val="000000"/>
        </w:rPr>
      </w:pPr>
    </w:p>
    <w:p w:rsidRPr="00376949" w:rsidR="00376949" w:rsidP="00376949" w:rsidRDefault="00376949" w14:paraId="7B0F56D7" w14:textId="72EBA274">
      <w:pPr>
        <w:pStyle w:val="BodyText2"/>
        <w:rPr>
          <w:color w:val="000000"/>
        </w:rPr>
      </w:pPr>
      <w:r w:rsidRPr="00376949">
        <w:rPr>
          <w:color w:val="000000"/>
        </w:rPr>
        <w:t xml:space="preserve">The estimates for respondents and numbers of responses are based on the annualized numbers of petitions and notifications qualifying for CEs listed </w:t>
      </w:r>
      <w:r w:rsidR="005A1E30">
        <w:rPr>
          <w:color w:val="000000"/>
        </w:rPr>
        <w:t xml:space="preserve">in </w:t>
      </w:r>
      <w:r w:rsidRPr="00376949">
        <w:rPr>
          <w:color w:val="000000"/>
        </w:rPr>
        <w:t>§ 25.32</w:t>
      </w:r>
      <w:r w:rsidR="005A1E30">
        <w:rPr>
          <w:color w:val="000000"/>
        </w:rPr>
        <w:t xml:space="preserve"> that</w:t>
      </w:r>
      <w:r w:rsidR="00287FC7">
        <w:rPr>
          <w:color w:val="000000"/>
        </w:rPr>
        <w:t xml:space="preserve"> FDA</w:t>
      </w:r>
      <w:r w:rsidRPr="00376949">
        <w:rPr>
          <w:color w:val="000000"/>
        </w:rPr>
        <w:t xml:space="preserve"> has received in the past 3 years.  To avoid counting the burden attributed to § 25.32(o) as zero, we have estimated the burden for this claim of CE at one respondent making one submission a year for a total of one annual submission.  The burden for submitting a claim of CE is captured under § 25.15(a) and (d).</w:t>
      </w:r>
    </w:p>
    <w:p w:rsidRPr="00290E45" w:rsidR="0003368F" w:rsidP="006F360D" w:rsidRDefault="0003368F" w14:paraId="543DC56D" w14:textId="77777777">
      <w:pPr>
        <w:pStyle w:val="BodyText2"/>
        <w:rPr>
          <w:color w:val="000000"/>
        </w:rPr>
      </w:pPr>
    </w:p>
    <w:p w:rsidRPr="007E43E4" w:rsidR="00A93ED9" w:rsidP="00507969" w:rsidRDefault="00A93ED9" w14:paraId="40B05E51" w14:textId="77777777">
      <w:pPr>
        <w:pStyle w:val="BodyText2"/>
        <w:rPr>
          <w:i/>
          <w:iCs/>
          <w:color w:val="000000"/>
        </w:rPr>
      </w:pPr>
      <w:r w:rsidRPr="007E43E4">
        <w:rPr>
          <w:i/>
          <w:iCs/>
          <w:color w:val="000000"/>
        </w:rPr>
        <w:t xml:space="preserve">12b. </w:t>
      </w:r>
      <w:r w:rsidRPr="007E43E4" w:rsidR="00411D11">
        <w:rPr>
          <w:i/>
          <w:iCs/>
          <w:color w:val="000000"/>
        </w:rPr>
        <w:t>Annualized Cost Burden Estimate</w:t>
      </w:r>
    </w:p>
    <w:p w:rsidRPr="00290E45" w:rsidR="00A93ED9" w:rsidP="00507969" w:rsidRDefault="00A93ED9" w14:paraId="491F2BF5" w14:textId="77777777">
      <w:pPr>
        <w:pStyle w:val="BodyText2"/>
        <w:rPr>
          <w:color w:val="000000"/>
        </w:rPr>
      </w:pPr>
    </w:p>
    <w:p w:rsidR="00FD428A" w:rsidP="00507969" w:rsidRDefault="007E43E4" w14:paraId="4BE62A5F" w14:textId="1B438839">
      <w:pPr>
        <w:pStyle w:val="BodyText2"/>
        <w:rPr>
          <w:color w:val="000000"/>
        </w:rPr>
      </w:pPr>
      <w:r>
        <w:rPr>
          <w:color w:val="000000"/>
        </w:rPr>
        <w:t>Assuming a</w:t>
      </w:r>
      <w:r w:rsidR="00250737">
        <w:rPr>
          <w:color w:val="000000"/>
        </w:rPr>
        <w:t xml:space="preserve"> </w:t>
      </w:r>
      <w:r w:rsidRPr="00290E45" w:rsidR="00E23A9A">
        <w:rPr>
          <w:color w:val="000000"/>
        </w:rPr>
        <w:t>wage rate of $</w:t>
      </w:r>
      <w:r w:rsidR="00E56581">
        <w:rPr>
          <w:color w:val="000000"/>
        </w:rPr>
        <w:t>84</w:t>
      </w:r>
      <w:r w:rsidR="00250737">
        <w:rPr>
          <w:color w:val="000000"/>
        </w:rPr>
        <w:t>/</w:t>
      </w:r>
      <w:r w:rsidRPr="00290E45" w:rsidR="00E23A9A">
        <w:rPr>
          <w:color w:val="000000"/>
        </w:rPr>
        <w:t xml:space="preserve">hour for preparing and submitting the information </w:t>
      </w:r>
      <w:r w:rsidR="00250737">
        <w:rPr>
          <w:color w:val="000000"/>
        </w:rPr>
        <w:t>in accordance with 21 CFR part 25</w:t>
      </w:r>
      <w:r w:rsidR="004D105F">
        <w:rPr>
          <w:color w:val="000000"/>
        </w:rPr>
        <w:t xml:space="preserve"> and multiplying that figure by the total number of annual burden hours</w:t>
      </w:r>
      <w:r w:rsidR="000D638A">
        <w:rPr>
          <w:color w:val="000000"/>
        </w:rPr>
        <w:t xml:space="preserve"> (325,404)</w:t>
      </w:r>
      <w:r w:rsidR="004D105F">
        <w:rPr>
          <w:color w:val="000000"/>
        </w:rPr>
        <w:t xml:space="preserve">, we calculate an annual cost to industry of </w:t>
      </w:r>
      <w:r w:rsidR="000D638A">
        <w:rPr>
          <w:color w:val="000000"/>
        </w:rPr>
        <w:t>$27,333,936.</w:t>
      </w:r>
    </w:p>
    <w:p w:rsidRPr="00290E45" w:rsidR="003740BC" w:rsidP="00507969" w:rsidRDefault="00BF52A5" w14:paraId="4A2CAA2D" w14:textId="217F8AF7">
      <w:pPr>
        <w:pStyle w:val="BodyText2"/>
        <w:rPr>
          <w:color w:val="000000"/>
        </w:rPr>
      </w:pPr>
      <w:r>
        <w:rPr>
          <w:color w:val="000000"/>
        </w:rPr>
        <w:t xml:space="preserve"> </w:t>
      </w:r>
    </w:p>
    <w:p w:rsidR="00001DEF" w:rsidRDefault="00001DEF" w14:paraId="4939B917" w14:textId="77777777">
      <w:pPr>
        <w:rPr>
          <w:color w:val="000000"/>
          <w:u w:val="single"/>
        </w:rPr>
      </w:pPr>
      <w:r>
        <w:rPr>
          <w:color w:val="000000"/>
          <w:u w:val="single"/>
        </w:rPr>
        <w:br w:type="page"/>
      </w:r>
    </w:p>
    <w:p w:rsidRPr="00290E45" w:rsidR="004C6979" w:rsidP="00507969" w:rsidRDefault="00EB7538" w14:paraId="2E895684" w14:textId="3502D888">
      <w:pPr>
        <w:numPr>
          <w:ilvl w:val="0"/>
          <w:numId w:val="1"/>
        </w:numPr>
        <w:tabs>
          <w:tab w:val="clear" w:pos="720"/>
        </w:tabs>
        <w:ind w:left="0"/>
        <w:rPr>
          <w:color w:val="000000"/>
          <w:u w:val="single"/>
        </w:rPr>
      </w:pPr>
      <w:r w:rsidRPr="00290E45">
        <w:rPr>
          <w:color w:val="000000"/>
          <w:u w:val="single"/>
        </w:rPr>
        <w:lastRenderedPageBreak/>
        <w:t>Estimates of Other Total Annual Cost</w:t>
      </w:r>
      <w:r w:rsidRPr="00290E45" w:rsidR="007C75B1">
        <w:rPr>
          <w:color w:val="000000"/>
          <w:u w:val="single"/>
        </w:rPr>
        <w:t>s</w:t>
      </w:r>
      <w:r w:rsidRPr="00290E45">
        <w:rPr>
          <w:color w:val="000000"/>
          <w:u w:val="single"/>
        </w:rPr>
        <w:t xml:space="preserve"> to Respondents and</w:t>
      </w:r>
      <w:r w:rsidRPr="00290E45" w:rsidR="00350523">
        <w:rPr>
          <w:color w:val="000000"/>
          <w:u w:val="single"/>
        </w:rPr>
        <w:t>/or Recordkeepers/Capital Costs</w:t>
      </w:r>
    </w:p>
    <w:p w:rsidR="00A924E2" w:rsidP="00507969" w:rsidRDefault="00A924E2" w14:paraId="4FD55A5F" w14:textId="77777777">
      <w:pPr>
        <w:rPr>
          <w:color w:val="000000"/>
        </w:rPr>
      </w:pPr>
    </w:p>
    <w:p w:rsidR="00B16DA8" w:rsidP="00507969" w:rsidRDefault="00E23A9A" w14:paraId="34605399" w14:textId="0239364A">
      <w:pPr>
        <w:rPr>
          <w:color w:val="000000"/>
        </w:rPr>
      </w:pPr>
      <w:r w:rsidRPr="00290E45">
        <w:rPr>
          <w:color w:val="000000"/>
        </w:rPr>
        <w:t>There are no capital</w:t>
      </w:r>
      <w:r w:rsidR="00A6312E">
        <w:rPr>
          <w:color w:val="000000"/>
        </w:rPr>
        <w:t xml:space="preserve">, start-up, </w:t>
      </w:r>
      <w:r w:rsidRPr="00290E45">
        <w:rPr>
          <w:color w:val="000000"/>
        </w:rPr>
        <w:t xml:space="preserve">operating </w:t>
      </w:r>
      <w:r w:rsidR="00A6312E">
        <w:rPr>
          <w:color w:val="000000"/>
        </w:rPr>
        <w:t xml:space="preserve">or </w:t>
      </w:r>
      <w:r w:rsidRPr="00290E45">
        <w:rPr>
          <w:color w:val="000000"/>
        </w:rPr>
        <w:t xml:space="preserve">maintenance costs associated with this </w:t>
      </w:r>
      <w:r w:rsidR="00A6312E">
        <w:rPr>
          <w:color w:val="000000"/>
        </w:rPr>
        <w:t xml:space="preserve">information </w:t>
      </w:r>
      <w:r w:rsidRPr="00290E45">
        <w:rPr>
          <w:color w:val="000000"/>
        </w:rPr>
        <w:t>collection.</w:t>
      </w:r>
    </w:p>
    <w:p w:rsidRPr="00290E45" w:rsidR="00B16DA8" w:rsidP="00507969" w:rsidRDefault="00B16DA8" w14:paraId="6FE7BE68" w14:textId="77777777">
      <w:pPr>
        <w:rPr>
          <w:color w:val="000000"/>
        </w:rPr>
      </w:pPr>
    </w:p>
    <w:p w:rsidRPr="00290E45" w:rsidR="004C6979" w:rsidP="00507969" w:rsidRDefault="00EB7538" w14:paraId="659787EB" w14:textId="77777777">
      <w:pPr>
        <w:numPr>
          <w:ilvl w:val="0"/>
          <w:numId w:val="1"/>
        </w:numPr>
        <w:tabs>
          <w:tab w:val="clear" w:pos="720"/>
        </w:tabs>
        <w:ind w:left="0"/>
        <w:rPr>
          <w:color w:val="000000"/>
          <w:u w:val="single"/>
        </w:rPr>
      </w:pPr>
      <w:r w:rsidRPr="00290E45">
        <w:rPr>
          <w:color w:val="000000"/>
          <w:u w:val="single"/>
        </w:rPr>
        <w:t>Annualized Cost to the Federal Government</w:t>
      </w:r>
    </w:p>
    <w:p w:rsidR="00A924E2" w:rsidP="00507969" w:rsidRDefault="00A924E2" w14:paraId="4008C8A8" w14:textId="77777777">
      <w:pPr>
        <w:pStyle w:val="BodyText2"/>
        <w:rPr>
          <w:color w:val="000000"/>
          <w:szCs w:val="24"/>
        </w:rPr>
      </w:pPr>
    </w:p>
    <w:p w:rsidR="00A70426" w:rsidP="00507969" w:rsidRDefault="008A588B" w14:paraId="0146249B" w14:textId="4C81770B">
      <w:pPr>
        <w:pStyle w:val="BodyText2"/>
        <w:rPr>
          <w:color w:val="000000"/>
          <w:szCs w:val="24"/>
        </w:rPr>
      </w:pPr>
      <w:r>
        <w:rPr>
          <w:color w:val="000000"/>
          <w:szCs w:val="24"/>
        </w:rPr>
        <w:t xml:space="preserve">WE </w:t>
      </w:r>
      <w:r w:rsidR="00D45949">
        <w:rPr>
          <w:color w:val="000000"/>
          <w:szCs w:val="24"/>
        </w:rPr>
        <w:t>allocat</w:t>
      </w:r>
      <w:r>
        <w:rPr>
          <w:color w:val="000000"/>
          <w:szCs w:val="24"/>
        </w:rPr>
        <w:t>e an estimated</w:t>
      </w:r>
      <w:r w:rsidR="00D45949">
        <w:rPr>
          <w:color w:val="000000"/>
          <w:szCs w:val="24"/>
        </w:rPr>
        <w:t xml:space="preserve"> </w:t>
      </w:r>
      <w:r w:rsidRPr="00290E45" w:rsidR="00E23A9A">
        <w:rPr>
          <w:color w:val="000000"/>
          <w:szCs w:val="24"/>
        </w:rPr>
        <w:t xml:space="preserve">8 </w:t>
      </w:r>
      <w:r w:rsidR="001E7366">
        <w:rPr>
          <w:color w:val="000000"/>
          <w:szCs w:val="24"/>
        </w:rPr>
        <w:t>full-time employees (</w:t>
      </w:r>
      <w:r w:rsidRPr="00290E45" w:rsidR="00E23A9A">
        <w:rPr>
          <w:color w:val="000000"/>
          <w:szCs w:val="24"/>
        </w:rPr>
        <w:t>FTEs</w:t>
      </w:r>
      <w:r w:rsidR="001E7366">
        <w:rPr>
          <w:color w:val="000000"/>
          <w:szCs w:val="24"/>
        </w:rPr>
        <w:t>)</w:t>
      </w:r>
      <w:r w:rsidRPr="00290E45" w:rsidR="00E23A9A">
        <w:rPr>
          <w:color w:val="000000"/>
          <w:szCs w:val="24"/>
        </w:rPr>
        <w:t xml:space="preserve"> </w:t>
      </w:r>
      <w:r w:rsidR="00F267F0">
        <w:rPr>
          <w:color w:val="000000"/>
          <w:szCs w:val="24"/>
        </w:rPr>
        <w:t xml:space="preserve">for </w:t>
      </w:r>
      <w:r w:rsidRPr="00290E45" w:rsidR="00E23A9A">
        <w:rPr>
          <w:color w:val="000000"/>
          <w:szCs w:val="24"/>
        </w:rPr>
        <w:t xml:space="preserve">the review of submissions associated with 21 CFR part 25.  </w:t>
      </w:r>
      <w:r w:rsidR="00F267F0">
        <w:rPr>
          <w:color w:val="000000"/>
          <w:szCs w:val="24"/>
        </w:rPr>
        <w:t>Assuming a</w:t>
      </w:r>
      <w:r w:rsidR="00DE1AC9">
        <w:rPr>
          <w:color w:val="000000"/>
          <w:szCs w:val="24"/>
        </w:rPr>
        <w:t xml:space="preserve">n annual salary of </w:t>
      </w:r>
      <w:r w:rsidRPr="00290E45" w:rsidR="003C535F">
        <w:rPr>
          <w:color w:val="000000"/>
          <w:szCs w:val="24"/>
        </w:rPr>
        <w:t>$</w:t>
      </w:r>
      <w:r w:rsidR="007310B5">
        <w:rPr>
          <w:color w:val="000000"/>
          <w:szCs w:val="24"/>
        </w:rPr>
        <w:t>180</w:t>
      </w:r>
      <w:r w:rsidRPr="00290E45" w:rsidR="003C535F">
        <w:rPr>
          <w:color w:val="000000"/>
          <w:szCs w:val="24"/>
        </w:rPr>
        <w:t>,000</w:t>
      </w:r>
      <w:r w:rsidRPr="00290E45" w:rsidR="00E23A9A">
        <w:rPr>
          <w:color w:val="000000"/>
          <w:szCs w:val="24"/>
        </w:rPr>
        <w:t xml:space="preserve"> per FTE, </w:t>
      </w:r>
      <w:r w:rsidR="00DE1AC9">
        <w:rPr>
          <w:color w:val="000000"/>
          <w:szCs w:val="24"/>
        </w:rPr>
        <w:t xml:space="preserve">we calculate an estimated cost to the Federal government of </w:t>
      </w:r>
      <w:r w:rsidRPr="00290E45" w:rsidR="003C535F">
        <w:rPr>
          <w:color w:val="000000"/>
          <w:szCs w:val="24"/>
        </w:rPr>
        <w:t>$</w:t>
      </w:r>
      <w:r w:rsidR="007310B5">
        <w:rPr>
          <w:color w:val="000000"/>
          <w:szCs w:val="24"/>
        </w:rPr>
        <w:t>1,440,000</w:t>
      </w:r>
      <w:r w:rsidRPr="00290E45" w:rsidR="00E23A9A">
        <w:rPr>
          <w:color w:val="000000"/>
          <w:szCs w:val="24"/>
        </w:rPr>
        <w:t>.</w:t>
      </w:r>
    </w:p>
    <w:p w:rsidRPr="00290E45" w:rsidR="00DE1AC9" w:rsidP="00507969" w:rsidRDefault="00DE1AC9" w14:paraId="0E97AC7F" w14:textId="77777777">
      <w:pPr>
        <w:pStyle w:val="BodyText2"/>
        <w:rPr>
          <w:color w:val="000000"/>
          <w:szCs w:val="24"/>
        </w:rPr>
      </w:pPr>
    </w:p>
    <w:p w:rsidRPr="00290E45" w:rsidR="004C6979" w:rsidP="00F5026A" w:rsidRDefault="00EB7538" w14:paraId="7AF706CD" w14:textId="77777777">
      <w:pPr>
        <w:numPr>
          <w:ilvl w:val="0"/>
          <w:numId w:val="1"/>
        </w:numPr>
        <w:tabs>
          <w:tab w:val="clear" w:pos="720"/>
        </w:tabs>
        <w:ind w:left="0"/>
        <w:rPr>
          <w:color w:val="000000"/>
          <w:u w:val="single"/>
        </w:rPr>
      </w:pPr>
      <w:r w:rsidRPr="00290E45">
        <w:rPr>
          <w:color w:val="000000"/>
          <w:u w:val="single"/>
        </w:rPr>
        <w:t>Explanation for Program Changes or Adjustments</w:t>
      </w:r>
    </w:p>
    <w:p w:rsidR="00F5026A" w:rsidP="00F5026A" w:rsidRDefault="00F5026A" w14:paraId="667DD379" w14:textId="77777777">
      <w:pPr>
        <w:contextualSpacing/>
      </w:pPr>
    </w:p>
    <w:p w:rsidRPr="00001DEF" w:rsidR="005B700D" w:rsidP="00507969" w:rsidRDefault="00D14FB5" w14:paraId="5C11FD71" w14:textId="7D960A4F">
      <w:pPr>
        <w:contextualSpacing/>
      </w:pPr>
      <w:r>
        <w:t xml:space="preserve">As a result of revising the information collection to include submissions made to CFSAN, </w:t>
      </w:r>
      <w:r w:rsidR="001A48B8">
        <w:t xml:space="preserve">there is an increase of </w:t>
      </w:r>
      <w:r>
        <w:t xml:space="preserve">burden </w:t>
      </w:r>
      <w:r w:rsidR="001A48B8">
        <w:t xml:space="preserve">by </w:t>
      </w:r>
      <w:r>
        <w:t>108 responses and 10,668 hours annually.</w:t>
      </w:r>
      <w:r w:rsidR="001A48B8">
        <w:t xml:space="preserve">  However, </w:t>
      </w:r>
      <w:r w:rsidR="00C800D5">
        <w:t xml:space="preserve">upon review of the </w:t>
      </w:r>
      <w:r w:rsidR="001A48B8">
        <w:t>ICR we noted an inadvertent calculation error in our previous submi</w:t>
      </w:r>
      <w:r w:rsidR="00C800D5">
        <w:t xml:space="preserve">ssion </w:t>
      </w:r>
      <w:r w:rsidR="00A82337">
        <w:t xml:space="preserve">with regard to the annual number of </w:t>
      </w:r>
      <w:r w:rsidR="00C3303B">
        <w:t>response</w:t>
      </w:r>
      <w:r w:rsidR="00527C58">
        <w:t>s; we</w:t>
      </w:r>
      <w:r w:rsidR="00C3303B">
        <w:t xml:space="preserve"> </w:t>
      </w:r>
      <w:r w:rsidR="00C800D5">
        <w:t>have correct</w:t>
      </w:r>
      <w:r w:rsidR="007675EF">
        <w:t>ed</w:t>
      </w:r>
      <w:r w:rsidR="00C3303B">
        <w:t xml:space="preserve"> the error with this submission and thus </w:t>
      </w:r>
      <w:r w:rsidR="009E7871">
        <w:t xml:space="preserve">the ICR reflects </w:t>
      </w:r>
      <w:r w:rsidR="00C3303B">
        <w:t>an adjustment of -8</w:t>
      </w:r>
      <w:r w:rsidR="005F2533">
        <w:t>,829</w:t>
      </w:r>
      <w:r w:rsidR="007675EF">
        <w:t xml:space="preserve">. </w:t>
      </w:r>
    </w:p>
    <w:p w:rsidR="00F94249" w:rsidP="00507969" w:rsidRDefault="00F94249" w14:paraId="0A232F86" w14:textId="77777777">
      <w:pPr>
        <w:rPr>
          <w:color w:val="000000"/>
        </w:rPr>
      </w:pPr>
    </w:p>
    <w:p w:rsidRPr="00290E45" w:rsidR="004C6979" w:rsidP="00507969" w:rsidRDefault="00EB7538" w14:paraId="06685F76" w14:textId="77777777">
      <w:pPr>
        <w:numPr>
          <w:ilvl w:val="0"/>
          <w:numId w:val="1"/>
        </w:numPr>
        <w:tabs>
          <w:tab w:val="clear" w:pos="720"/>
        </w:tabs>
        <w:ind w:left="0"/>
        <w:rPr>
          <w:color w:val="000000"/>
          <w:u w:val="single"/>
        </w:rPr>
      </w:pPr>
      <w:r w:rsidRPr="00290E45">
        <w:rPr>
          <w:color w:val="000000"/>
          <w:u w:val="single"/>
        </w:rPr>
        <w:t>Plans for Tabulation and Publication and Project Time Schedule</w:t>
      </w:r>
    </w:p>
    <w:p w:rsidR="00C578E7" w:rsidP="00507969" w:rsidRDefault="00C578E7" w14:paraId="7F0AAF4D" w14:textId="77777777">
      <w:pPr>
        <w:rPr>
          <w:color w:val="000000"/>
        </w:rPr>
      </w:pPr>
    </w:p>
    <w:p w:rsidR="003C4EBB" w:rsidP="00507969" w:rsidRDefault="00E333D2" w14:paraId="6D22DF0C" w14:textId="57F41202">
      <w:pPr>
        <w:rPr>
          <w:color w:val="000000"/>
        </w:rPr>
      </w:pPr>
      <w:r w:rsidRPr="00290E45">
        <w:rPr>
          <w:color w:val="000000"/>
        </w:rPr>
        <w:t>FDA does not intend to publish tabulated results of the information collection requirements that are imposed by 21 CFR part 25.</w:t>
      </w:r>
    </w:p>
    <w:p w:rsidRPr="00290E45" w:rsidR="00C578E7" w:rsidP="00507969" w:rsidRDefault="00C578E7" w14:paraId="4963CC70" w14:textId="77777777">
      <w:pPr>
        <w:rPr>
          <w:color w:val="000000"/>
        </w:rPr>
      </w:pPr>
    </w:p>
    <w:p w:rsidRPr="00290E45" w:rsidR="004C6979" w:rsidP="00507969" w:rsidRDefault="00EB7538" w14:paraId="6DD3BD80" w14:textId="77777777">
      <w:pPr>
        <w:numPr>
          <w:ilvl w:val="0"/>
          <w:numId w:val="1"/>
        </w:numPr>
        <w:tabs>
          <w:tab w:val="clear" w:pos="720"/>
        </w:tabs>
        <w:ind w:left="0"/>
        <w:rPr>
          <w:color w:val="000000"/>
          <w:u w:val="single"/>
        </w:rPr>
      </w:pPr>
      <w:r w:rsidRPr="00290E45">
        <w:rPr>
          <w:color w:val="000000"/>
          <w:u w:val="single"/>
        </w:rPr>
        <w:t>Reason(s) Display of OMB Expiration Date is Inappropriate</w:t>
      </w:r>
    </w:p>
    <w:p w:rsidR="00C578E7" w:rsidP="00507969" w:rsidRDefault="00C578E7" w14:paraId="5DF61B0C" w14:textId="1C01C455">
      <w:pPr>
        <w:rPr>
          <w:color w:val="000000"/>
        </w:rPr>
      </w:pPr>
    </w:p>
    <w:p w:rsidRPr="00C25D84" w:rsidR="00C578E7" w:rsidP="00507969" w:rsidRDefault="00C25D84" w14:paraId="0AD5AF99" w14:textId="284962F5">
      <w:pPr>
        <w:rPr>
          <w:sz w:val="22"/>
          <w:szCs w:val="22"/>
        </w:rPr>
      </w:pPr>
      <w:r w:rsidRPr="00C25D84">
        <w:t>FDA will display the OMB control number as required by 5 CFR 1320.5 (and 5 CFR 1320.8(b)(1))</w:t>
      </w:r>
      <w:r>
        <w:t xml:space="preserve">.  Because </w:t>
      </w:r>
      <w:r w:rsidRPr="00C25D84">
        <w:t xml:space="preserve">documents are more frequently being accessed electronically, </w:t>
      </w:r>
      <w:r>
        <w:t xml:space="preserve">however, </w:t>
      </w:r>
      <w:r w:rsidRPr="00C25D84">
        <w:t xml:space="preserve">we </w:t>
      </w:r>
      <w:r>
        <w:t xml:space="preserve">have implemented </w:t>
      </w:r>
      <w:r w:rsidRPr="00C25D84">
        <w:t>technological changes enabl</w:t>
      </w:r>
      <w:r>
        <w:t xml:space="preserve">ing </w:t>
      </w:r>
      <w:r w:rsidRPr="00C25D84">
        <w:t xml:space="preserve">us to display the expiration date by linking to approval information found at </w:t>
      </w:r>
      <w:hyperlink r:id="rId11">
        <w:r w:rsidRPr="00C25D84">
          <w:rPr>
            <w:color w:val="0563C1"/>
            <w:u w:val="single"/>
          </w:rPr>
          <w:t>www.reginfo.gov</w:t>
        </w:r>
      </w:hyperlink>
      <w:r w:rsidRPr="00C25D84">
        <w:t xml:space="preserve">.  We </w:t>
      </w:r>
      <w:r w:rsidR="007E43E4">
        <w:t xml:space="preserve">now </w:t>
      </w:r>
      <w:r w:rsidRPr="00C25D84">
        <w:t>include the OMB 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our website platform (Drupal).</w:t>
      </w:r>
    </w:p>
    <w:p w:rsidRPr="00290E45" w:rsidR="00C578E7" w:rsidP="00507969" w:rsidRDefault="00C578E7" w14:paraId="77814FDC" w14:textId="77777777">
      <w:pPr>
        <w:rPr>
          <w:color w:val="000000"/>
        </w:rPr>
      </w:pPr>
    </w:p>
    <w:p w:rsidRPr="00290E45" w:rsidR="00EB7538" w:rsidP="00507969" w:rsidRDefault="00EB7538" w14:paraId="4D8BE51A" w14:textId="77777777">
      <w:pPr>
        <w:numPr>
          <w:ilvl w:val="0"/>
          <w:numId w:val="1"/>
        </w:numPr>
        <w:tabs>
          <w:tab w:val="clear" w:pos="720"/>
        </w:tabs>
        <w:ind w:left="0"/>
        <w:rPr>
          <w:color w:val="000000"/>
          <w:u w:val="single"/>
        </w:rPr>
      </w:pPr>
      <w:r w:rsidRPr="00290E45">
        <w:rPr>
          <w:color w:val="000000"/>
          <w:u w:val="single"/>
        </w:rPr>
        <w:t>Exceptions to Certification for Paperwork Reduction Act Submissions</w:t>
      </w:r>
    </w:p>
    <w:p w:rsidR="00C578E7" w:rsidP="00507969" w:rsidRDefault="00C578E7" w14:paraId="3B1AC158" w14:textId="77777777">
      <w:pPr>
        <w:rPr>
          <w:color w:val="000000"/>
        </w:rPr>
      </w:pPr>
    </w:p>
    <w:p w:rsidRPr="00290E45" w:rsidR="002746DB" w:rsidP="00507969" w:rsidRDefault="00E333D2" w14:paraId="0AE0FC47" w14:textId="457881DC">
      <w:pPr>
        <w:rPr>
          <w:color w:val="000000"/>
        </w:rPr>
      </w:pPr>
      <w:r w:rsidRPr="00290E45">
        <w:rPr>
          <w:color w:val="000000"/>
        </w:rPr>
        <w:t>T</w:t>
      </w:r>
      <w:r w:rsidRPr="00290E45" w:rsidR="00754497">
        <w:rPr>
          <w:color w:val="000000"/>
        </w:rPr>
        <w:t>here are no exceptions to the certification.</w:t>
      </w:r>
      <w:r w:rsidRPr="00290E45" w:rsidR="004C6979">
        <w:rPr>
          <w:color w:val="000000"/>
        </w:rPr>
        <w:t xml:space="preserve"> </w:t>
      </w:r>
    </w:p>
    <w:sectPr w:rsidRPr="00290E45" w:rsidR="002746DB" w:rsidSect="00413124">
      <w:headerReference w:type="default" r:id="rId12"/>
      <w:footerReference w:type="default" r:id="rId13"/>
      <w:headerReference w:type="first" r:id="rId14"/>
      <w:footerReference w:type="first" r:id="rId15"/>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8FCC" w14:textId="77777777" w:rsidR="00981C13" w:rsidRDefault="00981C13" w:rsidP="00154114">
      <w:r>
        <w:separator/>
      </w:r>
    </w:p>
  </w:endnote>
  <w:endnote w:type="continuationSeparator" w:id="0">
    <w:p w14:paraId="408BCC92" w14:textId="77777777" w:rsidR="00981C13" w:rsidRDefault="00981C13" w:rsidP="0015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432001"/>
      <w:docPartObj>
        <w:docPartGallery w:val="Page Numbers (Bottom of Page)"/>
        <w:docPartUnique/>
      </w:docPartObj>
    </w:sdtPr>
    <w:sdtEndPr>
      <w:rPr>
        <w:noProof/>
      </w:rPr>
    </w:sdtEndPr>
    <w:sdtContent>
      <w:p w14:paraId="11798E3A" w14:textId="090DE720" w:rsidR="00413124" w:rsidRDefault="00413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058A5A" w14:textId="77777777" w:rsidR="00314990" w:rsidRDefault="00314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2CFE" w14:textId="247B63A5" w:rsidR="00314990" w:rsidRDefault="00314990">
    <w:pPr>
      <w:pStyle w:val="Footer"/>
      <w:jc w:val="center"/>
    </w:pPr>
  </w:p>
  <w:p w14:paraId="57BDF374" w14:textId="77777777" w:rsidR="00314990" w:rsidRDefault="0031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2647" w14:textId="77777777" w:rsidR="00981C13" w:rsidRDefault="00981C13" w:rsidP="00154114">
      <w:r>
        <w:separator/>
      </w:r>
    </w:p>
  </w:footnote>
  <w:footnote w:type="continuationSeparator" w:id="0">
    <w:p w14:paraId="7C3BCFB4" w14:textId="77777777" w:rsidR="00981C13" w:rsidRDefault="00981C13" w:rsidP="0015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DE7" w14:textId="6ADF9493" w:rsidR="00094A4D" w:rsidRDefault="00094A4D" w:rsidP="00094A4D">
    <w:pPr>
      <w:pStyle w:val="Header"/>
      <w:ind w:left="-270"/>
    </w:pPr>
    <w:r>
      <w:rPr>
        <w:noProof/>
      </w:rPr>
      <w:drawing>
        <wp:inline distT="0" distB="0" distL="0" distR="0" wp14:anchorId="79986CC7" wp14:editId="6791F8C4">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14:paraId="1E53B115" w14:textId="4CE0D587" w:rsidR="00094A4D" w:rsidRDefault="00094A4D" w:rsidP="00094A4D">
    <w:pPr>
      <w:pStyle w:val="Header"/>
      <w:ind w:left="-270"/>
    </w:pPr>
  </w:p>
  <w:p w14:paraId="686C7A3A" w14:textId="77777777" w:rsidR="00E5616F" w:rsidRDefault="00E5616F" w:rsidP="00094A4D">
    <w:pPr>
      <w:pStyle w:val="Header"/>
      <w:ind w:left="-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5057" w14:textId="2D318C33" w:rsidR="00E5616F" w:rsidRDefault="00E5616F">
    <w:pPr>
      <w:pStyle w:val="Header"/>
    </w:pPr>
    <w:r>
      <w:rPr>
        <w:noProof/>
      </w:rPr>
      <w:drawing>
        <wp:inline distT="0" distB="0" distL="0" distR="0" wp14:anchorId="7C55A7D4" wp14:editId="7D146799">
          <wp:extent cx="27622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14:paraId="60DC38F2" w14:textId="059AB515" w:rsidR="00314990" w:rsidRDefault="00314990">
    <w:pPr>
      <w:pStyle w:val="Header"/>
    </w:pPr>
  </w:p>
  <w:p w14:paraId="1B2190BE" w14:textId="77777777" w:rsidR="00314990" w:rsidRDefault="00314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8C53C7D"/>
    <w:multiLevelType w:val="hybridMultilevel"/>
    <w:tmpl w:val="44664CAC"/>
    <w:lvl w:ilvl="0" w:tplc="D91C8E58">
      <w:start w:val="91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8A3015"/>
    <w:multiLevelType w:val="hybridMultilevel"/>
    <w:tmpl w:val="A0F6A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8"/>
  </w:num>
  <w:num w:numId="5">
    <w:abstractNumId w:val="6"/>
  </w:num>
  <w:num w:numId="6">
    <w:abstractNumId w:val="20"/>
  </w:num>
  <w:num w:numId="7">
    <w:abstractNumId w:val="25"/>
  </w:num>
  <w:num w:numId="8">
    <w:abstractNumId w:val="2"/>
  </w:num>
  <w:num w:numId="9">
    <w:abstractNumId w:val="21"/>
  </w:num>
  <w:num w:numId="10">
    <w:abstractNumId w:val="17"/>
  </w:num>
  <w:num w:numId="11">
    <w:abstractNumId w:val="8"/>
  </w:num>
  <w:num w:numId="12">
    <w:abstractNumId w:val="28"/>
  </w:num>
  <w:num w:numId="13">
    <w:abstractNumId w:val="16"/>
  </w:num>
  <w:num w:numId="14">
    <w:abstractNumId w:val="7"/>
  </w:num>
  <w:num w:numId="15">
    <w:abstractNumId w:val="13"/>
  </w:num>
  <w:num w:numId="16">
    <w:abstractNumId w:val="12"/>
  </w:num>
  <w:num w:numId="17">
    <w:abstractNumId w:val="24"/>
  </w:num>
  <w:num w:numId="18">
    <w:abstractNumId w:val="27"/>
  </w:num>
  <w:num w:numId="19">
    <w:abstractNumId w:val="26"/>
  </w:num>
  <w:num w:numId="20">
    <w:abstractNumId w:val="15"/>
  </w:num>
  <w:num w:numId="21">
    <w:abstractNumId w:val="11"/>
  </w:num>
  <w:num w:numId="22">
    <w:abstractNumId w:val="1"/>
  </w:num>
  <w:num w:numId="23">
    <w:abstractNumId w:val="22"/>
  </w:num>
  <w:num w:numId="24">
    <w:abstractNumId w:val="19"/>
  </w:num>
  <w:num w:numId="25">
    <w:abstractNumId w:val="10"/>
  </w:num>
  <w:num w:numId="26">
    <w:abstractNumId w:val="5"/>
  </w:num>
  <w:num w:numId="27">
    <w:abstractNumId w:val="30"/>
  </w:num>
  <w:num w:numId="28">
    <w:abstractNumId w:val="23"/>
  </w:num>
  <w:num w:numId="29">
    <w:abstractNumId w:val="4"/>
  </w:num>
  <w:num w:numId="30">
    <w:abstractNumId w:val="29"/>
  </w:num>
  <w:num w:numId="3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DEF"/>
    <w:rsid w:val="00022DF2"/>
    <w:rsid w:val="000252AD"/>
    <w:rsid w:val="00030C67"/>
    <w:rsid w:val="0003368F"/>
    <w:rsid w:val="00041175"/>
    <w:rsid w:val="00041FBE"/>
    <w:rsid w:val="000467D3"/>
    <w:rsid w:val="000570BB"/>
    <w:rsid w:val="0006570F"/>
    <w:rsid w:val="000721FE"/>
    <w:rsid w:val="000822BA"/>
    <w:rsid w:val="00084FF1"/>
    <w:rsid w:val="00090A20"/>
    <w:rsid w:val="0009252F"/>
    <w:rsid w:val="00094A4D"/>
    <w:rsid w:val="000B523E"/>
    <w:rsid w:val="000C12A6"/>
    <w:rsid w:val="000C1C98"/>
    <w:rsid w:val="000D4F8C"/>
    <w:rsid w:val="000D638A"/>
    <w:rsid w:val="000D7D62"/>
    <w:rsid w:val="000E1A29"/>
    <w:rsid w:val="000E1C64"/>
    <w:rsid w:val="000E26AD"/>
    <w:rsid w:val="000F04DA"/>
    <w:rsid w:val="000F7BF7"/>
    <w:rsid w:val="00105ED8"/>
    <w:rsid w:val="00107885"/>
    <w:rsid w:val="00112E99"/>
    <w:rsid w:val="0012329C"/>
    <w:rsid w:val="00125932"/>
    <w:rsid w:val="001305FC"/>
    <w:rsid w:val="00135AD7"/>
    <w:rsid w:val="00137950"/>
    <w:rsid w:val="00154114"/>
    <w:rsid w:val="00166043"/>
    <w:rsid w:val="00177976"/>
    <w:rsid w:val="00177979"/>
    <w:rsid w:val="00177F20"/>
    <w:rsid w:val="00185968"/>
    <w:rsid w:val="00186831"/>
    <w:rsid w:val="001A2158"/>
    <w:rsid w:val="001A3B5A"/>
    <w:rsid w:val="001A3D6B"/>
    <w:rsid w:val="001A4170"/>
    <w:rsid w:val="001A48B8"/>
    <w:rsid w:val="001C0BAB"/>
    <w:rsid w:val="001C1E29"/>
    <w:rsid w:val="001D495A"/>
    <w:rsid w:val="001E0AF8"/>
    <w:rsid w:val="001E52CC"/>
    <w:rsid w:val="001E7366"/>
    <w:rsid w:val="001F5813"/>
    <w:rsid w:val="002259EF"/>
    <w:rsid w:val="00226BC0"/>
    <w:rsid w:val="00231049"/>
    <w:rsid w:val="00242ED1"/>
    <w:rsid w:val="00245188"/>
    <w:rsid w:val="00246A77"/>
    <w:rsid w:val="00250737"/>
    <w:rsid w:val="00251CF5"/>
    <w:rsid w:val="00252B81"/>
    <w:rsid w:val="00254069"/>
    <w:rsid w:val="002553EF"/>
    <w:rsid w:val="002574FD"/>
    <w:rsid w:val="0026396D"/>
    <w:rsid w:val="002734E5"/>
    <w:rsid w:val="002746DB"/>
    <w:rsid w:val="00287FC7"/>
    <w:rsid w:val="00290E45"/>
    <w:rsid w:val="002924D0"/>
    <w:rsid w:val="002938B3"/>
    <w:rsid w:val="00297CA6"/>
    <w:rsid w:val="002C292A"/>
    <w:rsid w:val="002D1299"/>
    <w:rsid w:val="002D4799"/>
    <w:rsid w:val="002E3FA4"/>
    <w:rsid w:val="002E6E73"/>
    <w:rsid w:val="0030059C"/>
    <w:rsid w:val="003078F9"/>
    <w:rsid w:val="00314990"/>
    <w:rsid w:val="00316446"/>
    <w:rsid w:val="003178DD"/>
    <w:rsid w:val="00317C4A"/>
    <w:rsid w:val="0032277F"/>
    <w:rsid w:val="0033180A"/>
    <w:rsid w:val="00331CF7"/>
    <w:rsid w:val="00337BF1"/>
    <w:rsid w:val="003419FF"/>
    <w:rsid w:val="00350523"/>
    <w:rsid w:val="00351D76"/>
    <w:rsid w:val="00357C32"/>
    <w:rsid w:val="00362EE2"/>
    <w:rsid w:val="003631B3"/>
    <w:rsid w:val="00364110"/>
    <w:rsid w:val="003740BC"/>
    <w:rsid w:val="00376949"/>
    <w:rsid w:val="003801A3"/>
    <w:rsid w:val="00383AB4"/>
    <w:rsid w:val="0039265B"/>
    <w:rsid w:val="00392830"/>
    <w:rsid w:val="003946DE"/>
    <w:rsid w:val="00394B0A"/>
    <w:rsid w:val="003A30E9"/>
    <w:rsid w:val="003A76C1"/>
    <w:rsid w:val="003B42B3"/>
    <w:rsid w:val="003B6384"/>
    <w:rsid w:val="003C4EBB"/>
    <w:rsid w:val="003C535F"/>
    <w:rsid w:val="003D1531"/>
    <w:rsid w:val="003E4EC6"/>
    <w:rsid w:val="003E553E"/>
    <w:rsid w:val="00411D11"/>
    <w:rsid w:val="00411E50"/>
    <w:rsid w:val="00413124"/>
    <w:rsid w:val="00415E23"/>
    <w:rsid w:val="004203D3"/>
    <w:rsid w:val="00424061"/>
    <w:rsid w:val="00432A70"/>
    <w:rsid w:val="00447D74"/>
    <w:rsid w:val="0046224C"/>
    <w:rsid w:val="00462888"/>
    <w:rsid w:val="00465350"/>
    <w:rsid w:val="004700EB"/>
    <w:rsid w:val="004754DE"/>
    <w:rsid w:val="004846BF"/>
    <w:rsid w:val="004927B6"/>
    <w:rsid w:val="0049474E"/>
    <w:rsid w:val="004B22FA"/>
    <w:rsid w:val="004C6979"/>
    <w:rsid w:val="004D105F"/>
    <w:rsid w:val="004E2BB2"/>
    <w:rsid w:val="004E5CC1"/>
    <w:rsid w:val="004F449C"/>
    <w:rsid w:val="004F6AEF"/>
    <w:rsid w:val="00507969"/>
    <w:rsid w:val="00525C7A"/>
    <w:rsid w:val="00527C58"/>
    <w:rsid w:val="00543AEF"/>
    <w:rsid w:val="00544138"/>
    <w:rsid w:val="0054671D"/>
    <w:rsid w:val="005609BE"/>
    <w:rsid w:val="005617B6"/>
    <w:rsid w:val="005748A3"/>
    <w:rsid w:val="0058417F"/>
    <w:rsid w:val="00584583"/>
    <w:rsid w:val="00584E99"/>
    <w:rsid w:val="005A16B7"/>
    <w:rsid w:val="005A1E30"/>
    <w:rsid w:val="005A339D"/>
    <w:rsid w:val="005A35AB"/>
    <w:rsid w:val="005A4099"/>
    <w:rsid w:val="005A7BCF"/>
    <w:rsid w:val="005A7E72"/>
    <w:rsid w:val="005B23B6"/>
    <w:rsid w:val="005B700D"/>
    <w:rsid w:val="005C38B2"/>
    <w:rsid w:val="005C5029"/>
    <w:rsid w:val="005C5258"/>
    <w:rsid w:val="005C5EAA"/>
    <w:rsid w:val="005D1F87"/>
    <w:rsid w:val="005D4DF5"/>
    <w:rsid w:val="005E1E68"/>
    <w:rsid w:val="005E1F6E"/>
    <w:rsid w:val="005E3C62"/>
    <w:rsid w:val="005F2533"/>
    <w:rsid w:val="00601886"/>
    <w:rsid w:val="00604D33"/>
    <w:rsid w:val="00606A9B"/>
    <w:rsid w:val="006207CD"/>
    <w:rsid w:val="00620EF0"/>
    <w:rsid w:val="00626F1F"/>
    <w:rsid w:val="00641C0B"/>
    <w:rsid w:val="00642C44"/>
    <w:rsid w:val="006433ED"/>
    <w:rsid w:val="00655DE5"/>
    <w:rsid w:val="00662FFF"/>
    <w:rsid w:val="00663A02"/>
    <w:rsid w:val="00663F3E"/>
    <w:rsid w:val="00671804"/>
    <w:rsid w:val="006722AC"/>
    <w:rsid w:val="00682810"/>
    <w:rsid w:val="006936EE"/>
    <w:rsid w:val="00693C97"/>
    <w:rsid w:val="0069676B"/>
    <w:rsid w:val="006967FE"/>
    <w:rsid w:val="006A1F51"/>
    <w:rsid w:val="006A440E"/>
    <w:rsid w:val="006A7D5D"/>
    <w:rsid w:val="006F360D"/>
    <w:rsid w:val="006F4D6D"/>
    <w:rsid w:val="007062E2"/>
    <w:rsid w:val="00711D44"/>
    <w:rsid w:val="00714A91"/>
    <w:rsid w:val="00715F1D"/>
    <w:rsid w:val="00717CF6"/>
    <w:rsid w:val="00720257"/>
    <w:rsid w:val="00726D40"/>
    <w:rsid w:val="007310B5"/>
    <w:rsid w:val="0073502B"/>
    <w:rsid w:val="00754497"/>
    <w:rsid w:val="007666F3"/>
    <w:rsid w:val="007675EF"/>
    <w:rsid w:val="00771094"/>
    <w:rsid w:val="00771893"/>
    <w:rsid w:val="00772A58"/>
    <w:rsid w:val="00775E8A"/>
    <w:rsid w:val="00786D00"/>
    <w:rsid w:val="0079512E"/>
    <w:rsid w:val="007A7179"/>
    <w:rsid w:val="007B2AD4"/>
    <w:rsid w:val="007B2DD3"/>
    <w:rsid w:val="007C01DE"/>
    <w:rsid w:val="007C5088"/>
    <w:rsid w:val="007C75B1"/>
    <w:rsid w:val="007D1AF2"/>
    <w:rsid w:val="007E1D56"/>
    <w:rsid w:val="007E35DF"/>
    <w:rsid w:val="007E43E4"/>
    <w:rsid w:val="007E473D"/>
    <w:rsid w:val="007E7B4A"/>
    <w:rsid w:val="007F5E39"/>
    <w:rsid w:val="007F7420"/>
    <w:rsid w:val="0080776D"/>
    <w:rsid w:val="00807FAC"/>
    <w:rsid w:val="00810145"/>
    <w:rsid w:val="008108FA"/>
    <w:rsid w:val="00816CF6"/>
    <w:rsid w:val="00822336"/>
    <w:rsid w:val="00823DFA"/>
    <w:rsid w:val="00843752"/>
    <w:rsid w:val="00850A0B"/>
    <w:rsid w:val="00890927"/>
    <w:rsid w:val="00892400"/>
    <w:rsid w:val="008A209D"/>
    <w:rsid w:val="008A588B"/>
    <w:rsid w:val="008A76FD"/>
    <w:rsid w:val="008B0E29"/>
    <w:rsid w:val="008B0EFA"/>
    <w:rsid w:val="008B2E52"/>
    <w:rsid w:val="008B30AB"/>
    <w:rsid w:val="008C15F9"/>
    <w:rsid w:val="008C7FA1"/>
    <w:rsid w:val="008D43DB"/>
    <w:rsid w:val="008E0210"/>
    <w:rsid w:val="008E41F6"/>
    <w:rsid w:val="008F6856"/>
    <w:rsid w:val="009039C4"/>
    <w:rsid w:val="00905191"/>
    <w:rsid w:val="00905DEF"/>
    <w:rsid w:val="00910F52"/>
    <w:rsid w:val="00911C7E"/>
    <w:rsid w:val="00927B7D"/>
    <w:rsid w:val="00931275"/>
    <w:rsid w:val="00936AC7"/>
    <w:rsid w:val="009430C7"/>
    <w:rsid w:val="00955115"/>
    <w:rsid w:val="009646E8"/>
    <w:rsid w:val="009672FD"/>
    <w:rsid w:val="009748CD"/>
    <w:rsid w:val="00981C13"/>
    <w:rsid w:val="00983891"/>
    <w:rsid w:val="0099295B"/>
    <w:rsid w:val="0099390D"/>
    <w:rsid w:val="009A7D2C"/>
    <w:rsid w:val="009B0810"/>
    <w:rsid w:val="009B1840"/>
    <w:rsid w:val="009D074C"/>
    <w:rsid w:val="009D2891"/>
    <w:rsid w:val="009D5888"/>
    <w:rsid w:val="009D5951"/>
    <w:rsid w:val="009E18D6"/>
    <w:rsid w:val="009E3016"/>
    <w:rsid w:val="009E3210"/>
    <w:rsid w:val="009E6C9F"/>
    <w:rsid w:val="009E7871"/>
    <w:rsid w:val="009F2B4F"/>
    <w:rsid w:val="00A014A6"/>
    <w:rsid w:val="00A17042"/>
    <w:rsid w:val="00A20A7D"/>
    <w:rsid w:val="00A22280"/>
    <w:rsid w:val="00A35D42"/>
    <w:rsid w:val="00A46CCF"/>
    <w:rsid w:val="00A47790"/>
    <w:rsid w:val="00A534C4"/>
    <w:rsid w:val="00A5606F"/>
    <w:rsid w:val="00A6312E"/>
    <w:rsid w:val="00A644BF"/>
    <w:rsid w:val="00A6557F"/>
    <w:rsid w:val="00A67A7D"/>
    <w:rsid w:val="00A70426"/>
    <w:rsid w:val="00A74B55"/>
    <w:rsid w:val="00A7668A"/>
    <w:rsid w:val="00A82337"/>
    <w:rsid w:val="00A87587"/>
    <w:rsid w:val="00A91E9A"/>
    <w:rsid w:val="00A924E2"/>
    <w:rsid w:val="00A93ED9"/>
    <w:rsid w:val="00AA7018"/>
    <w:rsid w:val="00AB028C"/>
    <w:rsid w:val="00AC25D3"/>
    <w:rsid w:val="00AC4A03"/>
    <w:rsid w:val="00AC6A99"/>
    <w:rsid w:val="00AD6CB2"/>
    <w:rsid w:val="00AE115C"/>
    <w:rsid w:val="00AE7A14"/>
    <w:rsid w:val="00AF54CA"/>
    <w:rsid w:val="00B02D7D"/>
    <w:rsid w:val="00B055EF"/>
    <w:rsid w:val="00B10F84"/>
    <w:rsid w:val="00B14B61"/>
    <w:rsid w:val="00B168C0"/>
    <w:rsid w:val="00B16DA8"/>
    <w:rsid w:val="00B23769"/>
    <w:rsid w:val="00B26572"/>
    <w:rsid w:val="00B2771F"/>
    <w:rsid w:val="00B31B1F"/>
    <w:rsid w:val="00B43A43"/>
    <w:rsid w:val="00B44A21"/>
    <w:rsid w:val="00B56B09"/>
    <w:rsid w:val="00B65865"/>
    <w:rsid w:val="00B7389B"/>
    <w:rsid w:val="00B73C2C"/>
    <w:rsid w:val="00B82C30"/>
    <w:rsid w:val="00B92F7C"/>
    <w:rsid w:val="00B936D0"/>
    <w:rsid w:val="00BA0EC6"/>
    <w:rsid w:val="00BA4715"/>
    <w:rsid w:val="00BC2199"/>
    <w:rsid w:val="00BD77E6"/>
    <w:rsid w:val="00BE3600"/>
    <w:rsid w:val="00BE5841"/>
    <w:rsid w:val="00BF2C06"/>
    <w:rsid w:val="00BF52A5"/>
    <w:rsid w:val="00BF6362"/>
    <w:rsid w:val="00C01F6F"/>
    <w:rsid w:val="00C06B1D"/>
    <w:rsid w:val="00C13CB9"/>
    <w:rsid w:val="00C149AB"/>
    <w:rsid w:val="00C234C6"/>
    <w:rsid w:val="00C25D84"/>
    <w:rsid w:val="00C3303B"/>
    <w:rsid w:val="00C40694"/>
    <w:rsid w:val="00C426A3"/>
    <w:rsid w:val="00C578E7"/>
    <w:rsid w:val="00C6432A"/>
    <w:rsid w:val="00C6620E"/>
    <w:rsid w:val="00C670CA"/>
    <w:rsid w:val="00C70542"/>
    <w:rsid w:val="00C75906"/>
    <w:rsid w:val="00C800D5"/>
    <w:rsid w:val="00C8253B"/>
    <w:rsid w:val="00C9338A"/>
    <w:rsid w:val="00CB599A"/>
    <w:rsid w:val="00CB789D"/>
    <w:rsid w:val="00CC1982"/>
    <w:rsid w:val="00CC2894"/>
    <w:rsid w:val="00CD5786"/>
    <w:rsid w:val="00CD77C3"/>
    <w:rsid w:val="00D00DE6"/>
    <w:rsid w:val="00D00ED0"/>
    <w:rsid w:val="00D04A90"/>
    <w:rsid w:val="00D0521B"/>
    <w:rsid w:val="00D14FB5"/>
    <w:rsid w:val="00D26AE9"/>
    <w:rsid w:val="00D274EE"/>
    <w:rsid w:val="00D34C78"/>
    <w:rsid w:val="00D35C2C"/>
    <w:rsid w:val="00D45669"/>
    <w:rsid w:val="00D45949"/>
    <w:rsid w:val="00D47EA8"/>
    <w:rsid w:val="00D608DA"/>
    <w:rsid w:val="00D61B4E"/>
    <w:rsid w:val="00D67124"/>
    <w:rsid w:val="00D70670"/>
    <w:rsid w:val="00D730BF"/>
    <w:rsid w:val="00D74C91"/>
    <w:rsid w:val="00DA1795"/>
    <w:rsid w:val="00DC2CAD"/>
    <w:rsid w:val="00DC76C7"/>
    <w:rsid w:val="00DD09F5"/>
    <w:rsid w:val="00DD4201"/>
    <w:rsid w:val="00DE1AC9"/>
    <w:rsid w:val="00DE5711"/>
    <w:rsid w:val="00DF1415"/>
    <w:rsid w:val="00DF266E"/>
    <w:rsid w:val="00DF7A90"/>
    <w:rsid w:val="00E00EA0"/>
    <w:rsid w:val="00E10FC0"/>
    <w:rsid w:val="00E171A0"/>
    <w:rsid w:val="00E23A9A"/>
    <w:rsid w:val="00E333D2"/>
    <w:rsid w:val="00E44FB3"/>
    <w:rsid w:val="00E5616F"/>
    <w:rsid w:val="00E56581"/>
    <w:rsid w:val="00E60E5C"/>
    <w:rsid w:val="00E62D27"/>
    <w:rsid w:val="00E6727A"/>
    <w:rsid w:val="00E77B48"/>
    <w:rsid w:val="00E800DE"/>
    <w:rsid w:val="00E814D0"/>
    <w:rsid w:val="00E91799"/>
    <w:rsid w:val="00E91983"/>
    <w:rsid w:val="00EA222F"/>
    <w:rsid w:val="00EA34E3"/>
    <w:rsid w:val="00EA4222"/>
    <w:rsid w:val="00EB7538"/>
    <w:rsid w:val="00EC483A"/>
    <w:rsid w:val="00EC61BF"/>
    <w:rsid w:val="00EC7077"/>
    <w:rsid w:val="00ED0CF8"/>
    <w:rsid w:val="00ED415A"/>
    <w:rsid w:val="00ED6A68"/>
    <w:rsid w:val="00EE44F6"/>
    <w:rsid w:val="00EE503E"/>
    <w:rsid w:val="00EF467F"/>
    <w:rsid w:val="00F045E9"/>
    <w:rsid w:val="00F073B4"/>
    <w:rsid w:val="00F112B1"/>
    <w:rsid w:val="00F14C99"/>
    <w:rsid w:val="00F207A4"/>
    <w:rsid w:val="00F267F0"/>
    <w:rsid w:val="00F311BD"/>
    <w:rsid w:val="00F355AC"/>
    <w:rsid w:val="00F44EDA"/>
    <w:rsid w:val="00F5026A"/>
    <w:rsid w:val="00F563C6"/>
    <w:rsid w:val="00F67DE2"/>
    <w:rsid w:val="00F71A5A"/>
    <w:rsid w:val="00F74935"/>
    <w:rsid w:val="00F769E0"/>
    <w:rsid w:val="00F81B91"/>
    <w:rsid w:val="00F9001D"/>
    <w:rsid w:val="00F94249"/>
    <w:rsid w:val="00F950A2"/>
    <w:rsid w:val="00F95F51"/>
    <w:rsid w:val="00FA2BB7"/>
    <w:rsid w:val="00FB118E"/>
    <w:rsid w:val="00FB38F8"/>
    <w:rsid w:val="00FB4963"/>
    <w:rsid w:val="00FB7637"/>
    <w:rsid w:val="00FB7DEE"/>
    <w:rsid w:val="00FC6BDE"/>
    <w:rsid w:val="00FC74F5"/>
    <w:rsid w:val="00FD428A"/>
    <w:rsid w:val="00FD716A"/>
    <w:rsid w:val="00FE2EB2"/>
    <w:rsid w:val="00FF196F"/>
    <w:rsid w:val="00FF2FB7"/>
    <w:rsid w:val="00FF3211"/>
    <w:rsid w:val="00FF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D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35DF"/>
    <w:rPr>
      <w:color w:val="0000FF"/>
      <w:u w:val="single"/>
    </w:rPr>
  </w:style>
  <w:style w:type="paragraph" w:styleId="Header">
    <w:name w:val="header"/>
    <w:basedOn w:val="Normal"/>
    <w:link w:val="HeaderChar"/>
    <w:rsid w:val="00154114"/>
    <w:pPr>
      <w:tabs>
        <w:tab w:val="center" w:pos="4680"/>
        <w:tab w:val="right" w:pos="9360"/>
      </w:tabs>
    </w:pPr>
  </w:style>
  <w:style w:type="character" w:customStyle="1" w:styleId="HeaderChar">
    <w:name w:val="Header Char"/>
    <w:link w:val="Header"/>
    <w:rsid w:val="00154114"/>
    <w:rPr>
      <w:sz w:val="24"/>
      <w:szCs w:val="24"/>
    </w:rPr>
  </w:style>
  <w:style w:type="paragraph" w:styleId="Footer">
    <w:name w:val="footer"/>
    <w:basedOn w:val="Normal"/>
    <w:link w:val="FooterChar"/>
    <w:uiPriority w:val="99"/>
    <w:rsid w:val="00154114"/>
    <w:pPr>
      <w:tabs>
        <w:tab w:val="center" w:pos="4680"/>
        <w:tab w:val="right" w:pos="9360"/>
      </w:tabs>
    </w:pPr>
  </w:style>
  <w:style w:type="character" w:customStyle="1" w:styleId="FooterChar">
    <w:name w:val="Footer Char"/>
    <w:link w:val="Footer"/>
    <w:uiPriority w:val="99"/>
    <w:rsid w:val="00154114"/>
    <w:rPr>
      <w:sz w:val="24"/>
      <w:szCs w:val="24"/>
    </w:rPr>
  </w:style>
  <w:style w:type="paragraph" w:styleId="ListParagraph">
    <w:name w:val="List Paragraph"/>
    <w:basedOn w:val="Normal"/>
    <w:uiPriority w:val="34"/>
    <w:qFormat/>
    <w:rsid w:val="00B82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81448">
      <w:bodyDiv w:val="1"/>
      <w:marLeft w:val="0"/>
      <w:marRight w:val="0"/>
      <w:marTop w:val="0"/>
      <w:marBottom w:val="0"/>
      <w:divBdr>
        <w:top w:val="none" w:sz="0" w:space="0" w:color="auto"/>
        <w:left w:val="none" w:sz="0" w:space="0" w:color="auto"/>
        <w:bottom w:val="none" w:sz="0" w:space="0" w:color="auto"/>
        <w:right w:val="none" w:sz="0" w:space="0" w:color="auto"/>
      </w:divBdr>
    </w:div>
    <w:div w:id="896820862">
      <w:bodyDiv w:val="1"/>
      <w:marLeft w:val="0"/>
      <w:marRight w:val="0"/>
      <w:marTop w:val="0"/>
      <w:marBottom w:val="0"/>
      <w:divBdr>
        <w:top w:val="none" w:sz="0" w:space="0" w:color="auto"/>
        <w:left w:val="none" w:sz="0" w:space="0" w:color="auto"/>
        <w:bottom w:val="none" w:sz="0" w:space="0" w:color="auto"/>
        <w:right w:val="none" w:sz="0" w:space="0" w:color="auto"/>
      </w:divBdr>
    </w:div>
    <w:div w:id="98751269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812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part-15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nfo.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ederalregister.gov/citation/45-FR-76519" TargetMode="External"/><Relationship Id="rId4" Type="http://schemas.openxmlformats.org/officeDocument/2006/relationships/settings" Target="settings.xml"/><Relationship Id="rId9" Type="http://schemas.openxmlformats.org/officeDocument/2006/relationships/hyperlink" Target="https://www.ecfr.gov/current/title-40/part-1508"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B56D-C2F3-43CE-980C-FACE2CE1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11392</Characters>
  <Application>Microsoft Office Word</Application>
  <DocSecurity>0</DocSecurity>
  <Lines>94</Lines>
  <Paragraphs>26</Paragraphs>
  <ScaleCrop>false</ScaleCrop>
  <Company/>
  <LinksUpToDate>false</LinksUpToDate>
  <CharactersWithSpaces>13364</CharactersWithSpaces>
  <SharedDoc>false</SharedDoc>
  <HLinks>
    <vt:vector size="6" baseType="variant">
      <vt:variant>
        <vt:i4>8257598</vt:i4>
      </vt:variant>
      <vt:variant>
        <vt:i4>0</vt:i4>
      </vt:variant>
      <vt:variant>
        <vt:i4>0</vt:i4>
      </vt:variant>
      <vt:variant>
        <vt:i4>5</vt:i4>
      </vt:variant>
      <vt:variant>
        <vt:lpwstr>http://www.fda.gov/cder/guidance/index.htm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2022-08-24T00:11:00Z</dcterms:created>
  <dcterms:modified xsi:type="dcterms:W3CDTF">2022-08-24T12:33:00Z</dcterms:modified>
</cp:coreProperties>
</file>