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D390F" w:rsidR="00B95A81" w:rsidP="005D390F" w:rsidRDefault="002D2851" w14:paraId="7008D99C" w14:textId="60792968">
      <w:pPr>
        <w:pStyle w:val="NoSpacing"/>
        <w:jc w:val="center"/>
        <w:rPr>
          <w:b/>
          <w:bCs/>
          <w:sz w:val="28"/>
          <w:szCs w:val="28"/>
        </w:rPr>
      </w:pPr>
      <w:r w:rsidRPr="00752290">
        <w:rPr>
          <w:b/>
          <w:bCs/>
          <w:sz w:val="28"/>
          <w:szCs w:val="28"/>
        </w:rPr>
        <w:t>Component 3: Special Projects</w:t>
      </w:r>
      <w:r>
        <w:rPr>
          <w:b/>
          <w:bCs/>
          <w:sz w:val="28"/>
          <w:szCs w:val="28"/>
        </w:rPr>
        <w:t>—</w:t>
      </w:r>
      <w:r w:rsidRPr="00752290">
        <w:rPr>
          <w:b/>
          <w:bCs/>
          <w:sz w:val="28"/>
          <w:szCs w:val="28"/>
        </w:rPr>
        <w:t xml:space="preserve">Prevention, Diagnosis, and Treatment </w:t>
      </w:r>
      <w:r>
        <w:rPr>
          <w:b/>
          <w:bCs/>
          <w:sz w:val="28"/>
          <w:szCs w:val="28"/>
        </w:rPr>
        <w:t>R</w:t>
      </w:r>
      <w:r w:rsidRPr="00752290">
        <w:rPr>
          <w:b/>
          <w:bCs/>
          <w:sz w:val="28"/>
          <w:szCs w:val="28"/>
        </w:rPr>
        <w:t xml:space="preserve">elated to the </w:t>
      </w:r>
      <w:r>
        <w:rPr>
          <w:b/>
          <w:bCs/>
          <w:sz w:val="28"/>
          <w:szCs w:val="28"/>
        </w:rPr>
        <w:t>I</w:t>
      </w:r>
      <w:r w:rsidRPr="00752290">
        <w:rPr>
          <w:b/>
          <w:bCs/>
          <w:sz w:val="28"/>
          <w:szCs w:val="28"/>
        </w:rPr>
        <w:t xml:space="preserve">nfectious </w:t>
      </w:r>
      <w:r>
        <w:rPr>
          <w:b/>
          <w:bCs/>
          <w:sz w:val="28"/>
          <w:szCs w:val="28"/>
        </w:rPr>
        <w:t>D</w:t>
      </w:r>
      <w:r w:rsidRPr="00752290">
        <w:rPr>
          <w:b/>
          <w:bCs/>
          <w:sz w:val="28"/>
          <w:szCs w:val="28"/>
        </w:rPr>
        <w:t xml:space="preserve">isease </w:t>
      </w:r>
      <w:r>
        <w:rPr>
          <w:b/>
          <w:bCs/>
          <w:sz w:val="28"/>
          <w:szCs w:val="28"/>
        </w:rPr>
        <w:t>C</w:t>
      </w:r>
      <w:r w:rsidRPr="00752290">
        <w:rPr>
          <w:b/>
          <w:bCs/>
          <w:sz w:val="28"/>
          <w:szCs w:val="28"/>
        </w:rPr>
        <w:t xml:space="preserve">onsequences of </w:t>
      </w:r>
      <w:r>
        <w:rPr>
          <w:b/>
          <w:bCs/>
          <w:sz w:val="28"/>
          <w:szCs w:val="28"/>
        </w:rPr>
        <w:t>D</w:t>
      </w:r>
      <w:r w:rsidRPr="00752290">
        <w:rPr>
          <w:b/>
          <w:bCs/>
          <w:sz w:val="28"/>
          <w:szCs w:val="28"/>
        </w:rPr>
        <w:t xml:space="preserve">rug </w:t>
      </w:r>
      <w:r>
        <w:rPr>
          <w:b/>
          <w:bCs/>
          <w:sz w:val="28"/>
          <w:szCs w:val="28"/>
        </w:rPr>
        <w:t>U</w:t>
      </w:r>
      <w:r w:rsidRPr="00752290">
        <w:rPr>
          <w:b/>
          <w:bCs/>
          <w:sz w:val="28"/>
          <w:szCs w:val="28"/>
        </w:rPr>
        <w:t>se</w:t>
      </w:r>
    </w:p>
    <w:p w:rsidRPr="003D300E" w:rsidR="00B95A81" w:rsidP="0044177B" w:rsidRDefault="00B95A81" w14:paraId="5A37AF44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p w:rsidRPr="003D300E" w:rsidR="0044177B" w:rsidP="0044177B" w:rsidRDefault="0044177B" w14:paraId="48E32090" w14:textId="7A4F95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3D300E">
        <w:rPr>
          <w:rFonts w:cs="Times New Roman"/>
          <w:b/>
          <w:bCs/>
          <w:color w:val="000000"/>
        </w:rPr>
        <w:t xml:space="preserve">The Annual Performance Report (APR) is required.  </w:t>
      </w:r>
    </w:p>
    <w:p w:rsidRPr="003D300E" w:rsidR="0044177B" w:rsidP="0044177B" w:rsidRDefault="0044177B" w14:paraId="4C651A4A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 xml:space="preserve">Recipients must submit the APR via </w:t>
      </w:r>
      <w:hyperlink w:history="1" r:id="rId8">
        <w:r w:rsidRPr="003D300E">
          <w:rPr>
            <w:rStyle w:val="Hyperlink"/>
            <w:rFonts w:cs="Times New Roman"/>
          </w:rPr>
          <w:t>www.Grantsolutions.gov</w:t>
        </w:r>
      </w:hyperlink>
      <w:r w:rsidRPr="003D300E">
        <w:rPr>
          <w:rFonts w:cs="Times New Roman"/>
          <w:color w:val="0000EE"/>
        </w:rPr>
        <w:t xml:space="preserve"> </w:t>
      </w:r>
      <w:r w:rsidRPr="003D300E">
        <w:rPr>
          <w:rFonts w:cs="Times New Roman"/>
          <w:color w:val="000000"/>
        </w:rPr>
        <w:t>no later than 120 days prior to the end of the budget period. Please visit the Notice of Funding Opportunity (CDC-RFA-PS21-2103) starting on page 68 for additional information.</w:t>
      </w:r>
    </w:p>
    <w:p w:rsidRPr="003D300E" w:rsidR="0044177B" w:rsidP="0044177B" w:rsidRDefault="0044177B" w14:paraId="5DAE6AE3" w14:textId="77777777">
      <w:pPr>
        <w:pStyle w:val="NoSpacing"/>
        <w:rPr>
          <w:b/>
          <w:bCs/>
        </w:rPr>
      </w:pPr>
    </w:p>
    <w:p w:rsidRPr="003D300E" w:rsidR="0044177B" w:rsidP="0044177B" w:rsidRDefault="0044177B" w14:paraId="074776C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Evaluation and Performance Measures are listed in the Notice of Funding Opportunity (CDC-RFA-PS21-2103) starting on page 29. Please review this section, along with Strategies and Activities starting on page 11, before completing your APR.</w:t>
      </w:r>
    </w:p>
    <w:p w:rsidRPr="003D300E" w:rsidR="0044177B" w:rsidP="0044177B" w:rsidRDefault="0044177B" w14:paraId="5BA4BB35" w14:textId="77777777">
      <w:pPr>
        <w:pStyle w:val="NoSpacing"/>
      </w:pPr>
    </w:p>
    <w:p w:rsidRPr="003D300E" w:rsidR="0044177B" w:rsidP="0044177B" w:rsidRDefault="0044177B" w14:paraId="59AED750" w14:textId="5B47A9A6">
      <w:pPr>
        <w:pStyle w:val="NoSpacing"/>
        <w:rPr>
          <w:b/>
          <w:bCs/>
        </w:rPr>
      </w:pPr>
      <w:r w:rsidRPr="003D300E">
        <w:rPr>
          <w:b/>
          <w:bCs/>
        </w:rPr>
        <w:t>Complete this form with information from the Reporting Period selected.</w:t>
      </w:r>
    </w:p>
    <w:p w:rsidR="00A71904" w:rsidP="0044177B" w:rsidRDefault="00A71904" w14:paraId="67441C42" w14:textId="1802223D">
      <w:pPr>
        <w:pStyle w:val="NoSpacing"/>
        <w:rPr>
          <w:b/>
          <w:bCs/>
        </w:rPr>
      </w:pPr>
    </w:p>
    <w:p w:rsidR="00DF2B1F" w:rsidP="00DF2B1F" w:rsidRDefault="00DF2B1F" w14:paraId="4B2D5B73" w14:textId="77777777">
      <w:pPr>
        <w:pStyle w:val="NoSpacing"/>
        <w:rPr>
          <w:b/>
          <w:bCs/>
        </w:rPr>
      </w:pPr>
      <w:r>
        <w:rPr>
          <w:b/>
          <w:bCs/>
        </w:rPr>
        <w:t xml:space="preserve">Note: Timelines are provided for each measure, however in general: </w:t>
      </w:r>
    </w:p>
    <w:p w:rsidR="006C5A30" w:rsidP="000C17F3" w:rsidRDefault="006C5A30" w14:paraId="0DBF287E" w14:textId="3D31A36F">
      <w:pPr>
        <w:pStyle w:val="NoSpacing"/>
        <w:numPr>
          <w:ilvl w:val="0"/>
          <w:numId w:val="28"/>
        </w:numPr>
      </w:pPr>
      <w:r>
        <w:t xml:space="preserve">Short-term outcomes should be reached by the end of year 3. Measures associated with these outcomes should </w:t>
      </w:r>
      <w:r w:rsidR="00C02085">
        <w:t xml:space="preserve">be </w:t>
      </w:r>
      <w:r>
        <w:t xml:space="preserve">reported each year. </w:t>
      </w:r>
      <w:r w:rsidR="000C17F3">
        <w:t xml:space="preserve">Recipient can define year 1 goal, and year </w:t>
      </w:r>
      <w:r w:rsidRPr="002A6D6A" w:rsidR="000C17F3">
        <w:t>2</w:t>
      </w:r>
      <w:r w:rsidR="000C17F3">
        <w:t xml:space="preserve"> goal should be determined based on interim activities.</w:t>
      </w:r>
    </w:p>
    <w:p w:rsidR="006C5A30" w:rsidP="006C5A30" w:rsidRDefault="006C5A30" w14:paraId="798122DE" w14:textId="08B9F187">
      <w:pPr>
        <w:pStyle w:val="NoSpacing"/>
        <w:numPr>
          <w:ilvl w:val="0"/>
          <w:numId w:val="44"/>
        </w:numPr>
      </w:pPr>
      <w:r>
        <w:t xml:space="preserve">Intermediate outcomes should be reached by the end of year 5. Measures associated with these outcomes should </w:t>
      </w:r>
      <w:r w:rsidR="00C02085">
        <w:t xml:space="preserve">be </w:t>
      </w:r>
      <w:r>
        <w:t xml:space="preserve">reported each year. </w:t>
      </w:r>
    </w:p>
    <w:p w:rsidR="006C5A30" w:rsidP="006C5A30" w:rsidRDefault="006C5A30" w14:paraId="6A238838" w14:textId="77777777">
      <w:pPr>
        <w:pStyle w:val="NoSpacing"/>
        <w:numPr>
          <w:ilvl w:val="0"/>
          <w:numId w:val="44"/>
        </w:numPr>
      </w:pPr>
      <w:r>
        <w:t xml:space="preserve">Outcomes for measures that are “contingent on funding” are not required to be reached unless funded </w:t>
      </w:r>
      <w:proofErr w:type="gramStart"/>
      <w:r>
        <w:t>during the course of</w:t>
      </w:r>
      <w:proofErr w:type="gramEnd"/>
      <w:r>
        <w:t xml:space="preserve"> the award. Reporting of these measures is recommended but not required. </w:t>
      </w:r>
    </w:p>
    <w:p w:rsidR="00471056" w:rsidP="0044177B" w:rsidRDefault="00471056" w14:paraId="24E841F9" w14:textId="7D37AFB1">
      <w:pPr>
        <w:pStyle w:val="NoSpacing"/>
        <w:rPr>
          <w:b/>
          <w:bCs/>
        </w:rPr>
      </w:pPr>
    </w:p>
    <w:p w:rsidRPr="003D300E" w:rsidR="00471056" w:rsidP="0044177B" w:rsidRDefault="00471056" w14:paraId="5C5C0904" w14:textId="77777777">
      <w:pPr>
        <w:pStyle w:val="NoSpacing"/>
        <w:rPr>
          <w:b/>
          <w:bCs/>
        </w:rPr>
      </w:pPr>
    </w:p>
    <w:p w:rsidR="00A332BD" w:rsidP="00A332BD" w:rsidRDefault="00A332BD" w14:paraId="52F9EE3F" w14:textId="77777777">
      <w:pPr>
        <w:pStyle w:val="NoSpacing"/>
        <w:jc w:val="center"/>
        <w:rPr>
          <w:b/>
          <w:bCs/>
          <w:sz w:val="28"/>
          <w:szCs w:val="28"/>
        </w:rPr>
      </w:pPr>
      <w:r w:rsidRPr="0011004B">
        <w:rPr>
          <w:b/>
          <w:bCs/>
          <w:sz w:val="28"/>
          <w:szCs w:val="28"/>
        </w:rPr>
        <w:t xml:space="preserve">3.1—Improve access to services for </w:t>
      </w:r>
      <w:r>
        <w:rPr>
          <w:b/>
          <w:bCs/>
          <w:sz w:val="28"/>
          <w:szCs w:val="28"/>
        </w:rPr>
        <w:t>people who inject drugs (PWID)</w:t>
      </w:r>
      <w:r w:rsidRPr="0011004B">
        <w:rPr>
          <w:b/>
          <w:bCs/>
          <w:sz w:val="28"/>
          <w:szCs w:val="28"/>
        </w:rPr>
        <w:t xml:space="preserve"> </w:t>
      </w:r>
    </w:p>
    <w:p w:rsidRPr="008676EE" w:rsidR="00A71904" w:rsidP="008676EE" w:rsidRDefault="00A332BD" w14:paraId="2369542D" w14:textId="15D82B44">
      <w:pPr>
        <w:pStyle w:val="NoSpacing"/>
        <w:jc w:val="center"/>
        <w:rPr>
          <w:b/>
          <w:bCs/>
          <w:sz w:val="28"/>
          <w:szCs w:val="28"/>
        </w:rPr>
      </w:pPr>
      <w:r w:rsidRPr="0011004B">
        <w:rPr>
          <w:b/>
          <w:bCs/>
          <w:sz w:val="28"/>
          <w:szCs w:val="28"/>
        </w:rPr>
        <w:t>in settings disproportionately affected by drug use</w:t>
      </w:r>
    </w:p>
    <w:p w:rsidRPr="003D300E" w:rsidR="0044177B" w:rsidP="0044177B" w:rsidRDefault="0044177B" w14:paraId="238709F5" w14:textId="77777777">
      <w:pPr>
        <w:pStyle w:val="NoSpacing"/>
        <w:rPr>
          <w:b/>
          <w:bCs/>
        </w:rPr>
      </w:pPr>
    </w:p>
    <w:p w:rsidRPr="003D300E" w:rsidR="0044177B" w:rsidP="0044177B" w:rsidRDefault="0044177B" w14:paraId="0E95B314" w14:textId="0B9BDE3B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4D72F3">
        <w:rPr>
          <w:b/>
          <w:bCs/>
          <w:sz w:val="28"/>
          <w:szCs w:val="28"/>
        </w:rPr>
        <w:t>3</w:t>
      </w:r>
      <w:r w:rsidRPr="003D300E">
        <w:rPr>
          <w:b/>
          <w:bCs/>
          <w:sz w:val="28"/>
          <w:szCs w:val="28"/>
        </w:rPr>
        <w:t>.1.1.a</w:t>
      </w:r>
    </w:p>
    <w:p w:rsidRPr="001F4AEB" w:rsidR="008110FD" w:rsidP="008110FD" w:rsidRDefault="008110FD" w14:paraId="5FE438DE" w14:textId="2BC6B631">
      <w:pPr>
        <w:pStyle w:val="NoSpacing"/>
        <w:rPr>
          <w:rFonts w:cstheme="minorHAnsi"/>
          <w:color w:val="000000"/>
          <w:sz w:val="18"/>
          <w:szCs w:val="18"/>
        </w:rPr>
      </w:pPr>
      <w:r w:rsidRPr="001F4AEB">
        <w:rPr>
          <w:rFonts w:cstheme="minorHAnsi"/>
          <w:color w:val="000000"/>
          <w:sz w:val="18"/>
          <w:szCs w:val="18"/>
        </w:rPr>
        <w:t xml:space="preserve">Number of </w:t>
      </w:r>
      <w:r>
        <w:rPr>
          <w:rFonts w:cstheme="minorHAnsi"/>
          <w:color w:val="000000"/>
          <w:sz w:val="18"/>
          <w:szCs w:val="18"/>
        </w:rPr>
        <w:t>PWID</w:t>
      </w:r>
      <w:r w:rsidRPr="001F4AEB">
        <w:rPr>
          <w:rFonts w:cstheme="minorHAnsi"/>
          <w:color w:val="000000"/>
          <w:sz w:val="18"/>
          <w:szCs w:val="18"/>
        </w:rPr>
        <w:t xml:space="preserve"> served, by setting serving PWID (</w:t>
      </w:r>
      <w:r>
        <w:rPr>
          <w:sz w:val="18"/>
          <w:szCs w:val="18"/>
        </w:rPr>
        <w:t>s</w:t>
      </w:r>
      <w:r w:rsidRPr="001F4AEB">
        <w:rPr>
          <w:sz w:val="18"/>
          <w:szCs w:val="18"/>
        </w:rPr>
        <w:t xml:space="preserve">yringe services programs, </w:t>
      </w:r>
      <w:r>
        <w:rPr>
          <w:sz w:val="18"/>
          <w:szCs w:val="18"/>
        </w:rPr>
        <w:t>s</w:t>
      </w:r>
      <w:r w:rsidRPr="001F4AEB">
        <w:rPr>
          <w:sz w:val="18"/>
          <w:szCs w:val="18"/>
        </w:rPr>
        <w:t xml:space="preserve">ubstance use disorder treatment programs, </w:t>
      </w:r>
      <w:proofErr w:type="gramStart"/>
      <w:r>
        <w:rPr>
          <w:sz w:val="18"/>
          <w:szCs w:val="18"/>
        </w:rPr>
        <w:t>c</w:t>
      </w:r>
      <w:r w:rsidRPr="001F4AEB">
        <w:rPr>
          <w:sz w:val="18"/>
          <w:szCs w:val="18"/>
        </w:rPr>
        <w:t>orrectional facilities</w:t>
      </w:r>
      <w:proofErr w:type="gramEnd"/>
      <w:r w:rsidRPr="001F4AEB">
        <w:rPr>
          <w:sz w:val="18"/>
          <w:szCs w:val="18"/>
        </w:rPr>
        <w:t xml:space="preserve">, </w:t>
      </w:r>
      <w:r>
        <w:rPr>
          <w:sz w:val="18"/>
          <w:szCs w:val="18"/>
        </w:rPr>
        <w:t>e</w:t>
      </w:r>
      <w:r w:rsidRPr="001F4AEB">
        <w:rPr>
          <w:sz w:val="18"/>
          <w:szCs w:val="18"/>
        </w:rPr>
        <w:t xml:space="preserve">mergency departments, </w:t>
      </w:r>
      <w:r>
        <w:rPr>
          <w:sz w:val="18"/>
          <w:szCs w:val="18"/>
        </w:rPr>
        <w:t>h</w:t>
      </w:r>
      <w:r w:rsidRPr="001F4AEB">
        <w:rPr>
          <w:sz w:val="18"/>
          <w:szCs w:val="18"/>
        </w:rPr>
        <w:t xml:space="preserve">ospital-based programs, </w:t>
      </w:r>
      <w:r>
        <w:rPr>
          <w:sz w:val="18"/>
          <w:szCs w:val="18"/>
        </w:rPr>
        <w:t>s</w:t>
      </w:r>
      <w:r w:rsidRPr="001F4AEB">
        <w:rPr>
          <w:sz w:val="18"/>
          <w:szCs w:val="18"/>
        </w:rPr>
        <w:t xml:space="preserve">exually transmitted disease clinics, </w:t>
      </w:r>
      <w:r>
        <w:rPr>
          <w:sz w:val="18"/>
          <w:szCs w:val="18"/>
        </w:rPr>
        <w:t>h</w:t>
      </w:r>
      <w:r w:rsidRPr="001F4AEB">
        <w:rPr>
          <w:sz w:val="18"/>
          <w:szCs w:val="18"/>
        </w:rPr>
        <w:t xml:space="preserve">omeless services, </w:t>
      </w:r>
      <w:r>
        <w:rPr>
          <w:sz w:val="18"/>
          <w:szCs w:val="18"/>
        </w:rPr>
        <w:t>h</w:t>
      </w:r>
      <w:r w:rsidRPr="001F4AEB">
        <w:rPr>
          <w:sz w:val="18"/>
          <w:szCs w:val="18"/>
        </w:rPr>
        <w:t xml:space="preserve">ealth </w:t>
      </w:r>
      <w:r>
        <w:rPr>
          <w:sz w:val="18"/>
          <w:szCs w:val="18"/>
        </w:rPr>
        <w:t>c</w:t>
      </w:r>
      <w:r w:rsidRPr="001F4AEB">
        <w:rPr>
          <w:sz w:val="18"/>
          <w:szCs w:val="18"/>
        </w:rPr>
        <w:t xml:space="preserve">enters, </w:t>
      </w:r>
      <w:r>
        <w:rPr>
          <w:sz w:val="18"/>
          <w:szCs w:val="18"/>
        </w:rPr>
        <w:t>o</w:t>
      </w:r>
      <w:r w:rsidRPr="001F4AEB">
        <w:rPr>
          <w:sz w:val="18"/>
          <w:szCs w:val="18"/>
        </w:rPr>
        <w:t>ther)</w:t>
      </w:r>
      <w:r w:rsidR="002B5C90">
        <w:rPr>
          <w:sz w:val="18"/>
          <w:szCs w:val="18"/>
        </w:rPr>
        <w:t>, during this reporting period</w:t>
      </w:r>
    </w:p>
    <w:p w:rsidRPr="003D300E" w:rsidR="00B806EB" w:rsidP="00DD440B" w:rsidRDefault="00B806EB" w14:paraId="479A18E2" w14:textId="332768C8">
      <w:pPr>
        <w:pStyle w:val="NoSpacing"/>
        <w:rPr>
          <w:b/>
          <w:bCs/>
        </w:rPr>
      </w:pPr>
    </w:p>
    <w:p w:rsidRPr="00B7453C" w:rsidR="00B7453C" w:rsidP="0028461A" w:rsidRDefault="00F84378" w14:paraId="742A018D" w14:textId="4CB3186E">
      <w:pPr>
        <w:pStyle w:val="NoSpacing"/>
        <w:numPr>
          <w:ilvl w:val="0"/>
          <w:numId w:val="28"/>
        </w:numPr>
        <w:rPr>
          <w:rStyle w:val="normaltextrun"/>
          <w:rFonts w:cs="Times New Roman"/>
          <w:b/>
          <w:bCs/>
          <w:color w:val="000000"/>
        </w:rPr>
      </w:pPr>
      <w:r w:rsidRPr="000810E3">
        <w:rPr>
          <w:b/>
          <w:bCs/>
        </w:rPr>
        <w:t xml:space="preserve">Clients served — </w:t>
      </w:r>
      <w:r w:rsidRPr="003D300E" w:rsidR="00AD0A59">
        <w:t xml:space="preserve">This is a short-term outcome (years </w:t>
      </w:r>
      <w:r w:rsidRPr="000810E3"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0C17F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C94C76" w:rsidP="00B7453C" w:rsidRDefault="00C94C76" w14:paraId="74A5B904" w14:textId="4C170E8D">
      <w:pPr>
        <w:pStyle w:val="NoSpacing"/>
        <w:numPr>
          <w:ilvl w:val="1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</w:t>
      </w:r>
      <w:r>
        <w:t xml:space="preserve">Report </w:t>
      </w:r>
      <w:r w:rsidRPr="003D300E">
        <w:t xml:space="preserve">the unduplicated count of clients </w:t>
      </w:r>
      <w:r>
        <w:t>seen at least once</w:t>
      </w:r>
      <w:r w:rsidRPr="003D300E">
        <w:t xml:space="preserve"> in each collaborating setting during the reporting period.</w:t>
      </w:r>
      <w:r w:rsidRPr="000810E3">
        <w:rPr>
          <w:b/>
          <w:bCs/>
        </w:rPr>
        <w:t xml:space="preserve"> </w:t>
      </w:r>
      <w:r w:rsidRPr="003D300E">
        <w:t xml:space="preserve">Report data for all collaborating settings.  </w:t>
      </w:r>
    </w:p>
    <w:p w:rsidRPr="00B7453C" w:rsidR="00B7453C" w:rsidP="00910742" w:rsidRDefault="00F84378" w14:paraId="7B918AD4" w14:textId="3006978E">
      <w:pPr>
        <w:pStyle w:val="NoSpacing"/>
        <w:numPr>
          <w:ilvl w:val="0"/>
          <w:numId w:val="28"/>
        </w:numPr>
        <w:rPr>
          <w:rStyle w:val="normaltextrun"/>
          <w:rFonts w:cs="Times New Roman"/>
          <w:b/>
          <w:bCs/>
          <w:color w:val="000000"/>
        </w:rPr>
      </w:pPr>
      <w:r w:rsidRPr="000810E3">
        <w:rPr>
          <w:rFonts w:cs="Times New Roman"/>
          <w:b/>
          <w:bCs/>
          <w:color w:val="000000"/>
        </w:rPr>
        <w:t xml:space="preserve">PWID served </w:t>
      </w:r>
      <w:r w:rsidRPr="000810E3">
        <w:rPr>
          <w:b/>
          <w:bCs/>
        </w:rPr>
        <w:t>—</w:t>
      </w:r>
      <w:r w:rsidRPr="000810E3" w:rsidR="00EB4C8D">
        <w:rPr>
          <w:b/>
          <w:bCs/>
        </w:rPr>
        <w:t xml:space="preserve"> </w:t>
      </w:r>
      <w:r w:rsidRPr="003D300E" w:rsidR="00EB4C8D">
        <w:t xml:space="preserve">This is a short-term outcome (years </w:t>
      </w:r>
      <w:r w:rsidRPr="000810E3" w:rsidR="00EB4C8D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0810E3" w:rsidR="00EB4C8D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B7453C" w:rsidR="00B7453C" w:rsidP="00B7453C" w:rsidRDefault="00D42721" w14:paraId="0BCCD78B" w14:textId="17919D8F">
      <w:pPr>
        <w:pStyle w:val="NoSpacing"/>
        <w:numPr>
          <w:ilvl w:val="1"/>
          <w:numId w:val="28"/>
        </w:numPr>
        <w:rPr>
          <w:rFonts w:cs="Times New Roman"/>
          <w:b/>
          <w:bCs/>
          <w:color w:val="000000"/>
        </w:rPr>
      </w:pPr>
      <w:r w:rsidRPr="005C5879">
        <w:rPr>
          <w:rFonts w:cs="Times New Roman"/>
          <w:b/>
          <w:bCs/>
          <w:color w:val="000000"/>
        </w:rPr>
        <w:t>PWID</w:t>
      </w:r>
      <w:r w:rsidRPr="000810E3">
        <w:rPr>
          <w:rFonts w:cs="Times New Roman"/>
          <w:color w:val="000000"/>
        </w:rPr>
        <w:t xml:space="preserve"> </w:t>
      </w:r>
      <w:r w:rsidR="009A7877">
        <w:rPr>
          <w:rFonts w:cs="Times New Roman"/>
          <w:color w:val="000000"/>
        </w:rPr>
        <w:t>is</w:t>
      </w:r>
      <w:r w:rsidRPr="000810E3">
        <w:rPr>
          <w:rFonts w:cs="Times New Roman"/>
          <w:color w:val="000000"/>
        </w:rPr>
        <w:t xml:space="preserve"> defined as persons reporting current (typically within 12 months) use of non-prescription drugs by injection. </w:t>
      </w:r>
    </w:p>
    <w:p w:rsidRPr="000810E3" w:rsidR="00D42721" w:rsidP="00B7453C" w:rsidRDefault="00EC3E7E" w14:paraId="0F5C81D0" w14:textId="2B960CCB">
      <w:pPr>
        <w:pStyle w:val="NoSpacing"/>
        <w:numPr>
          <w:ilvl w:val="1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</w:t>
      </w:r>
      <w:r>
        <w:t xml:space="preserve">Report </w:t>
      </w:r>
      <w:r w:rsidRPr="003D300E">
        <w:t xml:space="preserve">the unduplicated count of </w:t>
      </w:r>
      <w:r>
        <w:t>PWID</w:t>
      </w:r>
      <w:r w:rsidRPr="003D300E">
        <w:t xml:space="preserve"> </w:t>
      </w:r>
      <w:r>
        <w:t>seen at least once</w:t>
      </w:r>
      <w:r w:rsidRPr="003D300E">
        <w:t xml:space="preserve"> in each collaborating setting during the reporting period.</w:t>
      </w:r>
      <w:r w:rsidRPr="000810E3">
        <w:rPr>
          <w:b/>
          <w:bCs/>
        </w:rPr>
        <w:t xml:space="preserve"> </w:t>
      </w:r>
      <w:r w:rsidRPr="003D300E">
        <w:t xml:space="preserve">Report data for all collaborating settings.  </w:t>
      </w:r>
    </w:p>
    <w:p w:rsidR="00F55A12" w:rsidP="005E2C4A" w:rsidRDefault="00F55A12" w14:paraId="09863BA7" w14:textId="7FD3C042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bookmarkStart w:name="_Hlk71989138" w:id="0"/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bookmarkEnd w:id="0"/>
    <w:p w:rsidRPr="008676EE" w:rsidR="005E2C4A" w:rsidP="005E2C4A" w:rsidRDefault="005E2C4A" w14:paraId="0B1BEB54" w14:textId="3206AFBC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See page</w:t>
      </w:r>
      <w:r w:rsidR="009D3F17">
        <w:rPr>
          <w:rFonts w:cs="Times New Roman"/>
          <w:color w:val="000000"/>
        </w:rPr>
        <w:t>s</w:t>
      </w:r>
      <w:r w:rsidRPr="003D300E">
        <w:rPr>
          <w:rFonts w:cs="Times New Roman"/>
          <w:color w:val="000000"/>
        </w:rPr>
        <w:t xml:space="preserve"> 22</w:t>
      </w:r>
      <w:r w:rsidR="009D3F17">
        <w:rPr>
          <w:rFonts w:cs="Times New Roman"/>
          <w:color w:val="000000"/>
        </w:rPr>
        <w:t>–2</w:t>
      </w:r>
      <w:r w:rsidR="005E0B9E">
        <w:rPr>
          <w:rFonts w:cs="Times New Roman"/>
          <w:color w:val="000000"/>
        </w:rPr>
        <w:t>6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 w:rsidR="009D3F17">
        <w:rPr>
          <w:rFonts w:cs="Times New Roman"/>
          <w:color w:val="000000"/>
        </w:rPr>
        <w:t>.</w:t>
      </w:r>
    </w:p>
    <w:p w:rsidR="00063EA5" w:rsidP="00DD440B" w:rsidRDefault="00063EA5" w14:paraId="08A037C1" w14:textId="77777777">
      <w:pPr>
        <w:pStyle w:val="NoSpacing"/>
        <w:rPr>
          <w:b/>
          <w:bCs/>
          <w:sz w:val="28"/>
          <w:szCs w:val="28"/>
        </w:rPr>
      </w:pPr>
    </w:p>
    <w:p w:rsidR="00063EA5" w:rsidP="00DD440B" w:rsidRDefault="00063EA5" w14:paraId="415EA0B4" w14:textId="77777777">
      <w:pPr>
        <w:pStyle w:val="NoSpacing"/>
        <w:rPr>
          <w:b/>
          <w:bCs/>
          <w:sz w:val="28"/>
          <w:szCs w:val="28"/>
        </w:rPr>
      </w:pPr>
    </w:p>
    <w:p w:rsidRPr="003D300E" w:rsidR="00A912DA" w:rsidP="00DD440B" w:rsidRDefault="00A912DA" w14:paraId="52DE24D7" w14:textId="0587AF59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lastRenderedPageBreak/>
        <w:t>Measure</w:t>
      </w:r>
      <w:r w:rsidRPr="003D300E" w:rsidR="00397A60">
        <w:rPr>
          <w:b/>
          <w:bCs/>
          <w:sz w:val="28"/>
          <w:szCs w:val="28"/>
        </w:rPr>
        <w:t xml:space="preserve"> </w:t>
      </w:r>
      <w:r w:rsidRPr="003D300E" w:rsidR="00AB76B0">
        <w:rPr>
          <w:b/>
          <w:bCs/>
          <w:sz w:val="28"/>
          <w:szCs w:val="28"/>
        </w:rPr>
        <w:t>3.</w:t>
      </w:r>
      <w:r w:rsidRPr="003D300E" w:rsidR="00397A60">
        <w:rPr>
          <w:b/>
          <w:bCs/>
          <w:sz w:val="28"/>
          <w:szCs w:val="28"/>
        </w:rPr>
        <w:t>1.1.b</w:t>
      </w:r>
    </w:p>
    <w:p w:rsidRPr="003D300E" w:rsidR="001A675F" w:rsidP="00EB421C" w:rsidRDefault="008110FD" w14:paraId="54A90C99" w14:textId="00AFBD03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EB421C">
        <w:rPr>
          <w:rFonts w:cstheme="minorHAnsi"/>
          <w:color w:val="000000"/>
          <w:sz w:val="18"/>
          <w:szCs w:val="18"/>
        </w:rPr>
        <w:t>umber of s</w:t>
      </w:r>
      <w:r w:rsidRPr="003D300E" w:rsidR="001A675F">
        <w:rPr>
          <w:rFonts w:cstheme="minorHAnsi"/>
          <w:color w:val="000000"/>
          <w:sz w:val="18"/>
          <w:szCs w:val="18"/>
        </w:rPr>
        <w:t>yringes distributed, by setting</w:t>
      </w:r>
      <w:r w:rsidRPr="003D300E" w:rsidR="00B36972">
        <w:rPr>
          <w:rFonts w:cstheme="minorHAnsi"/>
          <w:color w:val="000000"/>
          <w:sz w:val="18"/>
          <w:szCs w:val="18"/>
        </w:rPr>
        <w:t xml:space="preserve"> serving PWID</w:t>
      </w:r>
      <w:r w:rsidR="002B5C90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D746BF" w:rsidP="00D746BF" w:rsidRDefault="00D746BF" w14:paraId="77B94AEC" w14:textId="77777777">
      <w:pPr>
        <w:pStyle w:val="NoSpacing"/>
        <w:ind w:left="720"/>
        <w:rPr>
          <w:rFonts w:cstheme="minorHAnsi"/>
          <w:color w:val="000000"/>
        </w:rPr>
      </w:pPr>
    </w:p>
    <w:p w:rsidRPr="00AD0A59" w:rsidR="00F84378" w:rsidP="00282003" w:rsidRDefault="00DD167F" w14:paraId="1A5905DF" w14:textId="653B9848">
      <w:pPr>
        <w:pStyle w:val="NoSpacing"/>
        <w:numPr>
          <w:ilvl w:val="0"/>
          <w:numId w:val="28"/>
        </w:numPr>
        <w:rPr>
          <w:rStyle w:val="normaltextrun"/>
        </w:rPr>
      </w:pPr>
      <w:r w:rsidRPr="00DD167F">
        <w:rPr>
          <w:b/>
          <w:bCs/>
        </w:rPr>
        <w:t>Syringes distributed</w:t>
      </w:r>
      <w:r>
        <w:t xml:space="preserve"> </w:t>
      </w:r>
      <w:r>
        <w:rPr>
          <w:b/>
          <w:bCs/>
        </w:rPr>
        <w:t>—</w:t>
      </w:r>
      <w:r w:rsidR="00AD0A59">
        <w:rPr>
          <w:b/>
          <w:bCs/>
        </w:rPr>
        <w:t xml:space="preserve"> </w:t>
      </w:r>
      <w:r w:rsidRPr="003D300E" w:rsidR="00AD0A59">
        <w:t xml:space="preserve">This is a short-term outcome (years </w:t>
      </w:r>
      <w:r w:rsidRPr="003D300E"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  <w:r w:rsidRPr="003D300E" w:rsidR="00AD0A59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 </w:t>
      </w:r>
    </w:p>
    <w:p w:rsidRPr="000810E3" w:rsidR="005C0F31" w:rsidP="005C0F31" w:rsidRDefault="005C0F31" w14:paraId="3E73D4A6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C57CDD" w:rsidP="00084DD3" w:rsidRDefault="00512458" w14:paraId="560A8EBB" w14:textId="20472182">
      <w:pPr>
        <w:pStyle w:val="NoSpacing"/>
        <w:numPr>
          <w:ilvl w:val="0"/>
          <w:numId w:val="28"/>
        </w:numPr>
      </w:pPr>
      <w:r w:rsidRPr="003D300E">
        <w:t xml:space="preserve">Sterile injection equipment </w:t>
      </w:r>
      <w:r w:rsidRPr="003D300E" w:rsidR="00993FED">
        <w:t>should</w:t>
      </w:r>
      <w:r w:rsidRPr="003D300E">
        <w:t xml:space="preserve"> </w:t>
      </w:r>
      <w:r w:rsidRPr="003D300E" w:rsidR="00092B05">
        <w:t xml:space="preserve">be supplied as </w:t>
      </w:r>
      <w:r w:rsidRPr="003D300E" w:rsidR="00F43B1D">
        <w:t xml:space="preserve">a </w:t>
      </w:r>
      <w:r w:rsidRPr="00084DD3" w:rsidR="00F43B1D">
        <w:rPr>
          <w:i/>
          <w:iCs/>
        </w:rPr>
        <w:t>complete set</w:t>
      </w:r>
      <w:r w:rsidRPr="003D300E" w:rsidR="00F43B1D">
        <w:t xml:space="preserve"> of all</w:t>
      </w:r>
      <w:r w:rsidRPr="003D300E" w:rsidR="00713B44">
        <w:t xml:space="preserve"> </w:t>
      </w:r>
      <w:r w:rsidRPr="003D300E" w:rsidR="000820E0">
        <w:t xml:space="preserve">equipment </w:t>
      </w:r>
      <w:r w:rsidRPr="003D300E" w:rsidR="00713B44">
        <w:t>needed to complete a single injection</w:t>
      </w:r>
      <w:r w:rsidR="008B4802">
        <w:t>—</w:t>
      </w:r>
      <w:r w:rsidRPr="003D300E">
        <w:t>needle, syringe</w:t>
      </w:r>
      <w:r w:rsidRPr="003D300E" w:rsidR="000B5632">
        <w:t>,</w:t>
      </w:r>
      <w:r w:rsidRPr="003D300E" w:rsidR="00835983">
        <w:t xml:space="preserve"> cooker</w:t>
      </w:r>
      <w:r w:rsidRPr="003D300E" w:rsidR="000820E0">
        <w:t xml:space="preserve">, </w:t>
      </w:r>
      <w:r w:rsidRPr="003D300E" w:rsidR="00B3680D">
        <w:t xml:space="preserve">alcohol swab, </w:t>
      </w:r>
      <w:r w:rsidRPr="003D300E" w:rsidR="000820E0">
        <w:t>etc.</w:t>
      </w:r>
      <w:r w:rsidRPr="003D300E" w:rsidR="00C430E8">
        <w:t xml:space="preserve"> Sets of sterile injection</w:t>
      </w:r>
      <w:r w:rsidRPr="003D300E" w:rsidR="00835983">
        <w:t xml:space="preserve"> equipment</w:t>
      </w:r>
      <w:r w:rsidRPr="003D300E" w:rsidR="00993FED">
        <w:t xml:space="preserve"> to inject</w:t>
      </w:r>
      <w:r w:rsidRPr="003D300E" w:rsidR="008B7D84">
        <w:t xml:space="preserve"> drugs</w:t>
      </w:r>
      <w:r w:rsidRPr="003D300E" w:rsidR="004926B0">
        <w:t xml:space="preserve"> </w:t>
      </w:r>
      <w:r w:rsidRPr="003D300E" w:rsidR="000A6145">
        <w:t xml:space="preserve">should be supplied </w:t>
      </w:r>
      <w:r w:rsidRPr="003D300E" w:rsidR="004926B0">
        <w:t xml:space="preserve">in sufficient quantity </w:t>
      </w:r>
      <w:r w:rsidRPr="003D300E" w:rsidR="005A3827">
        <w:t>so that</w:t>
      </w:r>
      <w:r w:rsidRPr="003D300E" w:rsidR="004926B0">
        <w:t xml:space="preserve"> all injections</w:t>
      </w:r>
      <w:r w:rsidRPr="003D300E" w:rsidR="005A3827">
        <w:t xml:space="preserve"> are performed with sterile equipment</w:t>
      </w:r>
      <w:r w:rsidRPr="003D300E" w:rsidR="00835983">
        <w:t xml:space="preserve">. </w:t>
      </w:r>
      <w:r w:rsidRPr="003D300E" w:rsidR="008825FE">
        <w:t>For this measure, r</w:t>
      </w:r>
      <w:r w:rsidRPr="003D300E" w:rsidR="00A23895">
        <w:t xml:space="preserve">eport the total number of </w:t>
      </w:r>
      <w:r w:rsidRPr="003D300E" w:rsidR="00C151A1">
        <w:t>syringes distributed t</w:t>
      </w:r>
      <w:r w:rsidRPr="003D300E" w:rsidR="0000394C">
        <w:t>o persons who inject drugs</w:t>
      </w:r>
      <w:r w:rsidRPr="003D300E" w:rsidR="00CE6C3E">
        <w:t>, stratified by setting serving PWID</w:t>
      </w:r>
      <w:r w:rsidRPr="003D300E" w:rsidR="000B5632">
        <w:t xml:space="preserve">. </w:t>
      </w:r>
      <w:r w:rsidRPr="003D300E" w:rsidR="00385782">
        <w:t xml:space="preserve">Total number of syringes </w:t>
      </w:r>
      <w:r w:rsidRPr="003D300E" w:rsidR="00491919">
        <w:t xml:space="preserve">distributed </w:t>
      </w:r>
      <w:r w:rsidRPr="003D300E" w:rsidR="00385782">
        <w:t xml:space="preserve">is intended as a proxy for </w:t>
      </w:r>
      <w:r w:rsidRPr="003D300E" w:rsidR="00F43B1D">
        <w:t xml:space="preserve">the number of </w:t>
      </w:r>
      <w:r w:rsidRPr="00084DD3" w:rsidR="00F43B1D">
        <w:rPr>
          <w:i/>
          <w:iCs/>
        </w:rPr>
        <w:t>complete sets</w:t>
      </w:r>
      <w:r w:rsidRPr="003D300E" w:rsidR="00F43B1D">
        <w:t xml:space="preserve"> of </w:t>
      </w:r>
      <w:r w:rsidRPr="003D300E" w:rsidR="000A6145">
        <w:t xml:space="preserve">sterile </w:t>
      </w:r>
      <w:r w:rsidRPr="003D300E" w:rsidR="00F43B1D">
        <w:t xml:space="preserve">injection equipment distributed.  </w:t>
      </w:r>
    </w:p>
    <w:p w:rsidR="00F55A12" w:rsidP="00F55A12" w:rsidRDefault="00F55A12" w14:paraId="48611FED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DF2B1F" w:rsidR="00C62A6F" w:rsidP="008B0EAB" w:rsidRDefault="00C62A6F" w14:paraId="6941CCC9" w14:textId="77777777">
      <w:pPr>
        <w:pStyle w:val="NoSpacing"/>
        <w:rPr>
          <w:b/>
          <w:bCs/>
          <w:sz w:val="16"/>
          <w:szCs w:val="16"/>
        </w:rPr>
      </w:pPr>
    </w:p>
    <w:p w:rsidRPr="003D300E" w:rsidR="00C673ED" w:rsidP="008B0EAB" w:rsidRDefault="008B0EAB" w14:paraId="05F6F084" w14:textId="026D24D1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3.1.2.a</w:t>
      </w:r>
    </w:p>
    <w:p w:rsidRPr="003D300E" w:rsidR="00C673ED" w:rsidP="008E2246" w:rsidRDefault="00BA4F87" w14:paraId="778C6AD5" w14:textId="3CD97C1E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C673ED">
        <w:rPr>
          <w:sz w:val="18"/>
          <w:szCs w:val="18"/>
        </w:rPr>
        <w:t xml:space="preserve">umber of </w:t>
      </w:r>
      <w:r w:rsidRPr="003D300E" w:rsidR="006D3303">
        <w:rPr>
          <w:sz w:val="18"/>
          <w:szCs w:val="18"/>
        </w:rPr>
        <w:t xml:space="preserve">PWID </w:t>
      </w:r>
      <w:r w:rsidRPr="003D300E" w:rsidR="00C673ED">
        <w:rPr>
          <w:sz w:val="18"/>
          <w:szCs w:val="18"/>
        </w:rPr>
        <w:t xml:space="preserve">linked to substance use disorder treatment, by setting </w:t>
      </w:r>
      <w:r w:rsidRPr="003D300E" w:rsidR="00C673ED">
        <w:rPr>
          <w:rFonts w:cstheme="minorHAnsi"/>
          <w:color w:val="000000"/>
          <w:sz w:val="18"/>
          <w:szCs w:val="18"/>
        </w:rPr>
        <w:t>serving PWID</w:t>
      </w:r>
      <w:r w:rsidR="004833F8">
        <w:rPr>
          <w:rFonts w:cstheme="minorHAnsi"/>
          <w:color w:val="000000"/>
          <w:sz w:val="18"/>
          <w:szCs w:val="18"/>
        </w:rPr>
        <w:t>, during this reporting period</w:t>
      </w:r>
    </w:p>
    <w:p w:rsidRPr="00DF2B1F" w:rsidR="007D45D2" w:rsidP="008E2246" w:rsidRDefault="007D45D2" w14:paraId="1D3F1EF2" w14:textId="1992F72B">
      <w:pPr>
        <w:pStyle w:val="NoSpacing"/>
        <w:rPr>
          <w:rFonts w:cstheme="minorHAnsi"/>
          <w:color w:val="000000"/>
          <w:sz w:val="16"/>
          <w:szCs w:val="16"/>
        </w:rPr>
      </w:pPr>
    </w:p>
    <w:p w:rsidRPr="0071405B" w:rsidR="004833F8" w:rsidP="006F1713" w:rsidRDefault="004833F8" w14:paraId="5CDA8F18" w14:textId="77495245">
      <w:pPr>
        <w:pStyle w:val="NoSpacing"/>
        <w:numPr>
          <w:ilvl w:val="0"/>
          <w:numId w:val="28"/>
        </w:numPr>
        <w:rPr>
          <w:rStyle w:val="normaltextrun"/>
          <w:rFonts w:cstheme="minorHAnsi"/>
          <w:color w:val="000000"/>
          <w:spacing w:val="2"/>
          <w:sz w:val="21"/>
          <w:szCs w:val="21"/>
        </w:rPr>
      </w:pPr>
      <w:r w:rsidRPr="004833F8">
        <w:rPr>
          <w:rFonts w:cstheme="minorHAnsi"/>
          <w:b/>
          <w:bCs/>
          <w:color w:val="000000"/>
          <w:spacing w:val="2"/>
          <w:sz w:val="21"/>
          <w:szCs w:val="21"/>
        </w:rPr>
        <w:t>PWID linked t</w:t>
      </w:r>
      <w:r w:rsidRPr="004833F8">
        <w:rPr>
          <w:b/>
          <w:bCs/>
        </w:rPr>
        <w:t>o</w:t>
      </w:r>
      <w:r w:rsidRPr="003D300E">
        <w:rPr>
          <w:b/>
          <w:bCs/>
        </w:rPr>
        <w:t xml:space="preserve"> </w:t>
      </w:r>
      <w:r w:rsidRPr="003D300E">
        <w:rPr>
          <w:rFonts w:cstheme="minorHAnsi"/>
          <w:b/>
          <w:bCs/>
        </w:rPr>
        <w:t>substance use disorder treatment</w:t>
      </w:r>
      <w:r>
        <w:t xml:space="preserve"> </w:t>
      </w:r>
      <w:r>
        <w:rPr>
          <w:b/>
          <w:bCs/>
        </w:rPr>
        <w:t>—</w:t>
      </w:r>
      <w:r w:rsidRPr="003D300E">
        <w:rPr>
          <w:rFonts w:cstheme="minorHAnsi"/>
          <w:b/>
          <w:bCs/>
        </w:rPr>
        <w:t xml:space="preserve"> </w:t>
      </w:r>
      <w:r w:rsidRPr="003D300E" w:rsidR="0071405B">
        <w:t xml:space="preserve">This is a short-term outcome (years </w:t>
      </w:r>
      <w:r w:rsidRPr="000810E3" w:rsidR="0071405B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9A7877" w:rsidR="0071405B" w:rsidP="006F1713" w:rsidRDefault="009A7877" w14:paraId="18067CB8" w14:textId="2DDFC1C5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b/>
          <w:bCs/>
        </w:rPr>
        <w:t>PWID</w:t>
      </w:r>
      <w:r w:rsidRPr="003D300E">
        <w:t xml:space="preserve"> is defined as a person who currently (typically within 12 months) uses non-prescription drugs by injection.</w:t>
      </w:r>
    </w:p>
    <w:p w:rsidRPr="000810E3" w:rsidR="006B52D7" w:rsidP="006B52D7" w:rsidRDefault="006B52D7" w14:paraId="6E45216C" w14:textId="706C7222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FD46FB" w:rsidP="00FD46FB" w:rsidRDefault="005A649D" w14:paraId="71F26E6E" w14:textId="77777777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rFonts w:cstheme="minorHAnsi"/>
        </w:rPr>
        <w:t xml:space="preserve">Report the total number of </w:t>
      </w:r>
      <w:r>
        <w:rPr>
          <w:rFonts w:cstheme="minorHAnsi"/>
        </w:rPr>
        <w:t>PWID</w:t>
      </w:r>
      <w:r w:rsidRPr="003D300E">
        <w:rPr>
          <w:rFonts w:cstheme="minorHAnsi"/>
        </w:rPr>
        <w:t xml:space="preserve"> (from 3.1.1.a) who were linked to substance use disorder treatment.</w:t>
      </w:r>
      <w:r w:rsidR="002D4FDE">
        <w:rPr>
          <w:rFonts w:cstheme="minorHAnsi"/>
        </w:rPr>
        <w:t xml:space="preserve"> See definitions below.</w:t>
      </w:r>
    </w:p>
    <w:p w:rsidRPr="00FD46FB" w:rsidR="008C6682" w:rsidP="00FD46FB" w:rsidRDefault="005F37DC" w14:paraId="7624D8ED" w14:textId="1097909C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FD46FB">
        <w:rPr>
          <w:b/>
          <w:bCs/>
        </w:rPr>
        <w:t>Linkage</w:t>
      </w:r>
      <w:r w:rsidRPr="003D300E">
        <w:t xml:space="preserve"> is defined as </w:t>
      </w:r>
      <w:r w:rsidRPr="00FD46FB" w:rsidR="009A69C2">
        <w:rPr>
          <w:rFonts w:cstheme="minorHAnsi"/>
        </w:rPr>
        <w:t xml:space="preserve">attendance </w:t>
      </w:r>
      <w:r w:rsidR="007C5669">
        <w:rPr>
          <w:rFonts w:cstheme="minorHAnsi"/>
        </w:rPr>
        <w:t>at</w:t>
      </w:r>
      <w:r w:rsidRPr="00FD46FB" w:rsidR="009A69C2">
        <w:rPr>
          <w:rFonts w:cstheme="minorHAnsi"/>
        </w:rPr>
        <w:t xml:space="preserve"> the first provider visit for substance use disorder treatment.  “Referral” could have a variety of meanings and does not count as “linkage.”</w:t>
      </w:r>
      <w:r w:rsidRPr="00FD46FB" w:rsidR="00AB323F">
        <w:rPr>
          <w:rFonts w:cstheme="minorHAnsi"/>
        </w:rPr>
        <w:t xml:space="preserve"> </w:t>
      </w:r>
      <w:r w:rsidR="00AB323F">
        <w:t>Successful linkage can be documented by review of records or direct report by a peer navigator</w:t>
      </w:r>
      <w:r w:rsidR="005772FB">
        <w:t xml:space="preserve"> or other reliable means</w:t>
      </w:r>
      <w:r w:rsidR="00AB323F">
        <w:t xml:space="preserve">.  </w:t>
      </w:r>
    </w:p>
    <w:p w:rsidRPr="003D300E" w:rsidR="009A69C2" w:rsidP="006F1713" w:rsidRDefault="009A69C2" w14:paraId="2121A057" w14:textId="0852F52D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b/>
          <w:bCs/>
        </w:rPr>
        <w:t xml:space="preserve">Treatment </w:t>
      </w:r>
      <w:r w:rsidRPr="003D300E">
        <w:t>is defined as any treatment, behavioral or medical or a combination</w:t>
      </w:r>
      <w:r w:rsidRPr="003D300E" w:rsidR="006C16A8">
        <w:t>,</w:t>
      </w:r>
      <w:r w:rsidRPr="003D300E">
        <w:t xml:space="preserve"> for substance use disorder</w:t>
      </w:r>
      <w:r w:rsidRPr="003D300E" w:rsidR="003844BA">
        <w:t xml:space="preserve"> under the care of a licensed provider</w:t>
      </w:r>
      <w:r w:rsidRPr="003D300E">
        <w:t>.</w:t>
      </w:r>
      <w:r w:rsidRPr="003D300E" w:rsidR="006C16A8">
        <w:t xml:space="preserve">  </w:t>
      </w:r>
    </w:p>
    <w:p w:rsidRPr="00714588" w:rsidR="006F1713" w:rsidP="006F1713" w:rsidRDefault="0046133E" w14:paraId="5BA141E9" w14:textId="4E6695B7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</w:rPr>
      </w:pPr>
      <w:r w:rsidRPr="00714588">
        <w:rPr>
          <w:rFonts w:cstheme="minorHAnsi"/>
          <w:b/>
          <w:bCs/>
        </w:rPr>
        <w:t>Substance use disorder</w:t>
      </w:r>
      <w:r w:rsidRPr="00714588" w:rsidR="00CB0CDC">
        <w:rPr>
          <w:rFonts w:cstheme="minorHAnsi"/>
        </w:rPr>
        <w:t xml:space="preserve"> </w:t>
      </w:r>
      <w:r w:rsidRPr="00714588">
        <w:rPr>
          <w:rFonts w:cstheme="minorHAnsi"/>
        </w:rPr>
        <w:t xml:space="preserve">is defined as </w:t>
      </w:r>
      <w:r w:rsidRPr="00714588" w:rsidR="006F1713">
        <w:rPr>
          <w:rFonts w:cstheme="minorHAnsi"/>
          <w:color w:val="000000"/>
          <w:spacing w:val="2"/>
        </w:rPr>
        <w:t>a pathologic pattern of behaviors in which patients continue to use a substance despite experiencing significant problems related to its use. The </w:t>
      </w:r>
      <w:r w:rsidRPr="00714588" w:rsidR="006F1713">
        <w:rPr>
          <w:rFonts w:cstheme="minorHAnsi"/>
          <w:i/>
          <w:iCs/>
          <w:color w:val="000000"/>
          <w:spacing w:val="2"/>
        </w:rPr>
        <w:t>Diagnostic and Statistical Manual of Mental Disorders, Fifth Edition</w:t>
      </w:r>
      <w:r w:rsidRPr="00714588" w:rsidR="006F1713">
        <w:rPr>
          <w:rFonts w:cstheme="minorHAnsi"/>
          <w:color w:val="000000"/>
          <w:spacing w:val="2"/>
        </w:rPr>
        <w:t> (DSM 5) gives 11 criteria divided into 4 categories.</w:t>
      </w:r>
    </w:p>
    <w:p w:rsidRPr="00714588" w:rsidR="00681EB6" w:rsidP="00714588" w:rsidRDefault="006F1713" w14:paraId="01933C98" w14:textId="77777777">
      <w:pPr>
        <w:pStyle w:val="NoSpacing"/>
        <w:numPr>
          <w:ilvl w:val="1"/>
          <w:numId w:val="28"/>
        </w:numPr>
        <w:rPr>
          <w:b/>
          <w:bCs/>
        </w:rPr>
      </w:pPr>
      <w:r w:rsidRPr="00714588">
        <w:rPr>
          <w:b/>
          <w:bCs/>
        </w:rPr>
        <w:t>Impaired control over use</w:t>
      </w:r>
    </w:p>
    <w:p w:rsidRPr="00714588" w:rsidR="00681EB6" w:rsidP="00714588" w:rsidRDefault="006F1713" w14:paraId="249B37FC" w14:textId="77777777">
      <w:pPr>
        <w:pStyle w:val="NoSpacing"/>
        <w:numPr>
          <w:ilvl w:val="2"/>
          <w:numId w:val="28"/>
        </w:numPr>
      </w:pPr>
      <w:r w:rsidRPr="00714588">
        <w:t>The person takes the substance in larger amounts or for a longer time than originally planned</w:t>
      </w:r>
    </w:p>
    <w:p w:rsidRPr="00714588" w:rsidR="00973ED6" w:rsidP="00714588" w:rsidRDefault="006F1713" w14:paraId="0A00722B" w14:textId="77777777">
      <w:pPr>
        <w:pStyle w:val="NoSpacing"/>
        <w:numPr>
          <w:ilvl w:val="2"/>
          <w:numId w:val="28"/>
        </w:numPr>
      </w:pPr>
      <w:r w:rsidRPr="00714588">
        <w:t>The person desires to stop or cut down use of the substance</w:t>
      </w:r>
    </w:p>
    <w:p w:rsidRPr="00714588" w:rsidR="00973ED6" w:rsidP="00714588" w:rsidRDefault="006F1713" w14:paraId="3296F3F3" w14:textId="77777777">
      <w:pPr>
        <w:pStyle w:val="NoSpacing"/>
        <w:numPr>
          <w:ilvl w:val="2"/>
          <w:numId w:val="28"/>
        </w:numPr>
      </w:pPr>
      <w:r w:rsidRPr="00714588">
        <w:t>The person spends substantial time obtaining, using, or recovering from the effects of the substance</w:t>
      </w:r>
    </w:p>
    <w:p w:rsidRPr="00714588" w:rsidR="006F1713" w:rsidP="00714588" w:rsidRDefault="006F1713" w14:paraId="43475098" w14:textId="167F7422">
      <w:pPr>
        <w:pStyle w:val="NoSpacing"/>
        <w:numPr>
          <w:ilvl w:val="2"/>
          <w:numId w:val="28"/>
        </w:numPr>
      </w:pPr>
      <w:r w:rsidRPr="00714588">
        <w:t>The person has an intense desire (craving) to use the substance</w:t>
      </w:r>
    </w:p>
    <w:p w:rsidRPr="00714588" w:rsidR="009B0610" w:rsidP="00714588" w:rsidRDefault="006F1713" w14:paraId="7E770FF4" w14:textId="77777777">
      <w:pPr>
        <w:pStyle w:val="NoSpacing"/>
        <w:numPr>
          <w:ilvl w:val="1"/>
          <w:numId w:val="28"/>
        </w:numPr>
        <w:rPr>
          <w:b/>
          <w:bCs/>
        </w:rPr>
      </w:pPr>
      <w:r w:rsidRPr="00714588">
        <w:rPr>
          <w:b/>
          <w:bCs/>
        </w:rPr>
        <w:t>Social impairment</w:t>
      </w:r>
    </w:p>
    <w:p w:rsidRPr="00714588" w:rsidR="009B0610" w:rsidP="00714588" w:rsidRDefault="006F1713" w14:paraId="036B854B" w14:textId="77777777">
      <w:pPr>
        <w:pStyle w:val="NoSpacing"/>
        <w:numPr>
          <w:ilvl w:val="2"/>
          <w:numId w:val="28"/>
        </w:numPr>
      </w:pPr>
      <w:r w:rsidRPr="00714588">
        <w:t>The person fails to fulfill major role obligations at work, school, or home</w:t>
      </w:r>
    </w:p>
    <w:p w:rsidRPr="00714588" w:rsidR="009B0610" w:rsidP="00714588" w:rsidRDefault="006F1713" w14:paraId="4146BF54" w14:textId="77777777">
      <w:pPr>
        <w:pStyle w:val="NoSpacing"/>
        <w:numPr>
          <w:ilvl w:val="2"/>
          <w:numId w:val="28"/>
        </w:numPr>
      </w:pPr>
      <w:r w:rsidRPr="00714588">
        <w:t>The person continues to use the substance even though it causes (or worsens) social or interpersonal problems</w:t>
      </w:r>
    </w:p>
    <w:p w:rsidRPr="00714588" w:rsidR="006F1713" w:rsidP="00714588" w:rsidRDefault="006F1713" w14:paraId="78318BE6" w14:textId="0F155ABD">
      <w:pPr>
        <w:pStyle w:val="NoSpacing"/>
        <w:numPr>
          <w:ilvl w:val="2"/>
          <w:numId w:val="28"/>
        </w:numPr>
      </w:pPr>
      <w:r w:rsidRPr="00714588">
        <w:t>The person gives up or reduces important social, occupational, or recreational activity because of substance use</w:t>
      </w:r>
    </w:p>
    <w:p w:rsidRPr="00714588" w:rsidR="002A7022" w:rsidP="00714588" w:rsidRDefault="006F1713" w14:paraId="79F57704" w14:textId="77777777">
      <w:pPr>
        <w:pStyle w:val="NoSpacing"/>
        <w:numPr>
          <w:ilvl w:val="1"/>
          <w:numId w:val="28"/>
        </w:numPr>
        <w:rPr>
          <w:b/>
          <w:bCs/>
        </w:rPr>
      </w:pPr>
      <w:r w:rsidRPr="00714588">
        <w:rPr>
          <w:b/>
          <w:bCs/>
        </w:rPr>
        <w:t>Risky use</w:t>
      </w:r>
    </w:p>
    <w:p w:rsidRPr="00714588" w:rsidR="002A7022" w:rsidP="009F4414" w:rsidRDefault="006F1713" w14:paraId="2CC92031" w14:textId="77777777">
      <w:pPr>
        <w:pStyle w:val="NoSpacing"/>
        <w:numPr>
          <w:ilvl w:val="2"/>
          <w:numId w:val="28"/>
        </w:numPr>
      </w:pPr>
      <w:r w:rsidRPr="00714588">
        <w:t>The person uses the substance in physically hazardous situations (</w:t>
      </w:r>
      <w:proofErr w:type="spellStart"/>
      <w:r w:rsidRPr="00714588">
        <w:t>eg</w:t>
      </w:r>
      <w:proofErr w:type="spellEnd"/>
      <w:r w:rsidRPr="00714588">
        <w:t>, when driving or in dangerous social circumstances)</w:t>
      </w:r>
    </w:p>
    <w:p w:rsidRPr="00714588" w:rsidR="006F1713" w:rsidP="009F4414" w:rsidRDefault="006F1713" w14:paraId="17EA3B3F" w14:textId="6AA09035">
      <w:pPr>
        <w:pStyle w:val="NoSpacing"/>
        <w:numPr>
          <w:ilvl w:val="2"/>
          <w:numId w:val="28"/>
        </w:numPr>
      </w:pPr>
      <w:r w:rsidRPr="00714588">
        <w:lastRenderedPageBreak/>
        <w:t>The person continues to use the substance despite knowing it is worsening a medical or psychologic problem</w:t>
      </w:r>
    </w:p>
    <w:p w:rsidRPr="009F4414" w:rsidR="002A7022" w:rsidP="00714588" w:rsidRDefault="006F1713" w14:paraId="1F6EABE5" w14:textId="77777777">
      <w:pPr>
        <w:pStyle w:val="NoSpacing"/>
        <w:numPr>
          <w:ilvl w:val="1"/>
          <w:numId w:val="28"/>
        </w:numPr>
        <w:rPr>
          <w:b/>
          <w:bCs/>
        </w:rPr>
      </w:pPr>
      <w:r w:rsidRPr="009F4414">
        <w:rPr>
          <w:b/>
          <w:bCs/>
        </w:rPr>
        <w:t>Pharmacologic symptoms*</w:t>
      </w:r>
    </w:p>
    <w:p w:rsidRPr="00714588" w:rsidR="00CB0CDC" w:rsidP="009F4414" w:rsidRDefault="006F1713" w14:paraId="415DF414" w14:textId="77777777">
      <w:pPr>
        <w:pStyle w:val="NoSpacing"/>
        <w:numPr>
          <w:ilvl w:val="2"/>
          <w:numId w:val="28"/>
        </w:numPr>
      </w:pPr>
      <w:r w:rsidRPr="00714588">
        <w:t>Tolerance: The person needs to progressively increase the drug dose to produce intoxication or the desired effect, or the effect of a given dose decreases over time</w:t>
      </w:r>
    </w:p>
    <w:p w:rsidRPr="00714588" w:rsidR="006F1713" w:rsidP="009F4414" w:rsidRDefault="006F1713" w14:paraId="394393CC" w14:textId="15282D49">
      <w:pPr>
        <w:pStyle w:val="NoSpacing"/>
        <w:numPr>
          <w:ilvl w:val="2"/>
          <w:numId w:val="28"/>
        </w:numPr>
      </w:pPr>
      <w:r w:rsidRPr="00714588">
        <w:t>Withdrawal: Untoward physical effects occur when the drug is stopped or when it is counteracted by a specific antagonist</w:t>
      </w:r>
    </w:p>
    <w:p w:rsidRPr="00714588" w:rsidR="006F1713" w:rsidP="009F4414" w:rsidRDefault="006F1713" w14:paraId="7089D98A" w14:textId="1878F4A0">
      <w:pPr>
        <w:pStyle w:val="NoSpacing"/>
        <w:ind w:left="720"/>
        <w:rPr>
          <w:color w:val="000000"/>
          <w:spacing w:val="2"/>
        </w:rPr>
      </w:pPr>
      <w:r w:rsidRPr="00714588">
        <w:rPr>
          <w:color w:val="000000"/>
          <w:spacing w:val="2"/>
        </w:rPr>
        <w:t xml:space="preserve">* Note that some drugs, </w:t>
      </w:r>
      <w:r w:rsidRPr="00714588">
        <w:rPr>
          <w:spacing w:val="2"/>
        </w:rPr>
        <w:t>particularly </w:t>
      </w:r>
      <w:hyperlink w:history="1" r:id="rId9">
        <w:r w:rsidRPr="00714588">
          <w:rPr>
            <w:rStyle w:val="Hyperlink"/>
            <w:rFonts w:cstheme="minorHAnsi"/>
            <w:color w:val="auto"/>
            <w:spacing w:val="2"/>
            <w:u w:val="none"/>
          </w:rPr>
          <w:t>opioids</w:t>
        </w:r>
      </w:hyperlink>
      <w:r w:rsidRPr="00714588">
        <w:rPr>
          <w:spacing w:val="2"/>
        </w:rPr>
        <w:t>, </w:t>
      </w:r>
      <w:hyperlink w:history="1" r:id="rId10">
        <w:r w:rsidRPr="00714588">
          <w:rPr>
            <w:rStyle w:val="Hyperlink"/>
            <w:rFonts w:cstheme="minorHAnsi"/>
            <w:color w:val="auto"/>
            <w:spacing w:val="2"/>
            <w:u w:val="none"/>
          </w:rPr>
          <w:t>sedative/hypnotics</w:t>
        </w:r>
      </w:hyperlink>
      <w:r w:rsidRPr="00714588">
        <w:rPr>
          <w:spacing w:val="2"/>
        </w:rPr>
        <w:t>, and </w:t>
      </w:r>
      <w:hyperlink w:history="1" r:id="rId11">
        <w:r w:rsidRPr="00714588">
          <w:rPr>
            <w:rStyle w:val="Hyperlink"/>
            <w:rFonts w:cstheme="minorHAnsi"/>
            <w:color w:val="auto"/>
            <w:spacing w:val="2"/>
            <w:u w:val="none"/>
          </w:rPr>
          <w:t>stimulants</w:t>
        </w:r>
      </w:hyperlink>
      <w:r w:rsidRPr="00714588">
        <w:rPr>
          <w:spacing w:val="2"/>
        </w:rPr>
        <w:t xml:space="preserve">, </w:t>
      </w:r>
      <w:r w:rsidRPr="00714588">
        <w:rPr>
          <w:color w:val="000000"/>
          <w:spacing w:val="2"/>
        </w:rPr>
        <w:t>can result in tolerance and/or withdrawal symptoms even when taken as prescribed for legitimate medical reasons. Withdrawal symptoms that develop following appropriate medical use do not count as criteria for diagnosis of a substance use disorder.</w:t>
      </w:r>
    </w:p>
    <w:p w:rsidR="00DB60E1" w:rsidP="00DB60E1" w:rsidRDefault="00DB60E1" w14:paraId="3B7F81BB" w14:textId="77777777">
      <w:pPr>
        <w:pStyle w:val="NoSpacing"/>
        <w:ind w:left="360"/>
        <w:rPr>
          <w:color w:val="000000"/>
          <w:spacing w:val="2"/>
        </w:rPr>
      </w:pPr>
    </w:p>
    <w:p w:rsidR="00D5211C" w:rsidP="00372B1D" w:rsidRDefault="006F1713" w14:paraId="358941F4" w14:textId="77777777">
      <w:pPr>
        <w:pStyle w:val="NoSpacing"/>
        <w:ind w:left="720"/>
        <w:rPr>
          <w:color w:val="000000"/>
          <w:spacing w:val="2"/>
        </w:rPr>
      </w:pPr>
      <w:r w:rsidRPr="00714588">
        <w:rPr>
          <w:color w:val="000000"/>
          <w:spacing w:val="2"/>
        </w:rPr>
        <w:t xml:space="preserve">People </w:t>
      </w:r>
      <w:r w:rsidRPr="00714588" w:rsidR="00D405A5">
        <w:rPr>
          <w:color w:val="000000"/>
          <w:spacing w:val="2"/>
        </w:rPr>
        <w:t>with two or more</w:t>
      </w:r>
      <w:r w:rsidRPr="00714588">
        <w:rPr>
          <w:color w:val="000000"/>
          <w:spacing w:val="2"/>
        </w:rPr>
        <w:t xml:space="preserve"> of the</w:t>
      </w:r>
      <w:r w:rsidRPr="00714588" w:rsidR="00D405A5">
        <w:rPr>
          <w:color w:val="000000"/>
          <w:spacing w:val="2"/>
        </w:rPr>
        <w:t xml:space="preserve"> 11</w:t>
      </w:r>
      <w:r w:rsidRPr="00714588">
        <w:rPr>
          <w:color w:val="000000"/>
          <w:spacing w:val="2"/>
        </w:rPr>
        <w:t xml:space="preserve"> criteria within a 12-month period are considered to have a substance use disorder. </w:t>
      </w:r>
      <w:r w:rsidRPr="00CE2BBE">
        <w:rPr>
          <w:b/>
          <w:bCs/>
          <w:color w:val="000000"/>
          <w:spacing w:val="2"/>
        </w:rPr>
        <w:t>Mild</w:t>
      </w:r>
      <w:r w:rsidRPr="00CE2BBE" w:rsidR="00D405A5">
        <w:rPr>
          <w:b/>
          <w:bCs/>
          <w:color w:val="000000"/>
          <w:spacing w:val="2"/>
        </w:rPr>
        <w:t xml:space="preserve"> substance use disorder</w:t>
      </w:r>
      <w:r w:rsidRPr="00714588" w:rsidR="00D405A5">
        <w:rPr>
          <w:color w:val="000000"/>
          <w:spacing w:val="2"/>
        </w:rPr>
        <w:t xml:space="preserve"> is </w:t>
      </w:r>
      <w:r w:rsidR="00CE2BBE">
        <w:rPr>
          <w:color w:val="000000"/>
          <w:spacing w:val="2"/>
        </w:rPr>
        <w:t>defined as</w:t>
      </w:r>
      <w:r w:rsidRPr="00714588" w:rsidR="00D405A5">
        <w:rPr>
          <w:color w:val="000000"/>
          <w:spacing w:val="2"/>
        </w:rPr>
        <w:t xml:space="preserve"> meeting </w:t>
      </w:r>
      <w:r w:rsidRPr="00714588">
        <w:rPr>
          <w:color w:val="000000"/>
          <w:spacing w:val="2"/>
        </w:rPr>
        <w:t>2 to 3 criteria</w:t>
      </w:r>
      <w:r w:rsidRPr="00714588" w:rsidR="00C65165">
        <w:rPr>
          <w:color w:val="000000"/>
          <w:spacing w:val="2"/>
        </w:rPr>
        <w:t xml:space="preserve">. </w:t>
      </w:r>
      <w:r w:rsidRPr="005C5879">
        <w:rPr>
          <w:b/>
          <w:bCs/>
          <w:color w:val="000000"/>
          <w:spacing w:val="2"/>
        </w:rPr>
        <w:t>Moderate</w:t>
      </w:r>
      <w:r w:rsidRPr="005C5879" w:rsidR="00C65165">
        <w:rPr>
          <w:b/>
          <w:bCs/>
          <w:color w:val="000000"/>
          <w:spacing w:val="2"/>
        </w:rPr>
        <w:t xml:space="preserve"> </w:t>
      </w:r>
      <w:r w:rsidRPr="005C5879" w:rsidR="00CF4AE4">
        <w:rPr>
          <w:b/>
          <w:bCs/>
        </w:rPr>
        <w:t>substance use disorder</w:t>
      </w:r>
      <w:r w:rsidRPr="00714588" w:rsidR="00CF4AE4">
        <w:rPr>
          <w:color w:val="000000"/>
          <w:spacing w:val="2"/>
        </w:rPr>
        <w:t xml:space="preserve"> </w:t>
      </w:r>
      <w:r w:rsidRPr="00714588" w:rsidR="00C65165">
        <w:rPr>
          <w:color w:val="000000"/>
          <w:spacing w:val="2"/>
        </w:rPr>
        <w:t>is defined as meeting</w:t>
      </w:r>
      <w:r w:rsidRPr="00714588">
        <w:rPr>
          <w:color w:val="000000"/>
          <w:spacing w:val="2"/>
        </w:rPr>
        <w:t xml:space="preserve"> 4 to 5 criteria</w:t>
      </w:r>
      <w:r w:rsidRPr="005C5879" w:rsidR="00C65165">
        <w:rPr>
          <w:b/>
          <w:bCs/>
          <w:color w:val="000000"/>
          <w:spacing w:val="2"/>
        </w:rPr>
        <w:t xml:space="preserve">. </w:t>
      </w:r>
      <w:r w:rsidRPr="005C5879">
        <w:rPr>
          <w:b/>
          <w:bCs/>
          <w:color w:val="000000"/>
          <w:spacing w:val="2"/>
        </w:rPr>
        <w:t>Severe</w:t>
      </w:r>
      <w:r w:rsidRPr="005C5879" w:rsidR="00C65165">
        <w:rPr>
          <w:b/>
          <w:bCs/>
          <w:color w:val="000000"/>
          <w:spacing w:val="2"/>
        </w:rPr>
        <w:t xml:space="preserve"> </w:t>
      </w:r>
      <w:r w:rsidRPr="005C5879" w:rsidR="00CF4AE4">
        <w:rPr>
          <w:b/>
          <w:bCs/>
        </w:rPr>
        <w:t>substance use disorder</w:t>
      </w:r>
      <w:r w:rsidRPr="00714588" w:rsidR="00CF4AE4">
        <w:rPr>
          <w:color w:val="000000"/>
          <w:spacing w:val="2"/>
        </w:rPr>
        <w:t xml:space="preserve"> </w:t>
      </w:r>
      <w:r w:rsidRPr="00714588" w:rsidR="00C65165">
        <w:rPr>
          <w:color w:val="000000"/>
          <w:spacing w:val="2"/>
        </w:rPr>
        <w:t>is defined as</w:t>
      </w:r>
      <w:r w:rsidRPr="00714588">
        <w:rPr>
          <w:color w:val="000000"/>
          <w:spacing w:val="2"/>
        </w:rPr>
        <w:t> </w:t>
      </w:r>
      <w:r w:rsidRPr="00714588">
        <w:rPr>
          <w:rStyle w:val="symbol"/>
          <w:rFonts w:cstheme="minorHAnsi"/>
          <w:color w:val="000000"/>
          <w:spacing w:val="2"/>
        </w:rPr>
        <w:t>≥</w:t>
      </w:r>
      <w:r w:rsidRPr="00714588">
        <w:rPr>
          <w:color w:val="000000"/>
          <w:spacing w:val="2"/>
        </w:rPr>
        <w:t> 6 criteria</w:t>
      </w:r>
      <w:r w:rsidRPr="00714588" w:rsidR="00A95B29">
        <w:rPr>
          <w:color w:val="000000"/>
          <w:spacing w:val="2"/>
        </w:rPr>
        <w:t xml:space="preserve">  </w:t>
      </w:r>
    </w:p>
    <w:p w:rsidR="00D5211C" w:rsidP="00372B1D" w:rsidRDefault="00D5211C" w14:paraId="028788A3" w14:textId="77777777">
      <w:pPr>
        <w:pStyle w:val="NoSpacing"/>
        <w:ind w:left="720"/>
        <w:rPr>
          <w:color w:val="000000"/>
          <w:spacing w:val="2"/>
        </w:rPr>
      </w:pPr>
    </w:p>
    <w:p w:rsidR="006F1713" w:rsidP="00372B1D" w:rsidRDefault="00A95B29" w14:paraId="38730849" w14:textId="5FBD76E8">
      <w:pPr>
        <w:pStyle w:val="NoSpacing"/>
        <w:ind w:left="720"/>
        <w:rPr>
          <w:color w:val="000000"/>
          <w:spacing w:val="2"/>
        </w:rPr>
      </w:pPr>
      <w:r w:rsidRPr="00714588">
        <w:rPr>
          <w:color w:val="000000"/>
          <w:spacing w:val="2"/>
        </w:rPr>
        <w:t xml:space="preserve">Source:  </w:t>
      </w:r>
      <w:hyperlink w:history="1" r:id="rId12">
        <w:r w:rsidRPr="00714588" w:rsidR="00194365">
          <w:rPr>
            <w:rStyle w:val="Hyperlink"/>
            <w:rFonts w:cstheme="minorHAnsi"/>
            <w:spacing w:val="2"/>
          </w:rPr>
          <w:t>https://www.merckmanuals.com/professional/psychiatric-disorders/substance-related-disorders/substance-use-disorders</w:t>
        </w:r>
      </w:hyperlink>
      <w:r w:rsidRPr="00714588">
        <w:rPr>
          <w:color w:val="000000"/>
          <w:spacing w:val="2"/>
        </w:rPr>
        <w:t xml:space="preserve"> </w:t>
      </w:r>
    </w:p>
    <w:p w:rsidRPr="00714588" w:rsidR="00160ADE" w:rsidP="00DB60E1" w:rsidRDefault="00160ADE" w14:paraId="577DF6D3" w14:textId="77777777">
      <w:pPr>
        <w:pStyle w:val="NoSpacing"/>
        <w:ind w:left="360"/>
        <w:rPr>
          <w:color w:val="000000"/>
          <w:spacing w:val="2"/>
        </w:rPr>
      </w:pPr>
    </w:p>
    <w:p w:rsidR="005D7017" w:rsidP="00160ADE" w:rsidRDefault="007E2C78" w14:paraId="79C7E55D" w14:textId="5112A116">
      <w:pPr>
        <w:pStyle w:val="NoSpacing"/>
        <w:numPr>
          <w:ilvl w:val="0"/>
          <w:numId w:val="43"/>
        </w:numPr>
      </w:pPr>
      <w:r w:rsidRPr="00714588">
        <w:t xml:space="preserve">Because </w:t>
      </w:r>
      <w:r w:rsidRPr="00714588" w:rsidR="005035DF">
        <w:t xml:space="preserve">PWID </w:t>
      </w:r>
      <w:r w:rsidRPr="00714588">
        <w:t xml:space="preserve">with </w:t>
      </w:r>
      <w:r w:rsidRPr="003D300E" w:rsidR="00CF4AE4">
        <w:t>substance use disorder</w:t>
      </w:r>
      <w:r w:rsidRPr="00714588" w:rsidR="00CF4AE4">
        <w:t xml:space="preserve"> </w:t>
      </w:r>
      <w:r w:rsidRPr="00714588">
        <w:t xml:space="preserve">may often </w:t>
      </w:r>
      <w:r w:rsidRPr="00714588" w:rsidR="005D4EB3">
        <w:t xml:space="preserve">have more than one type of substance use disorder, </w:t>
      </w:r>
      <w:r w:rsidRPr="00714588" w:rsidR="00C122A2">
        <w:t>and treatment for all diagnosed</w:t>
      </w:r>
      <w:r w:rsidRPr="00714588" w:rsidR="00483000">
        <w:t xml:space="preserve"> substance use</w:t>
      </w:r>
      <w:r w:rsidRPr="00714588" w:rsidR="00C122A2">
        <w:t xml:space="preserve"> disorders </w:t>
      </w:r>
      <w:r w:rsidRPr="00714588" w:rsidR="006116F7">
        <w:t>is usually addressed simult</w:t>
      </w:r>
      <w:r w:rsidRPr="00714588" w:rsidR="009175F4">
        <w:t>a</w:t>
      </w:r>
      <w:r w:rsidRPr="00714588" w:rsidR="006116F7">
        <w:t>n</w:t>
      </w:r>
      <w:r w:rsidRPr="00714588" w:rsidR="009175F4">
        <w:t>e</w:t>
      </w:r>
      <w:r w:rsidRPr="00714588" w:rsidR="006116F7">
        <w:t>ously, any</w:t>
      </w:r>
      <w:r w:rsidRPr="00714588" w:rsidR="00CC4A18">
        <w:t xml:space="preserve"> initial visit for any substance use disorder is counted in this measure.  </w:t>
      </w:r>
      <w:r w:rsidRPr="00714588" w:rsidR="005D7017">
        <w:t xml:space="preserve"> </w:t>
      </w:r>
    </w:p>
    <w:p w:rsidR="00F55A12" w:rsidP="00F55A12" w:rsidRDefault="00F55A12" w14:paraId="52BAA89A" w14:textId="4D426A04">
      <w:pPr>
        <w:pStyle w:val="NoSpacing"/>
        <w:numPr>
          <w:ilvl w:val="0"/>
          <w:numId w:val="43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D70A7A" w:rsidR="00D70A7A" w:rsidP="00D70A7A" w:rsidRDefault="00D70A7A" w14:paraId="07E9F346" w14:textId="4034BA72">
      <w:pPr>
        <w:pStyle w:val="NoSpacing"/>
        <w:numPr>
          <w:ilvl w:val="0"/>
          <w:numId w:val="43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 xml:space="preserve">See page </w:t>
      </w:r>
      <w:r w:rsidR="004E5363">
        <w:rPr>
          <w:rFonts w:cs="Times New Roman"/>
          <w:color w:val="000000"/>
        </w:rPr>
        <w:t>23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>
        <w:rPr>
          <w:rFonts w:cs="Times New Roman"/>
          <w:color w:val="000000"/>
        </w:rPr>
        <w:t>.</w:t>
      </w:r>
    </w:p>
    <w:p w:rsidRPr="00DE60BA" w:rsidR="00600C37" w:rsidP="008E2246" w:rsidRDefault="00600C37" w14:paraId="52E344BB" w14:textId="3929F571">
      <w:pPr>
        <w:pStyle w:val="NoSpacing"/>
        <w:rPr>
          <w:rFonts w:cstheme="minorHAnsi"/>
        </w:rPr>
      </w:pPr>
    </w:p>
    <w:p w:rsidRPr="003D300E" w:rsidR="00C673ED" w:rsidP="008B0EAB" w:rsidRDefault="00C673ED" w14:paraId="69648E86" w14:textId="36FA6CF4">
      <w:pPr>
        <w:pStyle w:val="NoSpacing"/>
        <w:rPr>
          <w:rFonts w:cstheme="minorHAnsi"/>
          <w:b/>
          <w:bCs/>
          <w:sz w:val="28"/>
          <w:szCs w:val="28"/>
        </w:rPr>
      </w:pPr>
      <w:r w:rsidRPr="003D300E">
        <w:rPr>
          <w:rFonts w:cstheme="minorHAnsi"/>
          <w:b/>
          <w:bCs/>
          <w:sz w:val="28"/>
          <w:szCs w:val="28"/>
        </w:rPr>
        <w:t>Measure 3.1.2.b</w:t>
      </w:r>
    </w:p>
    <w:p w:rsidRPr="003D300E" w:rsidR="00C673ED" w:rsidP="007D45D2" w:rsidRDefault="00C940D5" w14:paraId="52499C0C" w14:textId="71D64DCA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7D45D2">
        <w:rPr>
          <w:rFonts w:cstheme="minorHAnsi"/>
          <w:sz w:val="18"/>
          <w:szCs w:val="18"/>
        </w:rPr>
        <w:t xml:space="preserve">umber of </w:t>
      </w:r>
      <w:r w:rsidRPr="003D300E" w:rsidR="005E5B73">
        <w:rPr>
          <w:rFonts w:cstheme="minorHAnsi"/>
          <w:sz w:val="18"/>
          <w:szCs w:val="18"/>
        </w:rPr>
        <w:t xml:space="preserve">PWID </w:t>
      </w:r>
      <w:r w:rsidRPr="003D300E" w:rsidR="00C673ED">
        <w:rPr>
          <w:rFonts w:cstheme="minorHAnsi"/>
          <w:sz w:val="18"/>
          <w:szCs w:val="18"/>
        </w:rPr>
        <w:t>assessed for opioid use</w:t>
      </w:r>
      <w:r w:rsidRPr="003D300E" w:rsidR="00C673ED">
        <w:rPr>
          <w:sz w:val="18"/>
          <w:szCs w:val="18"/>
        </w:rPr>
        <w:t xml:space="preserve"> disorder, by setting </w:t>
      </w:r>
      <w:r w:rsidRPr="003D300E" w:rsidR="00C673ED">
        <w:rPr>
          <w:rFonts w:cstheme="minorHAnsi"/>
          <w:color w:val="000000"/>
          <w:sz w:val="18"/>
          <w:szCs w:val="18"/>
        </w:rPr>
        <w:t>serving PWID</w:t>
      </w:r>
      <w:r w:rsidR="004833F8">
        <w:rPr>
          <w:rFonts w:cstheme="minorHAnsi"/>
          <w:color w:val="000000"/>
          <w:sz w:val="18"/>
          <w:szCs w:val="18"/>
        </w:rPr>
        <w:t>, during this reporting period</w:t>
      </w:r>
    </w:p>
    <w:p w:rsidR="007D45D2" w:rsidP="007D45D2" w:rsidRDefault="007D45D2" w14:paraId="53F47BDA" w14:textId="2C93C4AB">
      <w:pPr>
        <w:pStyle w:val="NoSpacing"/>
        <w:rPr>
          <w:rFonts w:cstheme="minorHAnsi"/>
          <w:color w:val="000000"/>
        </w:rPr>
      </w:pPr>
    </w:p>
    <w:p w:rsidR="009A7877" w:rsidP="007D45D2" w:rsidRDefault="00CC5D5A" w14:paraId="245D9CCD" w14:textId="14BF9F02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4833F8">
        <w:rPr>
          <w:rFonts w:cstheme="minorHAnsi"/>
          <w:b/>
          <w:bCs/>
          <w:color w:val="000000"/>
          <w:spacing w:val="2"/>
          <w:sz w:val="21"/>
          <w:szCs w:val="21"/>
        </w:rPr>
        <w:t xml:space="preserve">PWID </w:t>
      </w:r>
      <w:r>
        <w:rPr>
          <w:rFonts w:cstheme="minorHAnsi"/>
          <w:b/>
          <w:bCs/>
          <w:color w:val="000000"/>
          <w:spacing w:val="2"/>
          <w:sz w:val="21"/>
          <w:szCs w:val="21"/>
        </w:rPr>
        <w:t>assessed for opioid use disorder</w:t>
      </w:r>
      <w:r>
        <w:t xml:space="preserve"> </w:t>
      </w:r>
      <w:r>
        <w:rPr>
          <w:b/>
          <w:bCs/>
        </w:rPr>
        <w:t>—</w:t>
      </w:r>
      <w:r w:rsidRPr="003D300E">
        <w:rPr>
          <w:rFonts w:cstheme="minorHAnsi"/>
          <w:b/>
          <w:bCs/>
        </w:rPr>
        <w:t xml:space="preserve"> </w:t>
      </w:r>
      <w:r w:rsidRPr="003D300E" w:rsidR="002E79A8">
        <w:t xml:space="preserve">This is a short-term outcome (years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9A7877" w:rsidR="00CC5D5A" w:rsidP="007D45D2" w:rsidRDefault="009A7877" w14:paraId="3BECAFFC" w14:textId="36553433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9A7877">
        <w:rPr>
          <w:b/>
          <w:bCs/>
        </w:rPr>
        <w:t>PWID</w:t>
      </w:r>
      <w:r w:rsidRPr="003D300E">
        <w:t xml:space="preserve"> is defined as a person who currently (typically within 12 months) uses non-prescription drugs by injection.</w:t>
      </w:r>
    </w:p>
    <w:p w:rsidRPr="00AC7574" w:rsidR="000A2D9A" w:rsidP="000A2D9A" w:rsidRDefault="000A2D9A" w14:paraId="2EB7E411" w14:textId="330E5F7A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5E7572" w:rsidR="005E7572" w:rsidP="005E7572" w:rsidRDefault="00AC7574" w14:paraId="444285BD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3D300E">
        <w:rPr>
          <w:rFonts w:cstheme="minorHAnsi"/>
        </w:rPr>
        <w:t xml:space="preserve">Report the total number of </w:t>
      </w:r>
      <w:r>
        <w:rPr>
          <w:rFonts w:cstheme="minorHAnsi"/>
        </w:rPr>
        <w:t>PWID</w:t>
      </w:r>
      <w:r w:rsidRPr="003D300E">
        <w:rPr>
          <w:rFonts w:cstheme="minorHAnsi"/>
        </w:rPr>
        <w:t xml:space="preserve"> (from 3.1.1.a) who</w:t>
      </w:r>
      <w:r>
        <w:rPr>
          <w:rFonts w:cstheme="minorHAnsi"/>
        </w:rPr>
        <w:t xml:space="preserve"> were assessed for opioid use disorder. See definitions below.</w:t>
      </w:r>
    </w:p>
    <w:p w:rsidRPr="005E7572" w:rsidR="00723E02" w:rsidP="005E7572" w:rsidRDefault="005E7572" w14:paraId="1CC07CF9" w14:textId="01A2355C">
      <w:pPr>
        <w:pStyle w:val="NoSpacing"/>
        <w:numPr>
          <w:ilvl w:val="0"/>
          <w:numId w:val="28"/>
        </w:numPr>
      </w:pPr>
      <w:r w:rsidRPr="005E7572">
        <w:t xml:space="preserve">Complete a </w:t>
      </w:r>
      <w:r w:rsidRPr="005E7572" w:rsidR="00FA1AFF">
        <w:t>clinical interview to determine if</w:t>
      </w:r>
      <w:r w:rsidRPr="005E7572" w:rsidR="00D43861">
        <w:t xml:space="preserve"> the client meets DSM-5 criteria for </w:t>
      </w:r>
      <w:r w:rsidRPr="005E7572" w:rsidR="00CF4AE4">
        <w:t>opioid use disorder</w:t>
      </w:r>
      <w:r w:rsidRPr="005E7572" w:rsidR="00D43861">
        <w:t xml:space="preserve">. The interview may be conducted by a licensed provider or </w:t>
      </w:r>
      <w:r w:rsidRPr="005E7572" w:rsidR="009F3F2A">
        <w:t xml:space="preserve">a standardized interview may be conducted by </w:t>
      </w:r>
      <w:r w:rsidRPr="005E7572" w:rsidR="00FC6ED0">
        <w:t xml:space="preserve">appropriately </w:t>
      </w:r>
      <w:r w:rsidRPr="005E7572" w:rsidR="009F3F2A">
        <w:t xml:space="preserve">trained </w:t>
      </w:r>
      <w:r w:rsidRPr="005E7572" w:rsidR="00435289">
        <w:t xml:space="preserve">and supervised </w:t>
      </w:r>
      <w:r w:rsidRPr="005E7572" w:rsidR="009F3F2A">
        <w:t>staff</w:t>
      </w:r>
      <w:r w:rsidRPr="005E7572" w:rsidR="00812335">
        <w:t>,</w:t>
      </w:r>
      <w:r w:rsidRPr="005E7572" w:rsidR="00435289">
        <w:t xml:space="preserve"> consistent with state </w:t>
      </w:r>
      <w:r w:rsidRPr="005E7572" w:rsidR="00812335">
        <w:t xml:space="preserve">and local </w:t>
      </w:r>
      <w:r w:rsidRPr="005E7572" w:rsidR="00435289">
        <w:t>regulations</w:t>
      </w:r>
      <w:r w:rsidRPr="005E7572" w:rsidR="00B5043E">
        <w:t>.</w:t>
      </w:r>
      <w:r w:rsidRPr="005E7572" w:rsidR="009F3F2A">
        <w:t xml:space="preserve"> </w:t>
      </w:r>
    </w:p>
    <w:p w:rsidRPr="003D300E" w:rsidR="004A4BC7" w:rsidP="00372B1D" w:rsidRDefault="008C6781" w14:paraId="4619C5DB" w14:textId="7FFAEE04">
      <w:pPr>
        <w:pStyle w:val="NoSpacing"/>
        <w:numPr>
          <w:ilvl w:val="0"/>
          <w:numId w:val="28"/>
        </w:numPr>
      </w:pPr>
      <w:r w:rsidRPr="003D300E">
        <w:rPr>
          <w:b/>
          <w:bCs/>
        </w:rPr>
        <w:t xml:space="preserve">Opioid Use Disorder </w:t>
      </w:r>
      <w:r w:rsidR="00372B1D">
        <w:rPr>
          <w:b/>
          <w:bCs/>
        </w:rPr>
        <w:t>—</w:t>
      </w:r>
      <w:r w:rsidRPr="003D300E" w:rsidR="0057609B">
        <w:t xml:space="preserve">  </w:t>
      </w:r>
      <w:r w:rsidRPr="003D300E" w:rsidR="00EB1F86">
        <w:t>According to t</w:t>
      </w:r>
      <w:r w:rsidRPr="003D300E" w:rsidR="004A4BC7">
        <w:t>he </w:t>
      </w:r>
      <w:r w:rsidRPr="003D300E" w:rsidR="00EB1F86">
        <w:t>“</w:t>
      </w:r>
      <w:r w:rsidRPr="003D300E" w:rsidR="004A4BC7">
        <w:rPr>
          <w:i/>
          <w:iCs/>
        </w:rPr>
        <w:t>Diagnostic and Statistical Manual of Mental Disorders, Fifth Edition</w:t>
      </w:r>
      <w:r w:rsidRPr="003D300E" w:rsidR="004A4BC7">
        <w:t> (DSM-5)</w:t>
      </w:r>
      <w:r w:rsidRPr="003D300E" w:rsidR="00EB1F86">
        <w:t>,</w:t>
      </w:r>
      <w:r w:rsidR="004B65F6">
        <w:t xml:space="preserve">” </w:t>
      </w:r>
      <w:r w:rsidRPr="003D300E" w:rsidR="004A4BC7">
        <w:t xml:space="preserve">opioid use disorder </w:t>
      </w:r>
      <w:r w:rsidRPr="003D300E" w:rsidR="00EB1F86">
        <w:t>is</w:t>
      </w:r>
      <w:r w:rsidRPr="003D300E" w:rsidR="004A4BC7">
        <w:t xml:space="preserve"> present if the pattern of </w:t>
      </w:r>
      <w:r w:rsidRPr="003D300E" w:rsidR="00CE3B1C">
        <w:t xml:space="preserve">opioid </w:t>
      </w:r>
      <w:r w:rsidRPr="003D300E" w:rsidR="004A4BC7">
        <w:t>use causes clinically significant impairment or distress as manifested by the presence of ≥ 2 of the following over a 12-month period:</w:t>
      </w:r>
    </w:p>
    <w:p w:rsidRPr="004B65F6" w:rsidR="004A4BC7" w:rsidP="004B65F6" w:rsidRDefault="004A4BC7" w14:paraId="65C84AB5" w14:textId="77777777">
      <w:pPr>
        <w:pStyle w:val="NoSpacing"/>
        <w:numPr>
          <w:ilvl w:val="1"/>
          <w:numId w:val="28"/>
        </w:numPr>
      </w:pPr>
      <w:r w:rsidRPr="004B65F6">
        <w:t>Taking opioids in larger amounts or for a longer time than intended</w:t>
      </w:r>
    </w:p>
    <w:p w:rsidRPr="004B65F6" w:rsidR="004A4BC7" w:rsidP="004B65F6" w:rsidRDefault="004A4BC7" w14:paraId="4FE6EE06" w14:textId="77777777">
      <w:pPr>
        <w:pStyle w:val="NoSpacing"/>
        <w:numPr>
          <w:ilvl w:val="1"/>
          <w:numId w:val="28"/>
        </w:numPr>
      </w:pPr>
      <w:r w:rsidRPr="004B65F6">
        <w:t>Persistently desiring or unsuccessfully attempting to decrease opioid use</w:t>
      </w:r>
    </w:p>
    <w:p w:rsidRPr="004B65F6" w:rsidR="004A4BC7" w:rsidP="004B65F6" w:rsidRDefault="004A4BC7" w14:paraId="69464813" w14:textId="77777777">
      <w:pPr>
        <w:pStyle w:val="NoSpacing"/>
        <w:numPr>
          <w:ilvl w:val="1"/>
          <w:numId w:val="28"/>
        </w:numPr>
      </w:pPr>
      <w:r w:rsidRPr="004B65F6">
        <w:t>Spending a great deal of time obtaining, using, or recovering from opioids</w:t>
      </w:r>
    </w:p>
    <w:p w:rsidRPr="004B65F6" w:rsidR="004A4BC7" w:rsidP="004B65F6" w:rsidRDefault="004A4BC7" w14:paraId="4847F052" w14:textId="77777777">
      <w:pPr>
        <w:pStyle w:val="NoSpacing"/>
        <w:numPr>
          <w:ilvl w:val="1"/>
          <w:numId w:val="28"/>
        </w:numPr>
      </w:pPr>
      <w:r w:rsidRPr="004B65F6">
        <w:t>Craving opioids</w:t>
      </w:r>
    </w:p>
    <w:p w:rsidRPr="004B65F6" w:rsidR="004A4BC7" w:rsidP="004B65F6" w:rsidRDefault="004A4BC7" w14:paraId="0ADB5774" w14:textId="77777777">
      <w:pPr>
        <w:pStyle w:val="NoSpacing"/>
        <w:numPr>
          <w:ilvl w:val="1"/>
          <w:numId w:val="28"/>
        </w:numPr>
      </w:pPr>
      <w:r w:rsidRPr="004B65F6">
        <w:t>Failing repeatedly to meet obligations at work, home, or school because of opioids</w:t>
      </w:r>
    </w:p>
    <w:p w:rsidRPr="004B65F6" w:rsidR="004A4BC7" w:rsidP="004B65F6" w:rsidRDefault="004A4BC7" w14:paraId="1BB6B291" w14:textId="77777777">
      <w:pPr>
        <w:pStyle w:val="NoSpacing"/>
        <w:numPr>
          <w:ilvl w:val="1"/>
          <w:numId w:val="28"/>
        </w:numPr>
      </w:pPr>
      <w:r w:rsidRPr="004B65F6">
        <w:lastRenderedPageBreak/>
        <w:t>Continuing to use opioids despite having recurrent social or interpersonal problems because of opioids</w:t>
      </w:r>
    </w:p>
    <w:p w:rsidRPr="004B65F6" w:rsidR="004A4BC7" w:rsidP="004B65F6" w:rsidRDefault="004A4BC7" w14:paraId="4AED2BB5" w14:textId="77777777">
      <w:pPr>
        <w:pStyle w:val="NoSpacing"/>
        <w:numPr>
          <w:ilvl w:val="1"/>
          <w:numId w:val="28"/>
        </w:numPr>
      </w:pPr>
      <w:r w:rsidRPr="004B65F6">
        <w:t>Giving up important social, work, or recreational activities because of opioids</w:t>
      </w:r>
    </w:p>
    <w:p w:rsidRPr="004B65F6" w:rsidR="004A4BC7" w:rsidP="004B65F6" w:rsidRDefault="004A4BC7" w14:paraId="07B2A017" w14:textId="77777777">
      <w:pPr>
        <w:pStyle w:val="NoSpacing"/>
        <w:numPr>
          <w:ilvl w:val="1"/>
          <w:numId w:val="28"/>
        </w:numPr>
      </w:pPr>
      <w:r w:rsidRPr="004B65F6">
        <w:t>Using opioids in physically hazardous situations</w:t>
      </w:r>
    </w:p>
    <w:p w:rsidRPr="004B65F6" w:rsidR="004A4BC7" w:rsidP="004B65F6" w:rsidRDefault="004A4BC7" w14:paraId="6AB443F5" w14:textId="77777777">
      <w:pPr>
        <w:pStyle w:val="NoSpacing"/>
        <w:numPr>
          <w:ilvl w:val="1"/>
          <w:numId w:val="28"/>
        </w:numPr>
      </w:pPr>
      <w:r w:rsidRPr="004B65F6">
        <w:t>Continuing to use opioids despite having a physical or mental disorder caused or worsened by opioids</w:t>
      </w:r>
    </w:p>
    <w:p w:rsidRPr="004B65F6" w:rsidR="004A4BC7" w:rsidP="004B65F6" w:rsidRDefault="004A4BC7" w14:paraId="209FF149" w14:textId="77777777">
      <w:pPr>
        <w:pStyle w:val="NoSpacing"/>
        <w:numPr>
          <w:ilvl w:val="1"/>
          <w:numId w:val="28"/>
        </w:numPr>
      </w:pPr>
      <w:r w:rsidRPr="004B65F6">
        <w:t>Having tolerance to opioids (not a criterion when use is medically appropriate)</w:t>
      </w:r>
    </w:p>
    <w:p w:rsidRPr="004B65F6" w:rsidR="004A4BC7" w:rsidP="004B65F6" w:rsidRDefault="004A4BC7" w14:paraId="32F84AD9" w14:textId="77777777">
      <w:pPr>
        <w:pStyle w:val="NoSpacing"/>
        <w:numPr>
          <w:ilvl w:val="1"/>
          <w:numId w:val="28"/>
        </w:numPr>
      </w:pPr>
      <w:r w:rsidRPr="004B65F6">
        <w:t>Having </w:t>
      </w:r>
      <w:hyperlink w:history="1" w:anchor="v25243711" r:id="rId13">
        <w:r w:rsidRPr="004B65F6">
          <w:rPr>
            <w:rStyle w:val="Hyperlink"/>
            <w:rFonts w:cstheme="minorHAnsi"/>
            <w:color w:val="auto"/>
            <w:spacing w:val="2"/>
            <w:u w:val="none"/>
          </w:rPr>
          <w:t>opioid withdrawal</w:t>
        </w:r>
      </w:hyperlink>
      <w:r w:rsidRPr="004B65F6">
        <w:t> symptoms or taking opioids because of withdrawal”</w:t>
      </w:r>
    </w:p>
    <w:p w:rsidR="006F3E1B" w:rsidP="004B65F6" w:rsidRDefault="006F3E1B" w14:paraId="63EB1477" w14:textId="77777777">
      <w:pPr>
        <w:pStyle w:val="NormalWeb"/>
        <w:spacing w:after="0" w:line="240" w:lineRule="auto"/>
        <w:ind w:left="720"/>
        <w:rPr>
          <w:rFonts w:asciiTheme="minorHAnsi" w:hAnsiTheme="minorHAnsi" w:cstheme="minorHAnsi"/>
          <w:color w:val="000000"/>
          <w:spacing w:val="2"/>
          <w:sz w:val="20"/>
          <w:szCs w:val="20"/>
        </w:rPr>
      </w:pPr>
    </w:p>
    <w:p w:rsidR="004A4BC7" w:rsidP="004B65F6" w:rsidRDefault="004A4BC7" w14:paraId="3D04FC5E" w14:textId="3C3E1F7D">
      <w:pPr>
        <w:pStyle w:val="NormalWeb"/>
        <w:spacing w:after="0" w:line="240" w:lineRule="auto"/>
        <w:ind w:left="72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6F3E1B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Source:  </w:t>
      </w:r>
      <w:hyperlink w:history="1" r:id="rId14">
        <w:r w:rsidRPr="006F3E1B">
          <w:rPr>
            <w:rStyle w:val="Hyperlink"/>
            <w:rFonts w:asciiTheme="minorHAnsi" w:hAnsiTheme="minorHAnsi" w:cstheme="minorHAnsi"/>
            <w:spacing w:val="2"/>
            <w:sz w:val="22"/>
            <w:szCs w:val="22"/>
          </w:rPr>
          <w:t>https://www.merckmanuals.com/professional/special-subjects/recreational-drugs-and-intoxicants/opioid-use-disorder-and-rehabilitation</w:t>
        </w:r>
      </w:hyperlink>
      <w:r w:rsidRPr="006F3E1B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</w:p>
    <w:p w:rsidRPr="006F3E1B" w:rsidR="00F55A12" w:rsidP="004B65F6" w:rsidRDefault="00F55A12" w14:paraId="364AE00B" w14:textId="77777777">
      <w:pPr>
        <w:pStyle w:val="NormalWeb"/>
        <w:spacing w:after="0" w:line="240" w:lineRule="auto"/>
        <w:ind w:left="72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</w:p>
    <w:p w:rsidR="00F55A12" w:rsidP="00F55A12" w:rsidRDefault="00F55A12" w14:paraId="18136CB5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F55A12" w:rsidR="002B2610" w:rsidP="007D45D2" w:rsidRDefault="002B2610" w14:paraId="3C214AC6" w14:textId="77777777">
      <w:pPr>
        <w:pStyle w:val="NoSpacing"/>
        <w:rPr>
          <w:rFonts w:cstheme="minorHAnsi"/>
          <w:color w:val="000000"/>
          <w:sz w:val="16"/>
          <w:szCs w:val="16"/>
        </w:rPr>
      </w:pPr>
    </w:p>
    <w:p w:rsidRPr="003D300E" w:rsidR="00C673ED" w:rsidP="008B0EAB" w:rsidRDefault="00C673ED" w14:paraId="010D446C" w14:textId="40329000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3.1.2.c</w:t>
      </w:r>
    </w:p>
    <w:p w:rsidRPr="003D300E" w:rsidR="00C673ED" w:rsidP="007D45D2" w:rsidRDefault="003C5081" w14:paraId="407922CD" w14:textId="4D6F8A8B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7D45D2">
        <w:rPr>
          <w:sz w:val="18"/>
          <w:szCs w:val="18"/>
        </w:rPr>
        <w:t xml:space="preserve">umber </w:t>
      </w:r>
      <w:r w:rsidRPr="003D300E" w:rsidR="00C673ED">
        <w:rPr>
          <w:sz w:val="18"/>
          <w:szCs w:val="18"/>
        </w:rPr>
        <w:t xml:space="preserve">of </w:t>
      </w:r>
      <w:r w:rsidRPr="003D300E" w:rsidR="00AB348A">
        <w:rPr>
          <w:sz w:val="18"/>
          <w:szCs w:val="18"/>
        </w:rPr>
        <w:t xml:space="preserve">PWID </w:t>
      </w:r>
      <w:r w:rsidRPr="003D300E" w:rsidR="00C673ED">
        <w:rPr>
          <w:sz w:val="18"/>
          <w:szCs w:val="18"/>
        </w:rPr>
        <w:t xml:space="preserve">with opioid use disorder, by setting </w:t>
      </w:r>
      <w:r w:rsidRPr="003D300E" w:rsidR="00C673ED">
        <w:rPr>
          <w:rFonts w:cstheme="minorHAnsi"/>
          <w:color w:val="000000"/>
          <w:sz w:val="18"/>
          <w:szCs w:val="18"/>
        </w:rPr>
        <w:t>serving PWID</w:t>
      </w:r>
      <w:r w:rsidR="00EA468F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7D45D2" w:rsidP="007D45D2" w:rsidRDefault="007D45D2" w14:paraId="78D4B7B0" w14:textId="1397D60C">
      <w:pPr>
        <w:pStyle w:val="NoSpacing"/>
        <w:rPr>
          <w:rFonts w:cstheme="minorHAnsi"/>
          <w:color w:val="000000"/>
        </w:rPr>
      </w:pPr>
    </w:p>
    <w:p w:rsidRPr="009A7877" w:rsidR="00CC5D5A" w:rsidP="00CC5D5A" w:rsidRDefault="00CC5D5A" w14:paraId="646EFBFF" w14:textId="4A0F80F5">
      <w:pPr>
        <w:pStyle w:val="NoSpacing"/>
        <w:numPr>
          <w:ilvl w:val="0"/>
          <w:numId w:val="28"/>
        </w:numPr>
        <w:rPr>
          <w:rStyle w:val="normaltextrun"/>
          <w:rFonts w:cstheme="minorHAnsi"/>
          <w:color w:val="000000"/>
          <w:spacing w:val="2"/>
          <w:sz w:val="21"/>
          <w:szCs w:val="21"/>
        </w:rPr>
      </w:pPr>
      <w:r w:rsidRPr="004833F8">
        <w:rPr>
          <w:rFonts w:cstheme="minorHAnsi"/>
          <w:b/>
          <w:bCs/>
          <w:color w:val="000000"/>
          <w:spacing w:val="2"/>
          <w:sz w:val="21"/>
          <w:szCs w:val="21"/>
        </w:rPr>
        <w:t xml:space="preserve">PWID </w:t>
      </w:r>
      <w:r w:rsidR="00EA468F">
        <w:rPr>
          <w:rFonts w:cstheme="minorHAnsi"/>
          <w:b/>
          <w:bCs/>
          <w:color w:val="000000"/>
          <w:spacing w:val="2"/>
          <w:sz w:val="21"/>
          <w:szCs w:val="21"/>
        </w:rPr>
        <w:t>with opioid use disorder</w:t>
      </w:r>
      <w:r>
        <w:t xml:space="preserve"> </w:t>
      </w:r>
      <w:r>
        <w:rPr>
          <w:b/>
          <w:bCs/>
        </w:rPr>
        <w:t>—</w:t>
      </w:r>
      <w:r w:rsidRPr="003D300E">
        <w:rPr>
          <w:rFonts w:cstheme="minorHAnsi"/>
          <w:b/>
          <w:bCs/>
        </w:rPr>
        <w:t xml:space="preserve"> </w:t>
      </w:r>
      <w:r w:rsidRPr="003D300E" w:rsidR="002E79A8">
        <w:t xml:space="preserve">This is a short-term outcome (years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4833F8" w:rsidR="009A7877" w:rsidP="00CC5D5A" w:rsidRDefault="009A7877" w14:paraId="5D37A7F0" w14:textId="3B328AF0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b/>
          <w:bCs/>
        </w:rPr>
        <w:t>PWID</w:t>
      </w:r>
      <w:r w:rsidRPr="003D300E">
        <w:t xml:space="preserve"> is defined as a person who currently (typically within 12 months) uses non-prescription drugs by injection.</w:t>
      </w:r>
    </w:p>
    <w:p w:rsidRPr="000810E3" w:rsidR="000A2D9A" w:rsidP="000A2D9A" w:rsidRDefault="000A2D9A" w14:paraId="5FB532D2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F55A12" w:rsidR="008A590D" w:rsidP="00242E6C" w:rsidRDefault="00AC7574" w14:paraId="4E008AF3" w14:textId="7181D378">
      <w:pPr>
        <w:pStyle w:val="NoSpacing"/>
        <w:numPr>
          <w:ilvl w:val="0"/>
          <w:numId w:val="28"/>
        </w:numPr>
      </w:pPr>
      <w:r w:rsidRPr="00BD1C83">
        <w:rPr>
          <w:rFonts w:cstheme="minorHAnsi"/>
        </w:rPr>
        <w:t xml:space="preserve">Report the total number of PWID (from 3.1.1.a) with opioid use disorder. </w:t>
      </w:r>
      <w:r w:rsidRPr="00BD1C83" w:rsidR="00592C78">
        <w:rPr>
          <w:rFonts w:cstheme="minorHAnsi"/>
        </w:rPr>
        <w:t xml:space="preserve">Of </w:t>
      </w:r>
      <w:r w:rsidRPr="00BD1C83" w:rsidR="00BD1C83">
        <w:rPr>
          <w:rFonts w:cstheme="minorHAnsi"/>
        </w:rPr>
        <w:t>PWID</w:t>
      </w:r>
      <w:r w:rsidRPr="00BD1C83" w:rsidR="00592C78">
        <w:rPr>
          <w:rFonts w:cstheme="minorHAnsi"/>
        </w:rPr>
        <w:t xml:space="preserve"> assessed for </w:t>
      </w:r>
      <w:r w:rsidRPr="00BD1C83" w:rsidR="00CF4AE4">
        <w:rPr>
          <w:rFonts w:cstheme="minorHAnsi"/>
        </w:rPr>
        <w:t xml:space="preserve">opioid use disorder </w:t>
      </w:r>
      <w:r w:rsidRPr="00BD1C83" w:rsidR="00592C78">
        <w:rPr>
          <w:rFonts w:cstheme="minorHAnsi"/>
        </w:rPr>
        <w:t>(</w:t>
      </w:r>
      <w:r w:rsidRPr="00BD1C83" w:rsidR="00BB2CDF">
        <w:rPr>
          <w:rFonts w:cstheme="minorHAnsi"/>
        </w:rPr>
        <w:t xml:space="preserve">3.1.2.b), report the number of persons with </w:t>
      </w:r>
      <w:r w:rsidRPr="00BD1C83" w:rsidR="00BD1C83">
        <w:rPr>
          <w:rFonts w:cstheme="minorHAnsi"/>
        </w:rPr>
        <w:t>opioid use disorder</w:t>
      </w:r>
      <w:r w:rsidRPr="00BD1C83" w:rsidR="00BB2CDF">
        <w:rPr>
          <w:rFonts w:cstheme="minorHAnsi"/>
        </w:rPr>
        <w:t xml:space="preserve">. </w:t>
      </w:r>
      <w:r w:rsidRPr="003D300E" w:rsidR="00400A82">
        <w:t xml:space="preserve">Include only persons diagnosed with </w:t>
      </w:r>
      <w:r w:rsidRPr="00BD1C83" w:rsidR="00CF4AE4">
        <w:rPr>
          <w:rFonts w:cstheme="minorHAnsi"/>
        </w:rPr>
        <w:t>opioid use disorder</w:t>
      </w:r>
      <w:r w:rsidRPr="003D300E" w:rsidR="00CF4AE4">
        <w:t xml:space="preserve"> </w:t>
      </w:r>
      <w:proofErr w:type="gramStart"/>
      <w:r w:rsidRPr="003D300E" w:rsidR="00400A82">
        <w:t>as a result of</w:t>
      </w:r>
      <w:proofErr w:type="gramEnd"/>
      <w:r w:rsidRPr="003D300E" w:rsidR="00400A82">
        <w:t xml:space="preserve"> </w:t>
      </w:r>
      <w:r w:rsidRPr="003D300E" w:rsidR="006F0DA6">
        <w:t xml:space="preserve">screening for </w:t>
      </w:r>
      <w:r w:rsidRPr="00BD1C83" w:rsidR="00CF4AE4">
        <w:rPr>
          <w:rFonts w:cstheme="minorHAnsi"/>
        </w:rPr>
        <w:t>opioid use disorder</w:t>
      </w:r>
      <w:r w:rsidRPr="003D300E" w:rsidR="00CF4AE4">
        <w:t xml:space="preserve"> </w:t>
      </w:r>
      <w:r w:rsidRPr="003D300E" w:rsidR="006F0DA6">
        <w:t xml:space="preserve">during the project period. </w:t>
      </w:r>
      <w:r w:rsidR="00E12184">
        <w:rPr>
          <w:rFonts w:cstheme="minorHAnsi"/>
        </w:rPr>
        <w:t>See definitions</w:t>
      </w:r>
      <w:r w:rsidRPr="00661CF2" w:rsidR="00E12184">
        <w:rPr>
          <w:rFonts w:cstheme="minorHAnsi"/>
        </w:rPr>
        <w:t xml:space="preserve"> </w:t>
      </w:r>
      <w:r w:rsidRPr="003D300E" w:rsidR="00E12184">
        <w:rPr>
          <w:rFonts w:cstheme="minorHAnsi"/>
        </w:rPr>
        <w:t>in 3.1.2.b.</w:t>
      </w:r>
    </w:p>
    <w:p w:rsidRPr="00F55A12" w:rsidR="00F55A12" w:rsidP="00F55A12" w:rsidRDefault="00F55A12" w14:paraId="1C9A9BC1" w14:textId="682FBD85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F55A12" w:rsidR="00D37649" w:rsidP="007D45D2" w:rsidRDefault="00D37649" w14:paraId="020315DD" w14:textId="77777777">
      <w:pPr>
        <w:pStyle w:val="NoSpacing"/>
        <w:rPr>
          <w:rFonts w:cstheme="minorHAnsi"/>
          <w:color w:val="000000"/>
          <w:sz w:val="16"/>
          <w:szCs w:val="16"/>
        </w:rPr>
      </w:pPr>
    </w:p>
    <w:p w:rsidRPr="003D300E" w:rsidR="008B0EAB" w:rsidP="008B0EAB" w:rsidRDefault="00C673ED" w14:paraId="718452C7" w14:textId="7E8E7CF4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8B0EAB">
        <w:rPr>
          <w:b/>
          <w:bCs/>
          <w:sz w:val="28"/>
          <w:szCs w:val="28"/>
        </w:rPr>
        <w:t>3.1.2.d</w:t>
      </w:r>
    </w:p>
    <w:p w:rsidRPr="003D300E" w:rsidR="00F96B8C" w:rsidP="007D45D2" w:rsidRDefault="003C5081" w14:paraId="0665639F" w14:textId="21A774D1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AF0C22">
        <w:rPr>
          <w:sz w:val="18"/>
          <w:szCs w:val="18"/>
        </w:rPr>
        <w:t xml:space="preserve">umber of </w:t>
      </w:r>
      <w:r w:rsidRPr="003D300E" w:rsidR="00FB20A5">
        <w:rPr>
          <w:sz w:val="18"/>
          <w:szCs w:val="18"/>
        </w:rPr>
        <w:t xml:space="preserve">PWID </w:t>
      </w:r>
      <w:r w:rsidRPr="003D300E" w:rsidR="00AF0C22">
        <w:rPr>
          <w:sz w:val="18"/>
          <w:szCs w:val="18"/>
        </w:rPr>
        <w:t xml:space="preserve">with </w:t>
      </w:r>
      <w:r w:rsidRPr="003D300E" w:rsidR="00392D7E">
        <w:rPr>
          <w:sz w:val="18"/>
          <w:szCs w:val="18"/>
        </w:rPr>
        <w:t xml:space="preserve">opioid use disorder </w:t>
      </w:r>
      <w:r w:rsidRPr="003D300E" w:rsidR="00AF0C22">
        <w:rPr>
          <w:sz w:val="18"/>
          <w:szCs w:val="18"/>
        </w:rPr>
        <w:t xml:space="preserve">who are linked to </w:t>
      </w:r>
      <w:r w:rsidRPr="003D300E" w:rsidR="000A7B26">
        <w:rPr>
          <w:sz w:val="18"/>
          <w:szCs w:val="18"/>
        </w:rPr>
        <w:t>medication for opio</w:t>
      </w:r>
      <w:r w:rsidRPr="003D300E" w:rsidR="00274033">
        <w:rPr>
          <w:sz w:val="18"/>
          <w:szCs w:val="18"/>
        </w:rPr>
        <w:t>id use disorder</w:t>
      </w:r>
      <w:r w:rsidRPr="003D300E" w:rsidR="00AF0C22">
        <w:rPr>
          <w:sz w:val="18"/>
          <w:szCs w:val="18"/>
        </w:rPr>
        <w:t>, by setting</w:t>
      </w:r>
      <w:r w:rsidRPr="003D300E" w:rsidR="00E211F5">
        <w:rPr>
          <w:sz w:val="18"/>
          <w:szCs w:val="18"/>
        </w:rPr>
        <w:t xml:space="preserve"> </w:t>
      </w:r>
      <w:r w:rsidRPr="003D300E" w:rsidR="00E211F5">
        <w:rPr>
          <w:rFonts w:cstheme="minorHAnsi"/>
          <w:color w:val="000000"/>
          <w:sz w:val="18"/>
          <w:szCs w:val="18"/>
        </w:rPr>
        <w:t>serving PWID</w:t>
      </w:r>
      <w:r w:rsidR="00410EEA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72C5C" w:rsidP="007D45D2" w:rsidRDefault="00572C5C" w14:paraId="2A2E7F25" w14:textId="38255310">
      <w:pPr>
        <w:pStyle w:val="NoSpacing"/>
        <w:rPr>
          <w:rFonts w:cstheme="minorHAnsi"/>
          <w:color w:val="000000"/>
        </w:rPr>
      </w:pPr>
    </w:p>
    <w:p w:rsidRPr="002E79A8" w:rsidR="00EA468F" w:rsidP="00A06D09" w:rsidRDefault="00EA468F" w14:paraId="3D49643B" w14:textId="25C317BA">
      <w:pPr>
        <w:pStyle w:val="NoSpacing"/>
        <w:numPr>
          <w:ilvl w:val="0"/>
          <w:numId w:val="28"/>
        </w:numPr>
        <w:rPr>
          <w:rStyle w:val="normaltextrun"/>
        </w:rPr>
      </w:pPr>
      <w:r w:rsidRPr="00EA468F">
        <w:rPr>
          <w:b/>
          <w:bCs/>
        </w:rPr>
        <w:t>PWID with</w:t>
      </w:r>
      <w:r>
        <w:t xml:space="preserve"> </w:t>
      </w:r>
      <w:r w:rsidRPr="003D300E">
        <w:rPr>
          <w:b/>
          <w:bCs/>
        </w:rPr>
        <w:t>opioid use disorder who were linked to medication for opioid use disorder</w:t>
      </w:r>
      <w:r>
        <w:t xml:space="preserve"> </w:t>
      </w:r>
      <w:r>
        <w:rPr>
          <w:b/>
          <w:bCs/>
        </w:rPr>
        <w:t>—</w:t>
      </w:r>
      <w:r w:rsidR="002E79A8">
        <w:rPr>
          <w:b/>
          <w:bCs/>
        </w:rPr>
        <w:t xml:space="preserve"> </w:t>
      </w:r>
      <w:r w:rsidRPr="003D300E" w:rsidR="002E79A8">
        <w:t xml:space="preserve">This is a short-term outcome (years </w:t>
      </w:r>
      <w:r w:rsidRPr="000810E3" w:rsidR="002E79A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735DE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="002E79A8" w:rsidP="00A06D09" w:rsidRDefault="009A7877" w14:paraId="6E96597A" w14:textId="7AFE699C">
      <w:pPr>
        <w:pStyle w:val="NoSpacing"/>
        <w:numPr>
          <w:ilvl w:val="0"/>
          <w:numId w:val="28"/>
        </w:numPr>
      </w:pPr>
      <w:r w:rsidRPr="003D300E">
        <w:rPr>
          <w:b/>
          <w:bCs/>
        </w:rPr>
        <w:t>PWID</w:t>
      </w:r>
      <w:r w:rsidRPr="003D300E">
        <w:t xml:space="preserve"> is defined as a person who currently (typically within 12 months) uses non-prescription drugs by injection.</w:t>
      </w:r>
    </w:p>
    <w:p w:rsidRPr="00FD46FB" w:rsidR="000A2D9A" w:rsidP="000A2D9A" w:rsidRDefault="000A2D9A" w14:paraId="456B898A" w14:textId="06093BFB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5A6185" w:rsidR="005A6185" w:rsidP="007E09A7" w:rsidRDefault="007E09A7" w14:paraId="7C448F5F" w14:textId="16A96459">
      <w:pPr>
        <w:pStyle w:val="NoSpacing"/>
        <w:numPr>
          <w:ilvl w:val="0"/>
          <w:numId w:val="28"/>
        </w:numPr>
      </w:pPr>
      <w:r w:rsidRPr="00BD1C83">
        <w:rPr>
          <w:rFonts w:cstheme="minorHAnsi"/>
        </w:rPr>
        <w:t>Report the total number of PWID (from 3.1.1.a) with opioid use disorder</w:t>
      </w:r>
      <w:r w:rsidRPr="005A6185" w:rsidR="005A6185">
        <w:rPr>
          <w:b/>
          <w:bCs/>
        </w:rPr>
        <w:t xml:space="preserve"> </w:t>
      </w:r>
      <w:r w:rsidRPr="005A6185" w:rsidR="005A6185">
        <w:t>who were linked to medication for opioid use disorder</w:t>
      </w:r>
      <w:r w:rsidRPr="00BD1C83">
        <w:rPr>
          <w:rFonts w:cstheme="minorHAnsi"/>
        </w:rPr>
        <w:t xml:space="preserve">. </w:t>
      </w:r>
      <w:r w:rsidR="00B40109">
        <w:rPr>
          <w:rFonts w:cstheme="minorHAnsi"/>
        </w:rPr>
        <w:t xml:space="preserve">Of PWID with opioid use disorder identified in 3.1.2.c, </w:t>
      </w:r>
      <w:r w:rsidRPr="003D300E" w:rsidR="00BC753F">
        <w:t>report the number who were linked to medication for</w:t>
      </w:r>
      <w:r w:rsidR="00BC753F">
        <w:t xml:space="preserve"> opioid use disorder. See definitions below.</w:t>
      </w:r>
    </w:p>
    <w:p w:rsidRPr="003D300E" w:rsidR="00E437A0" w:rsidP="00A06D09" w:rsidRDefault="000D6C41" w14:paraId="3490B0E7" w14:textId="250C2085">
      <w:pPr>
        <w:pStyle w:val="NoSpacing"/>
        <w:numPr>
          <w:ilvl w:val="0"/>
          <w:numId w:val="28"/>
        </w:numPr>
      </w:pPr>
      <w:r w:rsidRPr="003D300E">
        <w:rPr>
          <w:b/>
          <w:bCs/>
        </w:rPr>
        <w:t>Linkage</w:t>
      </w:r>
      <w:r w:rsidRPr="003D300E">
        <w:t xml:space="preserve"> is defined as </w:t>
      </w:r>
      <w:r w:rsidRPr="003D300E" w:rsidR="00850ED9">
        <w:t>attendance at an</w:t>
      </w:r>
      <w:r w:rsidRPr="003D300E" w:rsidR="000F0E36">
        <w:t xml:space="preserve"> initial visit</w:t>
      </w:r>
      <w:r w:rsidRPr="003D300E" w:rsidR="00100D5F">
        <w:t xml:space="preserve"> to </w:t>
      </w:r>
      <w:r w:rsidRPr="003D300E" w:rsidR="005209E2">
        <w:t>evaluate for</w:t>
      </w:r>
      <w:r w:rsidRPr="003D300E" w:rsidR="00100D5F">
        <w:t xml:space="preserve"> medical treatment for </w:t>
      </w:r>
      <w:r w:rsidR="00933E6C">
        <w:t>opioid use disorder</w:t>
      </w:r>
      <w:r w:rsidRPr="003D300E" w:rsidR="00100D5F">
        <w:t>.</w:t>
      </w:r>
      <w:r w:rsidRPr="003D300E" w:rsidR="00514634">
        <w:t xml:space="preserve"> </w:t>
      </w:r>
      <w:r w:rsidRPr="003D300E" w:rsidR="000A759E">
        <w:t>“</w:t>
      </w:r>
      <w:r w:rsidRPr="003D300E" w:rsidR="00BB7103">
        <w:t>Referral</w:t>
      </w:r>
      <w:r w:rsidRPr="003D300E" w:rsidR="000A759E">
        <w:t>”</w:t>
      </w:r>
      <w:r w:rsidRPr="003D300E" w:rsidR="00100D5F">
        <w:t xml:space="preserve"> </w:t>
      </w:r>
      <w:r w:rsidRPr="003D300E" w:rsidR="000A759E">
        <w:t>could have a variety of meanings</w:t>
      </w:r>
      <w:r w:rsidRPr="003D300E" w:rsidR="00783C9B">
        <w:t xml:space="preserve"> and does not count as “linkage</w:t>
      </w:r>
      <w:r w:rsidRPr="003D300E" w:rsidR="000A759E">
        <w:t>.</w:t>
      </w:r>
      <w:r w:rsidRPr="003D300E" w:rsidR="00783C9B">
        <w:t>”</w:t>
      </w:r>
      <w:r w:rsidR="005A3DFB">
        <w:t xml:space="preserve"> </w:t>
      </w:r>
      <w:r w:rsidR="00A74CC7">
        <w:t xml:space="preserve">Successful linkage can be documented by review of records or direct report by a peer navigator or other reliable means.  </w:t>
      </w:r>
    </w:p>
    <w:p w:rsidRPr="00F55A12" w:rsidR="002E79A8" w:rsidP="00F53916" w:rsidRDefault="00E437A0" w14:paraId="63A292FD" w14:textId="0A8692A7">
      <w:pPr>
        <w:pStyle w:val="NoSpacing"/>
        <w:numPr>
          <w:ilvl w:val="0"/>
          <w:numId w:val="28"/>
        </w:numPr>
        <w:rPr>
          <w:b/>
          <w:bCs/>
        </w:rPr>
      </w:pPr>
      <w:r w:rsidRPr="002712F0">
        <w:rPr>
          <w:b/>
          <w:bCs/>
        </w:rPr>
        <w:t>Medication for opioid use disorder</w:t>
      </w:r>
      <w:r w:rsidR="007A2856">
        <w:t xml:space="preserve"> </w:t>
      </w:r>
      <w:r w:rsidRPr="003D300E">
        <w:t>includes any of three FDA</w:t>
      </w:r>
      <w:r w:rsidR="002712F0">
        <w:t>-</w:t>
      </w:r>
      <w:r w:rsidRPr="003D300E">
        <w:t xml:space="preserve">approved medical treatments for </w:t>
      </w:r>
      <w:r w:rsidR="002712F0">
        <w:t>opioid use disorder</w:t>
      </w:r>
      <w:r w:rsidRPr="003D300E">
        <w:t>:</w:t>
      </w:r>
      <w:r w:rsidR="00F05800">
        <w:t xml:space="preserve"> </w:t>
      </w:r>
      <w:r w:rsidRPr="003D300E">
        <w:t xml:space="preserve">methadone, </w:t>
      </w:r>
      <w:proofErr w:type="gramStart"/>
      <w:r w:rsidRPr="003D300E">
        <w:t>buprenorphine</w:t>
      </w:r>
      <w:proofErr w:type="gramEnd"/>
      <w:r w:rsidRPr="003D300E">
        <w:t xml:space="preserve"> and naltrexone.  </w:t>
      </w:r>
    </w:p>
    <w:p w:rsidRPr="00F55A12" w:rsidR="00F55A12" w:rsidP="00F55A12" w:rsidRDefault="00F55A12" w14:paraId="67B4C364" w14:textId="3BC78E9E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DF2B1F" w:rsidR="00DF2B1F" w:rsidP="008732D4" w:rsidRDefault="00DF2B1F" w14:paraId="0F377F68" w14:textId="77777777">
      <w:pPr>
        <w:pStyle w:val="NoSpacing"/>
        <w:rPr>
          <w:b/>
          <w:bCs/>
          <w:sz w:val="16"/>
          <w:szCs w:val="16"/>
        </w:rPr>
      </w:pPr>
    </w:p>
    <w:p w:rsidR="00063EA5" w:rsidP="008732D4" w:rsidRDefault="00063EA5" w14:paraId="72A100B6" w14:textId="77777777">
      <w:pPr>
        <w:pStyle w:val="NoSpacing"/>
        <w:rPr>
          <w:b/>
          <w:bCs/>
          <w:sz w:val="28"/>
          <w:szCs w:val="28"/>
        </w:rPr>
      </w:pPr>
    </w:p>
    <w:p w:rsidRPr="003D300E" w:rsidR="00DF18B0" w:rsidP="008732D4" w:rsidRDefault="008732D4" w14:paraId="5A9B221C" w14:textId="6647FC25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lastRenderedPageBreak/>
        <w:t>Measure 3.1.</w:t>
      </w:r>
      <w:r w:rsidRPr="003D300E" w:rsidR="004F1DFC">
        <w:rPr>
          <w:b/>
          <w:bCs/>
          <w:sz w:val="28"/>
          <w:szCs w:val="28"/>
        </w:rPr>
        <w:t>3</w:t>
      </w:r>
      <w:r w:rsidRPr="003D300E">
        <w:rPr>
          <w:b/>
          <w:bCs/>
          <w:sz w:val="28"/>
          <w:szCs w:val="28"/>
        </w:rPr>
        <w:t>.a</w:t>
      </w:r>
    </w:p>
    <w:p w:rsidRPr="003D300E" w:rsidR="00DF18B0" w:rsidP="007D45D2" w:rsidRDefault="00537D68" w14:paraId="66AB2156" w14:textId="11529C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DF18B0">
        <w:rPr>
          <w:sz w:val="18"/>
          <w:szCs w:val="18"/>
        </w:rPr>
        <w:t>umber of clients tested for anti-HCV, by setting</w:t>
      </w:r>
      <w:r w:rsidRPr="003D300E" w:rsidR="00DF18B0">
        <w:rPr>
          <w:rFonts w:cstheme="minorHAnsi"/>
          <w:color w:val="000000"/>
          <w:sz w:val="18"/>
          <w:szCs w:val="18"/>
        </w:rPr>
        <w:t xml:space="preserve">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16058" w:rsidP="007D45D2" w:rsidRDefault="00516058" w14:paraId="50D99064" w14:textId="45853C6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2E79A8" w:rsidR="002A6B08" w:rsidP="002A6B08" w:rsidRDefault="00B570E9" w14:paraId="5D43E589" w14:textId="53E4EE7E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365EBA">
        <w:rPr>
          <w:b/>
          <w:bCs/>
        </w:rPr>
        <w:t xml:space="preserve"> tested for anti-HCV </w:t>
      </w:r>
      <w:r w:rsidR="005A66C3">
        <w:rPr>
          <w:b/>
          <w:bCs/>
        </w:rPr>
        <w:t>—</w:t>
      </w:r>
      <w:r w:rsidR="002A6B08">
        <w:rPr>
          <w:b/>
          <w:bCs/>
        </w:rPr>
        <w:t xml:space="preserve"> </w:t>
      </w:r>
      <w:r w:rsidRPr="003D300E" w:rsidR="002A6B08">
        <w:t xml:space="preserve">This is a short-term outcome (years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7E2528" w:rsidP="007E2528" w:rsidRDefault="007E2528" w14:paraId="67CD75FF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516058" w:rsidP="0051047E" w:rsidRDefault="00897DD1" w14:paraId="236BCAE3" w14:textId="359DF645">
      <w:pPr>
        <w:pStyle w:val="NoSpacing"/>
        <w:numPr>
          <w:ilvl w:val="0"/>
          <w:numId w:val="28"/>
        </w:numPr>
      </w:pPr>
      <w:r w:rsidRPr="003D300E">
        <w:rPr>
          <w:rFonts w:cstheme="minorHAnsi"/>
        </w:rPr>
        <w:t xml:space="preserve">Report the total number of </w:t>
      </w:r>
      <w:r>
        <w:rPr>
          <w:rFonts w:cstheme="minorHAnsi"/>
        </w:rPr>
        <w:t>clients</w:t>
      </w:r>
      <w:r w:rsidRPr="003D300E">
        <w:rPr>
          <w:rFonts w:cstheme="minorHAnsi"/>
        </w:rPr>
        <w:t xml:space="preserve"> (from 3.1.1.a) who</w:t>
      </w:r>
      <w:r w:rsidR="0051047E">
        <w:t xml:space="preserve"> </w:t>
      </w:r>
      <w:r w:rsidRPr="003D300E" w:rsidR="00E4386E">
        <w:t xml:space="preserve">were </w:t>
      </w:r>
      <w:r w:rsidRPr="003D300E" w:rsidR="005360E1">
        <w:t>tested for anti-HCV antibody</w:t>
      </w:r>
      <w:r w:rsidRPr="003D300E" w:rsidR="00722677">
        <w:t>.</w:t>
      </w:r>
      <w:r w:rsidR="00EA486B">
        <w:t xml:space="preserve"> Anti-HCV tests may include rapid point-of-care tests.  </w:t>
      </w:r>
    </w:p>
    <w:p w:rsidRPr="00F05800" w:rsidR="006C4D73" w:rsidP="0051047E" w:rsidRDefault="006C4D73" w14:paraId="07FD7309" w14:textId="2132DC11">
      <w:pPr>
        <w:pStyle w:val="NoSpacing"/>
        <w:numPr>
          <w:ilvl w:val="0"/>
          <w:numId w:val="28"/>
        </w:numPr>
      </w:pPr>
      <w:r>
        <w:rPr>
          <w:b/>
          <w:bCs/>
        </w:rPr>
        <w:t xml:space="preserve">Testing </w:t>
      </w:r>
      <w:r>
        <w:t xml:space="preserve">includes laboratory testing by any FDA-approved or validated laboratory-developed test.  </w:t>
      </w:r>
    </w:p>
    <w:p w:rsidR="00F55A12" w:rsidP="00F55A12" w:rsidRDefault="00F55A12" w14:paraId="71B72374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8676EE" w:rsidR="004E5363" w:rsidP="004E5363" w:rsidRDefault="004E5363" w14:paraId="5A434961" w14:textId="610E4173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See page</w:t>
      </w:r>
      <w:r>
        <w:rPr>
          <w:rFonts w:cs="Times New Roman"/>
          <w:color w:val="000000"/>
        </w:rPr>
        <w:t>s</w:t>
      </w:r>
      <w:r w:rsidRPr="003D300E">
        <w:rPr>
          <w:rFonts w:cs="Times New Roman"/>
          <w:color w:val="000000"/>
        </w:rPr>
        <w:t xml:space="preserve"> 2</w:t>
      </w:r>
      <w:r w:rsidR="001F7EC6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>–2</w:t>
      </w:r>
      <w:r w:rsidR="00E558F3">
        <w:rPr>
          <w:rFonts w:cs="Times New Roman"/>
          <w:color w:val="000000"/>
        </w:rPr>
        <w:t>4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>
        <w:rPr>
          <w:rFonts w:cs="Times New Roman"/>
          <w:color w:val="000000"/>
        </w:rPr>
        <w:t>.</w:t>
      </w:r>
    </w:p>
    <w:p w:rsidRPr="003D300E" w:rsidR="00516058" w:rsidP="007D45D2" w:rsidRDefault="00516058" w14:paraId="04929EA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3D300E" w:rsidR="00DF18B0" w:rsidP="008732D4" w:rsidRDefault="00DF18B0" w14:paraId="2CF351BA" w14:textId="5E8EFA56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CF3B4D">
        <w:rPr>
          <w:b/>
          <w:bCs/>
          <w:sz w:val="28"/>
          <w:szCs w:val="28"/>
        </w:rPr>
        <w:t xml:space="preserve">3.1.4.a </w:t>
      </w:r>
    </w:p>
    <w:p w:rsidRPr="003D300E" w:rsidR="00DF18B0" w:rsidP="00516058" w:rsidRDefault="007362BC" w14:paraId="0B155CB9" w14:textId="46101E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DF18B0">
        <w:rPr>
          <w:rFonts w:cstheme="minorHAnsi"/>
          <w:color w:val="000000"/>
          <w:sz w:val="18"/>
          <w:szCs w:val="18"/>
        </w:rPr>
        <w:t>umber of clients testing positive for anti-HCV, by setting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16058" w:rsidP="00516058" w:rsidRDefault="00516058" w14:paraId="0A4F542F" w14:textId="205D4F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2E79A8" w:rsidR="002A6B08" w:rsidP="002A6B08" w:rsidRDefault="00D25500" w14:paraId="37159835" w14:textId="03BA2BE0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F436CD">
        <w:rPr>
          <w:b/>
          <w:bCs/>
        </w:rPr>
        <w:t xml:space="preserve"> testing positive for anti-HCV</w:t>
      </w:r>
      <w:r w:rsidRPr="003D300E" w:rsidR="00F436CD">
        <w:t xml:space="preserve"> </w:t>
      </w:r>
      <w:r w:rsidR="002A6B08">
        <w:rPr>
          <w:b/>
          <w:bCs/>
        </w:rPr>
        <w:t xml:space="preserve">— </w:t>
      </w:r>
      <w:r w:rsidRPr="003D300E" w:rsidR="002A6B08">
        <w:t xml:space="preserve">This is a short-term outcome (years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7E2528" w:rsidP="007E2528" w:rsidRDefault="007E2528" w14:paraId="354CC43D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722677" w:rsidP="00C339A3" w:rsidRDefault="00D77A03" w14:paraId="753CB0B6" w14:textId="4776B458">
      <w:pPr>
        <w:pStyle w:val="NoSpacing"/>
        <w:numPr>
          <w:ilvl w:val="0"/>
          <w:numId w:val="28"/>
        </w:numPr>
      </w:pPr>
      <w:r w:rsidRPr="003D300E">
        <w:t xml:space="preserve">Of </w:t>
      </w:r>
      <w:r w:rsidRPr="003D300E" w:rsidR="00D25500">
        <w:t>clients</w:t>
      </w:r>
      <w:r w:rsidR="00C339A3">
        <w:t xml:space="preserve"> who</w:t>
      </w:r>
      <w:r w:rsidRPr="003D300E" w:rsidR="00F436CD">
        <w:t xml:space="preserve"> </w:t>
      </w:r>
      <w:r w:rsidRPr="003D300E">
        <w:t>tested for anti-HCV antibody</w:t>
      </w:r>
      <w:r w:rsidRPr="003D300E" w:rsidR="008D2631">
        <w:t xml:space="preserve"> (</w:t>
      </w:r>
      <w:r w:rsidR="00C005D7">
        <w:t xml:space="preserve">from </w:t>
      </w:r>
      <w:r w:rsidRPr="003D300E" w:rsidR="008D2631">
        <w:t>3.1.3.a)</w:t>
      </w:r>
      <w:r w:rsidRPr="003D300E" w:rsidR="002457BB">
        <w:t>,</w:t>
      </w:r>
      <w:r w:rsidRPr="003D300E">
        <w:t xml:space="preserve"> </w:t>
      </w:r>
      <w:r w:rsidR="00C339A3">
        <w:t>report</w:t>
      </w:r>
      <w:r w:rsidRPr="003D300E">
        <w:t xml:space="preserve"> the number of </w:t>
      </w:r>
      <w:r w:rsidRPr="003D300E" w:rsidR="00D25500">
        <w:t xml:space="preserve">clients </w:t>
      </w:r>
      <w:r w:rsidRPr="003D300E">
        <w:t xml:space="preserve">who tested positive for anti-HCV antibody.  </w:t>
      </w:r>
    </w:p>
    <w:p w:rsidR="00F55A12" w:rsidP="00F55A12" w:rsidRDefault="00F55A12" w14:paraId="19D8141A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516058" w:rsidP="00516058" w:rsidRDefault="00516058" w14:paraId="7E2E430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3D300E" w:rsidR="00516058" w:rsidP="00516058" w:rsidRDefault="00DF18B0" w14:paraId="73D4A23A" w14:textId="77777777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3.1.4.b</w:t>
      </w:r>
    </w:p>
    <w:p w:rsidRPr="003D300E" w:rsidR="00DF18B0" w:rsidP="00516058" w:rsidRDefault="00AD0FDF" w14:paraId="31399384" w14:textId="156EFDBE">
      <w:pPr>
        <w:pStyle w:val="NoSpacing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DF18B0">
        <w:rPr>
          <w:rFonts w:cstheme="minorHAnsi"/>
          <w:color w:val="000000"/>
          <w:sz w:val="18"/>
          <w:szCs w:val="18"/>
        </w:rPr>
        <w:t xml:space="preserve">umber of clients positive for anti-HCV </w:t>
      </w:r>
      <w:r w:rsidRPr="003D300E" w:rsidR="00516058">
        <w:rPr>
          <w:rFonts w:cstheme="minorHAnsi"/>
          <w:color w:val="000000"/>
          <w:sz w:val="18"/>
          <w:szCs w:val="18"/>
        </w:rPr>
        <w:t xml:space="preserve">that were </w:t>
      </w:r>
      <w:r w:rsidRPr="003D300E" w:rsidR="00DF18B0">
        <w:rPr>
          <w:rFonts w:cstheme="minorHAnsi"/>
          <w:color w:val="000000"/>
          <w:sz w:val="18"/>
          <w:szCs w:val="18"/>
        </w:rPr>
        <w:t>tested for HCV RNA, by setting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16058" w:rsidP="00516058" w:rsidRDefault="00516058" w14:paraId="5B9DF19D" w14:textId="554B0C72">
      <w:pPr>
        <w:pStyle w:val="NoSpacing"/>
        <w:rPr>
          <w:rFonts w:cstheme="minorHAnsi"/>
          <w:color w:val="000000"/>
        </w:rPr>
      </w:pPr>
    </w:p>
    <w:p w:rsidRPr="002E79A8" w:rsidR="002A6B08" w:rsidP="002A6B08" w:rsidRDefault="00BE5962" w14:paraId="689715AE" w14:textId="365655F6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E02B8B">
        <w:rPr>
          <w:b/>
          <w:bCs/>
        </w:rPr>
        <w:t xml:space="preserve"> positive </w:t>
      </w:r>
      <w:r w:rsidRPr="003D300E" w:rsidR="00E02B8B">
        <w:rPr>
          <w:rFonts w:cstheme="minorHAnsi"/>
          <w:b/>
          <w:bCs/>
          <w:color w:val="000000"/>
        </w:rPr>
        <w:t>for anti-HCV tested for HCV RNA</w:t>
      </w:r>
      <w:r w:rsidRPr="003D300E" w:rsidR="00E02B8B">
        <w:t xml:space="preserve"> </w:t>
      </w:r>
      <w:r w:rsidR="002A6B08">
        <w:rPr>
          <w:b/>
          <w:bCs/>
        </w:rPr>
        <w:t xml:space="preserve">— </w:t>
      </w:r>
      <w:r w:rsidRPr="003D300E" w:rsidR="002A6B08">
        <w:t xml:space="preserve">This is a short-term outcome (years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C339A3" w:rsidP="00C339A3" w:rsidRDefault="00C339A3" w14:paraId="79930E7C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2457BB" w:rsidP="008508D7" w:rsidRDefault="00C339A3" w14:paraId="176341FF" w14:textId="1303BF6C">
      <w:pPr>
        <w:pStyle w:val="NoSpacing"/>
        <w:numPr>
          <w:ilvl w:val="0"/>
          <w:numId w:val="28"/>
        </w:numPr>
      </w:pPr>
      <w:r>
        <w:t>Of clients</w:t>
      </w:r>
      <w:r w:rsidR="008508D7">
        <w:t xml:space="preserve"> </w:t>
      </w:r>
      <w:r w:rsidRPr="003D300E" w:rsidR="002457BB">
        <w:t>who tested positive for anti-HCV antibody</w:t>
      </w:r>
      <w:r w:rsidRPr="003D300E" w:rsidR="002F646F">
        <w:t xml:space="preserve"> (</w:t>
      </w:r>
      <w:r w:rsidR="00C005D7">
        <w:t xml:space="preserve">from </w:t>
      </w:r>
      <w:r w:rsidRPr="003D300E" w:rsidR="005678FE">
        <w:t>3.1.4.a)</w:t>
      </w:r>
      <w:r w:rsidRPr="003D300E" w:rsidR="002457BB">
        <w:t xml:space="preserve">, </w:t>
      </w:r>
      <w:r w:rsidR="008508D7">
        <w:t>report</w:t>
      </w:r>
      <w:r w:rsidRPr="003D300E" w:rsidR="009B646F">
        <w:t xml:space="preserve"> the number of clients </w:t>
      </w:r>
      <w:r w:rsidRPr="003D300E" w:rsidR="0014068F">
        <w:t xml:space="preserve">who were tested for HCV RNA.  </w:t>
      </w:r>
    </w:p>
    <w:p w:rsidRPr="003D300E" w:rsidR="00AE0C11" w:rsidP="008508D7" w:rsidRDefault="00AE0C11" w14:paraId="11D35346" w14:textId="732E7161">
      <w:pPr>
        <w:pStyle w:val="NoSpacing"/>
        <w:numPr>
          <w:ilvl w:val="0"/>
          <w:numId w:val="28"/>
        </w:numPr>
      </w:pPr>
      <w:r>
        <w:rPr>
          <w:b/>
          <w:bCs/>
        </w:rPr>
        <w:t xml:space="preserve">Testing </w:t>
      </w:r>
      <w:r>
        <w:t xml:space="preserve">includes laboratory testing by any FDA-approved or validated laboratory-developed test.  </w:t>
      </w:r>
    </w:p>
    <w:p w:rsidRPr="00063EA5" w:rsidR="00516058" w:rsidP="00516058" w:rsidRDefault="00F55A12" w14:paraId="4BA54F35" w14:textId="7E31F4F6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="00DF2B1F" w:rsidP="008732D4" w:rsidRDefault="00DF2B1F" w14:paraId="52CB3A2F" w14:textId="77777777">
      <w:pPr>
        <w:pStyle w:val="NoSpacing"/>
        <w:rPr>
          <w:b/>
          <w:bCs/>
          <w:sz w:val="28"/>
          <w:szCs w:val="28"/>
        </w:rPr>
      </w:pPr>
    </w:p>
    <w:p w:rsidRPr="003D300E" w:rsidR="00DF18B0" w:rsidP="008732D4" w:rsidRDefault="00DF18B0" w14:paraId="04E3F24C" w14:textId="5F1F674F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3.1.4.c</w:t>
      </w:r>
    </w:p>
    <w:p w:rsidRPr="003D300E" w:rsidR="00DF18B0" w:rsidP="00516058" w:rsidRDefault="00543FCF" w14:paraId="2D5F8AEC" w14:textId="7140A4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DF18B0">
        <w:rPr>
          <w:rFonts w:cstheme="minorHAnsi"/>
          <w:color w:val="000000"/>
          <w:sz w:val="18"/>
          <w:szCs w:val="18"/>
        </w:rPr>
        <w:t>umber of clients testing positive for HCV RNA, by setting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516058" w:rsidP="00516058" w:rsidRDefault="00516058" w14:paraId="3F0EE51F" w14:textId="3978B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C42BA" w:rsidP="000C42BA" w:rsidRDefault="0018482A" w14:paraId="082C8E63" w14:textId="7D2E0E08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250DD8">
        <w:rPr>
          <w:b/>
          <w:bCs/>
        </w:rPr>
        <w:t xml:space="preserve"> </w:t>
      </w:r>
      <w:r w:rsidRPr="003D300E" w:rsidR="00250DD8">
        <w:rPr>
          <w:rFonts w:cstheme="minorHAnsi"/>
          <w:b/>
          <w:bCs/>
          <w:color w:val="000000"/>
        </w:rPr>
        <w:t>testing positive for HCV RNA</w:t>
      </w:r>
      <w:r w:rsidRPr="003D300E" w:rsidR="00250DD8">
        <w:t xml:space="preserve"> </w:t>
      </w:r>
      <w:r w:rsidR="002A6B08">
        <w:rPr>
          <w:b/>
          <w:bCs/>
        </w:rPr>
        <w:t xml:space="preserve">— </w:t>
      </w:r>
      <w:r w:rsidRPr="003D300E" w:rsidR="002A6B08">
        <w:t xml:space="preserve">This is a short-term outcome (years </w:t>
      </w:r>
      <w:r w:rsidRPr="000810E3" w:rsidR="002A6B0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735DE8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BC1493" w:rsidP="00BC1493" w:rsidRDefault="00BC1493" w14:paraId="6015056B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807D12" w:rsidR="000C42BA" w:rsidP="000C42BA" w:rsidRDefault="005E4FAD" w14:paraId="4A299C09" w14:textId="5F6D3A15">
      <w:pPr>
        <w:pStyle w:val="NoSpacing"/>
        <w:numPr>
          <w:ilvl w:val="0"/>
          <w:numId w:val="28"/>
        </w:numPr>
      </w:pPr>
      <w:r>
        <w:t xml:space="preserve">Of clients </w:t>
      </w:r>
      <w:r w:rsidRPr="003D300E">
        <w:t>who</w:t>
      </w:r>
      <w:r w:rsidR="00C005D7">
        <w:t xml:space="preserve"> </w:t>
      </w:r>
      <w:r w:rsidRPr="003D300E" w:rsidR="00EE0E99">
        <w:t xml:space="preserve">were </w:t>
      </w:r>
      <w:r w:rsidRPr="003D300E" w:rsidR="0014068F">
        <w:t xml:space="preserve">tested </w:t>
      </w:r>
      <w:r w:rsidRPr="003D300E" w:rsidR="00266AE2">
        <w:t>for HCV RNA</w:t>
      </w:r>
      <w:r w:rsidRPr="003D300E" w:rsidR="0014068F">
        <w:t xml:space="preserve"> (</w:t>
      </w:r>
      <w:r w:rsidR="00C005D7">
        <w:t xml:space="preserve">from </w:t>
      </w:r>
      <w:r w:rsidRPr="003D300E" w:rsidR="0014068F">
        <w:t>3.1.4.</w:t>
      </w:r>
      <w:r w:rsidRPr="003D300E" w:rsidR="00266AE2">
        <w:t>b</w:t>
      </w:r>
      <w:r w:rsidRPr="003D300E" w:rsidR="0014068F">
        <w:t xml:space="preserve">), </w:t>
      </w:r>
      <w:r w:rsidR="00AF5199">
        <w:t>report</w:t>
      </w:r>
      <w:r w:rsidRPr="003D300E" w:rsidR="0014068F">
        <w:t xml:space="preserve"> the number of </w:t>
      </w:r>
      <w:r w:rsidRPr="003D300E" w:rsidR="00254D13">
        <w:t>clients</w:t>
      </w:r>
      <w:r w:rsidRPr="003D300E" w:rsidR="0014068F">
        <w:t xml:space="preserve"> who </w:t>
      </w:r>
      <w:r w:rsidRPr="003D300E" w:rsidR="00EE0E99">
        <w:t>had a positive result for</w:t>
      </w:r>
      <w:r w:rsidRPr="003D300E" w:rsidR="0014068F">
        <w:t xml:space="preserve"> HCV RNA. </w:t>
      </w:r>
      <w:r w:rsidR="008B43EF">
        <w:t xml:space="preserve">This includes test results that are detectable but not quantifiable. </w:t>
      </w:r>
    </w:p>
    <w:p w:rsidR="00F55A12" w:rsidP="00F55A12" w:rsidRDefault="00F55A12" w14:paraId="24A0567E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6A31CE" w:rsidR="00BC3F2F" w:rsidP="000C42BA" w:rsidRDefault="00BC3F2F" w14:paraId="2909A5BF" w14:textId="77777777">
      <w:pPr>
        <w:pStyle w:val="NoSpacing"/>
        <w:rPr>
          <w:b/>
          <w:bCs/>
          <w:sz w:val="18"/>
          <w:szCs w:val="18"/>
        </w:rPr>
      </w:pPr>
    </w:p>
    <w:p w:rsidRPr="003D300E" w:rsidR="008732D4" w:rsidP="000C42BA" w:rsidRDefault="00DF18B0" w14:paraId="77699352" w14:textId="6C6CE7E8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</w:t>
      </w:r>
      <w:r w:rsidRPr="003D300E" w:rsidR="00CF3B4D">
        <w:rPr>
          <w:b/>
          <w:bCs/>
          <w:sz w:val="28"/>
          <w:szCs w:val="28"/>
        </w:rPr>
        <w:t xml:space="preserve"> 3.1.4.d</w:t>
      </w:r>
      <w:r w:rsidRPr="003D300E" w:rsidR="008732D4">
        <w:rPr>
          <w:b/>
          <w:bCs/>
          <w:sz w:val="28"/>
          <w:szCs w:val="28"/>
        </w:rPr>
        <w:t xml:space="preserve"> </w:t>
      </w:r>
      <w:r w:rsidRPr="003D300E" w:rsidR="002B67E7">
        <w:rPr>
          <w:b/>
          <w:bCs/>
          <w:sz w:val="28"/>
          <w:szCs w:val="28"/>
        </w:rPr>
        <w:t xml:space="preserve"> </w:t>
      </w:r>
    </w:p>
    <w:p w:rsidRPr="003D300E" w:rsidR="002B67E7" w:rsidP="00516058" w:rsidRDefault="007D3600" w14:paraId="51FE850E" w14:textId="74589B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2B67E7">
        <w:rPr>
          <w:rFonts w:cstheme="minorHAnsi"/>
          <w:color w:val="000000"/>
          <w:sz w:val="18"/>
          <w:szCs w:val="18"/>
        </w:rPr>
        <w:t>umber of HCV RNA (+) clients linked to hepatitis C treatment, by setting serving PWID</w:t>
      </w:r>
      <w:r w:rsidR="005A66C3">
        <w:rPr>
          <w:rFonts w:cstheme="minorHAnsi"/>
          <w:color w:val="000000"/>
          <w:sz w:val="18"/>
          <w:szCs w:val="18"/>
        </w:rPr>
        <w:t>, during this reporting period</w:t>
      </w:r>
      <w:r w:rsidRPr="003D300E" w:rsidR="002B67E7">
        <w:rPr>
          <w:rFonts w:cstheme="minorHAnsi"/>
          <w:color w:val="000000"/>
          <w:sz w:val="18"/>
          <w:szCs w:val="18"/>
        </w:rPr>
        <w:t xml:space="preserve"> </w:t>
      </w:r>
    </w:p>
    <w:p w:rsidRPr="006A31CE" w:rsidR="00516058" w:rsidP="00516058" w:rsidRDefault="00516058" w14:paraId="2EAF409D" w14:textId="144E9D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Pr="00BC1493" w:rsidR="00BC1493" w:rsidP="005E35AF" w:rsidRDefault="00CF7D9D" w14:paraId="56869BAB" w14:textId="1E8ECA40">
      <w:pPr>
        <w:pStyle w:val="NoSpacing"/>
        <w:numPr>
          <w:ilvl w:val="0"/>
          <w:numId w:val="28"/>
        </w:numPr>
      </w:pPr>
      <w:r w:rsidRPr="003D300E">
        <w:rPr>
          <w:rFonts w:cstheme="minorHAnsi"/>
          <w:b/>
          <w:bCs/>
          <w:color w:val="000000"/>
        </w:rPr>
        <w:t xml:space="preserve">HCV RNA (+) </w:t>
      </w:r>
      <w:r w:rsidRPr="003D300E" w:rsidR="00254D13">
        <w:rPr>
          <w:rFonts w:cstheme="minorHAnsi"/>
          <w:b/>
          <w:bCs/>
          <w:color w:val="000000"/>
        </w:rPr>
        <w:t>clients</w:t>
      </w:r>
      <w:r w:rsidRPr="003D300E">
        <w:rPr>
          <w:rFonts w:cstheme="minorHAnsi"/>
          <w:b/>
          <w:bCs/>
          <w:color w:val="000000"/>
        </w:rPr>
        <w:t xml:space="preserve"> linked to hepatitis C treatment</w:t>
      </w:r>
      <w:r w:rsidRPr="003D300E" w:rsidR="0035682C">
        <w:rPr>
          <w:rFonts w:cstheme="minorHAnsi"/>
          <w:b/>
          <w:bCs/>
          <w:color w:val="000000"/>
        </w:rPr>
        <w:t xml:space="preserve"> </w:t>
      </w:r>
      <w:r w:rsidR="00BC1493">
        <w:rPr>
          <w:b/>
          <w:bCs/>
        </w:rPr>
        <w:t xml:space="preserve">— </w:t>
      </w:r>
      <w:r w:rsidRPr="003D300E" w:rsidR="00BC1493">
        <w:t xml:space="preserve">This is a short-term outcome (years </w:t>
      </w:r>
      <w:r w:rsidRPr="000810E3" w:rsidR="00BC149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ED0B8F" w:rsidP="00ED0B8F" w:rsidRDefault="00ED0B8F" w14:paraId="58029455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lastRenderedPageBreak/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F03A33" w:rsidR="00F03A33" w:rsidP="005E35AF" w:rsidRDefault="00BC1493" w14:paraId="594E7A9E" w14:textId="5AC6703E">
      <w:pPr>
        <w:pStyle w:val="NoSpacing"/>
        <w:numPr>
          <w:ilvl w:val="0"/>
          <w:numId w:val="28"/>
        </w:numPr>
      </w:pPr>
      <w:r w:rsidRPr="00BC1493">
        <w:t>Of clients</w:t>
      </w:r>
      <w:r>
        <w:rPr>
          <w:b/>
          <w:bCs/>
        </w:rPr>
        <w:t xml:space="preserve"> </w:t>
      </w:r>
      <w:r w:rsidRPr="003D300E" w:rsidR="0035682C">
        <w:rPr>
          <w:rFonts w:cstheme="minorHAnsi"/>
          <w:color w:val="000000"/>
        </w:rPr>
        <w:t xml:space="preserve">who had a positive HCV RNA result (Measure 3.1.4.c), </w:t>
      </w:r>
      <w:r w:rsidR="00960250">
        <w:rPr>
          <w:rFonts w:cstheme="minorHAnsi"/>
          <w:color w:val="000000"/>
        </w:rPr>
        <w:t xml:space="preserve">report </w:t>
      </w:r>
      <w:r w:rsidRPr="003D300E" w:rsidR="0035682C">
        <w:rPr>
          <w:rFonts w:cstheme="minorHAnsi"/>
          <w:color w:val="000000"/>
        </w:rPr>
        <w:t xml:space="preserve">the number who </w:t>
      </w:r>
      <w:r w:rsidR="00F03A33">
        <w:rPr>
          <w:rFonts w:cstheme="minorHAnsi"/>
          <w:color w:val="000000"/>
        </w:rPr>
        <w:t xml:space="preserve">were linked to hepatitis C treatment. See definitions below. </w:t>
      </w:r>
    </w:p>
    <w:p w:rsidRPr="006B1503" w:rsidR="007C0DBF" w:rsidP="007C0DBF" w:rsidRDefault="007C0DBF" w14:paraId="2616B25D" w14:textId="35188DFC">
      <w:pPr>
        <w:pStyle w:val="NoSpacing"/>
        <w:numPr>
          <w:ilvl w:val="0"/>
          <w:numId w:val="28"/>
        </w:numPr>
        <w:rPr>
          <w:rFonts w:cstheme="minorHAnsi"/>
          <w:color w:val="000000"/>
          <w:spacing w:val="2"/>
          <w:sz w:val="21"/>
          <w:szCs w:val="21"/>
        </w:rPr>
      </w:pPr>
      <w:r w:rsidRPr="003D300E">
        <w:rPr>
          <w:b/>
          <w:bCs/>
        </w:rPr>
        <w:t xml:space="preserve">Linkage </w:t>
      </w:r>
      <w:r w:rsidRPr="003D300E">
        <w:t xml:space="preserve">is defined as </w:t>
      </w:r>
      <w:r>
        <w:t xml:space="preserve">provision of medical care at the facility or </w:t>
      </w:r>
      <w:r w:rsidRPr="003D300E">
        <w:t xml:space="preserve">attendance at the initial visit to evaluate for medical treatment </w:t>
      </w:r>
      <w:r w:rsidR="009E176D">
        <w:t>of</w:t>
      </w:r>
      <w:r w:rsidRPr="003D300E">
        <w:t xml:space="preserve"> </w:t>
      </w:r>
      <w:r w:rsidR="00610798">
        <w:t>hepatitis C</w:t>
      </w:r>
      <w:r w:rsidRPr="003D300E">
        <w:t>. “Referral” could have a variety of meanings and does not count as “linkage.”</w:t>
      </w:r>
      <w:r>
        <w:t xml:space="preserve"> Successful linkage can be documented by review of records or direct report by a peer navigator or other reliable means.  </w:t>
      </w:r>
    </w:p>
    <w:p w:rsidR="00F55A12" w:rsidP="00F55A12" w:rsidRDefault="00F55A12" w14:paraId="3622F604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10647B" w:rsidP="0010647B" w:rsidRDefault="0010647B" w14:paraId="718EBB26" w14:textId="77777777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6A31CE" w:rsidR="00315026" w:rsidP="001129B5" w:rsidRDefault="00315026" w14:paraId="65132CD4" w14:textId="77777777">
      <w:pPr>
        <w:pStyle w:val="NoSpacing"/>
        <w:rPr>
          <w:sz w:val="18"/>
          <w:szCs w:val="18"/>
        </w:rPr>
      </w:pPr>
    </w:p>
    <w:p w:rsidRPr="003D300E" w:rsidR="001129B5" w:rsidP="001129B5" w:rsidRDefault="002F3651" w14:paraId="4620B4B3" w14:textId="0648BB65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1B52CD">
        <w:rPr>
          <w:b/>
          <w:bCs/>
          <w:sz w:val="28"/>
          <w:szCs w:val="28"/>
        </w:rPr>
        <w:t>3.1.3.b</w:t>
      </w:r>
    </w:p>
    <w:p w:rsidRPr="003D300E" w:rsidR="001129B5" w:rsidP="001129B5" w:rsidRDefault="007D3600" w14:paraId="63B49C76" w14:textId="74B7B714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129B5">
        <w:rPr>
          <w:sz w:val="18"/>
          <w:szCs w:val="18"/>
        </w:rPr>
        <w:t>of clients screened for HBV</w:t>
      </w:r>
      <w:r w:rsidRPr="003D300E" w:rsidR="004E2F4C">
        <w:rPr>
          <w:sz w:val="18"/>
          <w:szCs w:val="18"/>
        </w:rPr>
        <w:t xml:space="preserve"> (anti-HBc, HBsAg, anti-HBs)</w:t>
      </w:r>
      <w:r w:rsidRPr="003D300E" w:rsidR="001129B5">
        <w:rPr>
          <w:sz w:val="18"/>
          <w:szCs w:val="18"/>
        </w:rPr>
        <w:t>, by setting serving PWID</w:t>
      </w:r>
      <w:r w:rsidR="005A66C3">
        <w:rPr>
          <w:sz w:val="18"/>
          <w:szCs w:val="18"/>
        </w:rPr>
        <w:t>, during this reporting period</w:t>
      </w:r>
    </w:p>
    <w:p w:rsidRPr="006A31CE" w:rsidR="004E2F4C" w:rsidP="001129B5" w:rsidRDefault="004E2F4C" w14:paraId="251B1FBF" w14:textId="1C9DA0BB">
      <w:pPr>
        <w:pStyle w:val="NoSpacing"/>
        <w:rPr>
          <w:sz w:val="18"/>
          <w:szCs w:val="18"/>
        </w:rPr>
      </w:pPr>
    </w:p>
    <w:p w:rsidRPr="002E79A8" w:rsidR="000C57A4" w:rsidP="000C57A4" w:rsidRDefault="00253873" w14:paraId="60343A16" w14:textId="10B9963B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6B6827">
        <w:rPr>
          <w:b/>
          <w:bCs/>
        </w:rPr>
        <w:t xml:space="preserve"> screened for HBV (</w:t>
      </w:r>
      <w:r w:rsidRPr="003D300E" w:rsidR="001D1571">
        <w:rPr>
          <w:b/>
          <w:bCs/>
        </w:rPr>
        <w:t xml:space="preserve">total </w:t>
      </w:r>
      <w:r w:rsidRPr="003D300E" w:rsidR="006B6827">
        <w:rPr>
          <w:b/>
          <w:bCs/>
        </w:rPr>
        <w:t xml:space="preserve">anti-HBc, HBsAg, anti-HBs) </w:t>
      </w:r>
      <w:r w:rsidR="00527EB1">
        <w:rPr>
          <w:b/>
          <w:bCs/>
        </w:rPr>
        <w:t xml:space="preserve">— </w:t>
      </w:r>
      <w:r w:rsidRPr="003D300E" w:rsidR="000C57A4">
        <w:t xml:space="preserve">This is a short-term outcome (years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ED0B8F" w:rsidP="00ED0B8F" w:rsidRDefault="00ED0B8F" w14:paraId="76016B6D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4A2A2C" w:rsidP="00D72565" w:rsidRDefault="00DF1847" w14:paraId="254C810F" w14:textId="4334547D">
      <w:pPr>
        <w:pStyle w:val="NoSpacing"/>
        <w:numPr>
          <w:ilvl w:val="0"/>
          <w:numId w:val="28"/>
        </w:numPr>
      </w:pPr>
      <w:r>
        <w:t>Report</w:t>
      </w:r>
      <w:r w:rsidRPr="003D300E" w:rsidR="006B6827">
        <w:t xml:space="preserve"> the number of </w:t>
      </w:r>
      <w:r w:rsidRPr="003D300E" w:rsidR="00253873">
        <w:t>clients</w:t>
      </w:r>
      <w:r w:rsidRPr="003D300E" w:rsidR="006B6827">
        <w:t xml:space="preserve"> </w:t>
      </w:r>
      <w:r w:rsidRPr="003D300E" w:rsidR="00D05628">
        <w:t>(from 3.1.1.</w:t>
      </w:r>
      <w:r w:rsidRPr="003D300E" w:rsidR="00116AAC">
        <w:t xml:space="preserve">a) </w:t>
      </w:r>
      <w:r w:rsidRPr="003D300E" w:rsidR="006B6827">
        <w:t xml:space="preserve">who were screened for hepatitis B, defined as </w:t>
      </w:r>
      <w:r w:rsidRPr="003D300E" w:rsidR="00116AAC">
        <w:t xml:space="preserve">receipt of testing for </w:t>
      </w:r>
      <w:proofErr w:type="gramStart"/>
      <w:r w:rsidRPr="003D300E" w:rsidR="006B6827">
        <w:t>all of</w:t>
      </w:r>
      <w:proofErr w:type="gramEnd"/>
      <w:r w:rsidRPr="003D300E" w:rsidR="006B6827">
        <w:t xml:space="preserve"> the following:</w:t>
      </w:r>
    </w:p>
    <w:p w:rsidRPr="003D300E" w:rsidR="006B6827" w:rsidP="001D1571" w:rsidRDefault="001D1571" w14:paraId="629C784D" w14:textId="78D88B6C">
      <w:pPr>
        <w:pStyle w:val="NoSpacing"/>
        <w:numPr>
          <w:ilvl w:val="1"/>
          <w:numId w:val="28"/>
        </w:numPr>
      </w:pPr>
      <w:r w:rsidRPr="003D300E">
        <w:t>Total anti-hepatitis B core antibody (total anti-HBc)</w:t>
      </w:r>
    </w:p>
    <w:p w:rsidRPr="003D300E" w:rsidR="005761C9" w:rsidP="001D1571" w:rsidRDefault="005761C9" w14:paraId="266994F7" w14:textId="1A7AD769">
      <w:pPr>
        <w:pStyle w:val="NoSpacing"/>
        <w:numPr>
          <w:ilvl w:val="1"/>
          <w:numId w:val="28"/>
        </w:numPr>
      </w:pPr>
      <w:r w:rsidRPr="003D300E">
        <w:t>Hepatitis B surface antigen (HBsAg); and</w:t>
      </w:r>
    </w:p>
    <w:p w:rsidRPr="003D300E" w:rsidR="005761C9" w:rsidP="002D7934" w:rsidRDefault="001823DA" w14:paraId="75A69243" w14:textId="7DFEA55A">
      <w:pPr>
        <w:pStyle w:val="NoSpacing"/>
        <w:numPr>
          <w:ilvl w:val="1"/>
          <w:numId w:val="28"/>
        </w:numPr>
      </w:pPr>
      <w:r w:rsidRPr="003D300E">
        <w:t>Hepatitis B surface antibody (anti-HBs).</w:t>
      </w:r>
    </w:p>
    <w:p w:rsidR="00F55A12" w:rsidP="00F55A12" w:rsidRDefault="00F55A12" w14:paraId="7644D3E9" w14:textId="791F7461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063EA5" w:rsidR="00DF2B1F" w:rsidP="001129B5" w:rsidRDefault="006A31CE" w14:paraId="37173B82" w14:textId="6BC21880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See page</w:t>
      </w:r>
      <w:r>
        <w:rPr>
          <w:rFonts w:cs="Times New Roman"/>
          <w:color w:val="000000"/>
        </w:rPr>
        <w:t>s</w:t>
      </w:r>
      <w:r w:rsidRPr="003D300E">
        <w:rPr>
          <w:rFonts w:cs="Times New Roman"/>
          <w:color w:val="000000"/>
        </w:rPr>
        <w:t xml:space="preserve"> 2</w:t>
      </w:r>
      <w:r w:rsidR="001F7EC6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>–24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>
        <w:rPr>
          <w:rFonts w:cs="Times New Roman"/>
          <w:color w:val="000000"/>
        </w:rPr>
        <w:t>.</w:t>
      </w:r>
    </w:p>
    <w:p w:rsidRPr="0034069C" w:rsidR="00DF2B1F" w:rsidP="001129B5" w:rsidRDefault="00DF2B1F" w14:paraId="2D726648" w14:textId="77777777">
      <w:pPr>
        <w:pStyle w:val="NoSpacing"/>
        <w:rPr>
          <w:b/>
          <w:bCs/>
          <w:sz w:val="18"/>
          <w:szCs w:val="18"/>
        </w:rPr>
      </w:pPr>
    </w:p>
    <w:p w:rsidRPr="003D300E" w:rsidR="001129B5" w:rsidP="001129B5" w:rsidRDefault="001129B5" w14:paraId="42DF2985" w14:textId="1152B83B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1B52CD">
        <w:rPr>
          <w:b/>
          <w:bCs/>
          <w:sz w:val="28"/>
          <w:szCs w:val="28"/>
        </w:rPr>
        <w:t xml:space="preserve">3.1.4.e </w:t>
      </w:r>
    </w:p>
    <w:p w:rsidRPr="003D300E" w:rsidR="001129B5" w:rsidP="001129B5" w:rsidRDefault="0013794A" w14:paraId="53B3F82B" w14:textId="410541A8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129B5">
        <w:rPr>
          <w:sz w:val="18"/>
          <w:szCs w:val="18"/>
        </w:rPr>
        <w:t>of clients testing positive for HBsAg, by setting serving PWID</w:t>
      </w:r>
      <w:r w:rsidR="00527EB1">
        <w:rPr>
          <w:sz w:val="18"/>
          <w:szCs w:val="18"/>
        </w:rPr>
        <w:t>, during this reporting period</w:t>
      </w:r>
    </w:p>
    <w:p w:rsidRPr="006A31CE" w:rsidR="004E2F4C" w:rsidP="001129B5" w:rsidRDefault="004E2F4C" w14:paraId="1B0142D5" w14:textId="1A6D9BEE">
      <w:pPr>
        <w:pStyle w:val="NoSpacing"/>
        <w:rPr>
          <w:sz w:val="18"/>
          <w:szCs w:val="18"/>
        </w:rPr>
      </w:pPr>
    </w:p>
    <w:p w:rsidRPr="002E79A8" w:rsidR="000C57A4" w:rsidP="000C57A4" w:rsidRDefault="00910483" w14:paraId="05C3E9F1" w14:textId="0F71EB39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CF7B33">
        <w:rPr>
          <w:b/>
          <w:bCs/>
        </w:rPr>
        <w:t xml:space="preserve"> testing positive for HBsAg </w:t>
      </w:r>
      <w:r w:rsidR="000C57A4">
        <w:rPr>
          <w:b/>
          <w:bCs/>
        </w:rPr>
        <w:t xml:space="preserve">— </w:t>
      </w:r>
      <w:r w:rsidRPr="003D300E" w:rsidR="000C57A4">
        <w:t xml:space="preserve">This is a short-term outcome (years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3248CD" w:rsidP="003248CD" w:rsidRDefault="003248CD" w14:paraId="239D3C99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CF7B33" w:rsidP="00A06D09" w:rsidRDefault="00AF5199" w14:paraId="3F01A8CB" w14:textId="50CE2ADA">
      <w:pPr>
        <w:pStyle w:val="NoSpacing"/>
        <w:numPr>
          <w:ilvl w:val="0"/>
          <w:numId w:val="28"/>
        </w:numPr>
      </w:pPr>
      <w:r>
        <w:t>Of</w:t>
      </w:r>
      <w:r w:rsidRPr="003D300E" w:rsidR="00FB2533">
        <w:t xml:space="preserve"> </w:t>
      </w:r>
      <w:r w:rsidRPr="003D300E" w:rsidR="00910483">
        <w:t>clients</w:t>
      </w:r>
      <w:r w:rsidRPr="003D300E" w:rsidR="00FB2533">
        <w:t xml:space="preserve"> who </w:t>
      </w:r>
      <w:r w:rsidRPr="003D300E" w:rsidR="00CE1785">
        <w:t xml:space="preserve">were </w:t>
      </w:r>
      <w:r>
        <w:t>screened</w:t>
      </w:r>
      <w:r w:rsidRPr="003D300E" w:rsidR="00CE1785">
        <w:t xml:space="preserve"> for hepatitis B (from 3.1.3.b)</w:t>
      </w:r>
      <w:r w:rsidRPr="003D300E" w:rsidR="00246DFF">
        <w:t xml:space="preserve">, </w:t>
      </w:r>
      <w:r w:rsidR="00513F93">
        <w:t xml:space="preserve">report the number </w:t>
      </w:r>
      <w:r w:rsidRPr="003D300E" w:rsidR="00246DFF">
        <w:t xml:space="preserve">who </w:t>
      </w:r>
      <w:r w:rsidRPr="003D300E" w:rsidR="00FB2533">
        <w:t>had a positive test result for hepatitis B surface antigen (HBsAg).</w:t>
      </w:r>
    </w:p>
    <w:p w:rsidR="00F55A12" w:rsidP="00F55A12" w:rsidRDefault="00F55A12" w14:paraId="49829764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DF2B1F" w:rsidR="00DF2B1F" w:rsidP="001129B5" w:rsidRDefault="00DF2B1F" w14:paraId="32E1D7E5" w14:textId="77777777">
      <w:pPr>
        <w:pStyle w:val="NoSpacing"/>
        <w:rPr>
          <w:b/>
          <w:bCs/>
          <w:sz w:val="16"/>
          <w:szCs w:val="16"/>
        </w:rPr>
      </w:pPr>
    </w:p>
    <w:p w:rsidRPr="003D300E" w:rsidR="002F3651" w:rsidP="001129B5" w:rsidRDefault="001129B5" w14:paraId="429F9C1C" w14:textId="18CAB080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1B52CD">
        <w:rPr>
          <w:b/>
          <w:bCs/>
          <w:sz w:val="28"/>
          <w:szCs w:val="28"/>
        </w:rPr>
        <w:t>3.1.4.f</w:t>
      </w:r>
    </w:p>
    <w:p w:rsidRPr="003D300E" w:rsidR="001B52CD" w:rsidP="001129B5" w:rsidRDefault="0013794A" w14:paraId="11311485" w14:textId="67D77748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B52CD">
        <w:rPr>
          <w:sz w:val="18"/>
          <w:szCs w:val="18"/>
        </w:rPr>
        <w:t>of HBV (+) clients linked to hepatitis B care, by setting serving PWID</w:t>
      </w:r>
      <w:r w:rsidR="00527EB1">
        <w:rPr>
          <w:sz w:val="18"/>
          <w:szCs w:val="18"/>
        </w:rPr>
        <w:t>, during this reporting period</w:t>
      </w:r>
    </w:p>
    <w:p w:rsidRPr="006A31CE" w:rsidR="002F3651" w:rsidP="004E2F4C" w:rsidRDefault="002F3651" w14:paraId="5C032C47" w14:textId="615B9B47">
      <w:pPr>
        <w:pStyle w:val="NoSpacing"/>
        <w:rPr>
          <w:sz w:val="18"/>
          <w:szCs w:val="18"/>
        </w:rPr>
      </w:pPr>
    </w:p>
    <w:p w:rsidRPr="002E79A8" w:rsidR="000C57A4" w:rsidP="000C57A4" w:rsidRDefault="00427AAA" w14:paraId="147EDAC2" w14:textId="3528517F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 xml:space="preserve">HBV (+) </w:t>
      </w:r>
      <w:r w:rsidRPr="003D300E" w:rsidR="00F12A43">
        <w:rPr>
          <w:b/>
          <w:bCs/>
        </w:rPr>
        <w:t>clients</w:t>
      </w:r>
      <w:r w:rsidRPr="003D300E">
        <w:rPr>
          <w:b/>
          <w:bCs/>
        </w:rPr>
        <w:t xml:space="preserve"> linked to hepatitis B care</w:t>
      </w:r>
      <w:r w:rsidR="00527EB1">
        <w:rPr>
          <w:b/>
          <w:bCs/>
        </w:rPr>
        <w:t xml:space="preserve"> </w:t>
      </w:r>
      <w:r w:rsidR="000C57A4">
        <w:rPr>
          <w:b/>
          <w:bCs/>
        </w:rPr>
        <w:t xml:space="preserve">— </w:t>
      </w:r>
      <w:r w:rsidRPr="003D300E" w:rsidR="000C57A4">
        <w:t xml:space="preserve">This is a short-term outcome (years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513F93" w:rsidP="00513F93" w:rsidRDefault="00513F93" w14:paraId="51F7667C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0C57A4" w:rsidR="000C57A4" w:rsidP="00513F93" w:rsidRDefault="00513F93" w14:paraId="2A21ACB2" w14:textId="1E713585">
      <w:pPr>
        <w:pStyle w:val="NoSpacing"/>
        <w:numPr>
          <w:ilvl w:val="0"/>
          <w:numId w:val="28"/>
        </w:numPr>
      </w:pPr>
      <w:r>
        <w:t>Of</w:t>
      </w:r>
      <w:r w:rsidRPr="003D300E">
        <w:t xml:space="preserve"> clients who had a positive test result for hepatitis B surface antigen (HBsAg)</w:t>
      </w:r>
      <w:r>
        <w:t xml:space="preserve"> (from 3.1.4.e)</w:t>
      </w:r>
      <w:r w:rsidR="00037A60">
        <w:t>, report the number who were linked to hepatitis B care. See definitions below.</w:t>
      </w:r>
    </w:p>
    <w:p w:rsidRPr="000C57A4" w:rsidR="000C57A4" w:rsidP="00A06D09" w:rsidRDefault="00037A60" w14:paraId="1B0B1DB1" w14:textId="21817FE6">
      <w:pPr>
        <w:pStyle w:val="NoSpacing"/>
        <w:numPr>
          <w:ilvl w:val="0"/>
          <w:numId w:val="28"/>
        </w:numPr>
      </w:pPr>
      <w:r w:rsidRPr="00037A60">
        <w:rPr>
          <w:b/>
          <w:bCs/>
        </w:rPr>
        <w:t>Linkage</w:t>
      </w:r>
      <w:r>
        <w:t xml:space="preserve"> is defined as </w:t>
      </w:r>
      <w:r w:rsidR="00B52C9C">
        <w:t xml:space="preserve">provision of medical care at the facility or </w:t>
      </w:r>
      <w:r w:rsidRPr="003D300E" w:rsidR="00B52C9C">
        <w:t xml:space="preserve">attendance at the initial visit to evaluate for medical treatment for </w:t>
      </w:r>
      <w:r w:rsidR="00610798">
        <w:t>hepatitis B</w:t>
      </w:r>
      <w:r w:rsidRPr="003D300E" w:rsidR="00B52C9C">
        <w:t>. “Referral” could have a variety of meanings and does not count as “linkage.”</w:t>
      </w:r>
      <w:r w:rsidR="00B52C9C">
        <w:t xml:space="preserve"> Successful linkage can be documented by review of records or direct report by a peer navigator or other reliable means.  </w:t>
      </w:r>
    </w:p>
    <w:p w:rsidR="0010647B" w:rsidP="0010647B" w:rsidRDefault="0010647B" w14:paraId="05DC6535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9153CD" w:rsidP="009153CD" w:rsidRDefault="009153CD" w14:paraId="66721B7C" w14:textId="76121890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3D300E" w:rsidR="001129B5" w:rsidP="004E2F4C" w:rsidRDefault="005C50C2" w14:paraId="40552D6F" w14:textId="11915ED6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lastRenderedPageBreak/>
        <w:t xml:space="preserve">Measure </w:t>
      </w:r>
      <w:r w:rsidRPr="003D300E" w:rsidR="00EA6E1C">
        <w:rPr>
          <w:b/>
          <w:bCs/>
          <w:sz w:val="28"/>
          <w:szCs w:val="28"/>
        </w:rPr>
        <w:t>3.1.3.c</w:t>
      </w:r>
    </w:p>
    <w:p w:rsidRPr="003D300E" w:rsidR="001129B5" w:rsidP="001129B5" w:rsidRDefault="004B5211" w14:paraId="5E41ED32" w14:textId="44C24802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129B5">
        <w:rPr>
          <w:sz w:val="18"/>
          <w:szCs w:val="18"/>
        </w:rPr>
        <w:t>of clients screened for HIV, by setting serving PWID</w:t>
      </w:r>
      <w:r w:rsidR="002E3DD9">
        <w:rPr>
          <w:sz w:val="18"/>
          <w:szCs w:val="18"/>
        </w:rPr>
        <w:t>, during this reporting period</w:t>
      </w:r>
    </w:p>
    <w:p w:rsidRPr="006A31CE" w:rsidR="004E2F4C" w:rsidP="001129B5" w:rsidRDefault="004E2F4C" w14:paraId="51C22463" w14:textId="1FFAC5E7">
      <w:pPr>
        <w:pStyle w:val="NoSpacing"/>
        <w:rPr>
          <w:sz w:val="18"/>
          <w:szCs w:val="18"/>
        </w:rPr>
      </w:pPr>
    </w:p>
    <w:p w:rsidRPr="002E79A8" w:rsidR="000C57A4" w:rsidP="000C57A4" w:rsidRDefault="001F3559" w14:paraId="10A5C323" w14:textId="4738356E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8D65C8">
        <w:rPr>
          <w:b/>
          <w:bCs/>
        </w:rPr>
        <w:t xml:space="preserve"> screened for HIV </w:t>
      </w:r>
      <w:r w:rsidR="000C57A4">
        <w:rPr>
          <w:b/>
          <w:bCs/>
        </w:rPr>
        <w:t xml:space="preserve">— </w:t>
      </w:r>
      <w:r w:rsidRPr="003D300E" w:rsidR="000C57A4">
        <w:t xml:space="preserve">This is a short-term outcome (years </w:t>
      </w:r>
      <w:r w:rsidRPr="000810E3" w:rsidR="000C57A4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D86BD6" w:rsidP="00D86BD6" w:rsidRDefault="00D86BD6" w14:paraId="5D76F5B4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5B3A09" w:rsidP="00A06D09" w:rsidRDefault="00930DE0" w14:paraId="7082A23B" w14:textId="46E5B8BA">
      <w:pPr>
        <w:pStyle w:val="NoSpacing"/>
        <w:numPr>
          <w:ilvl w:val="0"/>
          <w:numId w:val="28"/>
        </w:numPr>
      </w:pPr>
      <w:r>
        <w:t>Report</w:t>
      </w:r>
      <w:r w:rsidRPr="003D300E">
        <w:t xml:space="preserve"> the number of clients (from 3.1.1.a) who were </w:t>
      </w:r>
      <w:r w:rsidRPr="003D300E" w:rsidR="005B3A09">
        <w:t xml:space="preserve">screened for </w:t>
      </w:r>
      <w:r w:rsidRPr="003D300E" w:rsidR="008D65C8">
        <w:t xml:space="preserve">HIV. Any licensed </w:t>
      </w:r>
      <w:r w:rsidRPr="003D300E" w:rsidR="00FF4E78">
        <w:t xml:space="preserve">screening or confirmatory </w:t>
      </w:r>
      <w:r w:rsidRPr="003D300E" w:rsidR="008D65C8">
        <w:t xml:space="preserve">test for HIV may be counted in this measure.  </w:t>
      </w:r>
    </w:p>
    <w:p w:rsidR="00F55A12" w:rsidP="00F55A12" w:rsidRDefault="00F55A12" w14:paraId="614AC108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8676EE" w:rsidR="006A31CE" w:rsidP="006A31CE" w:rsidRDefault="006A31CE" w14:paraId="4BD1B2F9" w14:textId="5EB2129A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 w:rsidRPr="003D300E">
        <w:rPr>
          <w:rFonts w:cs="Times New Roman"/>
          <w:color w:val="000000"/>
        </w:rPr>
        <w:t>See page</w:t>
      </w:r>
      <w:r>
        <w:rPr>
          <w:rFonts w:cs="Times New Roman"/>
          <w:color w:val="000000"/>
        </w:rPr>
        <w:t>s</w:t>
      </w:r>
      <w:r w:rsidRPr="003D300E">
        <w:rPr>
          <w:rFonts w:cs="Times New Roman"/>
          <w:color w:val="000000"/>
        </w:rPr>
        <w:t xml:space="preserve"> 2</w:t>
      </w:r>
      <w:r w:rsidR="001F7EC6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>–24</w:t>
      </w:r>
      <w:r w:rsidRPr="003D300E">
        <w:rPr>
          <w:rFonts w:cs="Times New Roman"/>
          <w:color w:val="000000"/>
        </w:rPr>
        <w:t xml:space="preserve"> in the Notice of Funding Opportunity (CDC-RFA-PS21-2103) for more information</w:t>
      </w:r>
      <w:r>
        <w:rPr>
          <w:rFonts w:cs="Times New Roman"/>
          <w:color w:val="000000"/>
        </w:rPr>
        <w:t>.</w:t>
      </w:r>
    </w:p>
    <w:p w:rsidRPr="006A31CE" w:rsidR="004E2F4C" w:rsidP="001129B5" w:rsidRDefault="004E2F4C" w14:paraId="462EC460" w14:textId="77777777">
      <w:pPr>
        <w:pStyle w:val="NoSpacing"/>
        <w:rPr>
          <w:sz w:val="18"/>
          <w:szCs w:val="18"/>
        </w:rPr>
      </w:pPr>
    </w:p>
    <w:p w:rsidRPr="003D300E" w:rsidR="001129B5" w:rsidP="001129B5" w:rsidRDefault="001129B5" w14:paraId="527EFE6C" w14:textId="458729E9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5C50C2">
        <w:rPr>
          <w:b/>
          <w:bCs/>
          <w:sz w:val="28"/>
          <w:szCs w:val="28"/>
        </w:rPr>
        <w:t>3.1.4.</w:t>
      </w:r>
      <w:r w:rsidRPr="003D300E" w:rsidR="00EA6E1C">
        <w:rPr>
          <w:b/>
          <w:bCs/>
          <w:sz w:val="28"/>
          <w:szCs w:val="28"/>
        </w:rPr>
        <w:t>g</w:t>
      </w:r>
      <w:r w:rsidRPr="003D300E" w:rsidR="005C50C2">
        <w:rPr>
          <w:b/>
          <w:bCs/>
          <w:sz w:val="28"/>
          <w:szCs w:val="28"/>
        </w:rPr>
        <w:t xml:space="preserve"> </w:t>
      </w:r>
    </w:p>
    <w:p w:rsidRPr="003D300E" w:rsidR="001129B5" w:rsidP="004E2F4C" w:rsidRDefault="004B5211" w14:paraId="167D0FAB" w14:textId="360718E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1129B5">
        <w:rPr>
          <w:sz w:val="18"/>
          <w:szCs w:val="18"/>
        </w:rPr>
        <w:t>of clients testing positive for HIV, by setting serving PWID</w:t>
      </w:r>
      <w:r w:rsidR="002E3DD9">
        <w:rPr>
          <w:sz w:val="18"/>
          <w:szCs w:val="18"/>
        </w:rPr>
        <w:t>, during this reporting period</w:t>
      </w:r>
    </w:p>
    <w:p w:rsidRPr="006A31CE" w:rsidR="004E2F4C" w:rsidP="004E2F4C" w:rsidRDefault="004E2F4C" w14:paraId="68D63DAB" w14:textId="7E08B863">
      <w:pPr>
        <w:pStyle w:val="NoSpacing"/>
        <w:rPr>
          <w:sz w:val="18"/>
          <w:szCs w:val="18"/>
        </w:rPr>
      </w:pPr>
    </w:p>
    <w:p w:rsidRPr="002E79A8" w:rsidR="00930DE0" w:rsidP="00930DE0" w:rsidRDefault="00FC0B0D" w14:paraId="32EDEAA4" w14:textId="6D79D05E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>Clients</w:t>
      </w:r>
      <w:r w:rsidRPr="003D300E" w:rsidR="00F91B71">
        <w:rPr>
          <w:b/>
          <w:bCs/>
        </w:rPr>
        <w:t xml:space="preserve"> testing positive for HIV </w:t>
      </w:r>
      <w:r w:rsidR="002E3DD9">
        <w:rPr>
          <w:b/>
          <w:bCs/>
        </w:rPr>
        <w:t xml:space="preserve">— </w:t>
      </w:r>
      <w:r w:rsidRPr="003D300E" w:rsidR="00930DE0">
        <w:t xml:space="preserve">This is a short-term outcome (years </w:t>
      </w:r>
      <w:r w:rsidRPr="000810E3" w:rsidR="00930DE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930DE0" w:rsidP="00930DE0" w:rsidRDefault="00930DE0" w14:paraId="6C4F75DC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="00FB4D58" w:rsidP="004E2F4C" w:rsidRDefault="00FB4D58" w14:paraId="1969F7CD" w14:textId="75EC9B26">
      <w:pPr>
        <w:pStyle w:val="NoSpacing"/>
        <w:numPr>
          <w:ilvl w:val="0"/>
          <w:numId w:val="28"/>
        </w:numPr>
      </w:pPr>
      <w:r>
        <w:t>Of</w:t>
      </w:r>
      <w:r w:rsidRPr="003D300E" w:rsidR="009029EB">
        <w:t xml:space="preserve"> </w:t>
      </w:r>
      <w:r w:rsidRPr="003D300E" w:rsidR="00FC0B0D">
        <w:t>clients</w:t>
      </w:r>
      <w:r w:rsidRPr="003D300E" w:rsidR="009029EB">
        <w:t xml:space="preserve"> who </w:t>
      </w:r>
      <w:r w:rsidRPr="003D300E" w:rsidR="00234040">
        <w:t>were screen</w:t>
      </w:r>
      <w:r w:rsidRPr="003D300E" w:rsidR="003B0AD7">
        <w:t>ed</w:t>
      </w:r>
      <w:r w:rsidRPr="003D300E" w:rsidR="009029EB">
        <w:t xml:space="preserve"> for HIV (from </w:t>
      </w:r>
      <w:r w:rsidRPr="003D300E" w:rsidR="00FC5554">
        <w:t>3.1.3.c)</w:t>
      </w:r>
      <w:r>
        <w:t>, report the number</w:t>
      </w:r>
      <w:r w:rsidRPr="003D300E" w:rsidR="00FC5554">
        <w:t xml:space="preserve"> who had a positive test result for HIV. </w:t>
      </w:r>
      <w:r w:rsidRPr="003D300E" w:rsidR="00F44BBA">
        <w:t xml:space="preserve">Count only confirmed positive HIV results for this measure.  </w:t>
      </w:r>
    </w:p>
    <w:p w:rsidR="00F55A12" w:rsidP="00F55A12" w:rsidRDefault="00F55A12" w14:paraId="0BDC35BD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C62F90" w:rsidR="00FB4D58" w:rsidP="004E2F4C" w:rsidRDefault="00FB4D58" w14:paraId="6840FD97" w14:textId="77777777">
      <w:pPr>
        <w:pStyle w:val="NoSpacing"/>
        <w:rPr>
          <w:sz w:val="16"/>
          <w:szCs w:val="16"/>
        </w:rPr>
      </w:pPr>
    </w:p>
    <w:p w:rsidRPr="003D300E" w:rsidR="005C50C2" w:rsidP="001129B5" w:rsidRDefault="001129B5" w14:paraId="4B9B3BDA" w14:textId="6D5FAA61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5C50C2">
        <w:rPr>
          <w:b/>
          <w:bCs/>
          <w:sz w:val="28"/>
          <w:szCs w:val="28"/>
        </w:rPr>
        <w:t>3.1.4.</w:t>
      </w:r>
      <w:r w:rsidRPr="003D300E" w:rsidR="00F10151">
        <w:rPr>
          <w:b/>
          <w:bCs/>
          <w:sz w:val="28"/>
          <w:szCs w:val="28"/>
        </w:rPr>
        <w:t>h</w:t>
      </w:r>
      <w:r w:rsidRPr="003D300E" w:rsidR="009C5829">
        <w:rPr>
          <w:b/>
          <w:bCs/>
          <w:sz w:val="28"/>
          <w:szCs w:val="28"/>
        </w:rPr>
        <w:t xml:space="preserve"> </w:t>
      </w:r>
    </w:p>
    <w:p w:rsidRPr="003D300E" w:rsidR="00332974" w:rsidP="004E2F4C" w:rsidRDefault="00CB7D8D" w14:paraId="50D2696E" w14:textId="272E88B6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4E2F4C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332974">
        <w:rPr>
          <w:sz w:val="18"/>
          <w:szCs w:val="18"/>
        </w:rPr>
        <w:t>of HIV (+)</w:t>
      </w:r>
      <w:r w:rsidRPr="003D300E" w:rsidR="00E05651">
        <w:rPr>
          <w:sz w:val="18"/>
          <w:szCs w:val="18"/>
        </w:rPr>
        <w:t xml:space="preserve"> </w:t>
      </w:r>
      <w:r w:rsidRPr="003D300E" w:rsidR="00332974">
        <w:rPr>
          <w:sz w:val="18"/>
          <w:szCs w:val="18"/>
        </w:rPr>
        <w:t>clients linked to HIV treatment, by setting serving PWID</w:t>
      </w:r>
      <w:r w:rsidR="002E3DD9">
        <w:rPr>
          <w:sz w:val="18"/>
          <w:szCs w:val="18"/>
        </w:rPr>
        <w:t>, during this reporting period</w:t>
      </w:r>
    </w:p>
    <w:p w:rsidRPr="00C62F90" w:rsidR="005C50C2" w:rsidP="004E2F4C" w:rsidRDefault="005C50C2" w14:paraId="5714BC1B" w14:textId="35C40194">
      <w:pPr>
        <w:pStyle w:val="NoSpacing"/>
        <w:rPr>
          <w:rFonts w:cstheme="minorHAnsi"/>
          <w:color w:val="000000"/>
          <w:sz w:val="16"/>
          <w:szCs w:val="16"/>
        </w:rPr>
      </w:pPr>
    </w:p>
    <w:p w:rsidRPr="002E79A8" w:rsidR="00277CD6" w:rsidP="00277CD6" w:rsidRDefault="001652E3" w14:paraId="4C197D00" w14:textId="2EE67777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b/>
          <w:bCs/>
        </w:rPr>
        <w:t xml:space="preserve">HIV (+) </w:t>
      </w:r>
      <w:r w:rsidRPr="003D300E" w:rsidR="002E3D7F">
        <w:rPr>
          <w:b/>
          <w:bCs/>
        </w:rPr>
        <w:t>clients</w:t>
      </w:r>
      <w:r w:rsidRPr="003D300E">
        <w:rPr>
          <w:b/>
          <w:bCs/>
        </w:rPr>
        <w:t xml:space="preserve"> linked to HIV treatment</w:t>
      </w:r>
      <w:r w:rsidRPr="003D300E" w:rsidR="00235E0D">
        <w:rPr>
          <w:b/>
          <w:bCs/>
        </w:rPr>
        <w:t xml:space="preserve">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FB4D58" w:rsidP="00FB4D58" w:rsidRDefault="00FB4D58" w14:paraId="7E2CB957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277CD6" w:rsidR="00277CD6" w:rsidP="00FB4D58" w:rsidRDefault="00FB4D58" w14:paraId="077EF66E" w14:textId="7540EAD5">
      <w:pPr>
        <w:pStyle w:val="NoSpacing"/>
        <w:numPr>
          <w:ilvl w:val="0"/>
          <w:numId w:val="28"/>
        </w:numPr>
      </w:pPr>
      <w:r>
        <w:t>Of</w:t>
      </w:r>
      <w:r w:rsidRPr="003D300E">
        <w:t xml:space="preserve"> clients who</w:t>
      </w:r>
      <w:r w:rsidRPr="00B813C5" w:rsidR="00B813C5">
        <w:t xml:space="preserve"> </w:t>
      </w:r>
      <w:r w:rsidRPr="003D300E" w:rsidR="00B813C5">
        <w:t>had a positive test result for</w:t>
      </w:r>
      <w:r w:rsidRPr="00B813C5" w:rsidR="00B813C5">
        <w:t xml:space="preserve"> </w:t>
      </w:r>
      <w:r w:rsidRPr="003D300E" w:rsidR="00B813C5">
        <w:t>HIV</w:t>
      </w:r>
      <w:r w:rsidR="00B813C5">
        <w:t xml:space="preserve"> (from 3.1.4.g), </w:t>
      </w:r>
      <w:r w:rsidR="00B14751">
        <w:t xml:space="preserve">report the number who were linked to HIV treatment. </w:t>
      </w:r>
      <w:r w:rsidR="00A90650">
        <w:t xml:space="preserve">See definitions below. </w:t>
      </w:r>
    </w:p>
    <w:p w:rsidRPr="003D300E" w:rsidR="00630719" w:rsidP="00A90650" w:rsidRDefault="00610798" w14:paraId="30210ACC" w14:textId="6B9BF207">
      <w:pPr>
        <w:pStyle w:val="NoSpacing"/>
        <w:numPr>
          <w:ilvl w:val="0"/>
          <w:numId w:val="28"/>
        </w:numPr>
      </w:pPr>
      <w:r w:rsidRPr="00037A60">
        <w:rPr>
          <w:b/>
          <w:bCs/>
        </w:rPr>
        <w:t>Linkage</w:t>
      </w:r>
      <w:r>
        <w:t xml:space="preserve"> is defined as provision of medical care at the facility or attendance at the initial </w:t>
      </w:r>
      <w:r w:rsidRPr="003D300E">
        <w:t xml:space="preserve">visit to evaluate for </w:t>
      </w:r>
      <w:r>
        <w:t xml:space="preserve">medical </w:t>
      </w:r>
      <w:r w:rsidRPr="003D300E">
        <w:t xml:space="preserve">treatment for HIV. </w:t>
      </w:r>
      <w:r w:rsidRPr="003D300E" w:rsidR="007B6E2A">
        <w:t>“Referral” could have a variety of meanings and does not count as “linkage.”</w:t>
      </w:r>
      <w:r w:rsidR="007B6E2A">
        <w:t xml:space="preserve"> </w:t>
      </w:r>
      <w:r w:rsidR="00D8764C">
        <w:t xml:space="preserve">Successful linkage can be documented by review of records or direct report by a peer navigator or other reliable means.  </w:t>
      </w:r>
    </w:p>
    <w:p w:rsidR="0010647B" w:rsidP="0010647B" w:rsidRDefault="0010647B" w14:paraId="7C827F0C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="00B813C5" w:rsidP="008D5E00" w:rsidRDefault="009153CD" w14:paraId="3406330F" w14:textId="0D18823A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C62F90" w:rsidR="00B813C5" w:rsidP="008D5E00" w:rsidRDefault="00B813C5" w14:paraId="25C0D4B7" w14:textId="77777777">
      <w:pPr>
        <w:pStyle w:val="NoSpacing"/>
        <w:rPr>
          <w:sz w:val="16"/>
          <w:szCs w:val="16"/>
        </w:rPr>
      </w:pPr>
    </w:p>
    <w:p w:rsidRPr="003D300E" w:rsidR="008D5E00" w:rsidP="008D5E00" w:rsidRDefault="008D5E00" w14:paraId="3C073F9C" w14:textId="2F9B895A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3.1.4.i</w:t>
      </w:r>
    </w:p>
    <w:p w:rsidRPr="003D300E" w:rsidR="008D5E00" w:rsidP="00C177EA" w:rsidRDefault="00CB7D8D" w14:paraId="46F15728" w14:textId="00CF1A72">
      <w:pPr>
        <w:pStyle w:val="NoSpacing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Pr="003D300E" w:rsidR="00C177EA">
        <w:rPr>
          <w:rFonts w:cstheme="minorHAnsi"/>
          <w:color w:val="000000"/>
          <w:sz w:val="18"/>
          <w:szCs w:val="18"/>
        </w:rPr>
        <w:t xml:space="preserve">umber </w:t>
      </w:r>
      <w:r w:rsidRPr="003D300E" w:rsidR="008D5E00">
        <w:rPr>
          <w:sz w:val="18"/>
          <w:szCs w:val="18"/>
        </w:rPr>
        <w:t>of clients referred for treatment for bacterial or fungal infections, by setting serving PWID</w:t>
      </w:r>
      <w:r w:rsidR="00F8401D">
        <w:rPr>
          <w:sz w:val="18"/>
          <w:szCs w:val="18"/>
        </w:rPr>
        <w:t>, during this reporting period</w:t>
      </w:r>
      <w:r w:rsidRPr="003D300E" w:rsidR="008D5E00">
        <w:rPr>
          <w:sz w:val="18"/>
          <w:szCs w:val="18"/>
        </w:rPr>
        <w:t xml:space="preserve"> </w:t>
      </w:r>
    </w:p>
    <w:p w:rsidRPr="00C62F90" w:rsidR="00C177EA" w:rsidP="00C177EA" w:rsidRDefault="00C177EA" w14:paraId="5A9EC97C" w14:textId="18A47CCE">
      <w:pPr>
        <w:pStyle w:val="NoSpacing"/>
        <w:rPr>
          <w:sz w:val="16"/>
          <w:szCs w:val="16"/>
        </w:rPr>
      </w:pPr>
    </w:p>
    <w:p w:rsidRPr="002E79A8" w:rsidR="00277CD6" w:rsidP="00277CD6" w:rsidRDefault="00852127" w14:paraId="104196F8" w14:textId="74D6C18F">
      <w:pPr>
        <w:pStyle w:val="NoSpacing"/>
        <w:numPr>
          <w:ilvl w:val="0"/>
          <w:numId w:val="28"/>
        </w:numPr>
        <w:rPr>
          <w:rStyle w:val="normaltextrun"/>
        </w:rPr>
      </w:pPr>
      <w:r>
        <w:rPr>
          <w:b/>
          <w:bCs/>
        </w:rPr>
        <w:t>Clients</w:t>
      </w:r>
      <w:r w:rsidRPr="003D300E" w:rsidR="00F00DD1">
        <w:rPr>
          <w:b/>
          <w:bCs/>
        </w:rPr>
        <w:t xml:space="preserve"> treated or</w:t>
      </w:r>
      <w:r w:rsidRPr="003D300E" w:rsidR="00CC747A">
        <w:rPr>
          <w:b/>
          <w:bCs/>
        </w:rPr>
        <w:t xml:space="preserve"> referred for </w:t>
      </w:r>
      <w:r w:rsidR="005A0BCA">
        <w:rPr>
          <w:b/>
          <w:bCs/>
        </w:rPr>
        <w:t xml:space="preserve">treatment of </w:t>
      </w:r>
      <w:r w:rsidRPr="003D300E" w:rsidR="00CC747A">
        <w:rPr>
          <w:b/>
          <w:bCs/>
        </w:rPr>
        <w:t>bacterial or fungal infections</w:t>
      </w:r>
      <w:r w:rsidR="009F3B8B">
        <w:rPr>
          <w:b/>
          <w:bCs/>
        </w:rPr>
        <w:t xml:space="preserve">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4A7D0C" w:rsidP="004A7D0C" w:rsidRDefault="004A7D0C" w14:paraId="438284F1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CC747A" w:rsidP="00A06D09" w:rsidRDefault="001136B6" w14:paraId="2FEE8D14" w14:textId="1108F579">
      <w:pPr>
        <w:pStyle w:val="NoSpacing"/>
        <w:numPr>
          <w:ilvl w:val="0"/>
          <w:numId w:val="28"/>
        </w:numPr>
      </w:pPr>
      <w:r>
        <w:t>Report</w:t>
      </w:r>
      <w:r w:rsidRPr="003D300E" w:rsidR="00F54469">
        <w:t xml:space="preserve"> number of </w:t>
      </w:r>
      <w:r>
        <w:t>clients</w:t>
      </w:r>
      <w:r w:rsidRPr="003D300E" w:rsidR="00F54469">
        <w:t xml:space="preserve"> (from 3.1.1.a)</w:t>
      </w:r>
      <w:r w:rsidRPr="003D300E" w:rsidR="00F04E62">
        <w:t xml:space="preserve"> who were referred to treatment for bacterial or fungal infections. Referral </w:t>
      </w:r>
      <w:r w:rsidRPr="003D300E" w:rsidR="00C67949">
        <w:t>can be to</w:t>
      </w:r>
      <w:r w:rsidRPr="003D300E" w:rsidR="00D85BA4">
        <w:t xml:space="preserve"> a primary care provider, emergency department or other appropriate provider. </w:t>
      </w:r>
      <w:r w:rsidRPr="003D300E" w:rsidR="005E74C9">
        <w:t>On-site treatment or a</w:t>
      </w:r>
      <w:r w:rsidRPr="003D300E" w:rsidR="0052390C">
        <w:t>ttendance at a clinical visit</w:t>
      </w:r>
      <w:r w:rsidRPr="003D300E" w:rsidR="00260A1E">
        <w:t xml:space="preserve"> for medical management of the infection</w:t>
      </w:r>
      <w:r w:rsidRPr="003D300E" w:rsidR="000F18B3">
        <w:t xml:space="preserve"> can also be counted for this measure.  </w:t>
      </w:r>
    </w:p>
    <w:p w:rsidR="00F55A12" w:rsidP="00F55A12" w:rsidRDefault="00F55A12" w14:paraId="7D068557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C62F90" w:rsidR="00F175C6" w:rsidP="000F0E18" w:rsidRDefault="00F175C6" w14:paraId="24E3B3D4" w14:textId="77777777">
      <w:pPr>
        <w:pStyle w:val="NoSpacing"/>
        <w:rPr>
          <w:b/>
          <w:bCs/>
          <w:sz w:val="16"/>
          <w:szCs w:val="16"/>
        </w:rPr>
      </w:pPr>
    </w:p>
    <w:p w:rsidRPr="003D300E" w:rsidR="001129B5" w:rsidP="000F0E18" w:rsidRDefault="000F0E18" w14:paraId="09DF72FD" w14:textId="4514FB10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lastRenderedPageBreak/>
        <w:t>Measure 3.1.5.a</w:t>
      </w:r>
    </w:p>
    <w:p w:rsidRPr="003D300E" w:rsidR="00350006" w:rsidP="00350006" w:rsidRDefault="00765D6D" w14:paraId="6356A81F" w14:textId="7CF1913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350006">
        <w:rPr>
          <w:sz w:val="18"/>
          <w:szCs w:val="18"/>
        </w:rPr>
        <w:t xml:space="preserve">umber of hepatitis A </w:t>
      </w:r>
      <w:r w:rsidRPr="003D300E" w:rsidR="00350006">
        <w:rPr>
          <w:rFonts w:cstheme="minorHAnsi"/>
          <w:color w:val="000000"/>
          <w:sz w:val="18"/>
          <w:szCs w:val="18"/>
        </w:rPr>
        <w:t>vaccination doses administered, by setting serving PWID</w:t>
      </w:r>
      <w:r w:rsidR="002C475F">
        <w:rPr>
          <w:rFonts w:cstheme="minorHAnsi"/>
          <w:color w:val="000000"/>
          <w:sz w:val="18"/>
          <w:szCs w:val="18"/>
        </w:rPr>
        <w:t>, during this reporting period</w:t>
      </w:r>
    </w:p>
    <w:p w:rsidRPr="00C62F90" w:rsidR="00C177EA" w:rsidP="000F0E18" w:rsidRDefault="00C177EA" w14:paraId="60E42D06" w14:textId="1FC26B14">
      <w:pPr>
        <w:pStyle w:val="NoSpacing"/>
        <w:rPr>
          <w:sz w:val="16"/>
          <w:szCs w:val="16"/>
        </w:rPr>
      </w:pPr>
    </w:p>
    <w:p w:rsidRPr="002E79A8" w:rsidR="00277CD6" w:rsidP="00277CD6" w:rsidRDefault="002209FD" w14:paraId="01BABC6E" w14:textId="4AE7F7A6">
      <w:pPr>
        <w:pStyle w:val="NoSpacing"/>
        <w:numPr>
          <w:ilvl w:val="0"/>
          <w:numId w:val="28"/>
        </w:numPr>
        <w:rPr>
          <w:rStyle w:val="normaltextrun"/>
        </w:rPr>
      </w:pPr>
      <w:r w:rsidRPr="002209FD">
        <w:rPr>
          <w:b/>
          <w:bCs/>
        </w:rPr>
        <w:t>Hepatitis A vaccination doses administered</w:t>
      </w:r>
      <w:r>
        <w:t xml:space="preserve">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00560F" w:rsidP="0000560F" w:rsidRDefault="0000560F" w14:paraId="44085001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1559DF" w:rsidR="001559DF" w:rsidP="0072184B" w:rsidRDefault="00063A09" w14:paraId="19A27CB5" w14:textId="170433B6">
      <w:pPr>
        <w:pStyle w:val="NoSpacing"/>
        <w:numPr>
          <w:ilvl w:val="0"/>
          <w:numId w:val="28"/>
        </w:numPr>
      </w:pPr>
      <w:r>
        <w:t xml:space="preserve">Report </w:t>
      </w:r>
      <w:r w:rsidRPr="003D300E">
        <w:rPr>
          <w:rFonts w:cstheme="minorHAnsi"/>
          <w:color w:val="000000"/>
        </w:rPr>
        <w:t>total doses of any hepatitis A vaccine (single antigen or combination) administered</w:t>
      </w:r>
      <w:r>
        <w:rPr>
          <w:rFonts w:cstheme="minorHAnsi"/>
          <w:color w:val="000000"/>
        </w:rPr>
        <w:t>.</w:t>
      </w:r>
    </w:p>
    <w:p w:rsidR="0010647B" w:rsidP="0010647B" w:rsidRDefault="0010647B" w14:paraId="55E72444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72184B" w:rsidP="0072184B" w:rsidRDefault="0072184B" w14:paraId="3EA88988" w14:textId="0A0FC26D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34069C" w:rsidR="0034069C" w:rsidP="000F0E18" w:rsidRDefault="0034069C" w14:paraId="729ED091" w14:textId="77777777">
      <w:pPr>
        <w:pStyle w:val="NoSpacing"/>
        <w:rPr>
          <w:b/>
          <w:bCs/>
          <w:sz w:val="18"/>
          <w:szCs w:val="18"/>
        </w:rPr>
      </w:pPr>
    </w:p>
    <w:p w:rsidRPr="003D300E" w:rsidR="001129B5" w:rsidP="000F0E18" w:rsidRDefault="001129B5" w14:paraId="4AACBC45" w14:textId="7688A13E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 3.1.5.b</w:t>
      </w:r>
    </w:p>
    <w:p w:rsidRPr="003D300E" w:rsidR="00350006" w:rsidP="00350006" w:rsidRDefault="00765D6D" w14:paraId="4B6C0B97" w14:textId="37DE6B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350006">
        <w:rPr>
          <w:sz w:val="18"/>
          <w:szCs w:val="18"/>
        </w:rPr>
        <w:t>umber of</w:t>
      </w:r>
      <w:r w:rsidRPr="003D300E" w:rsidR="00C177EA">
        <w:rPr>
          <w:rFonts w:cstheme="minorHAnsi"/>
          <w:color w:val="000000"/>
          <w:sz w:val="18"/>
          <w:szCs w:val="18"/>
        </w:rPr>
        <w:t xml:space="preserve"> clients who completed hepatitis A vaccination series, by setting serving PWID</w:t>
      </w:r>
      <w:r w:rsidR="001559DF">
        <w:rPr>
          <w:rFonts w:cstheme="minorHAnsi"/>
          <w:color w:val="000000"/>
          <w:sz w:val="18"/>
          <w:szCs w:val="18"/>
        </w:rPr>
        <w:t>, during this reporting period</w:t>
      </w:r>
    </w:p>
    <w:p w:rsidRPr="003D300E" w:rsidR="00C177EA" w:rsidP="00350006" w:rsidRDefault="00C177EA" w14:paraId="76D2D4BA" w14:textId="1137D9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2E79A8" w:rsidR="00277CD6" w:rsidP="00277CD6" w:rsidRDefault="00103791" w14:paraId="45A84E89" w14:textId="3EB67371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rFonts w:cstheme="minorHAnsi"/>
          <w:b/>
          <w:bCs/>
          <w:color w:val="000000"/>
        </w:rPr>
        <w:t>Clients</w:t>
      </w:r>
      <w:r w:rsidRPr="003D300E" w:rsidR="00BB27D7">
        <w:rPr>
          <w:rFonts w:cstheme="minorHAnsi"/>
          <w:b/>
          <w:bCs/>
          <w:color w:val="000000"/>
        </w:rPr>
        <w:t xml:space="preserve"> who completed hepatitis A vaccination series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727B02" w:rsidP="00727B02" w:rsidRDefault="00727B02" w14:paraId="5EC3B36B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BB27D7" w:rsidP="0072184B" w:rsidRDefault="00A71B79" w14:paraId="193E24D1" w14:textId="20F9BC0B">
      <w:pPr>
        <w:pStyle w:val="NoSpacing"/>
        <w:numPr>
          <w:ilvl w:val="0"/>
          <w:numId w:val="30"/>
        </w:numPr>
      </w:pPr>
      <w:r>
        <w:t>Report</w:t>
      </w:r>
      <w:r w:rsidRPr="003D300E">
        <w:t xml:space="preserve"> the number of clients (from 3.1.1.a)</w:t>
      </w:r>
      <w:r w:rsidR="00680DA8">
        <w:t xml:space="preserve"> w</w:t>
      </w:r>
      <w:r w:rsidRPr="003D300E" w:rsidR="00C81C4D">
        <w:t xml:space="preserve">ho received </w:t>
      </w:r>
      <w:r w:rsidR="00142C62">
        <w:t xml:space="preserve">the final dose of </w:t>
      </w:r>
      <w:r w:rsidRPr="003D300E" w:rsidR="00C81C4D">
        <w:t>a complete hepatitis A vaccine series.</w:t>
      </w:r>
    </w:p>
    <w:p w:rsidR="00F55A12" w:rsidP="00F55A12" w:rsidRDefault="00F55A12" w14:paraId="07C4D7AD" w14:textId="77777777">
      <w:pPr>
        <w:pStyle w:val="NoSpacing"/>
        <w:numPr>
          <w:ilvl w:val="0"/>
          <w:numId w:val="30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4069C" w:rsidR="00C177EA" w:rsidP="00350006" w:rsidRDefault="00C177EA" w14:paraId="0EBDCD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Pr="003D300E" w:rsidR="001129B5" w:rsidP="000F0E18" w:rsidRDefault="001129B5" w14:paraId="1EBADB68" w14:textId="55174B68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>Measure</w:t>
      </w:r>
      <w:r w:rsidRPr="003D300E" w:rsidR="000F0E18">
        <w:rPr>
          <w:b/>
          <w:bCs/>
          <w:sz w:val="28"/>
          <w:szCs w:val="28"/>
        </w:rPr>
        <w:t xml:space="preserve"> </w:t>
      </w:r>
      <w:r w:rsidRPr="003D300E">
        <w:rPr>
          <w:b/>
          <w:bCs/>
          <w:sz w:val="28"/>
          <w:szCs w:val="28"/>
        </w:rPr>
        <w:t>3.1.5.c</w:t>
      </w:r>
    </w:p>
    <w:p w:rsidRPr="003D300E" w:rsidR="001129B5" w:rsidP="00C177EA" w:rsidRDefault="00765D6D" w14:paraId="5FF30C8C" w14:textId="070013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C177EA">
        <w:rPr>
          <w:sz w:val="18"/>
          <w:szCs w:val="18"/>
        </w:rPr>
        <w:t xml:space="preserve">umber </w:t>
      </w:r>
      <w:r w:rsidRPr="003D300E" w:rsidR="001129B5">
        <w:rPr>
          <w:rFonts w:cstheme="minorHAnsi"/>
          <w:color w:val="000000"/>
          <w:sz w:val="18"/>
          <w:szCs w:val="18"/>
        </w:rPr>
        <w:t>of hepatitis B vaccination doses administered to clients, by setting serving PWID</w:t>
      </w:r>
      <w:r w:rsidR="001559DF">
        <w:rPr>
          <w:rFonts w:cstheme="minorHAnsi"/>
          <w:color w:val="000000"/>
          <w:sz w:val="18"/>
          <w:szCs w:val="18"/>
        </w:rPr>
        <w:t>, during this reporting period</w:t>
      </w:r>
      <w:r w:rsidRPr="003D300E" w:rsidR="001129B5">
        <w:rPr>
          <w:rFonts w:cstheme="minorHAnsi"/>
          <w:color w:val="000000"/>
          <w:sz w:val="18"/>
          <w:szCs w:val="18"/>
        </w:rPr>
        <w:t xml:space="preserve"> </w:t>
      </w:r>
    </w:p>
    <w:p w:rsidRPr="003D300E" w:rsidR="00C177EA" w:rsidP="00C177EA" w:rsidRDefault="00C177EA" w14:paraId="42C4E5B3" w14:textId="109CF3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680DA8" w:rsidR="00277CD6" w:rsidP="00277CD6" w:rsidRDefault="00B85012" w14:paraId="0EBEF4D9" w14:textId="58E17ADF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rFonts w:cstheme="minorHAnsi"/>
          <w:b/>
          <w:bCs/>
          <w:color w:val="000000"/>
        </w:rPr>
        <w:t xml:space="preserve">Hepatitis B vaccination doses administered </w:t>
      </w:r>
      <w:r w:rsidR="00277CD6">
        <w:rPr>
          <w:b/>
          <w:bCs/>
        </w:rPr>
        <w:t xml:space="preserve">— </w:t>
      </w:r>
      <w:r w:rsidRPr="003D300E" w:rsidR="00277CD6">
        <w:t xml:space="preserve">This is a short-term outcome (years </w:t>
      </w:r>
      <w:r w:rsidRPr="000810E3" w:rsidR="00277CD6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680DA8" w:rsidP="00680DA8" w:rsidRDefault="00680DA8" w14:paraId="64829CD4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1559DF" w:rsidR="00680DA8" w:rsidP="00680DA8" w:rsidRDefault="00680DA8" w14:paraId="01C75E6A" w14:textId="64DBA5CD">
      <w:pPr>
        <w:pStyle w:val="NoSpacing"/>
        <w:numPr>
          <w:ilvl w:val="0"/>
          <w:numId w:val="28"/>
        </w:numPr>
      </w:pPr>
      <w:r>
        <w:t xml:space="preserve">Report </w:t>
      </w:r>
      <w:r w:rsidRPr="003D300E">
        <w:rPr>
          <w:rFonts w:cstheme="minorHAnsi"/>
          <w:color w:val="000000"/>
        </w:rPr>
        <w:t xml:space="preserve">total doses of any hepatitis </w:t>
      </w:r>
      <w:r>
        <w:rPr>
          <w:rFonts w:cstheme="minorHAnsi"/>
          <w:color w:val="000000"/>
        </w:rPr>
        <w:t>B</w:t>
      </w:r>
      <w:r w:rsidRPr="003D300E">
        <w:rPr>
          <w:rFonts w:cstheme="minorHAnsi"/>
          <w:color w:val="000000"/>
        </w:rPr>
        <w:t xml:space="preserve"> vaccine (single antigen or combination) administered</w:t>
      </w:r>
      <w:r>
        <w:rPr>
          <w:rFonts w:cstheme="minorHAnsi"/>
          <w:color w:val="000000"/>
        </w:rPr>
        <w:t>.</w:t>
      </w:r>
    </w:p>
    <w:p w:rsidR="0010647B" w:rsidP="0010647B" w:rsidRDefault="0010647B" w14:paraId="0388329A" w14:textId="77777777">
      <w:pPr>
        <w:pStyle w:val="NoSpacing"/>
        <w:numPr>
          <w:ilvl w:val="0"/>
          <w:numId w:val="28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D300E" w:rsidR="00680DA8" w:rsidP="00680DA8" w:rsidRDefault="00680DA8" w14:paraId="587DC37A" w14:textId="77777777">
      <w:pPr>
        <w:pStyle w:val="NoSpacing"/>
        <w:numPr>
          <w:ilvl w:val="0"/>
          <w:numId w:val="28"/>
        </w:numPr>
      </w:pPr>
      <w:r w:rsidRPr="003D300E">
        <w:rPr>
          <w:rFonts w:cs="Times New Roman"/>
          <w:color w:val="000000"/>
        </w:rPr>
        <w:t>See page 24 in the Notice of Funding Opportunity (CDC-RFA-PS21-2103) for more information.</w:t>
      </w:r>
    </w:p>
    <w:p w:rsidRPr="003D300E" w:rsidR="00C177EA" w:rsidP="00C177EA" w:rsidRDefault="00C177EA" w14:paraId="55521EE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3D300E" w:rsidR="000F0E18" w:rsidP="000F0E18" w:rsidRDefault="001129B5" w14:paraId="1FFDB6C0" w14:textId="6F0C3DB0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0F0E18">
        <w:rPr>
          <w:b/>
          <w:bCs/>
          <w:sz w:val="28"/>
          <w:szCs w:val="28"/>
        </w:rPr>
        <w:t>3.1.5.d</w:t>
      </w:r>
    </w:p>
    <w:p w:rsidRPr="003D300E" w:rsidR="000D11F6" w:rsidP="00C177EA" w:rsidRDefault="00765D6D" w14:paraId="79027283" w14:textId="4674CE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>N</w:t>
      </w:r>
      <w:r w:rsidRPr="003D300E" w:rsidR="00C177EA">
        <w:rPr>
          <w:sz w:val="18"/>
          <w:szCs w:val="18"/>
        </w:rPr>
        <w:t xml:space="preserve">umber </w:t>
      </w:r>
      <w:r w:rsidRPr="003D300E" w:rsidR="000D11F6">
        <w:rPr>
          <w:rFonts w:cstheme="minorHAnsi"/>
          <w:color w:val="000000"/>
          <w:sz w:val="18"/>
          <w:szCs w:val="18"/>
        </w:rPr>
        <w:t>of clients who completed hepatitis B vaccination series, by setting serving PWID</w:t>
      </w:r>
      <w:r w:rsidR="001559DF">
        <w:rPr>
          <w:rFonts w:cstheme="minorHAnsi"/>
          <w:color w:val="000000"/>
          <w:sz w:val="18"/>
          <w:szCs w:val="18"/>
        </w:rPr>
        <w:t>, during this reporting period</w:t>
      </w:r>
      <w:r w:rsidRPr="003D300E" w:rsidR="000D11F6">
        <w:rPr>
          <w:rFonts w:cstheme="minorHAnsi"/>
          <w:color w:val="000000"/>
          <w:sz w:val="18"/>
          <w:szCs w:val="18"/>
        </w:rPr>
        <w:t xml:space="preserve"> </w:t>
      </w:r>
    </w:p>
    <w:p w:rsidRPr="003D300E" w:rsidR="00C177EA" w:rsidP="00C177EA" w:rsidRDefault="00C177EA" w14:paraId="234084BA" w14:textId="7D308E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2E79A8" w:rsidR="00181BAA" w:rsidP="00181BAA" w:rsidRDefault="00181BAA" w14:paraId="71D51A5B" w14:textId="580BC990">
      <w:pPr>
        <w:pStyle w:val="NoSpacing"/>
        <w:numPr>
          <w:ilvl w:val="0"/>
          <w:numId w:val="28"/>
        </w:numPr>
        <w:rPr>
          <w:rStyle w:val="normaltextrun"/>
        </w:rPr>
      </w:pPr>
      <w:r w:rsidRPr="003D300E">
        <w:rPr>
          <w:rFonts w:cstheme="minorHAnsi"/>
          <w:b/>
          <w:bCs/>
          <w:color w:val="000000"/>
        </w:rPr>
        <w:t xml:space="preserve">Clients who completed hepatitis </w:t>
      </w:r>
      <w:r>
        <w:rPr>
          <w:rFonts w:cstheme="minorHAnsi"/>
          <w:b/>
          <w:bCs/>
          <w:color w:val="000000"/>
        </w:rPr>
        <w:t>B</w:t>
      </w:r>
      <w:r w:rsidRPr="003D300E">
        <w:rPr>
          <w:rFonts w:cstheme="minorHAnsi"/>
          <w:b/>
          <w:bCs/>
          <w:color w:val="000000"/>
        </w:rPr>
        <w:t xml:space="preserve"> vaccination series </w:t>
      </w:r>
      <w:r>
        <w:rPr>
          <w:b/>
          <w:bCs/>
        </w:rPr>
        <w:t xml:space="preserve">— </w:t>
      </w:r>
      <w:r w:rsidRPr="003D300E">
        <w:t xml:space="preserve">This is a short-term outcome (years </w:t>
      </w:r>
      <w:r w:rsidRPr="000810E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1–3). </w:t>
      </w:r>
      <w:r w:rsidR="00822430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 </w:t>
      </w:r>
    </w:p>
    <w:p w:rsidRPr="000810E3" w:rsidR="00181BAA" w:rsidP="00181BAA" w:rsidRDefault="00181BAA" w14:paraId="1760FCFD" w14:textId="77777777">
      <w:pPr>
        <w:pStyle w:val="NoSpacing"/>
        <w:numPr>
          <w:ilvl w:val="0"/>
          <w:numId w:val="28"/>
        </w:numPr>
        <w:rPr>
          <w:rFonts w:cs="Times New Roman"/>
          <w:b/>
          <w:bCs/>
          <w:color w:val="000000"/>
        </w:rPr>
      </w:pPr>
      <w:r w:rsidRPr="000810E3">
        <w:rPr>
          <w:rFonts w:cs="Times New Roman"/>
          <w:color w:val="000000"/>
        </w:rPr>
        <w:t xml:space="preserve">Stratify by </w:t>
      </w:r>
      <w:r w:rsidRPr="003D300E">
        <w:t>setting serving PWID</w:t>
      </w:r>
      <w:r>
        <w:t xml:space="preserve"> (one row per setting). </w:t>
      </w:r>
      <w:r w:rsidRPr="003D300E">
        <w:t xml:space="preserve">Choose the appropriate setting from the drop-down list. Report data for all collaborating settings.  </w:t>
      </w:r>
    </w:p>
    <w:p w:rsidRPr="003D300E" w:rsidR="00181BAA" w:rsidP="00181BAA" w:rsidRDefault="00181BAA" w14:paraId="7ED626FC" w14:textId="30F6838D">
      <w:pPr>
        <w:pStyle w:val="NoSpacing"/>
        <w:numPr>
          <w:ilvl w:val="0"/>
          <w:numId w:val="30"/>
        </w:numPr>
      </w:pPr>
      <w:r>
        <w:t>Report</w:t>
      </w:r>
      <w:r w:rsidRPr="003D300E">
        <w:t xml:space="preserve"> the number of clients (from 3.1.1.a)</w:t>
      </w:r>
      <w:r>
        <w:t xml:space="preserve"> w</w:t>
      </w:r>
      <w:r w:rsidRPr="003D300E">
        <w:t xml:space="preserve">ho received </w:t>
      </w:r>
      <w:r>
        <w:t xml:space="preserve">the final dose of </w:t>
      </w:r>
      <w:r w:rsidRPr="003D300E">
        <w:t xml:space="preserve">a complete hepatitis </w:t>
      </w:r>
      <w:r w:rsidR="00E020F5">
        <w:t>B</w:t>
      </w:r>
      <w:r w:rsidRPr="003D300E">
        <w:t xml:space="preserve"> vaccine series.</w:t>
      </w:r>
    </w:p>
    <w:p w:rsidR="00F55A12" w:rsidP="00F55A12" w:rsidRDefault="00F55A12" w14:paraId="0774447C" w14:textId="77777777">
      <w:pPr>
        <w:pStyle w:val="NoSpacing"/>
        <w:numPr>
          <w:ilvl w:val="0"/>
          <w:numId w:val="30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Include total number of settings and total for each column across all settings in last row of table. </w:t>
      </w:r>
    </w:p>
    <w:p w:rsidRPr="0034069C" w:rsidR="00DC6B80" w:rsidP="00133736" w:rsidRDefault="00DC6B80" w14:paraId="3F416589" w14:textId="77777777">
      <w:pPr>
        <w:pStyle w:val="NoSpacing"/>
        <w:rPr>
          <w:b/>
          <w:bCs/>
          <w:sz w:val="18"/>
          <w:szCs w:val="18"/>
        </w:rPr>
      </w:pPr>
    </w:p>
    <w:p w:rsidRPr="003D300E" w:rsidR="001129B5" w:rsidP="00133736" w:rsidRDefault="003D3E10" w14:paraId="0FD3226F" w14:textId="6F5587A3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3.1.6.a </w:t>
      </w:r>
    </w:p>
    <w:p w:rsidRPr="003D300E" w:rsidR="001129B5" w:rsidP="00133736" w:rsidRDefault="001129B5" w14:paraId="61E10EA2" w14:textId="77777777">
      <w:pPr>
        <w:pStyle w:val="NoSpacing"/>
        <w:rPr>
          <w:rFonts w:cstheme="minorHAnsi"/>
          <w:color w:val="000000"/>
          <w:sz w:val="18"/>
          <w:szCs w:val="18"/>
        </w:rPr>
      </w:pPr>
      <w:r w:rsidRPr="003D300E">
        <w:rPr>
          <w:rFonts w:cstheme="minorHAnsi"/>
          <w:color w:val="000000"/>
          <w:sz w:val="18"/>
          <w:szCs w:val="18"/>
        </w:rPr>
        <w:t>How many new confirmed acute hepatitis B cases were reported among people reporting a history of injection drug use in your jurisdiction during this reporting period?</w:t>
      </w:r>
    </w:p>
    <w:p w:rsidRPr="003D300E" w:rsidR="00133736" w:rsidP="00133736" w:rsidRDefault="00133736" w14:paraId="182F40D8" w14:textId="65EE2941">
      <w:pPr>
        <w:pStyle w:val="NoSpacing"/>
      </w:pPr>
    </w:p>
    <w:p w:rsidRPr="003D300E" w:rsidR="0087557E" w:rsidP="0087557E" w:rsidRDefault="00DA2FF3" w14:paraId="0DE3C490" w14:textId="2E552D7B">
      <w:pPr>
        <w:pStyle w:val="NoSpacing"/>
        <w:numPr>
          <w:ilvl w:val="0"/>
          <w:numId w:val="42"/>
        </w:numPr>
        <w:rPr>
          <w:b/>
          <w:bCs/>
          <w:sz w:val="28"/>
          <w:szCs w:val="28"/>
        </w:rPr>
      </w:pPr>
      <w:r w:rsidRPr="0087557E">
        <w:rPr>
          <w:rFonts w:cstheme="minorHAnsi"/>
          <w:b/>
          <w:bCs/>
          <w:color w:val="000000"/>
        </w:rPr>
        <w:t>N</w:t>
      </w:r>
      <w:r w:rsidRPr="0087557E" w:rsidR="004D32A3">
        <w:rPr>
          <w:rFonts w:cstheme="minorHAnsi"/>
          <w:b/>
          <w:bCs/>
          <w:color w:val="000000"/>
        </w:rPr>
        <w:t>ew confirmed acute hepatitis B cases reported among people reporting a history of injection drug</w:t>
      </w:r>
      <w:r w:rsidRPr="0087557E">
        <w:rPr>
          <w:rFonts w:cstheme="minorHAnsi"/>
          <w:b/>
          <w:bCs/>
          <w:color w:val="000000"/>
        </w:rPr>
        <w:t xml:space="preserve"> </w:t>
      </w:r>
      <w:r w:rsidRPr="0087557E" w:rsidR="00B07E84">
        <w:rPr>
          <w:rFonts w:cstheme="minorHAnsi"/>
          <w:b/>
          <w:bCs/>
          <w:color w:val="000000"/>
        </w:rPr>
        <w:t xml:space="preserve">use </w:t>
      </w:r>
      <w:r w:rsidRPr="0087557E">
        <w:rPr>
          <w:b/>
          <w:bCs/>
        </w:rPr>
        <w:t xml:space="preserve">— </w:t>
      </w:r>
      <w:r w:rsidRPr="003D300E" w:rsidR="0087557E">
        <w:t xml:space="preserve">This is </w:t>
      </w:r>
      <w:r w:rsidR="0087557E">
        <w:t>an</w:t>
      </w:r>
      <w:r w:rsidRPr="003D300E" w:rsidR="0087557E">
        <w:t xml:space="preserve"> </w:t>
      </w:r>
      <w:r w:rsidR="0087557E">
        <w:t>intermediate</w:t>
      </w:r>
      <w:r w:rsidRPr="003D300E" w:rsidR="0087557E">
        <w:t xml:space="preserve"> outcome (years </w:t>
      </w:r>
      <w:r w:rsidRPr="0087557E" w:rsidR="0087557E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4–5). </w:t>
      </w:r>
      <w:r w:rsidR="003727A0">
        <w:t xml:space="preserve"> </w:t>
      </w:r>
    </w:p>
    <w:p w:rsidRPr="003D300E" w:rsidR="00F6261A" w:rsidP="00A06D09" w:rsidRDefault="002F339A" w14:paraId="0BE250D3" w14:textId="4E7B1914">
      <w:pPr>
        <w:pStyle w:val="NoSpacing"/>
        <w:numPr>
          <w:ilvl w:val="0"/>
          <w:numId w:val="30"/>
        </w:numPr>
      </w:pPr>
      <w:r w:rsidRPr="003D300E">
        <w:rPr>
          <w:rFonts w:cstheme="minorHAnsi"/>
          <w:color w:val="000000"/>
        </w:rPr>
        <w:t xml:space="preserve">Using </w:t>
      </w:r>
      <w:r w:rsidR="00256ACB">
        <w:rPr>
          <w:rFonts w:cstheme="minorHAnsi"/>
          <w:color w:val="000000"/>
        </w:rPr>
        <w:t xml:space="preserve">jurisdictional </w:t>
      </w:r>
      <w:r w:rsidRPr="003D300E">
        <w:rPr>
          <w:rFonts w:cstheme="minorHAnsi"/>
          <w:color w:val="000000"/>
        </w:rPr>
        <w:t>surveillance data</w:t>
      </w:r>
      <w:r w:rsidRPr="003D300E" w:rsidR="00B36307">
        <w:rPr>
          <w:rFonts w:cstheme="minorHAnsi"/>
          <w:color w:val="000000"/>
        </w:rPr>
        <w:t xml:space="preserve"> for this reporting period</w:t>
      </w:r>
      <w:r w:rsidRPr="003D300E">
        <w:rPr>
          <w:rFonts w:cstheme="minorHAnsi"/>
          <w:color w:val="000000"/>
        </w:rPr>
        <w:t xml:space="preserve">, </w:t>
      </w:r>
      <w:r w:rsidR="00256ACB">
        <w:rPr>
          <w:rFonts w:cstheme="minorHAnsi"/>
          <w:color w:val="000000"/>
        </w:rPr>
        <w:t>report</w:t>
      </w:r>
      <w:r w:rsidRPr="003D300E">
        <w:rPr>
          <w:rFonts w:cstheme="minorHAnsi"/>
          <w:color w:val="000000"/>
        </w:rPr>
        <w:t xml:space="preserve"> the number of </w:t>
      </w:r>
      <w:r w:rsidR="00D47DA0">
        <w:rPr>
          <w:rFonts w:cstheme="minorHAnsi"/>
          <w:color w:val="000000"/>
        </w:rPr>
        <w:t xml:space="preserve">cases of </w:t>
      </w:r>
      <w:r w:rsidRPr="003D300E">
        <w:rPr>
          <w:rFonts w:cstheme="minorHAnsi"/>
          <w:color w:val="000000"/>
        </w:rPr>
        <w:t xml:space="preserve">acute hepatitis B </w:t>
      </w:r>
      <w:r w:rsidR="002A62F2">
        <w:rPr>
          <w:rFonts w:cstheme="minorHAnsi"/>
          <w:color w:val="000000"/>
        </w:rPr>
        <w:t>with</w:t>
      </w:r>
      <w:r w:rsidRPr="003D300E" w:rsidR="00E07EB2">
        <w:rPr>
          <w:rFonts w:cstheme="minorHAnsi"/>
          <w:color w:val="000000"/>
        </w:rPr>
        <w:t xml:space="preserve"> reported</w:t>
      </w:r>
      <w:r w:rsidRPr="003D300E">
        <w:rPr>
          <w:rFonts w:cstheme="minorHAnsi"/>
          <w:color w:val="000000"/>
        </w:rPr>
        <w:t xml:space="preserve"> injection drug use during the incubation period.</w:t>
      </w:r>
    </w:p>
    <w:p w:rsidRPr="003D300E" w:rsidR="001129B5" w:rsidP="00133736" w:rsidRDefault="001129B5" w14:paraId="7A795B55" w14:textId="7574FA5C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lastRenderedPageBreak/>
        <w:t>Measure 3.1.6.b</w:t>
      </w:r>
    </w:p>
    <w:p w:rsidRPr="003D300E" w:rsidR="001129B5" w:rsidP="00133736" w:rsidRDefault="001129B5" w14:paraId="37D56A13" w14:textId="77777777">
      <w:pPr>
        <w:pStyle w:val="NoSpacing"/>
        <w:rPr>
          <w:rFonts w:cstheme="minorHAnsi"/>
          <w:color w:val="000000"/>
          <w:sz w:val="18"/>
          <w:szCs w:val="18"/>
        </w:rPr>
      </w:pPr>
      <w:r w:rsidRPr="003D300E">
        <w:rPr>
          <w:rFonts w:cstheme="minorHAnsi"/>
          <w:color w:val="000000"/>
          <w:sz w:val="18"/>
          <w:szCs w:val="18"/>
        </w:rPr>
        <w:t>How many new confirmed acute hepatitis C cases were reported among people reporting a history of injection drug use in your jurisdiction during this reporting period?</w:t>
      </w:r>
    </w:p>
    <w:p w:rsidRPr="003D300E" w:rsidR="00133736" w:rsidP="00133736" w:rsidRDefault="00133736" w14:paraId="4B2D3A0D" w14:textId="239DD040">
      <w:pPr>
        <w:pStyle w:val="NoSpacing"/>
      </w:pPr>
    </w:p>
    <w:p w:rsidRPr="003D300E" w:rsidR="00196543" w:rsidP="00196543" w:rsidRDefault="00DA2FF3" w14:paraId="6F8901D1" w14:textId="10C8087F">
      <w:pPr>
        <w:pStyle w:val="NoSpacing"/>
        <w:numPr>
          <w:ilvl w:val="0"/>
          <w:numId w:val="42"/>
        </w:numPr>
        <w:rPr>
          <w:b/>
          <w:bCs/>
          <w:sz w:val="28"/>
          <w:szCs w:val="28"/>
        </w:rPr>
      </w:pPr>
      <w:r>
        <w:rPr>
          <w:rFonts w:cstheme="minorHAnsi"/>
          <w:b/>
          <w:bCs/>
          <w:color w:val="000000"/>
        </w:rPr>
        <w:t>N</w:t>
      </w:r>
      <w:r w:rsidRPr="003D300E" w:rsidR="00496740">
        <w:rPr>
          <w:rFonts w:cstheme="minorHAnsi"/>
          <w:b/>
          <w:bCs/>
          <w:color w:val="000000"/>
        </w:rPr>
        <w:t xml:space="preserve">ew confirmed acute hepatitis C cases reported among people reporting a history of injection drug use </w:t>
      </w:r>
      <w:r w:rsidR="00B07E84">
        <w:rPr>
          <w:b/>
          <w:bCs/>
        </w:rPr>
        <w:t>—</w:t>
      </w:r>
      <w:r w:rsidRPr="003D300E" w:rsidR="00B07E84">
        <w:rPr>
          <w:b/>
          <w:bCs/>
        </w:rPr>
        <w:t xml:space="preserve"> </w:t>
      </w:r>
      <w:r w:rsidRPr="003D300E" w:rsidR="00196543">
        <w:t xml:space="preserve">This is </w:t>
      </w:r>
      <w:r w:rsidR="00196543">
        <w:t>an</w:t>
      </w:r>
      <w:r w:rsidRPr="003D300E" w:rsidR="00196543">
        <w:t xml:space="preserve"> </w:t>
      </w:r>
      <w:r w:rsidR="00196543">
        <w:t>intermediate</w:t>
      </w:r>
      <w:r w:rsidRPr="003D300E" w:rsidR="00196543">
        <w:t xml:space="preserve"> outcome (years </w:t>
      </w:r>
      <w:r w:rsidRPr="0087557E" w:rsidR="0019654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4–5). </w:t>
      </w:r>
      <w:r w:rsidR="009C26D6">
        <w:t xml:space="preserve"> </w:t>
      </w:r>
    </w:p>
    <w:p w:rsidRPr="003D300E" w:rsidR="00496740" w:rsidP="002A62F2" w:rsidRDefault="002A62F2" w14:paraId="54A2F5EE" w14:textId="05C3B3DA">
      <w:pPr>
        <w:pStyle w:val="NoSpacing"/>
        <w:numPr>
          <w:ilvl w:val="0"/>
          <w:numId w:val="30"/>
        </w:numPr>
      </w:pPr>
      <w:r w:rsidRPr="003D300E">
        <w:rPr>
          <w:rFonts w:cstheme="minorHAnsi"/>
          <w:color w:val="000000"/>
        </w:rPr>
        <w:t xml:space="preserve">Using </w:t>
      </w:r>
      <w:r>
        <w:rPr>
          <w:rFonts w:cstheme="minorHAnsi"/>
          <w:color w:val="000000"/>
        </w:rPr>
        <w:t xml:space="preserve">jurisdictional </w:t>
      </w:r>
      <w:r w:rsidRPr="003D300E">
        <w:rPr>
          <w:rFonts w:cstheme="minorHAnsi"/>
          <w:color w:val="000000"/>
        </w:rPr>
        <w:t xml:space="preserve">surveillance data for this reporting period, </w:t>
      </w:r>
      <w:r>
        <w:rPr>
          <w:rFonts w:cstheme="minorHAnsi"/>
          <w:color w:val="000000"/>
        </w:rPr>
        <w:t>report</w:t>
      </w:r>
      <w:r w:rsidRPr="003D300E">
        <w:rPr>
          <w:rFonts w:cstheme="minorHAnsi"/>
          <w:color w:val="000000"/>
        </w:rPr>
        <w:t xml:space="preserve"> the</w:t>
      </w:r>
      <w:r w:rsidR="00CD668D">
        <w:rPr>
          <w:rFonts w:cstheme="minorHAnsi"/>
          <w:color w:val="000000"/>
        </w:rPr>
        <w:t xml:space="preserve"> number of</w:t>
      </w:r>
      <w:r>
        <w:rPr>
          <w:rFonts w:cstheme="minorHAnsi"/>
          <w:color w:val="000000"/>
        </w:rPr>
        <w:t xml:space="preserve"> cases of acute hepatitis C with </w:t>
      </w:r>
      <w:r w:rsidRPr="002A62F2" w:rsidR="00496740">
        <w:rPr>
          <w:rFonts w:cstheme="minorHAnsi"/>
          <w:color w:val="000000"/>
        </w:rPr>
        <w:t>reported injection drug use during the incubation period.</w:t>
      </w:r>
    </w:p>
    <w:p w:rsidRPr="003D300E" w:rsidR="00133736" w:rsidP="00133736" w:rsidRDefault="00133736" w14:paraId="71FFA0BB" w14:textId="77777777">
      <w:pPr>
        <w:pStyle w:val="NoSpacing"/>
      </w:pPr>
    </w:p>
    <w:p w:rsidRPr="003D300E" w:rsidR="001129B5" w:rsidP="00133736" w:rsidRDefault="001129B5" w14:paraId="2B1DFA95" w14:textId="67D756E3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3D3E10">
        <w:rPr>
          <w:b/>
          <w:bCs/>
          <w:sz w:val="28"/>
          <w:szCs w:val="28"/>
        </w:rPr>
        <w:t>3.1.6.c</w:t>
      </w:r>
    </w:p>
    <w:p w:rsidRPr="003D300E" w:rsidR="001129B5" w:rsidP="00133736" w:rsidRDefault="001129B5" w14:paraId="19F960E8" w14:textId="77777777">
      <w:pPr>
        <w:pStyle w:val="NoSpacing"/>
        <w:rPr>
          <w:rFonts w:cstheme="minorHAnsi"/>
          <w:color w:val="000000"/>
          <w:sz w:val="18"/>
          <w:szCs w:val="18"/>
        </w:rPr>
      </w:pPr>
      <w:r w:rsidRPr="003D300E">
        <w:rPr>
          <w:rFonts w:cstheme="minorHAnsi"/>
          <w:color w:val="000000"/>
          <w:sz w:val="18"/>
          <w:szCs w:val="18"/>
        </w:rPr>
        <w:t>How many new confirmed HIV cases were reported among people reporting a history of injection drug use in your jurisdiction during this reporting period?</w:t>
      </w:r>
    </w:p>
    <w:p w:rsidRPr="003D300E" w:rsidR="00133736" w:rsidP="00133736" w:rsidRDefault="00133736" w14:paraId="518992B5" w14:textId="4DE24636">
      <w:pPr>
        <w:pStyle w:val="NoSpacing"/>
      </w:pPr>
    </w:p>
    <w:p w:rsidRPr="003D300E" w:rsidR="00196543" w:rsidP="00196543" w:rsidRDefault="00B07E84" w14:paraId="645FDC26" w14:textId="6C8C4B0C">
      <w:pPr>
        <w:pStyle w:val="NoSpacing"/>
        <w:numPr>
          <w:ilvl w:val="0"/>
          <w:numId w:val="42"/>
        </w:numPr>
        <w:rPr>
          <w:b/>
          <w:bCs/>
          <w:sz w:val="28"/>
          <w:szCs w:val="28"/>
        </w:rPr>
      </w:pPr>
      <w:r>
        <w:rPr>
          <w:rFonts w:cstheme="minorHAnsi"/>
          <w:b/>
          <w:bCs/>
          <w:color w:val="000000"/>
        </w:rPr>
        <w:t>N</w:t>
      </w:r>
      <w:r w:rsidRPr="003D300E" w:rsidR="00B36307">
        <w:rPr>
          <w:rFonts w:cstheme="minorHAnsi"/>
          <w:b/>
          <w:bCs/>
          <w:color w:val="000000"/>
        </w:rPr>
        <w:t xml:space="preserve">ew confirmed HIV cases reported among people reporting a history of injection drug use </w:t>
      </w:r>
      <w:r>
        <w:rPr>
          <w:b/>
          <w:bCs/>
        </w:rPr>
        <w:t>—</w:t>
      </w:r>
      <w:r w:rsidRPr="003D300E">
        <w:rPr>
          <w:b/>
          <w:bCs/>
        </w:rPr>
        <w:t xml:space="preserve"> </w:t>
      </w:r>
      <w:r w:rsidRPr="003D300E" w:rsidR="00196543">
        <w:t xml:space="preserve">This is </w:t>
      </w:r>
      <w:r w:rsidR="00196543">
        <w:t>an</w:t>
      </w:r>
      <w:r w:rsidRPr="003D300E" w:rsidR="00196543">
        <w:t xml:space="preserve"> </w:t>
      </w:r>
      <w:r w:rsidR="00196543">
        <w:t>intermediate</w:t>
      </w:r>
      <w:r w:rsidRPr="003D300E" w:rsidR="00196543">
        <w:t xml:space="preserve"> outcome (years </w:t>
      </w:r>
      <w:r w:rsidRPr="0087557E" w:rsidR="0019654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4–5). </w:t>
      </w:r>
      <w:r w:rsidR="009C26D6">
        <w:t xml:space="preserve"> </w:t>
      </w:r>
    </w:p>
    <w:p w:rsidRPr="003D300E" w:rsidR="001767B0" w:rsidP="001767B0" w:rsidRDefault="001767B0" w14:paraId="2B86D7D0" w14:textId="420C9D52">
      <w:pPr>
        <w:pStyle w:val="NoSpacing"/>
        <w:numPr>
          <w:ilvl w:val="0"/>
          <w:numId w:val="30"/>
        </w:numPr>
      </w:pPr>
      <w:r w:rsidRPr="003D300E">
        <w:rPr>
          <w:rFonts w:cstheme="minorHAnsi"/>
          <w:color w:val="000000"/>
        </w:rPr>
        <w:t xml:space="preserve">Using </w:t>
      </w:r>
      <w:r>
        <w:rPr>
          <w:rFonts w:cstheme="minorHAnsi"/>
          <w:color w:val="000000"/>
        </w:rPr>
        <w:t xml:space="preserve">jurisdictional </w:t>
      </w:r>
      <w:r w:rsidRPr="003D300E">
        <w:rPr>
          <w:rFonts w:cstheme="minorHAnsi"/>
          <w:color w:val="000000"/>
        </w:rPr>
        <w:t xml:space="preserve">surveillance data for this reporting period, </w:t>
      </w:r>
      <w:r>
        <w:rPr>
          <w:rFonts w:cstheme="minorHAnsi"/>
          <w:color w:val="000000"/>
        </w:rPr>
        <w:t>report</w:t>
      </w:r>
      <w:r w:rsidRPr="003D300E">
        <w:rPr>
          <w:rFonts w:cstheme="minorHAnsi"/>
          <w:color w:val="000000"/>
        </w:rPr>
        <w:t xml:space="preserve"> the</w:t>
      </w:r>
      <w:r>
        <w:rPr>
          <w:rFonts w:cstheme="minorHAnsi"/>
          <w:color w:val="000000"/>
        </w:rPr>
        <w:t xml:space="preserve"> </w:t>
      </w:r>
      <w:r w:rsidR="00CD668D">
        <w:rPr>
          <w:rFonts w:cstheme="minorHAnsi"/>
          <w:color w:val="000000"/>
        </w:rPr>
        <w:t xml:space="preserve">number of </w:t>
      </w:r>
      <w:r>
        <w:rPr>
          <w:rFonts w:cstheme="minorHAnsi"/>
          <w:color w:val="000000"/>
        </w:rPr>
        <w:t xml:space="preserve">cases of confirmed HIV infection with </w:t>
      </w:r>
      <w:r w:rsidRPr="002A62F2">
        <w:rPr>
          <w:rFonts w:cstheme="minorHAnsi"/>
          <w:color w:val="000000"/>
        </w:rPr>
        <w:t xml:space="preserve">reported injection drug use </w:t>
      </w:r>
      <w:r w:rsidR="007C30EA">
        <w:rPr>
          <w:rFonts w:cstheme="minorHAnsi"/>
          <w:color w:val="000000"/>
        </w:rPr>
        <w:t>as a risk factor</w:t>
      </w:r>
      <w:r w:rsidRPr="002A62F2">
        <w:rPr>
          <w:rFonts w:cstheme="minorHAnsi"/>
          <w:color w:val="000000"/>
        </w:rPr>
        <w:t>.</w:t>
      </w:r>
    </w:p>
    <w:p w:rsidRPr="003D300E" w:rsidR="003B1578" w:rsidP="00133736" w:rsidRDefault="003B1578" w14:paraId="1144FC67" w14:textId="77777777">
      <w:pPr>
        <w:pStyle w:val="NoSpacing"/>
      </w:pPr>
    </w:p>
    <w:p w:rsidRPr="003D300E" w:rsidR="003D3E10" w:rsidP="00133736" w:rsidRDefault="001129B5" w14:paraId="53E447DB" w14:textId="2118DAAB">
      <w:pPr>
        <w:pStyle w:val="NoSpacing"/>
        <w:rPr>
          <w:b/>
          <w:bCs/>
          <w:sz w:val="28"/>
          <w:szCs w:val="28"/>
        </w:rPr>
      </w:pPr>
      <w:r w:rsidRPr="003D300E">
        <w:rPr>
          <w:b/>
          <w:bCs/>
          <w:sz w:val="28"/>
          <w:szCs w:val="28"/>
        </w:rPr>
        <w:t xml:space="preserve">Measure </w:t>
      </w:r>
      <w:r w:rsidRPr="003D300E" w:rsidR="00610988">
        <w:rPr>
          <w:b/>
          <w:bCs/>
          <w:sz w:val="28"/>
          <w:szCs w:val="28"/>
        </w:rPr>
        <w:t>3.1.7.a</w:t>
      </w:r>
    </w:p>
    <w:p w:rsidRPr="003D300E" w:rsidR="003D3E10" w:rsidP="00133736" w:rsidRDefault="001129B5" w14:paraId="2EA23158" w14:textId="2DC6231B">
      <w:pPr>
        <w:pStyle w:val="NoSpacing"/>
        <w:rPr>
          <w:sz w:val="18"/>
          <w:szCs w:val="18"/>
        </w:rPr>
      </w:pPr>
      <w:r w:rsidRPr="003D300E">
        <w:rPr>
          <w:sz w:val="18"/>
          <w:szCs w:val="18"/>
        </w:rPr>
        <w:t>Do you report hepatitis C viral clearance cas</w:t>
      </w:r>
      <w:r w:rsidRPr="003D300E" w:rsidR="000F77A8">
        <w:rPr>
          <w:sz w:val="18"/>
          <w:szCs w:val="18"/>
        </w:rPr>
        <w:t>c</w:t>
      </w:r>
      <w:r w:rsidRPr="003D300E">
        <w:rPr>
          <w:sz w:val="18"/>
          <w:szCs w:val="18"/>
        </w:rPr>
        <w:t>ade data for reported cases among people reporting a history of injection drug use in your jurisdiction?</w:t>
      </w:r>
    </w:p>
    <w:p w:rsidRPr="003D300E" w:rsidR="001129B5" w:rsidP="00133736" w:rsidRDefault="001129B5" w14:paraId="3FED7358" w14:textId="136ECBB7">
      <w:pPr>
        <w:pStyle w:val="NoSpacing"/>
      </w:pPr>
    </w:p>
    <w:p w:rsidRPr="003D300E" w:rsidR="00196543" w:rsidP="00196543" w:rsidRDefault="0061024F" w14:paraId="0EDD455C" w14:textId="6688FB65">
      <w:pPr>
        <w:pStyle w:val="NoSpacing"/>
        <w:numPr>
          <w:ilvl w:val="0"/>
          <w:numId w:val="42"/>
        </w:numPr>
        <w:rPr>
          <w:b/>
          <w:bCs/>
          <w:sz w:val="28"/>
          <w:szCs w:val="28"/>
        </w:rPr>
      </w:pPr>
      <w:r w:rsidRPr="003D300E">
        <w:rPr>
          <w:rFonts w:cstheme="minorHAnsi"/>
          <w:b/>
          <w:bCs/>
          <w:color w:val="000000"/>
        </w:rPr>
        <w:t>Do you report hepatitis C viral clearance cascade data for reported cases among people reporting a history of injection drug use in your jurisdiction?</w:t>
      </w:r>
      <w:r w:rsidRPr="003D300E" w:rsidR="00D57C07">
        <w:rPr>
          <w:rFonts w:cstheme="minorHAnsi"/>
          <w:b/>
          <w:bCs/>
          <w:color w:val="000000"/>
        </w:rPr>
        <w:t xml:space="preserve"> </w:t>
      </w:r>
      <w:r w:rsidRPr="003D300E" w:rsidR="00196543">
        <w:t xml:space="preserve">This is </w:t>
      </w:r>
      <w:r w:rsidR="00196543">
        <w:t>an</w:t>
      </w:r>
      <w:r w:rsidRPr="003D300E" w:rsidR="00196543">
        <w:t xml:space="preserve"> </w:t>
      </w:r>
      <w:r w:rsidR="00196543">
        <w:t>intermediate</w:t>
      </w:r>
      <w:r w:rsidRPr="003D300E" w:rsidR="00196543">
        <w:t xml:space="preserve"> outcome (years </w:t>
      </w:r>
      <w:r w:rsidRPr="0087557E" w:rsidR="00196543">
        <w:rPr>
          <w:rStyle w:val="normaltextrun"/>
          <w:rFonts w:ascii="Calibri" w:hAnsi="Calibri"/>
          <w:color w:val="000000"/>
          <w:bdr w:val="none" w:color="auto" w:sz="0" w:space="0" w:frame="1"/>
        </w:rPr>
        <w:t xml:space="preserve">4–5). </w:t>
      </w:r>
      <w:r w:rsidR="009C26D6">
        <w:t xml:space="preserve"> </w:t>
      </w:r>
    </w:p>
    <w:p w:rsidRPr="003D300E" w:rsidR="00515270" w:rsidP="00A06D09" w:rsidRDefault="00E17809" w14:paraId="25B1547B" w14:textId="2659C528">
      <w:pPr>
        <w:pStyle w:val="NoSpacing"/>
        <w:numPr>
          <w:ilvl w:val="0"/>
          <w:numId w:val="30"/>
        </w:numPr>
      </w:pPr>
      <w:r w:rsidRPr="003D300E">
        <w:rPr>
          <w:rFonts w:cstheme="minorHAnsi"/>
          <w:color w:val="000000"/>
        </w:rPr>
        <w:t xml:space="preserve">Respond “yes” if your jurisdiction publishes a clearance cascade for persons </w:t>
      </w:r>
      <w:r w:rsidRPr="003D300E" w:rsidR="00C568AF">
        <w:rPr>
          <w:rFonts w:cstheme="minorHAnsi"/>
          <w:color w:val="000000"/>
        </w:rPr>
        <w:t xml:space="preserve">reporting injection drug use as a risk factor for acute or chronic hepatitis C. </w:t>
      </w:r>
      <w:r w:rsidRPr="003D300E" w:rsidR="001A039A">
        <w:rPr>
          <w:rFonts w:cstheme="minorHAnsi"/>
          <w:color w:val="000000"/>
        </w:rPr>
        <w:t>Otherwise, respond “no.”</w:t>
      </w:r>
      <w:r w:rsidR="001C2C93">
        <w:rPr>
          <w:rFonts w:cstheme="minorHAnsi"/>
          <w:color w:val="000000"/>
        </w:rPr>
        <w:t xml:space="preserve"> Care cascade</w:t>
      </w:r>
      <w:r w:rsidR="00A76F14">
        <w:rPr>
          <w:rFonts w:cstheme="minorHAnsi"/>
          <w:color w:val="000000"/>
        </w:rPr>
        <w:t xml:space="preserve"> data are</w:t>
      </w:r>
      <w:r w:rsidR="001C2C93">
        <w:rPr>
          <w:rFonts w:cstheme="minorHAnsi"/>
          <w:color w:val="000000"/>
        </w:rPr>
        <w:t xml:space="preserve"> counted</w:t>
      </w:r>
      <w:r w:rsidR="00C455CC">
        <w:rPr>
          <w:rFonts w:cstheme="minorHAnsi"/>
          <w:color w:val="000000"/>
        </w:rPr>
        <w:t xml:space="preserve"> as “reported”</w:t>
      </w:r>
      <w:r w:rsidR="001C2C93">
        <w:rPr>
          <w:rFonts w:cstheme="minorHAnsi"/>
          <w:color w:val="000000"/>
        </w:rPr>
        <w:t xml:space="preserve"> if published </w:t>
      </w:r>
      <w:r w:rsidR="00190E5A">
        <w:rPr>
          <w:rFonts w:cstheme="minorHAnsi"/>
          <w:color w:val="000000"/>
        </w:rPr>
        <w:t xml:space="preserve">(e.g., </w:t>
      </w:r>
      <w:r w:rsidR="001C2C93">
        <w:rPr>
          <w:rFonts w:cstheme="minorHAnsi"/>
          <w:color w:val="000000"/>
        </w:rPr>
        <w:t>on a website</w:t>
      </w:r>
      <w:r w:rsidR="00190E5A">
        <w:rPr>
          <w:rFonts w:cstheme="minorHAnsi"/>
          <w:color w:val="000000"/>
        </w:rPr>
        <w:t>)</w:t>
      </w:r>
      <w:r w:rsidR="001C2C93">
        <w:rPr>
          <w:rFonts w:cstheme="minorHAnsi"/>
          <w:color w:val="000000"/>
        </w:rPr>
        <w:t xml:space="preserve"> or if shared with partners.  </w:t>
      </w:r>
    </w:p>
    <w:p w:rsidRPr="003D300E" w:rsidR="00756B84" w:rsidP="00282003" w:rsidRDefault="00756B84" w14:paraId="6ACBF8D1" w14:textId="3D392047">
      <w:pPr>
        <w:pStyle w:val="NoSpacing"/>
        <w:ind w:left="720"/>
        <w:rPr>
          <w:i/>
          <w:iCs/>
          <w:color w:val="FF0000"/>
        </w:rPr>
      </w:pPr>
    </w:p>
    <w:sectPr w:rsidRPr="003D300E" w:rsidR="00756B84" w:rsidSect="000D1C10">
      <w:headerReference w:type="default" r:id="rId15"/>
      <w:footerReference w:type="default" r:id="rId16"/>
      <w:pgSz w:w="12240" w:h="15840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0292D" w14:textId="77777777" w:rsidR="0029764D" w:rsidRDefault="0029764D" w:rsidP="003E409B">
      <w:pPr>
        <w:spacing w:after="0" w:line="240" w:lineRule="auto"/>
      </w:pPr>
      <w:r>
        <w:separator/>
      </w:r>
    </w:p>
  </w:endnote>
  <w:endnote w:type="continuationSeparator" w:id="0">
    <w:p w14:paraId="62D6A943" w14:textId="77777777" w:rsidR="0029764D" w:rsidRDefault="0029764D" w:rsidP="003E409B">
      <w:pPr>
        <w:spacing w:after="0" w:line="240" w:lineRule="auto"/>
      </w:pPr>
      <w:r>
        <w:continuationSeparator/>
      </w:r>
    </w:p>
  </w:endnote>
  <w:endnote w:type="continuationNotice" w:id="1">
    <w:p w14:paraId="08241201" w14:textId="77777777" w:rsidR="0029764D" w:rsidRDefault="00297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ABD4D" w14:textId="498A4C87" w:rsidR="006D043E" w:rsidRDefault="003F079D">
    <w:pPr>
      <w:pStyle w:val="Footer"/>
      <w:jc w:val="right"/>
    </w:pPr>
    <w:sdt>
      <w:sdtPr>
        <w:id w:val="2141906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043E">
          <w:fldChar w:fldCharType="begin"/>
        </w:r>
        <w:r w:rsidR="006D043E">
          <w:instrText xml:space="preserve"> PAGE   \* MERGEFORMAT </w:instrText>
        </w:r>
        <w:r w:rsidR="006D043E">
          <w:fldChar w:fldCharType="separate"/>
        </w:r>
        <w:r w:rsidR="006D043E">
          <w:rPr>
            <w:noProof/>
          </w:rPr>
          <w:t>2</w:t>
        </w:r>
        <w:r w:rsidR="006D043E">
          <w:rPr>
            <w:noProof/>
          </w:rPr>
          <w:fldChar w:fldCharType="end"/>
        </w:r>
      </w:sdtContent>
    </w:sdt>
  </w:p>
  <w:p w14:paraId="7494B54C" w14:textId="3F2168E1" w:rsidR="0091341C" w:rsidRDefault="00913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83193" w14:textId="77777777" w:rsidR="0029764D" w:rsidRDefault="0029764D" w:rsidP="003E409B">
      <w:pPr>
        <w:spacing w:after="0" w:line="240" w:lineRule="auto"/>
      </w:pPr>
      <w:r>
        <w:separator/>
      </w:r>
    </w:p>
  </w:footnote>
  <w:footnote w:type="continuationSeparator" w:id="0">
    <w:p w14:paraId="124C42AE" w14:textId="77777777" w:rsidR="0029764D" w:rsidRDefault="0029764D" w:rsidP="003E409B">
      <w:pPr>
        <w:spacing w:after="0" w:line="240" w:lineRule="auto"/>
      </w:pPr>
      <w:r>
        <w:continuationSeparator/>
      </w:r>
    </w:p>
  </w:footnote>
  <w:footnote w:type="continuationNotice" w:id="1">
    <w:p w14:paraId="22CAAB25" w14:textId="77777777" w:rsidR="0029764D" w:rsidRDefault="00297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79AD" w14:textId="10AFC794" w:rsidR="0091341C" w:rsidRPr="007E58DC" w:rsidRDefault="00F73998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b/>
        <w:bCs/>
      </w:rPr>
    </w:pPr>
    <w:r>
      <w:rPr>
        <w:b/>
        <w:bCs/>
      </w:rPr>
      <w:t xml:space="preserve">Annual Performance Report—Component </w:t>
    </w:r>
    <w:r w:rsidR="006C1F57">
      <w:rPr>
        <w:b/>
        <w:bCs/>
      </w:rPr>
      <w:t>3</w:t>
    </w:r>
    <w:r w:rsidR="00637825">
      <w:rPr>
        <w:b/>
        <w:bCs/>
      </w:rPr>
      <w:t>: Form Instructions</w:t>
    </w:r>
  </w:p>
  <w:p w14:paraId="719401F2" w14:textId="278F9E9E" w:rsidR="007E58DC" w:rsidRPr="007E58DC" w:rsidRDefault="007E58DC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i/>
        <w:iCs/>
      </w:rPr>
    </w:pPr>
    <w:r w:rsidRPr="007E58DC">
      <w:rPr>
        <w:i/>
        <w:iCs/>
      </w:rPr>
      <w:t>Integrated Viral Hepatitis Surveillance and Prevention Funding for Health Departments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17D6B6"/>
    <w:multiLevelType w:val="hybridMultilevel"/>
    <w:tmpl w:val="BD4952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0337AF"/>
    <w:multiLevelType w:val="hybridMultilevel"/>
    <w:tmpl w:val="20E988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133237D"/>
    <w:multiLevelType w:val="hybridMultilevel"/>
    <w:tmpl w:val="CD141F88"/>
    <w:lvl w:ilvl="0" w:tplc="18062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5E5834"/>
    <w:multiLevelType w:val="hybridMultilevel"/>
    <w:tmpl w:val="32AC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8B678F"/>
    <w:multiLevelType w:val="multilevel"/>
    <w:tmpl w:val="57D4F600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B700FD"/>
    <w:multiLevelType w:val="hybridMultilevel"/>
    <w:tmpl w:val="E278A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A720CA"/>
    <w:multiLevelType w:val="hybridMultilevel"/>
    <w:tmpl w:val="2D8A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125BF1"/>
    <w:multiLevelType w:val="hybridMultilevel"/>
    <w:tmpl w:val="C8064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31489B"/>
    <w:multiLevelType w:val="multilevel"/>
    <w:tmpl w:val="274012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BB6B8B"/>
    <w:multiLevelType w:val="hybridMultilevel"/>
    <w:tmpl w:val="2188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0A4306"/>
    <w:multiLevelType w:val="hybridMultilevel"/>
    <w:tmpl w:val="F2C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73A85"/>
    <w:multiLevelType w:val="hybridMultilevel"/>
    <w:tmpl w:val="93466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E03C35"/>
    <w:multiLevelType w:val="hybridMultilevel"/>
    <w:tmpl w:val="AC501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E05585"/>
    <w:multiLevelType w:val="hybridMultilevel"/>
    <w:tmpl w:val="292CF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05341F"/>
    <w:multiLevelType w:val="hybridMultilevel"/>
    <w:tmpl w:val="E5767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586373"/>
    <w:multiLevelType w:val="multilevel"/>
    <w:tmpl w:val="E902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1489B"/>
    <w:multiLevelType w:val="multilevel"/>
    <w:tmpl w:val="39B0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22950"/>
    <w:multiLevelType w:val="hybridMultilevel"/>
    <w:tmpl w:val="4656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B0302"/>
    <w:multiLevelType w:val="hybridMultilevel"/>
    <w:tmpl w:val="52E47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63768D"/>
    <w:multiLevelType w:val="hybridMultilevel"/>
    <w:tmpl w:val="CC8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5443E"/>
    <w:multiLevelType w:val="hybridMultilevel"/>
    <w:tmpl w:val="8920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7069A"/>
    <w:multiLevelType w:val="hybridMultilevel"/>
    <w:tmpl w:val="DDBA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1146F"/>
    <w:multiLevelType w:val="hybridMultilevel"/>
    <w:tmpl w:val="41549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9E1968"/>
    <w:multiLevelType w:val="hybridMultilevel"/>
    <w:tmpl w:val="26E2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36004"/>
    <w:multiLevelType w:val="hybridMultilevel"/>
    <w:tmpl w:val="733C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F69BF"/>
    <w:multiLevelType w:val="hybridMultilevel"/>
    <w:tmpl w:val="2C88A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B067C7"/>
    <w:multiLevelType w:val="hybridMultilevel"/>
    <w:tmpl w:val="00F4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011B3"/>
    <w:multiLevelType w:val="hybridMultilevel"/>
    <w:tmpl w:val="549A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B5A0C"/>
    <w:multiLevelType w:val="hybridMultilevel"/>
    <w:tmpl w:val="4760A0FE"/>
    <w:lvl w:ilvl="0" w:tplc="DFF8C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8461C"/>
    <w:multiLevelType w:val="hybridMultilevel"/>
    <w:tmpl w:val="CB0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C041E"/>
    <w:multiLevelType w:val="hybridMultilevel"/>
    <w:tmpl w:val="2C842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886493"/>
    <w:multiLevelType w:val="multilevel"/>
    <w:tmpl w:val="38F4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C566C"/>
    <w:multiLevelType w:val="multilevel"/>
    <w:tmpl w:val="84F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F5B1D"/>
    <w:multiLevelType w:val="hybridMultilevel"/>
    <w:tmpl w:val="78CEF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32"/>
  </w:num>
  <w:num w:numId="12">
    <w:abstractNumId w:val="40"/>
  </w:num>
  <w:num w:numId="13">
    <w:abstractNumId w:val="16"/>
  </w:num>
  <w:num w:numId="14">
    <w:abstractNumId w:val="13"/>
  </w:num>
  <w:num w:numId="15">
    <w:abstractNumId w:val="20"/>
  </w:num>
  <w:num w:numId="16">
    <w:abstractNumId w:val="21"/>
  </w:num>
  <w:num w:numId="17">
    <w:abstractNumId w:val="19"/>
  </w:num>
  <w:num w:numId="18">
    <w:abstractNumId w:val="43"/>
  </w:num>
  <w:num w:numId="19">
    <w:abstractNumId w:val="34"/>
  </w:num>
  <w:num w:numId="20">
    <w:abstractNumId w:val="28"/>
  </w:num>
  <w:num w:numId="21">
    <w:abstractNumId w:val="23"/>
  </w:num>
  <w:num w:numId="22">
    <w:abstractNumId w:val="35"/>
  </w:num>
  <w:num w:numId="23">
    <w:abstractNumId w:val="0"/>
  </w:num>
  <w:num w:numId="24">
    <w:abstractNumId w:val="22"/>
  </w:num>
  <w:num w:numId="25">
    <w:abstractNumId w:val="1"/>
  </w:num>
  <w:num w:numId="26">
    <w:abstractNumId w:val="24"/>
  </w:num>
  <w:num w:numId="27">
    <w:abstractNumId w:val="17"/>
  </w:num>
  <w:num w:numId="28">
    <w:abstractNumId w:val="29"/>
  </w:num>
  <w:num w:numId="29">
    <w:abstractNumId w:val="30"/>
  </w:num>
  <w:num w:numId="30">
    <w:abstractNumId w:val="31"/>
  </w:num>
  <w:num w:numId="31">
    <w:abstractNumId w:val="12"/>
  </w:num>
  <w:num w:numId="32">
    <w:abstractNumId w:val="39"/>
  </w:num>
  <w:num w:numId="33">
    <w:abstractNumId w:val="25"/>
  </w:num>
  <w:num w:numId="34">
    <w:abstractNumId w:val="14"/>
  </w:num>
  <w:num w:numId="35">
    <w:abstractNumId w:val="18"/>
  </w:num>
  <w:num w:numId="36">
    <w:abstractNumId w:val="41"/>
  </w:num>
  <w:num w:numId="37">
    <w:abstractNumId w:val="42"/>
  </w:num>
  <w:num w:numId="38">
    <w:abstractNumId w:val="26"/>
  </w:num>
  <w:num w:numId="39">
    <w:abstractNumId w:val="15"/>
  </w:num>
  <w:num w:numId="40">
    <w:abstractNumId w:val="27"/>
  </w:num>
  <w:num w:numId="41">
    <w:abstractNumId w:val="37"/>
  </w:num>
  <w:num w:numId="42">
    <w:abstractNumId w:val="38"/>
  </w:num>
  <w:num w:numId="43">
    <w:abstractNumId w:val="33"/>
  </w:num>
  <w:num w:numId="44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2A72"/>
    <w:rsid w:val="00002C27"/>
    <w:rsid w:val="0000394C"/>
    <w:rsid w:val="0000560F"/>
    <w:rsid w:val="000071F1"/>
    <w:rsid w:val="00007BCF"/>
    <w:rsid w:val="000118E9"/>
    <w:rsid w:val="00013D53"/>
    <w:rsid w:val="0001467E"/>
    <w:rsid w:val="00020F25"/>
    <w:rsid w:val="00021CAF"/>
    <w:rsid w:val="00021E88"/>
    <w:rsid w:val="00021EF7"/>
    <w:rsid w:val="00022D07"/>
    <w:rsid w:val="000246E9"/>
    <w:rsid w:val="00025D0A"/>
    <w:rsid w:val="0003111D"/>
    <w:rsid w:val="000331E9"/>
    <w:rsid w:val="00036AA9"/>
    <w:rsid w:val="00036AB7"/>
    <w:rsid w:val="00036B3A"/>
    <w:rsid w:val="00037349"/>
    <w:rsid w:val="00037A60"/>
    <w:rsid w:val="00037D5A"/>
    <w:rsid w:val="00037EE3"/>
    <w:rsid w:val="00040E6D"/>
    <w:rsid w:val="00040E88"/>
    <w:rsid w:val="0004265D"/>
    <w:rsid w:val="000432A0"/>
    <w:rsid w:val="0004499E"/>
    <w:rsid w:val="00044CF2"/>
    <w:rsid w:val="00045179"/>
    <w:rsid w:val="00045EE8"/>
    <w:rsid w:val="00046F85"/>
    <w:rsid w:val="0005141A"/>
    <w:rsid w:val="00053018"/>
    <w:rsid w:val="00053479"/>
    <w:rsid w:val="000534CC"/>
    <w:rsid w:val="00055EC5"/>
    <w:rsid w:val="00057D06"/>
    <w:rsid w:val="00061F58"/>
    <w:rsid w:val="000628E9"/>
    <w:rsid w:val="00063994"/>
    <w:rsid w:val="00063A09"/>
    <w:rsid w:val="00063B33"/>
    <w:rsid w:val="00063DB4"/>
    <w:rsid w:val="00063EA5"/>
    <w:rsid w:val="00064933"/>
    <w:rsid w:val="0006635A"/>
    <w:rsid w:val="00066AD2"/>
    <w:rsid w:val="0007136C"/>
    <w:rsid w:val="00071AC3"/>
    <w:rsid w:val="00071BCE"/>
    <w:rsid w:val="000734B7"/>
    <w:rsid w:val="000748BB"/>
    <w:rsid w:val="000770F6"/>
    <w:rsid w:val="000810E3"/>
    <w:rsid w:val="000820E0"/>
    <w:rsid w:val="00082797"/>
    <w:rsid w:val="00082BEB"/>
    <w:rsid w:val="00084DD3"/>
    <w:rsid w:val="00084F9E"/>
    <w:rsid w:val="00086327"/>
    <w:rsid w:val="000904E6"/>
    <w:rsid w:val="0009220B"/>
    <w:rsid w:val="0009269A"/>
    <w:rsid w:val="00092962"/>
    <w:rsid w:val="00092B05"/>
    <w:rsid w:val="00094B7B"/>
    <w:rsid w:val="00097FBC"/>
    <w:rsid w:val="000A184D"/>
    <w:rsid w:val="000A2D9A"/>
    <w:rsid w:val="000A2F51"/>
    <w:rsid w:val="000A3370"/>
    <w:rsid w:val="000A56C9"/>
    <w:rsid w:val="000A6145"/>
    <w:rsid w:val="000A759E"/>
    <w:rsid w:val="000A7B26"/>
    <w:rsid w:val="000B028A"/>
    <w:rsid w:val="000B03AD"/>
    <w:rsid w:val="000B1261"/>
    <w:rsid w:val="000B3952"/>
    <w:rsid w:val="000B5632"/>
    <w:rsid w:val="000B5E04"/>
    <w:rsid w:val="000B60F2"/>
    <w:rsid w:val="000C01E9"/>
    <w:rsid w:val="000C17F3"/>
    <w:rsid w:val="000C3A7C"/>
    <w:rsid w:val="000C42BA"/>
    <w:rsid w:val="000C57A4"/>
    <w:rsid w:val="000D11F6"/>
    <w:rsid w:val="000D1C10"/>
    <w:rsid w:val="000D6C41"/>
    <w:rsid w:val="000E3F8D"/>
    <w:rsid w:val="000E5B23"/>
    <w:rsid w:val="000E6B90"/>
    <w:rsid w:val="000F0E18"/>
    <w:rsid w:val="000F0E36"/>
    <w:rsid w:val="000F18B3"/>
    <w:rsid w:val="000F2BBE"/>
    <w:rsid w:val="000F411F"/>
    <w:rsid w:val="000F5106"/>
    <w:rsid w:val="000F5D7E"/>
    <w:rsid w:val="000F6F18"/>
    <w:rsid w:val="000F771A"/>
    <w:rsid w:val="000F77A8"/>
    <w:rsid w:val="000F7834"/>
    <w:rsid w:val="000F7B17"/>
    <w:rsid w:val="00100CDD"/>
    <w:rsid w:val="00100D5F"/>
    <w:rsid w:val="001021D3"/>
    <w:rsid w:val="00103791"/>
    <w:rsid w:val="00103AB8"/>
    <w:rsid w:val="00103C5C"/>
    <w:rsid w:val="0010481F"/>
    <w:rsid w:val="00104E19"/>
    <w:rsid w:val="0010647B"/>
    <w:rsid w:val="001068AF"/>
    <w:rsid w:val="00110979"/>
    <w:rsid w:val="00111C09"/>
    <w:rsid w:val="001126A9"/>
    <w:rsid w:val="001129B5"/>
    <w:rsid w:val="00112A08"/>
    <w:rsid w:val="00112C2C"/>
    <w:rsid w:val="001136B6"/>
    <w:rsid w:val="00114D70"/>
    <w:rsid w:val="00116AAC"/>
    <w:rsid w:val="00116DE4"/>
    <w:rsid w:val="00117147"/>
    <w:rsid w:val="00117F0C"/>
    <w:rsid w:val="0012201F"/>
    <w:rsid w:val="001241CF"/>
    <w:rsid w:val="001249D5"/>
    <w:rsid w:val="00124E46"/>
    <w:rsid w:val="0012507A"/>
    <w:rsid w:val="00126A2C"/>
    <w:rsid w:val="00131BC3"/>
    <w:rsid w:val="00132330"/>
    <w:rsid w:val="00133736"/>
    <w:rsid w:val="00135BB3"/>
    <w:rsid w:val="0013724F"/>
    <w:rsid w:val="0013794A"/>
    <w:rsid w:val="0014068F"/>
    <w:rsid w:val="0014227B"/>
    <w:rsid w:val="001424BC"/>
    <w:rsid w:val="00142AA0"/>
    <w:rsid w:val="00142B59"/>
    <w:rsid w:val="00142C62"/>
    <w:rsid w:val="00145420"/>
    <w:rsid w:val="00150596"/>
    <w:rsid w:val="00150718"/>
    <w:rsid w:val="001524DE"/>
    <w:rsid w:val="00154A2E"/>
    <w:rsid w:val="001554E6"/>
    <w:rsid w:val="001559DF"/>
    <w:rsid w:val="00155B30"/>
    <w:rsid w:val="001560D1"/>
    <w:rsid w:val="00157F53"/>
    <w:rsid w:val="00160ADE"/>
    <w:rsid w:val="00161A72"/>
    <w:rsid w:val="00161A86"/>
    <w:rsid w:val="00163138"/>
    <w:rsid w:val="00164D9D"/>
    <w:rsid w:val="001652E3"/>
    <w:rsid w:val="0017056A"/>
    <w:rsid w:val="00170882"/>
    <w:rsid w:val="00172289"/>
    <w:rsid w:val="0017434F"/>
    <w:rsid w:val="001767B0"/>
    <w:rsid w:val="0017745D"/>
    <w:rsid w:val="001816D7"/>
    <w:rsid w:val="00181BAA"/>
    <w:rsid w:val="001823DA"/>
    <w:rsid w:val="0018333E"/>
    <w:rsid w:val="00183793"/>
    <w:rsid w:val="0018482A"/>
    <w:rsid w:val="00185B8F"/>
    <w:rsid w:val="0018744A"/>
    <w:rsid w:val="00190766"/>
    <w:rsid w:val="00190E5A"/>
    <w:rsid w:val="00193FDC"/>
    <w:rsid w:val="00194365"/>
    <w:rsid w:val="0019516C"/>
    <w:rsid w:val="00196543"/>
    <w:rsid w:val="00196AD1"/>
    <w:rsid w:val="00196DB4"/>
    <w:rsid w:val="00197799"/>
    <w:rsid w:val="001A039A"/>
    <w:rsid w:val="001A0C15"/>
    <w:rsid w:val="001A0D50"/>
    <w:rsid w:val="001A502D"/>
    <w:rsid w:val="001A675F"/>
    <w:rsid w:val="001A67EE"/>
    <w:rsid w:val="001B0983"/>
    <w:rsid w:val="001B120C"/>
    <w:rsid w:val="001B2378"/>
    <w:rsid w:val="001B3740"/>
    <w:rsid w:val="001B52CD"/>
    <w:rsid w:val="001B55A1"/>
    <w:rsid w:val="001B6A1A"/>
    <w:rsid w:val="001C0F42"/>
    <w:rsid w:val="001C1696"/>
    <w:rsid w:val="001C2A70"/>
    <w:rsid w:val="001C2C93"/>
    <w:rsid w:val="001C5EAD"/>
    <w:rsid w:val="001C7BFF"/>
    <w:rsid w:val="001D0623"/>
    <w:rsid w:val="001D10B3"/>
    <w:rsid w:val="001D1571"/>
    <w:rsid w:val="001D2FFE"/>
    <w:rsid w:val="001D5243"/>
    <w:rsid w:val="001E1AFB"/>
    <w:rsid w:val="001E3AFB"/>
    <w:rsid w:val="001E4648"/>
    <w:rsid w:val="001E6FAC"/>
    <w:rsid w:val="001E7E0F"/>
    <w:rsid w:val="001F1DC1"/>
    <w:rsid w:val="001F2661"/>
    <w:rsid w:val="001F3559"/>
    <w:rsid w:val="001F44FE"/>
    <w:rsid w:val="001F49A8"/>
    <w:rsid w:val="001F4AEB"/>
    <w:rsid w:val="001F7D5B"/>
    <w:rsid w:val="001F7EC6"/>
    <w:rsid w:val="00203274"/>
    <w:rsid w:val="00203463"/>
    <w:rsid w:val="00206387"/>
    <w:rsid w:val="0021612A"/>
    <w:rsid w:val="00216AF7"/>
    <w:rsid w:val="002209FD"/>
    <w:rsid w:val="00220B12"/>
    <w:rsid w:val="00222E15"/>
    <w:rsid w:val="00224DA1"/>
    <w:rsid w:val="00225F7A"/>
    <w:rsid w:val="00226C63"/>
    <w:rsid w:val="002277A3"/>
    <w:rsid w:val="00230211"/>
    <w:rsid w:val="002315DF"/>
    <w:rsid w:val="00232034"/>
    <w:rsid w:val="00232DBB"/>
    <w:rsid w:val="00234040"/>
    <w:rsid w:val="00235E0D"/>
    <w:rsid w:val="00235F18"/>
    <w:rsid w:val="002365FB"/>
    <w:rsid w:val="00237AF2"/>
    <w:rsid w:val="00240795"/>
    <w:rsid w:val="00240C54"/>
    <w:rsid w:val="00241787"/>
    <w:rsid w:val="0024178C"/>
    <w:rsid w:val="00244CD0"/>
    <w:rsid w:val="0024515E"/>
    <w:rsid w:val="002457BB"/>
    <w:rsid w:val="00246DFF"/>
    <w:rsid w:val="00250DD8"/>
    <w:rsid w:val="00250DE0"/>
    <w:rsid w:val="002532ED"/>
    <w:rsid w:val="00253873"/>
    <w:rsid w:val="002547A1"/>
    <w:rsid w:val="00254A83"/>
    <w:rsid w:val="00254D13"/>
    <w:rsid w:val="00255173"/>
    <w:rsid w:val="00255BB3"/>
    <w:rsid w:val="00256316"/>
    <w:rsid w:val="00256ACB"/>
    <w:rsid w:val="002574CD"/>
    <w:rsid w:val="002605C9"/>
    <w:rsid w:val="00260A1E"/>
    <w:rsid w:val="00262C23"/>
    <w:rsid w:val="002647C4"/>
    <w:rsid w:val="00265D5F"/>
    <w:rsid w:val="0026601D"/>
    <w:rsid w:val="0026602F"/>
    <w:rsid w:val="00266AE2"/>
    <w:rsid w:val="0026745C"/>
    <w:rsid w:val="00267AC5"/>
    <w:rsid w:val="00267FB8"/>
    <w:rsid w:val="002712F0"/>
    <w:rsid w:val="002719B9"/>
    <w:rsid w:val="00271F8C"/>
    <w:rsid w:val="00274033"/>
    <w:rsid w:val="00274FF7"/>
    <w:rsid w:val="00276AAD"/>
    <w:rsid w:val="00277CD6"/>
    <w:rsid w:val="00280937"/>
    <w:rsid w:val="00280DBC"/>
    <w:rsid w:val="00282003"/>
    <w:rsid w:val="00283408"/>
    <w:rsid w:val="00283482"/>
    <w:rsid w:val="00291171"/>
    <w:rsid w:val="00292652"/>
    <w:rsid w:val="00292BD6"/>
    <w:rsid w:val="00293A6F"/>
    <w:rsid w:val="0029439D"/>
    <w:rsid w:val="002943A3"/>
    <w:rsid w:val="002946EB"/>
    <w:rsid w:val="002954CA"/>
    <w:rsid w:val="00296234"/>
    <w:rsid w:val="0029764D"/>
    <w:rsid w:val="002A10B9"/>
    <w:rsid w:val="002A21A3"/>
    <w:rsid w:val="002A2F74"/>
    <w:rsid w:val="002A436D"/>
    <w:rsid w:val="002A53BA"/>
    <w:rsid w:val="002A5705"/>
    <w:rsid w:val="002A62F2"/>
    <w:rsid w:val="002A6B08"/>
    <w:rsid w:val="002A7022"/>
    <w:rsid w:val="002A773E"/>
    <w:rsid w:val="002A7938"/>
    <w:rsid w:val="002B19CB"/>
    <w:rsid w:val="002B2610"/>
    <w:rsid w:val="002B3BD3"/>
    <w:rsid w:val="002B475B"/>
    <w:rsid w:val="002B5710"/>
    <w:rsid w:val="002B5C90"/>
    <w:rsid w:val="002B5FFC"/>
    <w:rsid w:val="002B67E7"/>
    <w:rsid w:val="002C0885"/>
    <w:rsid w:val="002C14D7"/>
    <w:rsid w:val="002C2124"/>
    <w:rsid w:val="002C2FC3"/>
    <w:rsid w:val="002C33F5"/>
    <w:rsid w:val="002C3E15"/>
    <w:rsid w:val="002C46C9"/>
    <w:rsid w:val="002C475F"/>
    <w:rsid w:val="002C5529"/>
    <w:rsid w:val="002C5A74"/>
    <w:rsid w:val="002C6CDE"/>
    <w:rsid w:val="002C7E55"/>
    <w:rsid w:val="002D0085"/>
    <w:rsid w:val="002D095D"/>
    <w:rsid w:val="002D1815"/>
    <w:rsid w:val="002D1CE2"/>
    <w:rsid w:val="002D2851"/>
    <w:rsid w:val="002D3447"/>
    <w:rsid w:val="002D34A1"/>
    <w:rsid w:val="002D4E9E"/>
    <w:rsid w:val="002D4FDE"/>
    <w:rsid w:val="002D758E"/>
    <w:rsid w:val="002D7934"/>
    <w:rsid w:val="002E0032"/>
    <w:rsid w:val="002E1C8D"/>
    <w:rsid w:val="002E1DF4"/>
    <w:rsid w:val="002E3D7F"/>
    <w:rsid w:val="002E3DD9"/>
    <w:rsid w:val="002E486A"/>
    <w:rsid w:val="002E6259"/>
    <w:rsid w:val="002E79A8"/>
    <w:rsid w:val="002F339A"/>
    <w:rsid w:val="002F33E3"/>
    <w:rsid w:val="002F3651"/>
    <w:rsid w:val="002F4DD6"/>
    <w:rsid w:val="002F646F"/>
    <w:rsid w:val="002F7231"/>
    <w:rsid w:val="0030112F"/>
    <w:rsid w:val="00301751"/>
    <w:rsid w:val="003029DC"/>
    <w:rsid w:val="0030318C"/>
    <w:rsid w:val="003038F9"/>
    <w:rsid w:val="003055AB"/>
    <w:rsid w:val="00305DDF"/>
    <w:rsid w:val="00305F81"/>
    <w:rsid w:val="003078CC"/>
    <w:rsid w:val="00310D69"/>
    <w:rsid w:val="00312216"/>
    <w:rsid w:val="00312B92"/>
    <w:rsid w:val="00314820"/>
    <w:rsid w:val="00315026"/>
    <w:rsid w:val="00315E15"/>
    <w:rsid w:val="00317664"/>
    <w:rsid w:val="003205E5"/>
    <w:rsid w:val="003223D4"/>
    <w:rsid w:val="00322FDE"/>
    <w:rsid w:val="003246A2"/>
    <w:rsid w:val="003248CD"/>
    <w:rsid w:val="003250AA"/>
    <w:rsid w:val="00325559"/>
    <w:rsid w:val="0032601B"/>
    <w:rsid w:val="00327B21"/>
    <w:rsid w:val="00331666"/>
    <w:rsid w:val="00331E7F"/>
    <w:rsid w:val="003321FD"/>
    <w:rsid w:val="00332974"/>
    <w:rsid w:val="00334846"/>
    <w:rsid w:val="00335CDE"/>
    <w:rsid w:val="0033725A"/>
    <w:rsid w:val="00337803"/>
    <w:rsid w:val="0034069C"/>
    <w:rsid w:val="00341107"/>
    <w:rsid w:val="00342A45"/>
    <w:rsid w:val="003447B2"/>
    <w:rsid w:val="00345E51"/>
    <w:rsid w:val="00347D34"/>
    <w:rsid w:val="00350006"/>
    <w:rsid w:val="003545F5"/>
    <w:rsid w:val="00354B62"/>
    <w:rsid w:val="00355171"/>
    <w:rsid w:val="0035682C"/>
    <w:rsid w:val="003609E3"/>
    <w:rsid w:val="00362D08"/>
    <w:rsid w:val="0036362A"/>
    <w:rsid w:val="00364043"/>
    <w:rsid w:val="003650E6"/>
    <w:rsid w:val="00365EBA"/>
    <w:rsid w:val="00366680"/>
    <w:rsid w:val="003705A7"/>
    <w:rsid w:val="003705C5"/>
    <w:rsid w:val="00372287"/>
    <w:rsid w:val="003727A0"/>
    <w:rsid w:val="00372B1D"/>
    <w:rsid w:val="00374479"/>
    <w:rsid w:val="00374E13"/>
    <w:rsid w:val="003816FB"/>
    <w:rsid w:val="00381A21"/>
    <w:rsid w:val="00381B24"/>
    <w:rsid w:val="003844BA"/>
    <w:rsid w:val="00385782"/>
    <w:rsid w:val="00385A06"/>
    <w:rsid w:val="00385B95"/>
    <w:rsid w:val="0039038E"/>
    <w:rsid w:val="0039046E"/>
    <w:rsid w:val="00390A07"/>
    <w:rsid w:val="00391A97"/>
    <w:rsid w:val="0039249D"/>
    <w:rsid w:val="00392C0C"/>
    <w:rsid w:val="00392D7E"/>
    <w:rsid w:val="003944DF"/>
    <w:rsid w:val="00397A60"/>
    <w:rsid w:val="00397E6B"/>
    <w:rsid w:val="003A05C3"/>
    <w:rsid w:val="003A0F37"/>
    <w:rsid w:val="003A5A6D"/>
    <w:rsid w:val="003B03D3"/>
    <w:rsid w:val="003B0AD7"/>
    <w:rsid w:val="003B1578"/>
    <w:rsid w:val="003B3833"/>
    <w:rsid w:val="003B7958"/>
    <w:rsid w:val="003C0683"/>
    <w:rsid w:val="003C19BA"/>
    <w:rsid w:val="003C1D9D"/>
    <w:rsid w:val="003C23E4"/>
    <w:rsid w:val="003C3BA7"/>
    <w:rsid w:val="003C41FE"/>
    <w:rsid w:val="003C5081"/>
    <w:rsid w:val="003C50F8"/>
    <w:rsid w:val="003C57C2"/>
    <w:rsid w:val="003C5C35"/>
    <w:rsid w:val="003C6703"/>
    <w:rsid w:val="003C6725"/>
    <w:rsid w:val="003C6728"/>
    <w:rsid w:val="003C6CE3"/>
    <w:rsid w:val="003C773C"/>
    <w:rsid w:val="003C7C0F"/>
    <w:rsid w:val="003D0A21"/>
    <w:rsid w:val="003D1246"/>
    <w:rsid w:val="003D300E"/>
    <w:rsid w:val="003D3E10"/>
    <w:rsid w:val="003D52FF"/>
    <w:rsid w:val="003D574B"/>
    <w:rsid w:val="003D6E95"/>
    <w:rsid w:val="003D7E4D"/>
    <w:rsid w:val="003E04D7"/>
    <w:rsid w:val="003E0C44"/>
    <w:rsid w:val="003E2DB4"/>
    <w:rsid w:val="003E409B"/>
    <w:rsid w:val="003E434F"/>
    <w:rsid w:val="003E6D8E"/>
    <w:rsid w:val="003E75B0"/>
    <w:rsid w:val="003E7AE3"/>
    <w:rsid w:val="003F079D"/>
    <w:rsid w:val="003F0BFE"/>
    <w:rsid w:val="003F0D13"/>
    <w:rsid w:val="003F16B3"/>
    <w:rsid w:val="003F1C36"/>
    <w:rsid w:val="003F1E78"/>
    <w:rsid w:val="003F2315"/>
    <w:rsid w:val="003F3547"/>
    <w:rsid w:val="003F773B"/>
    <w:rsid w:val="00400420"/>
    <w:rsid w:val="00400A82"/>
    <w:rsid w:val="0040169A"/>
    <w:rsid w:val="0040248C"/>
    <w:rsid w:val="00402716"/>
    <w:rsid w:val="004037E2"/>
    <w:rsid w:val="004058E1"/>
    <w:rsid w:val="00406151"/>
    <w:rsid w:val="00410EEA"/>
    <w:rsid w:val="00411976"/>
    <w:rsid w:val="00413AF1"/>
    <w:rsid w:val="00414CAE"/>
    <w:rsid w:val="0041635D"/>
    <w:rsid w:val="00416BED"/>
    <w:rsid w:val="00424803"/>
    <w:rsid w:val="00425FDE"/>
    <w:rsid w:val="00427AAA"/>
    <w:rsid w:val="00432C9C"/>
    <w:rsid w:val="00433B57"/>
    <w:rsid w:val="00434638"/>
    <w:rsid w:val="00435289"/>
    <w:rsid w:val="00435B5A"/>
    <w:rsid w:val="00435E3C"/>
    <w:rsid w:val="00437E4B"/>
    <w:rsid w:val="004409B1"/>
    <w:rsid w:val="00440BCF"/>
    <w:rsid w:val="0044177B"/>
    <w:rsid w:val="00445E61"/>
    <w:rsid w:val="00446219"/>
    <w:rsid w:val="00447043"/>
    <w:rsid w:val="00452880"/>
    <w:rsid w:val="004550EC"/>
    <w:rsid w:val="0045541F"/>
    <w:rsid w:val="00455A7D"/>
    <w:rsid w:val="00455B79"/>
    <w:rsid w:val="0045738C"/>
    <w:rsid w:val="0046133E"/>
    <w:rsid w:val="00461674"/>
    <w:rsid w:val="00462DE7"/>
    <w:rsid w:val="004647D3"/>
    <w:rsid w:val="004658D7"/>
    <w:rsid w:val="00466953"/>
    <w:rsid w:val="00471056"/>
    <w:rsid w:val="00472B8C"/>
    <w:rsid w:val="004731B6"/>
    <w:rsid w:val="0047537D"/>
    <w:rsid w:val="00476EB3"/>
    <w:rsid w:val="00477750"/>
    <w:rsid w:val="00477AF6"/>
    <w:rsid w:val="00477BEB"/>
    <w:rsid w:val="00482DDC"/>
    <w:rsid w:val="00483000"/>
    <w:rsid w:val="00483115"/>
    <w:rsid w:val="004833F8"/>
    <w:rsid w:val="00483536"/>
    <w:rsid w:val="00485A01"/>
    <w:rsid w:val="00486047"/>
    <w:rsid w:val="00491919"/>
    <w:rsid w:val="00491FF1"/>
    <w:rsid w:val="004926B0"/>
    <w:rsid w:val="0049297E"/>
    <w:rsid w:val="00493DB0"/>
    <w:rsid w:val="00495D6F"/>
    <w:rsid w:val="00496740"/>
    <w:rsid w:val="0049723C"/>
    <w:rsid w:val="00497734"/>
    <w:rsid w:val="0049784E"/>
    <w:rsid w:val="004A0439"/>
    <w:rsid w:val="004A157A"/>
    <w:rsid w:val="004A2A2C"/>
    <w:rsid w:val="004A45F9"/>
    <w:rsid w:val="004A4A02"/>
    <w:rsid w:val="004A4B9F"/>
    <w:rsid w:val="004A4BC7"/>
    <w:rsid w:val="004A5E75"/>
    <w:rsid w:val="004A6675"/>
    <w:rsid w:val="004A6732"/>
    <w:rsid w:val="004A7D0C"/>
    <w:rsid w:val="004B14B2"/>
    <w:rsid w:val="004B15AC"/>
    <w:rsid w:val="004B169A"/>
    <w:rsid w:val="004B5211"/>
    <w:rsid w:val="004B5E0B"/>
    <w:rsid w:val="004B65F6"/>
    <w:rsid w:val="004B6BB9"/>
    <w:rsid w:val="004B712C"/>
    <w:rsid w:val="004B75E7"/>
    <w:rsid w:val="004C0201"/>
    <w:rsid w:val="004C2E92"/>
    <w:rsid w:val="004C34A2"/>
    <w:rsid w:val="004C5986"/>
    <w:rsid w:val="004C6D2E"/>
    <w:rsid w:val="004C6FC0"/>
    <w:rsid w:val="004C7571"/>
    <w:rsid w:val="004D1231"/>
    <w:rsid w:val="004D289A"/>
    <w:rsid w:val="004D32A3"/>
    <w:rsid w:val="004D3528"/>
    <w:rsid w:val="004D72F3"/>
    <w:rsid w:val="004D7B95"/>
    <w:rsid w:val="004E292F"/>
    <w:rsid w:val="004E2F4C"/>
    <w:rsid w:val="004E37D3"/>
    <w:rsid w:val="004E5363"/>
    <w:rsid w:val="004E554F"/>
    <w:rsid w:val="004E6A91"/>
    <w:rsid w:val="004F031A"/>
    <w:rsid w:val="004F1D7B"/>
    <w:rsid w:val="004F1DFC"/>
    <w:rsid w:val="004F214A"/>
    <w:rsid w:val="004F507E"/>
    <w:rsid w:val="004F5943"/>
    <w:rsid w:val="004F5BD2"/>
    <w:rsid w:val="004F647F"/>
    <w:rsid w:val="004F64BB"/>
    <w:rsid w:val="004F69C0"/>
    <w:rsid w:val="004F706D"/>
    <w:rsid w:val="004F7D0A"/>
    <w:rsid w:val="0050038B"/>
    <w:rsid w:val="00501D2B"/>
    <w:rsid w:val="00503210"/>
    <w:rsid w:val="005033F7"/>
    <w:rsid w:val="005035DF"/>
    <w:rsid w:val="00505DE5"/>
    <w:rsid w:val="00506DE2"/>
    <w:rsid w:val="0051047E"/>
    <w:rsid w:val="00511D9E"/>
    <w:rsid w:val="00512458"/>
    <w:rsid w:val="00512EB8"/>
    <w:rsid w:val="0051316D"/>
    <w:rsid w:val="005134D5"/>
    <w:rsid w:val="00513F93"/>
    <w:rsid w:val="00514634"/>
    <w:rsid w:val="00515186"/>
    <w:rsid w:val="00515270"/>
    <w:rsid w:val="00515D15"/>
    <w:rsid w:val="00516058"/>
    <w:rsid w:val="00517620"/>
    <w:rsid w:val="005209E2"/>
    <w:rsid w:val="00520A30"/>
    <w:rsid w:val="00521273"/>
    <w:rsid w:val="005223EC"/>
    <w:rsid w:val="00522D73"/>
    <w:rsid w:val="00523580"/>
    <w:rsid w:val="0052390C"/>
    <w:rsid w:val="00524926"/>
    <w:rsid w:val="0052503A"/>
    <w:rsid w:val="00525DD3"/>
    <w:rsid w:val="00526675"/>
    <w:rsid w:val="00526CD5"/>
    <w:rsid w:val="00527EB1"/>
    <w:rsid w:val="0053364C"/>
    <w:rsid w:val="005337E5"/>
    <w:rsid w:val="0053422F"/>
    <w:rsid w:val="00534ABC"/>
    <w:rsid w:val="00534CF6"/>
    <w:rsid w:val="00534DD8"/>
    <w:rsid w:val="005360E1"/>
    <w:rsid w:val="00536CCC"/>
    <w:rsid w:val="00537D68"/>
    <w:rsid w:val="00540715"/>
    <w:rsid w:val="00542AB7"/>
    <w:rsid w:val="00543562"/>
    <w:rsid w:val="005438C0"/>
    <w:rsid w:val="00543FCF"/>
    <w:rsid w:val="00546FAC"/>
    <w:rsid w:val="00550D68"/>
    <w:rsid w:val="00550F2B"/>
    <w:rsid w:val="00554721"/>
    <w:rsid w:val="005628D3"/>
    <w:rsid w:val="0056304D"/>
    <w:rsid w:val="00564B38"/>
    <w:rsid w:val="0056758D"/>
    <w:rsid w:val="005678FE"/>
    <w:rsid w:val="00567FDA"/>
    <w:rsid w:val="00570596"/>
    <w:rsid w:val="005717F5"/>
    <w:rsid w:val="00572C5C"/>
    <w:rsid w:val="00574E7C"/>
    <w:rsid w:val="005753A7"/>
    <w:rsid w:val="0057609B"/>
    <w:rsid w:val="005760F5"/>
    <w:rsid w:val="005761C9"/>
    <w:rsid w:val="005771BE"/>
    <w:rsid w:val="005772FB"/>
    <w:rsid w:val="00577F57"/>
    <w:rsid w:val="0058010D"/>
    <w:rsid w:val="00582200"/>
    <w:rsid w:val="00582CE7"/>
    <w:rsid w:val="00586464"/>
    <w:rsid w:val="00586610"/>
    <w:rsid w:val="00587044"/>
    <w:rsid w:val="005910CD"/>
    <w:rsid w:val="00591CB4"/>
    <w:rsid w:val="00592C78"/>
    <w:rsid w:val="00593318"/>
    <w:rsid w:val="00593AB8"/>
    <w:rsid w:val="00593C61"/>
    <w:rsid w:val="00594415"/>
    <w:rsid w:val="005947F1"/>
    <w:rsid w:val="00595B90"/>
    <w:rsid w:val="00595D52"/>
    <w:rsid w:val="00595E3D"/>
    <w:rsid w:val="005968E5"/>
    <w:rsid w:val="00596FD2"/>
    <w:rsid w:val="005973CD"/>
    <w:rsid w:val="005A0BCA"/>
    <w:rsid w:val="005A3827"/>
    <w:rsid w:val="005A3DFB"/>
    <w:rsid w:val="005A426F"/>
    <w:rsid w:val="005A6185"/>
    <w:rsid w:val="005A649D"/>
    <w:rsid w:val="005A66C3"/>
    <w:rsid w:val="005B2EA3"/>
    <w:rsid w:val="005B3A09"/>
    <w:rsid w:val="005B49F5"/>
    <w:rsid w:val="005B4F2A"/>
    <w:rsid w:val="005B5D66"/>
    <w:rsid w:val="005C048B"/>
    <w:rsid w:val="005C09C6"/>
    <w:rsid w:val="005C0F31"/>
    <w:rsid w:val="005C11DD"/>
    <w:rsid w:val="005C1365"/>
    <w:rsid w:val="005C3142"/>
    <w:rsid w:val="005C4635"/>
    <w:rsid w:val="005C4ECF"/>
    <w:rsid w:val="005C50C2"/>
    <w:rsid w:val="005C53C7"/>
    <w:rsid w:val="005C5879"/>
    <w:rsid w:val="005D390F"/>
    <w:rsid w:val="005D4EB3"/>
    <w:rsid w:val="005D656D"/>
    <w:rsid w:val="005D6F6B"/>
    <w:rsid w:val="005D7017"/>
    <w:rsid w:val="005D7623"/>
    <w:rsid w:val="005E0B9E"/>
    <w:rsid w:val="005E2C4A"/>
    <w:rsid w:val="005E3008"/>
    <w:rsid w:val="005E3223"/>
    <w:rsid w:val="005E35AF"/>
    <w:rsid w:val="005E4FAD"/>
    <w:rsid w:val="005E5B73"/>
    <w:rsid w:val="005E643E"/>
    <w:rsid w:val="005E74C9"/>
    <w:rsid w:val="005E74EF"/>
    <w:rsid w:val="005E7572"/>
    <w:rsid w:val="005F37DC"/>
    <w:rsid w:val="005F726E"/>
    <w:rsid w:val="005F7313"/>
    <w:rsid w:val="00600C37"/>
    <w:rsid w:val="00601E07"/>
    <w:rsid w:val="00605723"/>
    <w:rsid w:val="0061024F"/>
    <w:rsid w:val="00610798"/>
    <w:rsid w:val="00610988"/>
    <w:rsid w:val="00610B8D"/>
    <w:rsid w:val="0061141B"/>
    <w:rsid w:val="006116F7"/>
    <w:rsid w:val="00612267"/>
    <w:rsid w:val="00613248"/>
    <w:rsid w:val="006152D3"/>
    <w:rsid w:val="00615D19"/>
    <w:rsid w:val="006176AA"/>
    <w:rsid w:val="006178B5"/>
    <w:rsid w:val="00621E9E"/>
    <w:rsid w:val="00622E88"/>
    <w:rsid w:val="00624502"/>
    <w:rsid w:val="00625F6A"/>
    <w:rsid w:val="00626B2A"/>
    <w:rsid w:val="00626B79"/>
    <w:rsid w:val="00626C94"/>
    <w:rsid w:val="00630719"/>
    <w:rsid w:val="0063153F"/>
    <w:rsid w:val="0063627D"/>
    <w:rsid w:val="0063629F"/>
    <w:rsid w:val="006362EA"/>
    <w:rsid w:val="006375D5"/>
    <w:rsid w:val="00637825"/>
    <w:rsid w:val="006403AD"/>
    <w:rsid w:val="006425F9"/>
    <w:rsid w:val="006466FB"/>
    <w:rsid w:val="0065493A"/>
    <w:rsid w:val="006561E0"/>
    <w:rsid w:val="006571E7"/>
    <w:rsid w:val="00660169"/>
    <w:rsid w:val="006604F1"/>
    <w:rsid w:val="00661CF0"/>
    <w:rsid w:val="00661CF2"/>
    <w:rsid w:val="0066586C"/>
    <w:rsid w:val="00665883"/>
    <w:rsid w:val="00665E1D"/>
    <w:rsid w:val="00666C8A"/>
    <w:rsid w:val="00667CE5"/>
    <w:rsid w:val="00670F06"/>
    <w:rsid w:val="0067101E"/>
    <w:rsid w:val="0067156A"/>
    <w:rsid w:val="00671C74"/>
    <w:rsid w:val="006725AC"/>
    <w:rsid w:val="006747AE"/>
    <w:rsid w:val="006761D3"/>
    <w:rsid w:val="00680DA8"/>
    <w:rsid w:val="006816F1"/>
    <w:rsid w:val="006819AE"/>
    <w:rsid w:val="00681EB6"/>
    <w:rsid w:val="00684167"/>
    <w:rsid w:val="0068492F"/>
    <w:rsid w:val="00685521"/>
    <w:rsid w:val="006869E7"/>
    <w:rsid w:val="00691624"/>
    <w:rsid w:val="00691FC9"/>
    <w:rsid w:val="00692849"/>
    <w:rsid w:val="00693AF1"/>
    <w:rsid w:val="00694AF8"/>
    <w:rsid w:val="00695AE1"/>
    <w:rsid w:val="006967B3"/>
    <w:rsid w:val="00696FF1"/>
    <w:rsid w:val="00697781"/>
    <w:rsid w:val="006A113F"/>
    <w:rsid w:val="006A1A67"/>
    <w:rsid w:val="006A31CE"/>
    <w:rsid w:val="006A3F07"/>
    <w:rsid w:val="006A7DBF"/>
    <w:rsid w:val="006B1503"/>
    <w:rsid w:val="006B1892"/>
    <w:rsid w:val="006B2326"/>
    <w:rsid w:val="006B2DD5"/>
    <w:rsid w:val="006B3F5C"/>
    <w:rsid w:val="006B52AA"/>
    <w:rsid w:val="006B52D7"/>
    <w:rsid w:val="006B6827"/>
    <w:rsid w:val="006B70E4"/>
    <w:rsid w:val="006C16A8"/>
    <w:rsid w:val="006C1F57"/>
    <w:rsid w:val="006C2514"/>
    <w:rsid w:val="006C348E"/>
    <w:rsid w:val="006C4673"/>
    <w:rsid w:val="006C47F2"/>
    <w:rsid w:val="006C4D73"/>
    <w:rsid w:val="006C5A30"/>
    <w:rsid w:val="006D043E"/>
    <w:rsid w:val="006D0531"/>
    <w:rsid w:val="006D1045"/>
    <w:rsid w:val="006D235B"/>
    <w:rsid w:val="006D2AB3"/>
    <w:rsid w:val="006D3303"/>
    <w:rsid w:val="006D38E6"/>
    <w:rsid w:val="006D421B"/>
    <w:rsid w:val="006D6067"/>
    <w:rsid w:val="006E0F44"/>
    <w:rsid w:val="006E1988"/>
    <w:rsid w:val="006E1C93"/>
    <w:rsid w:val="006E28A4"/>
    <w:rsid w:val="006E3426"/>
    <w:rsid w:val="006E774A"/>
    <w:rsid w:val="006E7B5D"/>
    <w:rsid w:val="006F0DA6"/>
    <w:rsid w:val="006F15A9"/>
    <w:rsid w:val="006F16B6"/>
    <w:rsid w:val="006F1713"/>
    <w:rsid w:val="006F2020"/>
    <w:rsid w:val="006F32FA"/>
    <w:rsid w:val="006F3E1B"/>
    <w:rsid w:val="006F4092"/>
    <w:rsid w:val="006F5D63"/>
    <w:rsid w:val="006F6684"/>
    <w:rsid w:val="00700B41"/>
    <w:rsid w:val="007028A9"/>
    <w:rsid w:val="00702B73"/>
    <w:rsid w:val="007032B3"/>
    <w:rsid w:val="0070331A"/>
    <w:rsid w:val="00705237"/>
    <w:rsid w:val="00705E83"/>
    <w:rsid w:val="00706687"/>
    <w:rsid w:val="00707EEB"/>
    <w:rsid w:val="00710494"/>
    <w:rsid w:val="007106F7"/>
    <w:rsid w:val="007107B5"/>
    <w:rsid w:val="00711FE3"/>
    <w:rsid w:val="007120DB"/>
    <w:rsid w:val="00713B44"/>
    <w:rsid w:val="0071405B"/>
    <w:rsid w:val="00714588"/>
    <w:rsid w:val="00715571"/>
    <w:rsid w:val="007177C2"/>
    <w:rsid w:val="0072095B"/>
    <w:rsid w:val="00720F0D"/>
    <w:rsid w:val="0072184B"/>
    <w:rsid w:val="0072199E"/>
    <w:rsid w:val="0072230E"/>
    <w:rsid w:val="00722677"/>
    <w:rsid w:val="00723C85"/>
    <w:rsid w:val="00723E02"/>
    <w:rsid w:val="00724470"/>
    <w:rsid w:val="00724A98"/>
    <w:rsid w:val="00724D93"/>
    <w:rsid w:val="007275DA"/>
    <w:rsid w:val="00727B02"/>
    <w:rsid w:val="00730031"/>
    <w:rsid w:val="00730FD3"/>
    <w:rsid w:val="00735DE8"/>
    <w:rsid w:val="00736108"/>
    <w:rsid w:val="007362BC"/>
    <w:rsid w:val="00737496"/>
    <w:rsid w:val="00740655"/>
    <w:rsid w:val="00744D6D"/>
    <w:rsid w:val="007515F0"/>
    <w:rsid w:val="00751BED"/>
    <w:rsid w:val="007526C9"/>
    <w:rsid w:val="0075333A"/>
    <w:rsid w:val="00756B84"/>
    <w:rsid w:val="00757D89"/>
    <w:rsid w:val="0076155E"/>
    <w:rsid w:val="00761955"/>
    <w:rsid w:val="007622A8"/>
    <w:rsid w:val="00765C90"/>
    <w:rsid w:val="00765D6D"/>
    <w:rsid w:val="00766696"/>
    <w:rsid w:val="00770C9F"/>
    <w:rsid w:val="00772731"/>
    <w:rsid w:val="00774DC1"/>
    <w:rsid w:val="00774EE6"/>
    <w:rsid w:val="007760F7"/>
    <w:rsid w:val="00776677"/>
    <w:rsid w:val="00777A24"/>
    <w:rsid w:val="00781DCB"/>
    <w:rsid w:val="00781F2B"/>
    <w:rsid w:val="00783BAA"/>
    <w:rsid w:val="00783C9B"/>
    <w:rsid w:val="0079193B"/>
    <w:rsid w:val="00794246"/>
    <w:rsid w:val="0079729E"/>
    <w:rsid w:val="007A2086"/>
    <w:rsid w:val="007A2856"/>
    <w:rsid w:val="007A3071"/>
    <w:rsid w:val="007A4687"/>
    <w:rsid w:val="007B0022"/>
    <w:rsid w:val="007B1841"/>
    <w:rsid w:val="007B194F"/>
    <w:rsid w:val="007B1DDC"/>
    <w:rsid w:val="007B4158"/>
    <w:rsid w:val="007B6CD3"/>
    <w:rsid w:val="007B6E2A"/>
    <w:rsid w:val="007B727C"/>
    <w:rsid w:val="007C0AF8"/>
    <w:rsid w:val="007C0DBF"/>
    <w:rsid w:val="007C27DB"/>
    <w:rsid w:val="007C30EA"/>
    <w:rsid w:val="007C5669"/>
    <w:rsid w:val="007C6DD1"/>
    <w:rsid w:val="007D2C43"/>
    <w:rsid w:val="007D2D44"/>
    <w:rsid w:val="007D3600"/>
    <w:rsid w:val="007D3714"/>
    <w:rsid w:val="007D45D2"/>
    <w:rsid w:val="007D51E4"/>
    <w:rsid w:val="007E09A7"/>
    <w:rsid w:val="007E0A55"/>
    <w:rsid w:val="007E1A11"/>
    <w:rsid w:val="007E1C73"/>
    <w:rsid w:val="007E24A2"/>
    <w:rsid w:val="007E2528"/>
    <w:rsid w:val="007E2C78"/>
    <w:rsid w:val="007E58DC"/>
    <w:rsid w:val="007E5E48"/>
    <w:rsid w:val="007E6AF1"/>
    <w:rsid w:val="007F0E9D"/>
    <w:rsid w:val="007F178C"/>
    <w:rsid w:val="007F4739"/>
    <w:rsid w:val="007F4ADC"/>
    <w:rsid w:val="007F5213"/>
    <w:rsid w:val="00801E72"/>
    <w:rsid w:val="0080418D"/>
    <w:rsid w:val="00805101"/>
    <w:rsid w:val="00807D12"/>
    <w:rsid w:val="00810F07"/>
    <w:rsid w:val="008110FD"/>
    <w:rsid w:val="00812335"/>
    <w:rsid w:val="00812632"/>
    <w:rsid w:val="008127CD"/>
    <w:rsid w:val="00812A31"/>
    <w:rsid w:val="00814597"/>
    <w:rsid w:val="00814609"/>
    <w:rsid w:val="00817B1E"/>
    <w:rsid w:val="00820B62"/>
    <w:rsid w:val="00822430"/>
    <w:rsid w:val="00822EE9"/>
    <w:rsid w:val="0082312E"/>
    <w:rsid w:val="0082318A"/>
    <w:rsid w:val="00823280"/>
    <w:rsid w:val="00823D86"/>
    <w:rsid w:val="00826C69"/>
    <w:rsid w:val="00827791"/>
    <w:rsid w:val="008331D4"/>
    <w:rsid w:val="00833A09"/>
    <w:rsid w:val="00834934"/>
    <w:rsid w:val="00834D84"/>
    <w:rsid w:val="00834F81"/>
    <w:rsid w:val="00835983"/>
    <w:rsid w:val="00836856"/>
    <w:rsid w:val="00837321"/>
    <w:rsid w:val="0083742C"/>
    <w:rsid w:val="0083789B"/>
    <w:rsid w:val="00843338"/>
    <w:rsid w:val="008508D7"/>
    <w:rsid w:val="00850D75"/>
    <w:rsid w:val="00850ED9"/>
    <w:rsid w:val="0085174D"/>
    <w:rsid w:val="00852127"/>
    <w:rsid w:val="008544DB"/>
    <w:rsid w:val="0085603F"/>
    <w:rsid w:val="00856656"/>
    <w:rsid w:val="00860EB4"/>
    <w:rsid w:val="0086116F"/>
    <w:rsid w:val="00861233"/>
    <w:rsid w:val="00861FB0"/>
    <w:rsid w:val="008621E8"/>
    <w:rsid w:val="00864451"/>
    <w:rsid w:val="00864B16"/>
    <w:rsid w:val="00864DDC"/>
    <w:rsid w:val="00864EB2"/>
    <w:rsid w:val="00865105"/>
    <w:rsid w:val="00865607"/>
    <w:rsid w:val="00865831"/>
    <w:rsid w:val="008675E3"/>
    <w:rsid w:val="008676EE"/>
    <w:rsid w:val="0086794D"/>
    <w:rsid w:val="00872822"/>
    <w:rsid w:val="008732D4"/>
    <w:rsid w:val="008746E6"/>
    <w:rsid w:val="0087543D"/>
    <w:rsid w:val="0087557E"/>
    <w:rsid w:val="0087719E"/>
    <w:rsid w:val="008779DF"/>
    <w:rsid w:val="008825FE"/>
    <w:rsid w:val="00883A79"/>
    <w:rsid w:val="00884B18"/>
    <w:rsid w:val="00885EBA"/>
    <w:rsid w:val="00886D7D"/>
    <w:rsid w:val="00887FE4"/>
    <w:rsid w:val="00890198"/>
    <w:rsid w:val="00890821"/>
    <w:rsid w:val="00890995"/>
    <w:rsid w:val="00893536"/>
    <w:rsid w:val="00895A93"/>
    <w:rsid w:val="0089609D"/>
    <w:rsid w:val="008964BC"/>
    <w:rsid w:val="008968CC"/>
    <w:rsid w:val="00896DD1"/>
    <w:rsid w:val="00897DD1"/>
    <w:rsid w:val="008A19A0"/>
    <w:rsid w:val="008A3310"/>
    <w:rsid w:val="008A477E"/>
    <w:rsid w:val="008A590D"/>
    <w:rsid w:val="008A6638"/>
    <w:rsid w:val="008B0EAB"/>
    <w:rsid w:val="008B2561"/>
    <w:rsid w:val="008B43EF"/>
    <w:rsid w:val="008B440D"/>
    <w:rsid w:val="008B4802"/>
    <w:rsid w:val="008B5FAC"/>
    <w:rsid w:val="008B6E39"/>
    <w:rsid w:val="008B7507"/>
    <w:rsid w:val="008B75C3"/>
    <w:rsid w:val="008B7D84"/>
    <w:rsid w:val="008C2009"/>
    <w:rsid w:val="008C299A"/>
    <w:rsid w:val="008C459A"/>
    <w:rsid w:val="008C6682"/>
    <w:rsid w:val="008C6781"/>
    <w:rsid w:val="008C70C3"/>
    <w:rsid w:val="008D0007"/>
    <w:rsid w:val="008D2631"/>
    <w:rsid w:val="008D2B56"/>
    <w:rsid w:val="008D4759"/>
    <w:rsid w:val="008D4DD8"/>
    <w:rsid w:val="008D4EEC"/>
    <w:rsid w:val="008D5E00"/>
    <w:rsid w:val="008D65C8"/>
    <w:rsid w:val="008D6E4C"/>
    <w:rsid w:val="008E086D"/>
    <w:rsid w:val="008E0C76"/>
    <w:rsid w:val="008E223B"/>
    <w:rsid w:val="008E2246"/>
    <w:rsid w:val="008E586E"/>
    <w:rsid w:val="008E650C"/>
    <w:rsid w:val="008E6BE4"/>
    <w:rsid w:val="008F0276"/>
    <w:rsid w:val="008F1D96"/>
    <w:rsid w:val="008F5D63"/>
    <w:rsid w:val="008F62D2"/>
    <w:rsid w:val="008F66C9"/>
    <w:rsid w:val="008F7E98"/>
    <w:rsid w:val="00900534"/>
    <w:rsid w:val="00901E20"/>
    <w:rsid w:val="009029EB"/>
    <w:rsid w:val="0090351E"/>
    <w:rsid w:val="00905006"/>
    <w:rsid w:val="009072F8"/>
    <w:rsid w:val="00907C78"/>
    <w:rsid w:val="00910483"/>
    <w:rsid w:val="00912AAA"/>
    <w:rsid w:val="0091341C"/>
    <w:rsid w:val="009153CD"/>
    <w:rsid w:val="0091578A"/>
    <w:rsid w:val="00915ACE"/>
    <w:rsid w:val="00916534"/>
    <w:rsid w:val="00916E7A"/>
    <w:rsid w:val="009175F4"/>
    <w:rsid w:val="009206D8"/>
    <w:rsid w:val="00920BAB"/>
    <w:rsid w:val="00924B5F"/>
    <w:rsid w:val="00925458"/>
    <w:rsid w:val="009257F3"/>
    <w:rsid w:val="00927B73"/>
    <w:rsid w:val="00930DE0"/>
    <w:rsid w:val="009310B6"/>
    <w:rsid w:val="009315B3"/>
    <w:rsid w:val="00933C20"/>
    <w:rsid w:val="00933E6C"/>
    <w:rsid w:val="00935BCA"/>
    <w:rsid w:val="00940240"/>
    <w:rsid w:val="00941137"/>
    <w:rsid w:val="0094221E"/>
    <w:rsid w:val="00944AB5"/>
    <w:rsid w:val="009467B6"/>
    <w:rsid w:val="009477FE"/>
    <w:rsid w:val="00947C84"/>
    <w:rsid w:val="00947E62"/>
    <w:rsid w:val="00950345"/>
    <w:rsid w:val="00951490"/>
    <w:rsid w:val="0095197E"/>
    <w:rsid w:val="00952D82"/>
    <w:rsid w:val="009534E2"/>
    <w:rsid w:val="00953FA9"/>
    <w:rsid w:val="009545E8"/>
    <w:rsid w:val="0095486D"/>
    <w:rsid w:val="00954E56"/>
    <w:rsid w:val="00957B05"/>
    <w:rsid w:val="00960250"/>
    <w:rsid w:val="00962323"/>
    <w:rsid w:val="00963366"/>
    <w:rsid w:val="00963F68"/>
    <w:rsid w:val="009649E3"/>
    <w:rsid w:val="00965053"/>
    <w:rsid w:val="009651D8"/>
    <w:rsid w:val="00965745"/>
    <w:rsid w:val="00967D57"/>
    <w:rsid w:val="00970AF3"/>
    <w:rsid w:val="009727A0"/>
    <w:rsid w:val="00972809"/>
    <w:rsid w:val="00973ED6"/>
    <w:rsid w:val="00974E32"/>
    <w:rsid w:val="009755C4"/>
    <w:rsid w:val="00975A60"/>
    <w:rsid w:val="00976ECB"/>
    <w:rsid w:val="009819F4"/>
    <w:rsid w:val="00982721"/>
    <w:rsid w:val="00985559"/>
    <w:rsid w:val="009861B1"/>
    <w:rsid w:val="00986C3E"/>
    <w:rsid w:val="0099176A"/>
    <w:rsid w:val="009919ED"/>
    <w:rsid w:val="0099204A"/>
    <w:rsid w:val="00993AB4"/>
    <w:rsid w:val="00993AB5"/>
    <w:rsid w:val="00993FED"/>
    <w:rsid w:val="00994269"/>
    <w:rsid w:val="0099531E"/>
    <w:rsid w:val="00996FDE"/>
    <w:rsid w:val="009972E1"/>
    <w:rsid w:val="009A18C2"/>
    <w:rsid w:val="009A1E3A"/>
    <w:rsid w:val="009A4E0D"/>
    <w:rsid w:val="009A56F0"/>
    <w:rsid w:val="009A69C2"/>
    <w:rsid w:val="009A7877"/>
    <w:rsid w:val="009B0610"/>
    <w:rsid w:val="009B1F05"/>
    <w:rsid w:val="009B2E1F"/>
    <w:rsid w:val="009B39BD"/>
    <w:rsid w:val="009B605C"/>
    <w:rsid w:val="009B646F"/>
    <w:rsid w:val="009B7427"/>
    <w:rsid w:val="009C017E"/>
    <w:rsid w:val="009C0843"/>
    <w:rsid w:val="009C26D6"/>
    <w:rsid w:val="009C3CB1"/>
    <w:rsid w:val="009C420B"/>
    <w:rsid w:val="009C5829"/>
    <w:rsid w:val="009D1DA1"/>
    <w:rsid w:val="009D3F17"/>
    <w:rsid w:val="009D4005"/>
    <w:rsid w:val="009D6C46"/>
    <w:rsid w:val="009D6E03"/>
    <w:rsid w:val="009E075C"/>
    <w:rsid w:val="009E176D"/>
    <w:rsid w:val="009E4AEC"/>
    <w:rsid w:val="009E5640"/>
    <w:rsid w:val="009E77AF"/>
    <w:rsid w:val="009F1B35"/>
    <w:rsid w:val="009F2A37"/>
    <w:rsid w:val="009F3B8B"/>
    <w:rsid w:val="009F3F2A"/>
    <w:rsid w:val="009F4414"/>
    <w:rsid w:val="009F5FE5"/>
    <w:rsid w:val="009F60A4"/>
    <w:rsid w:val="009F6679"/>
    <w:rsid w:val="00A0188C"/>
    <w:rsid w:val="00A03E3E"/>
    <w:rsid w:val="00A03EBE"/>
    <w:rsid w:val="00A04B9F"/>
    <w:rsid w:val="00A0541F"/>
    <w:rsid w:val="00A06D09"/>
    <w:rsid w:val="00A078B6"/>
    <w:rsid w:val="00A07FAC"/>
    <w:rsid w:val="00A13AD0"/>
    <w:rsid w:val="00A13E29"/>
    <w:rsid w:val="00A142D2"/>
    <w:rsid w:val="00A15AC6"/>
    <w:rsid w:val="00A16660"/>
    <w:rsid w:val="00A16D40"/>
    <w:rsid w:val="00A1733B"/>
    <w:rsid w:val="00A213F3"/>
    <w:rsid w:val="00A22B7E"/>
    <w:rsid w:val="00A22B8E"/>
    <w:rsid w:val="00A2304C"/>
    <w:rsid w:val="00A23895"/>
    <w:rsid w:val="00A249DA"/>
    <w:rsid w:val="00A26FEE"/>
    <w:rsid w:val="00A30099"/>
    <w:rsid w:val="00A314E7"/>
    <w:rsid w:val="00A32AAC"/>
    <w:rsid w:val="00A332BD"/>
    <w:rsid w:val="00A365FF"/>
    <w:rsid w:val="00A36897"/>
    <w:rsid w:val="00A37071"/>
    <w:rsid w:val="00A41080"/>
    <w:rsid w:val="00A4138F"/>
    <w:rsid w:val="00A4340F"/>
    <w:rsid w:val="00A44C14"/>
    <w:rsid w:val="00A452D1"/>
    <w:rsid w:val="00A45487"/>
    <w:rsid w:val="00A5122E"/>
    <w:rsid w:val="00A526A0"/>
    <w:rsid w:val="00A542B8"/>
    <w:rsid w:val="00A55539"/>
    <w:rsid w:val="00A56A68"/>
    <w:rsid w:val="00A60452"/>
    <w:rsid w:val="00A60A13"/>
    <w:rsid w:val="00A620C3"/>
    <w:rsid w:val="00A63A57"/>
    <w:rsid w:val="00A64772"/>
    <w:rsid w:val="00A64ED0"/>
    <w:rsid w:val="00A65D84"/>
    <w:rsid w:val="00A65EA1"/>
    <w:rsid w:val="00A67628"/>
    <w:rsid w:val="00A70372"/>
    <w:rsid w:val="00A71904"/>
    <w:rsid w:val="00A71B01"/>
    <w:rsid w:val="00A71B79"/>
    <w:rsid w:val="00A71EE3"/>
    <w:rsid w:val="00A72FBC"/>
    <w:rsid w:val="00A73BF7"/>
    <w:rsid w:val="00A73CF7"/>
    <w:rsid w:val="00A74CC7"/>
    <w:rsid w:val="00A754A7"/>
    <w:rsid w:val="00A75786"/>
    <w:rsid w:val="00A76F14"/>
    <w:rsid w:val="00A836E3"/>
    <w:rsid w:val="00A90650"/>
    <w:rsid w:val="00A912DA"/>
    <w:rsid w:val="00A91E6B"/>
    <w:rsid w:val="00A95B29"/>
    <w:rsid w:val="00A96016"/>
    <w:rsid w:val="00A977EE"/>
    <w:rsid w:val="00AA0CD1"/>
    <w:rsid w:val="00AA0EF8"/>
    <w:rsid w:val="00AA1574"/>
    <w:rsid w:val="00AA17AC"/>
    <w:rsid w:val="00AA184D"/>
    <w:rsid w:val="00AA1B45"/>
    <w:rsid w:val="00AA3C5C"/>
    <w:rsid w:val="00AA43CB"/>
    <w:rsid w:val="00AA4731"/>
    <w:rsid w:val="00AA4DB9"/>
    <w:rsid w:val="00AA513F"/>
    <w:rsid w:val="00AB0CAF"/>
    <w:rsid w:val="00AB1C82"/>
    <w:rsid w:val="00AB21F0"/>
    <w:rsid w:val="00AB2E21"/>
    <w:rsid w:val="00AB323F"/>
    <w:rsid w:val="00AB3291"/>
    <w:rsid w:val="00AB348A"/>
    <w:rsid w:val="00AB42FB"/>
    <w:rsid w:val="00AB4EE9"/>
    <w:rsid w:val="00AB55D6"/>
    <w:rsid w:val="00AB6106"/>
    <w:rsid w:val="00AB76B0"/>
    <w:rsid w:val="00AC02D9"/>
    <w:rsid w:val="00AC0CD5"/>
    <w:rsid w:val="00AC157C"/>
    <w:rsid w:val="00AC1AAE"/>
    <w:rsid w:val="00AC2973"/>
    <w:rsid w:val="00AC2EF2"/>
    <w:rsid w:val="00AC446C"/>
    <w:rsid w:val="00AC58C7"/>
    <w:rsid w:val="00AC66D4"/>
    <w:rsid w:val="00AC7574"/>
    <w:rsid w:val="00AD0A59"/>
    <w:rsid w:val="00AD0FDF"/>
    <w:rsid w:val="00AD29B9"/>
    <w:rsid w:val="00AD3EC0"/>
    <w:rsid w:val="00AD46B6"/>
    <w:rsid w:val="00AD4BA6"/>
    <w:rsid w:val="00AD7A19"/>
    <w:rsid w:val="00AE0C11"/>
    <w:rsid w:val="00AE1144"/>
    <w:rsid w:val="00AE15CE"/>
    <w:rsid w:val="00AE2367"/>
    <w:rsid w:val="00AE2EAA"/>
    <w:rsid w:val="00AE3423"/>
    <w:rsid w:val="00AE34B9"/>
    <w:rsid w:val="00AE688E"/>
    <w:rsid w:val="00AE7358"/>
    <w:rsid w:val="00AE776B"/>
    <w:rsid w:val="00AF0696"/>
    <w:rsid w:val="00AF0B83"/>
    <w:rsid w:val="00AF0C22"/>
    <w:rsid w:val="00AF1425"/>
    <w:rsid w:val="00AF3E19"/>
    <w:rsid w:val="00AF5199"/>
    <w:rsid w:val="00AF5911"/>
    <w:rsid w:val="00B00323"/>
    <w:rsid w:val="00B01E5D"/>
    <w:rsid w:val="00B02E30"/>
    <w:rsid w:val="00B0774A"/>
    <w:rsid w:val="00B07E84"/>
    <w:rsid w:val="00B1152C"/>
    <w:rsid w:val="00B11836"/>
    <w:rsid w:val="00B14751"/>
    <w:rsid w:val="00B1485B"/>
    <w:rsid w:val="00B1630C"/>
    <w:rsid w:val="00B16A50"/>
    <w:rsid w:val="00B217DB"/>
    <w:rsid w:val="00B23068"/>
    <w:rsid w:val="00B2566F"/>
    <w:rsid w:val="00B261E0"/>
    <w:rsid w:val="00B36307"/>
    <w:rsid w:val="00B3680D"/>
    <w:rsid w:val="00B36972"/>
    <w:rsid w:val="00B37BED"/>
    <w:rsid w:val="00B40109"/>
    <w:rsid w:val="00B42C65"/>
    <w:rsid w:val="00B42E4E"/>
    <w:rsid w:val="00B42EBC"/>
    <w:rsid w:val="00B45DCD"/>
    <w:rsid w:val="00B47A4C"/>
    <w:rsid w:val="00B5043E"/>
    <w:rsid w:val="00B51970"/>
    <w:rsid w:val="00B52C9C"/>
    <w:rsid w:val="00B536A0"/>
    <w:rsid w:val="00B5472C"/>
    <w:rsid w:val="00B54DD4"/>
    <w:rsid w:val="00B55FB0"/>
    <w:rsid w:val="00B570E9"/>
    <w:rsid w:val="00B607FC"/>
    <w:rsid w:val="00B61E86"/>
    <w:rsid w:val="00B625A6"/>
    <w:rsid w:val="00B638CD"/>
    <w:rsid w:val="00B64703"/>
    <w:rsid w:val="00B64A5A"/>
    <w:rsid w:val="00B652DF"/>
    <w:rsid w:val="00B66907"/>
    <w:rsid w:val="00B67AA4"/>
    <w:rsid w:val="00B73270"/>
    <w:rsid w:val="00B732A5"/>
    <w:rsid w:val="00B7453C"/>
    <w:rsid w:val="00B7576A"/>
    <w:rsid w:val="00B75918"/>
    <w:rsid w:val="00B76A8F"/>
    <w:rsid w:val="00B77B7E"/>
    <w:rsid w:val="00B806EB"/>
    <w:rsid w:val="00B80909"/>
    <w:rsid w:val="00B813C5"/>
    <w:rsid w:val="00B840CA"/>
    <w:rsid w:val="00B85012"/>
    <w:rsid w:val="00B87E8F"/>
    <w:rsid w:val="00B91C89"/>
    <w:rsid w:val="00B92D8A"/>
    <w:rsid w:val="00B9331B"/>
    <w:rsid w:val="00B943BB"/>
    <w:rsid w:val="00B953E0"/>
    <w:rsid w:val="00B95A81"/>
    <w:rsid w:val="00B95C83"/>
    <w:rsid w:val="00BA09EC"/>
    <w:rsid w:val="00BA1078"/>
    <w:rsid w:val="00BA1321"/>
    <w:rsid w:val="00BA197E"/>
    <w:rsid w:val="00BA3137"/>
    <w:rsid w:val="00BA45EE"/>
    <w:rsid w:val="00BA4F87"/>
    <w:rsid w:val="00BA7BBF"/>
    <w:rsid w:val="00BB0A7E"/>
    <w:rsid w:val="00BB2643"/>
    <w:rsid w:val="00BB27D7"/>
    <w:rsid w:val="00BB285B"/>
    <w:rsid w:val="00BB2CDF"/>
    <w:rsid w:val="00BB2E6E"/>
    <w:rsid w:val="00BB6CA7"/>
    <w:rsid w:val="00BB7103"/>
    <w:rsid w:val="00BC1493"/>
    <w:rsid w:val="00BC1A7B"/>
    <w:rsid w:val="00BC3F2F"/>
    <w:rsid w:val="00BC753F"/>
    <w:rsid w:val="00BC7585"/>
    <w:rsid w:val="00BC7A41"/>
    <w:rsid w:val="00BD1C83"/>
    <w:rsid w:val="00BD2646"/>
    <w:rsid w:val="00BD4359"/>
    <w:rsid w:val="00BD4925"/>
    <w:rsid w:val="00BD4CE9"/>
    <w:rsid w:val="00BD568F"/>
    <w:rsid w:val="00BD6676"/>
    <w:rsid w:val="00BD678C"/>
    <w:rsid w:val="00BD68FC"/>
    <w:rsid w:val="00BD7890"/>
    <w:rsid w:val="00BD7940"/>
    <w:rsid w:val="00BD7F67"/>
    <w:rsid w:val="00BE13B6"/>
    <w:rsid w:val="00BE540F"/>
    <w:rsid w:val="00BE5962"/>
    <w:rsid w:val="00BE629D"/>
    <w:rsid w:val="00BE675E"/>
    <w:rsid w:val="00BE74FC"/>
    <w:rsid w:val="00BF24A6"/>
    <w:rsid w:val="00BF2657"/>
    <w:rsid w:val="00BF4A1B"/>
    <w:rsid w:val="00BF7ABD"/>
    <w:rsid w:val="00C005D7"/>
    <w:rsid w:val="00C00842"/>
    <w:rsid w:val="00C02085"/>
    <w:rsid w:val="00C04102"/>
    <w:rsid w:val="00C068F5"/>
    <w:rsid w:val="00C07473"/>
    <w:rsid w:val="00C122A2"/>
    <w:rsid w:val="00C13733"/>
    <w:rsid w:val="00C151A1"/>
    <w:rsid w:val="00C16242"/>
    <w:rsid w:val="00C16A36"/>
    <w:rsid w:val="00C16C27"/>
    <w:rsid w:val="00C177EA"/>
    <w:rsid w:val="00C17E14"/>
    <w:rsid w:val="00C21180"/>
    <w:rsid w:val="00C21AE8"/>
    <w:rsid w:val="00C23D5D"/>
    <w:rsid w:val="00C2791D"/>
    <w:rsid w:val="00C27BBF"/>
    <w:rsid w:val="00C30A6D"/>
    <w:rsid w:val="00C31553"/>
    <w:rsid w:val="00C31BEC"/>
    <w:rsid w:val="00C335AB"/>
    <w:rsid w:val="00C3390A"/>
    <w:rsid w:val="00C339A3"/>
    <w:rsid w:val="00C33D54"/>
    <w:rsid w:val="00C35F09"/>
    <w:rsid w:val="00C369A0"/>
    <w:rsid w:val="00C375DA"/>
    <w:rsid w:val="00C430E8"/>
    <w:rsid w:val="00C43D41"/>
    <w:rsid w:val="00C44394"/>
    <w:rsid w:val="00C4541B"/>
    <w:rsid w:val="00C454EB"/>
    <w:rsid w:val="00C455CC"/>
    <w:rsid w:val="00C4626C"/>
    <w:rsid w:val="00C472F1"/>
    <w:rsid w:val="00C506CB"/>
    <w:rsid w:val="00C51E10"/>
    <w:rsid w:val="00C52D14"/>
    <w:rsid w:val="00C55B75"/>
    <w:rsid w:val="00C5602D"/>
    <w:rsid w:val="00C568AF"/>
    <w:rsid w:val="00C57CDD"/>
    <w:rsid w:val="00C61C05"/>
    <w:rsid w:val="00C625D6"/>
    <w:rsid w:val="00C62A6F"/>
    <w:rsid w:val="00C62F90"/>
    <w:rsid w:val="00C63453"/>
    <w:rsid w:val="00C63C29"/>
    <w:rsid w:val="00C64118"/>
    <w:rsid w:val="00C65165"/>
    <w:rsid w:val="00C6644B"/>
    <w:rsid w:val="00C673ED"/>
    <w:rsid w:val="00C674EE"/>
    <w:rsid w:val="00C67949"/>
    <w:rsid w:val="00C74653"/>
    <w:rsid w:val="00C771F9"/>
    <w:rsid w:val="00C8013E"/>
    <w:rsid w:val="00C80767"/>
    <w:rsid w:val="00C81C4D"/>
    <w:rsid w:val="00C82D65"/>
    <w:rsid w:val="00C84038"/>
    <w:rsid w:val="00C84ABC"/>
    <w:rsid w:val="00C84CD6"/>
    <w:rsid w:val="00C867EE"/>
    <w:rsid w:val="00C8749F"/>
    <w:rsid w:val="00C87BDE"/>
    <w:rsid w:val="00C9177C"/>
    <w:rsid w:val="00C9187E"/>
    <w:rsid w:val="00C927AE"/>
    <w:rsid w:val="00C940D5"/>
    <w:rsid w:val="00C94C76"/>
    <w:rsid w:val="00C96C5B"/>
    <w:rsid w:val="00C970CD"/>
    <w:rsid w:val="00CA5F58"/>
    <w:rsid w:val="00CA626D"/>
    <w:rsid w:val="00CA70C6"/>
    <w:rsid w:val="00CB0CDC"/>
    <w:rsid w:val="00CB1449"/>
    <w:rsid w:val="00CB3BD9"/>
    <w:rsid w:val="00CB7D8D"/>
    <w:rsid w:val="00CC006A"/>
    <w:rsid w:val="00CC122D"/>
    <w:rsid w:val="00CC130C"/>
    <w:rsid w:val="00CC145F"/>
    <w:rsid w:val="00CC31AB"/>
    <w:rsid w:val="00CC3742"/>
    <w:rsid w:val="00CC3FFE"/>
    <w:rsid w:val="00CC42FE"/>
    <w:rsid w:val="00CC4A18"/>
    <w:rsid w:val="00CC5D44"/>
    <w:rsid w:val="00CC5D5A"/>
    <w:rsid w:val="00CC747A"/>
    <w:rsid w:val="00CD0F39"/>
    <w:rsid w:val="00CD1A49"/>
    <w:rsid w:val="00CD3AD4"/>
    <w:rsid w:val="00CD668D"/>
    <w:rsid w:val="00CD6F79"/>
    <w:rsid w:val="00CE1785"/>
    <w:rsid w:val="00CE2BBE"/>
    <w:rsid w:val="00CE325F"/>
    <w:rsid w:val="00CE3B1C"/>
    <w:rsid w:val="00CE6C3E"/>
    <w:rsid w:val="00CF0665"/>
    <w:rsid w:val="00CF17C6"/>
    <w:rsid w:val="00CF32E6"/>
    <w:rsid w:val="00CF3B4D"/>
    <w:rsid w:val="00CF3EC6"/>
    <w:rsid w:val="00CF46C2"/>
    <w:rsid w:val="00CF4AE4"/>
    <w:rsid w:val="00CF7281"/>
    <w:rsid w:val="00CF74DA"/>
    <w:rsid w:val="00CF7B05"/>
    <w:rsid w:val="00CF7B33"/>
    <w:rsid w:val="00CF7BF4"/>
    <w:rsid w:val="00CF7D9D"/>
    <w:rsid w:val="00CF7E82"/>
    <w:rsid w:val="00D004C1"/>
    <w:rsid w:val="00D020AC"/>
    <w:rsid w:val="00D03429"/>
    <w:rsid w:val="00D05628"/>
    <w:rsid w:val="00D0697B"/>
    <w:rsid w:val="00D0748F"/>
    <w:rsid w:val="00D100EA"/>
    <w:rsid w:val="00D10CB3"/>
    <w:rsid w:val="00D13D08"/>
    <w:rsid w:val="00D16875"/>
    <w:rsid w:val="00D179FD"/>
    <w:rsid w:val="00D2054A"/>
    <w:rsid w:val="00D23716"/>
    <w:rsid w:val="00D2474D"/>
    <w:rsid w:val="00D248E1"/>
    <w:rsid w:val="00D250BD"/>
    <w:rsid w:val="00D25500"/>
    <w:rsid w:val="00D30546"/>
    <w:rsid w:val="00D3126E"/>
    <w:rsid w:val="00D3170E"/>
    <w:rsid w:val="00D323F3"/>
    <w:rsid w:val="00D33E0F"/>
    <w:rsid w:val="00D33F58"/>
    <w:rsid w:val="00D34C05"/>
    <w:rsid w:val="00D366D6"/>
    <w:rsid w:val="00D36A3D"/>
    <w:rsid w:val="00D370B6"/>
    <w:rsid w:val="00D37649"/>
    <w:rsid w:val="00D37915"/>
    <w:rsid w:val="00D402F2"/>
    <w:rsid w:val="00D405A5"/>
    <w:rsid w:val="00D42721"/>
    <w:rsid w:val="00D42C38"/>
    <w:rsid w:val="00D42DAC"/>
    <w:rsid w:val="00D43861"/>
    <w:rsid w:val="00D4451B"/>
    <w:rsid w:val="00D44F54"/>
    <w:rsid w:val="00D463EB"/>
    <w:rsid w:val="00D4673D"/>
    <w:rsid w:val="00D4762D"/>
    <w:rsid w:val="00D47DA0"/>
    <w:rsid w:val="00D50F10"/>
    <w:rsid w:val="00D518CD"/>
    <w:rsid w:val="00D5211C"/>
    <w:rsid w:val="00D52D4D"/>
    <w:rsid w:val="00D5347A"/>
    <w:rsid w:val="00D539D4"/>
    <w:rsid w:val="00D54D5E"/>
    <w:rsid w:val="00D55AFB"/>
    <w:rsid w:val="00D57C07"/>
    <w:rsid w:val="00D62B23"/>
    <w:rsid w:val="00D637B2"/>
    <w:rsid w:val="00D652D5"/>
    <w:rsid w:val="00D6556B"/>
    <w:rsid w:val="00D7059F"/>
    <w:rsid w:val="00D70A7A"/>
    <w:rsid w:val="00D71661"/>
    <w:rsid w:val="00D746BF"/>
    <w:rsid w:val="00D75998"/>
    <w:rsid w:val="00D76599"/>
    <w:rsid w:val="00D7739A"/>
    <w:rsid w:val="00D77A03"/>
    <w:rsid w:val="00D8254D"/>
    <w:rsid w:val="00D825D0"/>
    <w:rsid w:val="00D82637"/>
    <w:rsid w:val="00D82B6A"/>
    <w:rsid w:val="00D83932"/>
    <w:rsid w:val="00D8404C"/>
    <w:rsid w:val="00D84668"/>
    <w:rsid w:val="00D84F4E"/>
    <w:rsid w:val="00D85BA4"/>
    <w:rsid w:val="00D86BD6"/>
    <w:rsid w:val="00D8764C"/>
    <w:rsid w:val="00D9047C"/>
    <w:rsid w:val="00D90D6E"/>
    <w:rsid w:val="00D923A6"/>
    <w:rsid w:val="00D93ECA"/>
    <w:rsid w:val="00D97945"/>
    <w:rsid w:val="00DA2FF3"/>
    <w:rsid w:val="00DA3EC5"/>
    <w:rsid w:val="00DA6AAB"/>
    <w:rsid w:val="00DA7B05"/>
    <w:rsid w:val="00DB10DC"/>
    <w:rsid w:val="00DB3231"/>
    <w:rsid w:val="00DB4240"/>
    <w:rsid w:val="00DB58BD"/>
    <w:rsid w:val="00DB5F0F"/>
    <w:rsid w:val="00DB60CA"/>
    <w:rsid w:val="00DB60E1"/>
    <w:rsid w:val="00DB65DB"/>
    <w:rsid w:val="00DC300F"/>
    <w:rsid w:val="00DC3AA8"/>
    <w:rsid w:val="00DC3C98"/>
    <w:rsid w:val="00DC5E31"/>
    <w:rsid w:val="00DC6B80"/>
    <w:rsid w:val="00DC704C"/>
    <w:rsid w:val="00DC76C7"/>
    <w:rsid w:val="00DD0205"/>
    <w:rsid w:val="00DD08C5"/>
    <w:rsid w:val="00DD0C82"/>
    <w:rsid w:val="00DD167F"/>
    <w:rsid w:val="00DD1A91"/>
    <w:rsid w:val="00DD1BE8"/>
    <w:rsid w:val="00DD2B92"/>
    <w:rsid w:val="00DD3446"/>
    <w:rsid w:val="00DD440B"/>
    <w:rsid w:val="00DD4A0A"/>
    <w:rsid w:val="00DD4E60"/>
    <w:rsid w:val="00DD72E3"/>
    <w:rsid w:val="00DE0CD6"/>
    <w:rsid w:val="00DE1BED"/>
    <w:rsid w:val="00DE35D1"/>
    <w:rsid w:val="00DE3CB1"/>
    <w:rsid w:val="00DE4B23"/>
    <w:rsid w:val="00DE60BA"/>
    <w:rsid w:val="00DE7CCB"/>
    <w:rsid w:val="00DF0529"/>
    <w:rsid w:val="00DF07BD"/>
    <w:rsid w:val="00DF1847"/>
    <w:rsid w:val="00DF18B0"/>
    <w:rsid w:val="00DF21C2"/>
    <w:rsid w:val="00DF2B1F"/>
    <w:rsid w:val="00DF2F90"/>
    <w:rsid w:val="00DF3684"/>
    <w:rsid w:val="00DF4D5F"/>
    <w:rsid w:val="00DF6B0E"/>
    <w:rsid w:val="00E0110B"/>
    <w:rsid w:val="00E01CFA"/>
    <w:rsid w:val="00E020F5"/>
    <w:rsid w:val="00E02B8B"/>
    <w:rsid w:val="00E03A2B"/>
    <w:rsid w:val="00E05651"/>
    <w:rsid w:val="00E060C1"/>
    <w:rsid w:val="00E07EB2"/>
    <w:rsid w:val="00E12184"/>
    <w:rsid w:val="00E12739"/>
    <w:rsid w:val="00E127E1"/>
    <w:rsid w:val="00E14028"/>
    <w:rsid w:val="00E14415"/>
    <w:rsid w:val="00E14BAE"/>
    <w:rsid w:val="00E14D76"/>
    <w:rsid w:val="00E15B61"/>
    <w:rsid w:val="00E17809"/>
    <w:rsid w:val="00E20A65"/>
    <w:rsid w:val="00E211F5"/>
    <w:rsid w:val="00E21313"/>
    <w:rsid w:val="00E22C9D"/>
    <w:rsid w:val="00E237B6"/>
    <w:rsid w:val="00E24262"/>
    <w:rsid w:val="00E2617F"/>
    <w:rsid w:val="00E27A93"/>
    <w:rsid w:val="00E36434"/>
    <w:rsid w:val="00E40FB9"/>
    <w:rsid w:val="00E41FB7"/>
    <w:rsid w:val="00E42D05"/>
    <w:rsid w:val="00E437A0"/>
    <w:rsid w:val="00E4386E"/>
    <w:rsid w:val="00E43FD4"/>
    <w:rsid w:val="00E44144"/>
    <w:rsid w:val="00E45273"/>
    <w:rsid w:val="00E466A2"/>
    <w:rsid w:val="00E5268A"/>
    <w:rsid w:val="00E53065"/>
    <w:rsid w:val="00E53CC5"/>
    <w:rsid w:val="00E558F3"/>
    <w:rsid w:val="00E573B7"/>
    <w:rsid w:val="00E5783A"/>
    <w:rsid w:val="00E607CC"/>
    <w:rsid w:val="00E609DA"/>
    <w:rsid w:val="00E614DD"/>
    <w:rsid w:val="00E61B52"/>
    <w:rsid w:val="00E62699"/>
    <w:rsid w:val="00E634B9"/>
    <w:rsid w:val="00E64BF4"/>
    <w:rsid w:val="00E70F09"/>
    <w:rsid w:val="00E73833"/>
    <w:rsid w:val="00E7438E"/>
    <w:rsid w:val="00E758AB"/>
    <w:rsid w:val="00E76BE2"/>
    <w:rsid w:val="00E77497"/>
    <w:rsid w:val="00E81115"/>
    <w:rsid w:val="00E8797F"/>
    <w:rsid w:val="00E879A5"/>
    <w:rsid w:val="00E92316"/>
    <w:rsid w:val="00E935E1"/>
    <w:rsid w:val="00E93A16"/>
    <w:rsid w:val="00EA1891"/>
    <w:rsid w:val="00EA2400"/>
    <w:rsid w:val="00EA468F"/>
    <w:rsid w:val="00EA486B"/>
    <w:rsid w:val="00EA4DD3"/>
    <w:rsid w:val="00EA6E1C"/>
    <w:rsid w:val="00EA7468"/>
    <w:rsid w:val="00EB1AE5"/>
    <w:rsid w:val="00EB1F86"/>
    <w:rsid w:val="00EB2816"/>
    <w:rsid w:val="00EB32C3"/>
    <w:rsid w:val="00EB421C"/>
    <w:rsid w:val="00EB4603"/>
    <w:rsid w:val="00EB4C8D"/>
    <w:rsid w:val="00EB6333"/>
    <w:rsid w:val="00EB6F94"/>
    <w:rsid w:val="00EC0AC7"/>
    <w:rsid w:val="00EC0B91"/>
    <w:rsid w:val="00EC1193"/>
    <w:rsid w:val="00EC3211"/>
    <w:rsid w:val="00EC3947"/>
    <w:rsid w:val="00EC3E7E"/>
    <w:rsid w:val="00EC5FBF"/>
    <w:rsid w:val="00ED0B8F"/>
    <w:rsid w:val="00ED190F"/>
    <w:rsid w:val="00ED1EAD"/>
    <w:rsid w:val="00ED3328"/>
    <w:rsid w:val="00ED5BDF"/>
    <w:rsid w:val="00ED75A8"/>
    <w:rsid w:val="00EE037A"/>
    <w:rsid w:val="00EE0E99"/>
    <w:rsid w:val="00EE19F4"/>
    <w:rsid w:val="00EE22E9"/>
    <w:rsid w:val="00EE275F"/>
    <w:rsid w:val="00EE36CB"/>
    <w:rsid w:val="00EE46DA"/>
    <w:rsid w:val="00EF16A6"/>
    <w:rsid w:val="00EF1839"/>
    <w:rsid w:val="00EF3838"/>
    <w:rsid w:val="00EF4326"/>
    <w:rsid w:val="00EF5301"/>
    <w:rsid w:val="00EF7C2E"/>
    <w:rsid w:val="00F00DD1"/>
    <w:rsid w:val="00F03A33"/>
    <w:rsid w:val="00F0441B"/>
    <w:rsid w:val="00F04438"/>
    <w:rsid w:val="00F04D49"/>
    <w:rsid w:val="00F04E62"/>
    <w:rsid w:val="00F05340"/>
    <w:rsid w:val="00F05800"/>
    <w:rsid w:val="00F0727B"/>
    <w:rsid w:val="00F10151"/>
    <w:rsid w:val="00F12796"/>
    <w:rsid w:val="00F12A43"/>
    <w:rsid w:val="00F14C0C"/>
    <w:rsid w:val="00F15394"/>
    <w:rsid w:val="00F175C6"/>
    <w:rsid w:val="00F25C33"/>
    <w:rsid w:val="00F31E93"/>
    <w:rsid w:val="00F31F82"/>
    <w:rsid w:val="00F3222A"/>
    <w:rsid w:val="00F3577F"/>
    <w:rsid w:val="00F36FA3"/>
    <w:rsid w:val="00F40953"/>
    <w:rsid w:val="00F41A10"/>
    <w:rsid w:val="00F421D8"/>
    <w:rsid w:val="00F43308"/>
    <w:rsid w:val="00F436CD"/>
    <w:rsid w:val="00F43B1D"/>
    <w:rsid w:val="00F44BBA"/>
    <w:rsid w:val="00F461C6"/>
    <w:rsid w:val="00F467DB"/>
    <w:rsid w:val="00F4757C"/>
    <w:rsid w:val="00F50FD7"/>
    <w:rsid w:val="00F5266A"/>
    <w:rsid w:val="00F52E07"/>
    <w:rsid w:val="00F52F2C"/>
    <w:rsid w:val="00F5338F"/>
    <w:rsid w:val="00F54469"/>
    <w:rsid w:val="00F55A12"/>
    <w:rsid w:val="00F57807"/>
    <w:rsid w:val="00F605B3"/>
    <w:rsid w:val="00F60D99"/>
    <w:rsid w:val="00F61AA4"/>
    <w:rsid w:val="00F61B95"/>
    <w:rsid w:val="00F6261A"/>
    <w:rsid w:val="00F66891"/>
    <w:rsid w:val="00F66D58"/>
    <w:rsid w:val="00F672DD"/>
    <w:rsid w:val="00F722B1"/>
    <w:rsid w:val="00F72D42"/>
    <w:rsid w:val="00F73998"/>
    <w:rsid w:val="00F73CD5"/>
    <w:rsid w:val="00F749B6"/>
    <w:rsid w:val="00F75D69"/>
    <w:rsid w:val="00F77F29"/>
    <w:rsid w:val="00F800DF"/>
    <w:rsid w:val="00F808EB"/>
    <w:rsid w:val="00F80AFA"/>
    <w:rsid w:val="00F83A42"/>
    <w:rsid w:val="00F83E51"/>
    <w:rsid w:val="00F83E65"/>
    <w:rsid w:val="00F8401D"/>
    <w:rsid w:val="00F84378"/>
    <w:rsid w:val="00F84A06"/>
    <w:rsid w:val="00F857AA"/>
    <w:rsid w:val="00F865AC"/>
    <w:rsid w:val="00F87136"/>
    <w:rsid w:val="00F87CF4"/>
    <w:rsid w:val="00F91B71"/>
    <w:rsid w:val="00F9215D"/>
    <w:rsid w:val="00F94A43"/>
    <w:rsid w:val="00F96A5A"/>
    <w:rsid w:val="00F96B8C"/>
    <w:rsid w:val="00F97184"/>
    <w:rsid w:val="00FA0453"/>
    <w:rsid w:val="00FA0473"/>
    <w:rsid w:val="00FA0860"/>
    <w:rsid w:val="00FA1305"/>
    <w:rsid w:val="00FA1AFF"/>
    <w:rsid w:val="00FA1EBF"/>
    <w:rsid w:val="00FA34E0"/>
    <w:rsid w:val="00FA3C0D"/>
    <w:rsid w:val="00FA58EB"/>
    <w:rsid w:val="00FB127A"/>
    <w:rsid w:val="00FB20A5"/>
    <w:rsid w:val="00FB2533"/>
    <w:rsid w:val="00FB263A"/>
    <w:rsid w:val="00FB3DEB"/>
    <w:rsid w:val="00FB4592"/>
    <w:rsid w:val="00FB4D58"/>
    <w:rsid w:val="00FB7E10"/>
    <w:rsid w:val="00FB7FBF"/>
    <w:rsid w:val="00FC0B0D"/>
    <w:rsid w:val="00FC32C3"/>
    <w:rsid w:val="00FC49B9"/>
    <w:rsid w:val="00FC5554"/>
    <w:rsid w:val="00FC695A"/>
    <w:rsid w:val="00FC6B13"/>
    <w:rsid w:val="00FC6ED0"/>
    <w:rsid w:val="00FD0D26"/>
    <w:rsid w:val="00FD18F9"/>
    <w:rsid w:val="00FD2B85"/>
    <w:rsid w:val="00FD46FB"/>
    <w:rsid w:val="00FD4CE9"/>
    <w:rsid w:val="00FD7633"/>
    <w:rsid w:val="00FE3640"/>
    <w:rsid w:val="00FE3FA8"/>
    <w:rsid w:val="00FE527A"/>
    <w:rsid w:val="00FE650D"/>
    <w:rsid w:val="00FE7919"/>
    <w:rsid w:val="00FE7C43"/>
    <w:rsid w:val="00FF10D6"/>
    <w:rsid w:val="00FF48BF"/>
    <w:rsid w:val="00FF4E78"/>
    <w:rsid w:val="00FF7CE0"/>
    <w:rsid w:val="0328E46E"/>
    <w:rsid w:val="0AFB2409"/>
    <w:rsid w:val="0C96F46A"/>
    <w:rsid w:val="0CED4420"/>
    <w:rsid w:val="107E9020"/>
    <w:rsid w:val="17CE69E1"/>
    <w:rsid w:val="17F4CAE4"/>
    <w:rsid w:val="197F9244"/>
    <w:rsid w:val="2308CC1F"/>
    <w:rsid w:val="2922FFAF"/>
    <w:rsid w:val="2D47D79F"/>
    <w:rsid w:val="2F7C4A59"/>
    <w:rsid w:val="3231207A"/>
    <w:rsid w:val="330A961E"/>
    <w:rsid w:val="332ABB6D"/>
    <w:rsid w:val="3861430F"/>
    <w:rsid w:val="3934ED39"/>
    <w:rsid w:val="398546FF"/>
    <w:rsid w:val="3C95708B"/>
    <w:rsid w:val="3D8573DD"/>
    <w:rsid w:val="3DD00FB8"/>
    <w:rsid w:val="3F0FFECF"/>
    <w:rsid w:val="453C0FCC"/>
    <w:rsid w:val="4CD633F7"/>
    <w:rsid w:val="4D881FC9"/>
    <w:rsid w:val="50EA71E2"/>
    <w:rsid w:val="5349A31D"/>
    <w:rsid w:val="54AC6529"/>
    <w:rsid w:val="57215515"/>
    <w:rsid w:val="590F968E"/>
    <w:rsid w:val="59AE9A36"/>
    <w:rsid w:val="5AC52AA1"/>
    <w:rsid w:val="5B22578A"/>
    <w:rsid w:val="5FC0EB5E"/>
    <w:rsid w:val="6161188C"/>
    <w:rsid w:val="62EEBCE0"/>
    <w:rsid w:val="648A8D41"/>
    <w:rsid w:val="6E17B80D"/>
    <w:rsid w:val="773272C3"/>
    <w:rsid w:val="77481DEE"/>
    <w:rsid w:val="777416F6"/>
    <w:rsid w:val="7A87FDEA"/>
    <w:rsid w:val="7B3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2D7B48BC"/>
  <w15:chartTrackingRefBased/>
  <w15:docId w15:val="{49FD6312-FEAE-4B68-B205-090D0A28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  <w:style w:type="character" w:customStyle="1" w:styleId="symbol">
    <w:name w:val="symbol"/>
    <w:basedOn w:val="DefaultParagraphFont"/>
    <w:rsid w:val="00FB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olutions.gov" TargetMode="External"/><Relationship Id="rId13" Type="http://schemas.openxmlformats.org/officeDocument/2006/relationships/hyperlink" Target="https://www.merckmanuals.com/professional/special-subjects/recreational-drugs-and-intoxicants/opioid-toxicity-and-withdraw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ckmanuals.com/professional/psychiatric-disorders/substance-related-disorders/substance-use-disorde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ckmanuals.com/professional/special-subjects/recreational-drugs-and-intoxicants/amphetamin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erckmanuals.com/professional/special-subjects/recreational-drugs-and-intoxicants/anxiolytics-and-sedativ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ckmanuals.com/professional/special-subjects/recreational-drugs-and-intoxicants/opioid-use-disorder-and-rehabilitation" TargetMode="External"/><Relationship Id="rId14" Type="http://schemas.openxmlformats.org/officeDocument/2006/relationships/hyperlink" Target="https://www.merckmanuals.com/professional/special-subjects/recreational-drugs-and-intoxicants/opioid-use-disorder-and-rehabil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A4A9-CA6F-407B-863A-EAC67511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4083</Words>
  <Characters>23350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Cooley, Laura A. (CDC/DDID/NCHHSTP/DVH)</cp:lastModifiedBy>
  <cp:revision>200</cp:revision>
  <cp:lastPrinted>2020-12-28T21:36:00Z</cp:lastPrinted>
  <dcterms:created xsi:type="dcterms:W3CDTF">2021-02-16T22:45:00Z</dcterms:created>
  <dcterms:modified xsi:type="dcterms:W3CDTF">2021-10-29T21:26:00Z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2020-11-19T02:00:19Z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a1f52f63-85d8-4db8-ba10-eaf03a7e3178</vt:lpwstr>
  </property>
  <property fmtid="{D5CDD505-2E9C-101B-9397-08002B2CF9AE}" pid="8" name="MSIP_Label_7b94a7b8-f06c-4dfe-bdcc-9b548fd58c31_ContentBits">
    <vt:lpwstr>0</vt:lpwstr>
  </property>
</Properties>
</file>