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92565" w:rsidP="00892565" w:rsidRDefault="00892565" w14:paraId="1CB7A492" w14:textId="77777777">
      <w:pPr>
        <w:pStyle w:val="Heading2"/>
      </w:pPr>
      <w:bookmarkStart w:name="_Toc59530272" w:id="0"/>
      <w:bookmarkStart w:name="_Toc74740829" w:id="1"/>
      <w:r>
        <w:rPr>
          <w:noProof/>
        </w:rPr>
        <mc:AlternateContent>
          <mc:Choice Requires="wps">
            <w:drawing>
              <wp:anchor distT="45720" distB="45720" distL="114300" distR="114300" simplePos="0" relativeHeight="251659264" behindDoc="0" locked="0" layoutInCell="1" allowOverlap="1" wp14:editId="031D42AA" wp14:anchorId="04105F1B">
                <wp:simplePos x="0" y="0"/>
                <wp:positionH relativeFrom="column">
                  <wp:posOffset>4794250</wp:posOffset>
                </wp:positionH>
                <wp:positionV relativeFrom="paragraph">
                  <wp:posOffset>-476250</wp:posOffset>
                </wp:positionV>
                <wp:extent cx="1503680" cy="368300"/>
                <wp:effectExtent l="0" t="0" r="20320" b="1270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680" cy="368300"/>
                        </a:xfrm>
                        <a:prstGeom prst="rect">
                          <a:avLst/>
                        </a:prstGeom>
                        <a:solidFill>
                          <a:srgbClr val="FFFFFF"/>
                        </a:solidFill>
                        <a:ln w="9525">
                          <a:solidFill>
                            <a:srgbClr val="000000"/>
                          </a:solidFill>
                          <a:miter lim="800000"/>
                          <a:headEnd/>
                          <a:tailEnd/>
                        </a:ln>
                      </wps:spPr>
                      <wps:txbx>
                        <w:txbxContent>
                          <w:p w:rsidR="00892565" w:rsidP="00892565" w:rsidRDefault="00892565" w14:paraId="58E9CF04" w14:textId="77777777">
                            <w:r>
                              <w:t>Reading Level 8.3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4105F1B">
                <v:stroke joinstyle="miter"/>
                <v:path gradientshapeok="t" o:connecttype="rect"/>
              </v:shapetype>
              <v:shape id="Text Box 2" style="position:absolute;margin-left:377.5pt;margin-top:-37.5pt;width:118.4pt;height:2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">
                <v:textbox>
                  <w:txbxContent>
                    <w:p w:rsidR="00892565" w:rsidP="00892565" w:rsidRDefault="00892565" w14:paraId="58E9CF04" w14:textId="77777777">
                      <w:r>
                        <w:t>Reading Level 8.3</w:t>
                      </w:r>
                    </w:p>
                  </w:txbxContent>
                </v:textbox>
              </v:shape>
            </w:pict>
          </mc:Fallback>
        </mc:AlternateContent>
      </w:r>
      <w:r>
        <w:t>Appendix K – Privacy Act Statement</w:t>
      </w:r>
      <w:bookmarkEnd w:id="0"/>
      <w:bookmarkEnd w:id="1"/>
    </w:p>
    <w:p w:rsidR="00892565" w:rsidP="00892565" w:rsidRDefault="00892565" w14:paraId="4C313FE4" w14:textId="77777777"/>
    <w:p w:rsidR="00892565" w:rsidP="00892565" w:rsidRDefault="00892565" w14:paraId="186CF947" w14:textId="77777777">
      <w:pPr>
        <w:spacing w:after="0" w:line="240" w:lineRule="auto"/>
        <w:jc w:val="center"/>
        <w:rPr>
          <w:b/>
          <w:bCs/>
        </w:rPr>
      </w:pPr>
      <w:r w:rsidRPr="0D8CA822">
        <w:rPr>
          <w:b/>
          <w:bCs/>
        </w:rPr>
        <w:t>Evaluating the Association between Serum Concentrations of Per- and Polyfluoroalkyl Substances (PFAS) and Symptoms and Diagnoses of Selected Acute Viral Illnesses</w:t>
      </w:r>
    </w:p>
    <w:p w:rsidR="00892565" w:rsidP="00892565" w:rsidRDefault="00892565" w14:paraId="27A3DE67" w14:textId="77777777">
      <w:pPr>
        <w:spacing w:after="0" w:line="240" w:lineRule="auto"/>
        <w:jc w:val="center"/>
        <w:rPr>
          <w:b/>
          <w:bCs/>
        </w:rPr>
      </w:pPr>
    </w:p>
    <w:p w:rsidR="00892565" w:rsidP="00892565" w:rsidRDefault="00892565" w14:paraId="5497E571" w14:textId="77777777">
      <w:pPr>
        <w:spacing w:after="0" w:line="240" w:lineRule="auto"/>
        <w:jc w:val="center"/>
        <w:rPr>
          <w:b/>
          <w:bCs/>
        </w:rPr>
      </w:pPr>
      <w:r>
        <w:rPr>
          <w:b/>
          <w:bCs/>
        </w:rPr>
        <w:t>Privacy Act Statement</w:t>
      </w:r>
    </w:p>
    <w:p w:rsidR="00892565" w:rsidP="00892565" w:rsidRDefault="00892565" w14:paraId="6249F997" w14:textId="77777777"/>
    <w:p w:rsidRPr="00A66A98" w:rsidR="00892565" w:rsidP="00892565" w:rsidRDefault="00892565" w14:paraId="4AF8F204" w14:textId="77777777">
      <w:r>
        <w:t>The Privacy Act of 1974, 5 USC 552a, provides protection to individuals by ensuring that personal information collected by Federal agencies is limited to that which is legally authorized and necessary and is maintained in a manner which precludes unwarranted intrusions upon individual privacy.</w:t>
      </w:r>
    </w:p>
    <w:p w:rsidRPr="00A66A98" w:rsidR="00892565" w:rsidP="00892565" w:rsidRDefault="00892565" w14:paraId="4B696D54" w14:textId="77777777">
      <w:pPr>
        <w:pStyle w:val="Heading3"/>
      </w:pPr>
      <w:bookmarkStart w:name="_Toc74740830" w:id="2"/>
      <w:r>
        <w:t>Authority</w:t>
      </w:r>
      <w:bookmarkEnd w:id="2"/>
    </w:p>
    <w:p w:rsidRPr="00A66A98" w:rsidR="00892565" w:rsidP="00892565" w:rsidRDefault="00892565" w14:paraId="2693FC3E" w14:textId="77777777">
      <w:r>
        <w:t>The Agency for Toxic Substance and Disease Registry (ATSDR) and the Centers for Disease Control and Prevention’s (CDC) National Center for Environmental Health (NCEH) are authorized to conduct this study under the 1980 Comprehensive Environmental Response, Compensation, and Liability Act (CERCLA), as amended by the 1986 Superfund Amendments and Reauthorization Act (SARA) (42 U.S.C. 9601, 9604), and the Public Health Service Act Section 301 (42 U.S.C. 241) and Section 311 (42 U.S.C. 243), respectively.</w:t>
      </w:r>
    </w:p>
    <w:p w:rsidRPr="00A66A98" w:rsidR="00892565" w:rsidP="00892565" w:rsidRDefault="00892565" w14:paraId="1640B05E" w14:textId="77777777">
      <w:pPr>
        <w:pStyle w:val="Heading3"/>
      </w:pPr>
      <w:bookmarkStart w:name="_Toc74740831" w:id="3"/>
      <w:r>
        <w:t>Purpose</w:t>
      </w:r>
      <w:bookmarkEnd w:id="3"/>
    </w:p>
    <w:p w:rsidRPr="00A66A98" w:rsidR="00892565" w:rsidP="00892565" w:rsidRDefault="00892565" w14:paraId="4ABAB175" w14:textId="77777777">
      <w:pPr>
        <w:rPr>
          <w:rFonts w:ascii="Calibri" w:hAnsi="Calibri" w:eastAsia="Calibri" w:cs="Calibri"/>
          <w:color w:val="0078D4"/>
        </w:rPr>
      </w:pPr>
      <w:r>
        <w:t xml:space="preserve">The purpose of this research study is to see if the amount of PFAS in a person’s blood is related to viral illnesses. This can include getting the COVID-19 virus. </w:t>
      </w:r>
    </w:p>
    <w:p w:rsidRPr="00A66A98" w:rsidR="00892565" w:rsidP="00892565" w:rsidRDefault="00892565" w14:paraId="7736AEE4" w14:textId="77777777">
      <w:r>
        <w:t xml:space="preserve">CDC/ATSDR is collecting this information for: </w:t>
      </w:r>
    </w:p>
    <w:p w:rsidRPr="002C4B21" w:rsidR="00892565" w:rsidP="00892565" w:rsidRDefault="00892565" w14:paraId="07E0556C" w14:textId="77777777">
      <w:pPr>
        <w:pStyle w:val="ListParagraph"/>
        <w:numPr>
          <w:ilvl w:val="0"/>
          <w:numId w:val="1"/>
        </w:numPr>
        <w:rPr>
          <w:rFonts w:eastAsiaTheme="minorEastAsia"/>
        </w:rPr>
      </w:pPr>
      <w:r>
        <w:t>Adult consent, parental permission, and child assent to participate in surveys.</w:t>
      </w:r>
    </w:p>
    <w:p w:rsidRPr="006964D3" w:rsidR="00892565" w:rsidP="00892565" w:rsidRDefault="00892565" w14:paraId="4439B5A0" w14:textId="77777777">
      <w:pPr>
        <w:pStyle w:val="ListParagraph"/>
        <w:numPr>
          <w:ilvl w:val="0"/>
          <w:numId w:val="1"/>
        </w:numPr>
        <w:rPr>
          <w:rFonts w:eastAsiaTheme="minorEastAsia"/>
        </w:rPr>
      </w:pPr>
      <w:r>
        <w:t>Contacting you to remind you to complete the surveys.</w:t>
      </w:r>
    </w:p>
    <w:p w:rsidRPr="00A66A98" w:rsidR="00892565" w:rsidP="00892565" w:rsidRDefault="00892565" w14:paraId="74F98719" w14:textId="77777777">
      <w:pPr>
        <w:pStyle w:val="ListParagraph"/>
        <w:numPr>
          <w:ilvl w:val="0"/>
          <w:numId w:val="1"/>
        </w:numPr>
        <w:rPr>
          <w:rFonts w:eastAsiaTheme="minorEastAsia"/>
        </w:rPr>
      </w:pPr>
      <w:r>
        <w:t>Linking to data from previous ATSDR PFAS investigations and research studies.</w:t>
      </w:r>
    </w:p>
    <w:p w:rsidRPr="00A66A98" w:rsidR="00892565" w:rsidP="00892565" w:rsidRDefault="00892565" w14:paraId="23C0D154" w14:textId="77777777">
      <w:pPr>
        <w:pStyle w:val="ListParagraph"/>
        <w:numPr>
          <w:ilvl w:val="0"/>
          <w:numId w:val="1"/>
        </w:numPr>
        <w:rPr>
          <w:rFonts w:eastAsiaTheme="minorEastAsia"/>
        </w:rPr>
      </w:pPr>
      <w:r>
        <w:t>Contacting you for future studies.</w:t>
      </w:r>
    </w:p>
    <w:p w:rsidRPr="00A66A98" w:rsidR="00892565" w:rsidP="00892565" w:rsidRDefault="00892565" w14:paraId="372B581C" w14:textId="77777777">
      <w:pPr>
        <w:pStyle w:val="Heading3"/>
        <w:spacing w:before="0" w:after="160"/>
      </w:pPr>
      <w:bookmarkStart w:name="_Toc74740832" w:id="4"/>
      <w:r>
        <w:t>Routine Uses</w:t>
      </w:r>
      <w:bookmarkEnd w:id="4"/>
    </w:p>
    <w:p w:rsidRPr="00A66A98" w:rsidR="00892565" w:rsidP="00892565" w:rsidRDefault="00892565" w14:paraId="14E006C9" w14:textId="77777777">
      <w:pPr>
        <w:pStyle w:val="ListParagraph"/>
        <w:numPr>
          <w:ilvl w:val="0"/>
          <w:numId w:val="2"/>
        </w:numPr>
      </w:pPr>
      <w:r>
        <w:t xml:space="preserve">Routine uses as described in System of Records Notice (SORN) No. 09-19-0001 - ‘‘Records of Persons Exposed or Potentially Exposed to Toxic or Hazardous Substances.” See </w:t>
      </w:r>
      <w:hyperlink w:history="1" r:id="rId7">
        <w:r w:rsidRPr="004848BB">
          <w:rPr>
            <w:rStyle w:val="Hyperlink"/>
          </w:rPr>
          <w:t>https://www.gpo.gov/fdsys/pkg/FR-2011-01-25/pdf/2010-33004.pdf</w:t>
        </w:r>
      </w:hyperlink>
      <w:r>
        <w:t>.</w:t>
      </w:r>
    </w:p>
    <w:p w:rsidRPr="00A66A98" w:rsidR="00892565" w:rsidP="00892565" w:rsidRDefault="00892565" w14:paraId="717113F9" w14:textId="77777777">
      <w:pPr>
        <w:pStyle w:val="Heading3"/>
      </w:pPr>
      <w:bookmarkStart w:name="_Toc74740833" w:id="5"/>
      <w:r>
        <w:t>Disclosure</w:t>
      </w:r>
      <w:bookmarkEnd w:id="5"/>
    </w:p>
    <w:p w:rsidRPr="00A66A98" w:rsidR="00892565" w:rsidP="00892565" w:rsidRDefault="00892565" w14:paraId="1A183830" w14:textId="77777777">
      <w:r w:rsidRPr="04981BB6">
        <w:rPr>
          <w:rFonts w:ascii="Calibri" w:hAnsi="Calibri" w:eastAsia="Calibri" w:cs="Calibri"/>
        </w:rPr>
        <w:t xml:space="preserve">Providing this information is voluntary. </w:t>
      </w:r>
      <w:r>
        <w:rPr>
          <w:rFonts w:ascii="Calibri" w:hAnsi="Calibri" w:eastAsia="Calibri" w:cs="Calibri"/>
        </w:rPr>
        <w:t>CDC/ATSDR</w:t>
      </w:r>
      <w:r w:rsidRPr="04981BB6">
        <w:rPr>
          <w:rFonts w:ascii="Calibri" w:hAnsi="Calibri" w:eastAsia="Calibri" w:cs="Calibri"/>
        </w:rPr>
        <w:t xml:space="preserve"> need this information for you or your child to take part in the study. Both </w:t>
      </w:r>
      <w:r>
        <w:rPr>
          <w:rFonts w:ascii="Calibri" w:hAnsi="Calibri" w:eastAsia="Calibri" w:cs="Calibri"/>
        </w:rPr>
        <w:t>agencies</w:t>
      </w:r>
      <w:r w:rsidRPr="04981BB6">
        <w:rPr>
          <w:rFonts w:ascii="Calibri" w:hAnsi="Calibri" w:eastAsia="Calibri" w:cs="Calibri"/>
        </w:rPr>
        <w:t xml:space="preserve"> need up-to-date contact information to send your or your child’s </w:t>
      </w:r>
      <w:r>
        <w:rPr>
          <w:rFonts w:ascii="Calibri" w:hAnsi="Calibri" w:eastAsia="Calibri" w:cs="Calibri"/>
        </w:rPr>
        <w:t>surveys and survey reminders</w:t>
      </w:r>
      <w:r w:rsidRPr="04981BB6">
        <w:rPr>
          <w:rFonts w:ascii="Calibri" w:hAnsi="Calibri" w:eastAsia="Calibri" w:cs="Calibri"/>
        </w:rPr>
        <w:t xml:space="preserve">. If you permit, </w:t>
      </w:r>
      <w:r>
        <w:rPr>
          <w:rFonts w:ascii="Calibri" w:hAnsi="Calibri" w:eastAsia="Calibri" w:cs="Calibri"/>
        </w:rPr>
        <w:t>CDC/</w:t>
      </w:r>
      <w:r w:rsidRPr="04981BB6">
        <w:rPr>
          <w:rFonts w:ascii="Calibri" w:hAnsi="Calibri" w:eastAsia="Calibri" w:cs="Calibri"/>
        </w:rPr>
        <w:t>ATSDR would like to keep your contact information for future studies.</w:t>
      </w:r>
    </w:p>
    <w:p w:rsidRPr="00A66A98" w:rsidR="00892565" w:rsidP="00892565" w:rsidRDefault="00892565" w14:paraId="2E303F50" w14:textId="77777777"/>
    <w:p w:rsidRPr="00892565" w:rsidR="00A933BF" w:rsidRDefault="00A933BF" w14:paraId="2D25C8FB" w14:textId="5F100D45"/>
    <w:sectPr w:rsidRPr="00892565" w:rsidR="00A933B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13B336" w14:textId="77777777" w:rsidR="00A933BF" w:rsidRDefault="00A933BF" w:rsidP="00A933BF">
      <w:pPr>
        <w:spacing w:after="0" w:line="240" w:lineRule="auto"/>
      </w:pPr>
      <w:r>
        <w:separator/>
      </w:r>
    </w:p>
  </w:endnote>
  <w:endnote w:type="continuationSeparator" w:id="0">
    <w:p w14:paraId="39953D8E" w14:textId="77777777" w:rsidR="00A933BF" w:rsidRDefault="00A933BF" w:rsidP="00A93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984AC" w14:textId="77777777" w:rsidR="00A933BF" w:rsidRDefault="00A93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3325207"/>
      <w:docPartObj>
        <w:docPartGallery w:val="Page Numbers (Bottom of Page)"/>
        <w:docPartUnique/>
      </w:docPartObj>
    </w:sdtPr>
    <w:sdtEndPr>
      <w:rPr>
        <w:noProof/>
      </w:rPr>
    </w:sdtEndPr>
    <w:sdtContent>
      <w:p w14:paraId="5EFF1A34" w14:textId="59409EC5" w:rsidR="00A933BF" w:rsidRDefault="00A933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812B52" w14:textId="77777777" w:rsidR="00A933BF" w:rsidRDefault="00A93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9A0F1" w14:textId="77777777" w:rsidR="00A933BF" w:rsidRDefault="00A93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5B180E" w14:textId="77777777" w:rsidR="00A933BF" w:rsidRDefault="00A933BF" w:rsidP="00A933BF">
      <w:pPr>
        <w:spacing w:after="0" w:line="240" w:lineRule="auto"/>
      </w:pPr>
      <w:r>
        <w:separator/>
      </w:r>
    </w:p>
  </w:footnote>
  <w:footnote w:type="continuationSeparator" w:id="0">
    <w:p w14:paraId="223656CD" w14:textId="77777777" w:rsidR="00A933BF" w:rsidRDefault="00A933BF" w:rsidP="00A933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77D0D" w14:textId="77777777" w:rsidR="00A933BF" w:rsidRDefault="00A933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71F63" w14:textId="77777777" w:rsidR="00A933BF" w:rsidRDefault="00A933BF" w:rsidP="00A933BF">
    <w:pPr>
      <w:pStyle w:val="Header"/>
    </w:pPr>
    <w:r>
      <w:t>Protocol, PFAS/viral infection, v1.0</w:t>
    </w:r>
  </w:p>
  <w:p w14:paraId="5FFC1079" w14:textId="77777777" w:rsidR="00A933BF" w:rsidRDefault="00A933BF" w:rsidP="00A933BF">
    <w:pPr>
      <w:pStyle w:val="Header"/>
    </w:pPr>
    <w:r>
      <w:t>Last Revised: July 19, 2021</w:t>
    </w:r>
  </w:p>
  <w:p w14:paraId="1589BC32" w14:textId="77777777" w:rsidR="00A933BF" w:rsidRDefault="00A933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E56B1" w14:textId="77777777" w:rsidR="00A933BF" w:rsidRDefault="00A933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4530DB"/>
    <w:multiLevelType w:val="hybridMultilevel"/>
    <w:tmpl w:val="02420502"/>
    <w:lvl w:ilvl="0" w:tplc="7E8C5654">
      <w:start w:val="1"/>
      <w:numFmt w:val="bullet"/>
      <w:lvlText w:val=""/>
      <w:lvlJc w:val="left"/>
      <w:pPr>
        <w:ind w:left="720" w:hanging="360"/>
      </w:pPr>
      <w:rPr>
        <w:rFonts w:ascii="Symbol" w:hAnsi="Symbol" w:hint="default"/>
      </w:rPr>
    </w:lvl>
    <w:lvl w:ilvl="1" w:tplc="4F48CB82">
      <w:start w:val="1"/>
      <w:numFmt w:val="bullet"/>
      <w:lvlText w:val="o"/>
      <w:lvlJc w:val="left"/>
      <w:pPr>
        <w:ind w:left="1440" w:hanging="360"/>
      </w:pPr>
      <w:rPr>
        <w:rFonts w:ascii="Courier New" w:hAnsi="Courier New" w:hint="default"/>
      </w:rPr>
    </w:lvl>
    <w:lvl w:ilvl="2" w:tplc="C0728DA0">
      <w:start w:val="1"/>
      <w:numFmt w:val="bullet"/>
      <w:lvlText w:val=""/>
      <w:lvlJc w:val="left"/>
      <w:pPr>
        <w:ind w:left="2160" w:hanging="360"/>
      </w:pPr>
      <w:rPr>
        <w:rFonts w:ascii="Wingdings" w:hAnsi="Wingdings" w:hint="default"/>
      </w:rPr>
    </w:lvl>
    <w:lvl w:ilvl="3" w:tplc="BDEA4502">
      <w:start w:val="1"/>
      <w:numFmt w:val="bullet"/>
      <w:lvlText w:val=""/>
      <w:lvlJc w:val="left"/>
      <w:pPr>
        <w:ind w:left="2880" w:hanging="360"/>
      </w:pPr>
      <w:rPr>
        <w:rFonts w:ascii="Symbol" w:hAnsi="Symbol" w:hint="default"/>
      </w:rPr>
    </w:lvl>
    <w:lvl w:ilvl="4" w:tplc="ED1A880C">
      <w:start w:val="1"/>
      <w:numFmt w:val="bullet"/>
      <w:lvlText w:val="o"/>
      <w:lvlJc w:val="left"/>
      <w:pPr>
        <w:ind w:left="3600" w:hanging="360"/>
      </w:pPr>
      <w:rPr>
        <w:rFonts w:ascii="Courier New" w:hAnsi="Courier New" w:hint="default"/>
      </w:rPr>
    </w:lvl>
    <w:lvl w:ilvl="5" w:tplc="A6C0B8A4">
      <w:start w:val="1"/>
      <w:numFmt w:val="bullet"/>
      <w:lvlText w:val=""/>
      <w:lvlJc w:val="left"/>
      <w:pPr>
        <w:ind w:left="4320" w:hanging="360"/>
      </w:pPr>
      <w:rPr>
        <w:rFonts w:ascii="Wingdings" w:hAnsi="Wingdings" w:hint="default"/>
      </w:rPr>
    </w:lvl>
    <w:lvl w:ilvl="6" w:tplc="F73093AA">
      <w:start w:val="1"/>
      <w:numFmt w:val="bullet"/>
      <w:lvlText w:val=""/>
      <w:lvlJc w:val="left"/>
      <w:pPr>
        <w:ind w:left="5040" w:hanging="360"/>
      </w:pPr>
      <w:rPr>
        <w:rFonts w:ascii="Symbol" w:hAnsi="Symbol" w:hint="default"/>
      </w:rPr>
    </w:lvl>
    <w:lvl w:ilvl="7" w:tplc="7A882972">
      <w:start w:val="1"/>
      <w:numFmt w:val="bullet"/>
      <w:lvlText w:val="o"/>
      <w:lvlJc w:val="left"/>
      <w:pPr>
        <w:ind w:left="5760" w:hanging="360"/>
      </w:pPr>
      <w:rPr>
        <w:rFonts w:ascii="Courier New" w:hAnsi="Courier New" w:hint="default"/>
      </w:rPr>
    </w:lvl>
    <w:lvl w:ilvl="8" w:tplc="7792A60A">
      <w:start w:val="1"/>
      <w:numFmt w:val="bullet"/>
      <w:lvlText w:val=""/>
      <w:lvlJc w:val="left"/>
      <w:pPr>
        <w:ind w:left="6480" w:hanging="360"/>
      </w:pPr>
      <w:rPr>
        <w:rFonts w:ascii="Wingdings" w:hAnsi="Wingdings" w:hint="default"/>
      </w:rPr>
    </w:lvl>
  </w:abstractNum>
  <w:abstractNum w:abstractNumId="1" w15:restartNumberingAfterBreak="0">
    <w:nsid w:val="40B1086D"/>
    <w:multiLevelType w:val="hybridMultilevel"/>
    <w:tmpl w:val="BB28711A"/>
    <w:lvl w:ilvl="0" w:tplc="7840CCF0">
      <w:start w:val="1"/>
      <w:numFmt w:val="bullet"/>
      <w:lvlText w:val=""/>
      <w:lvlJc w:val="left"/>
      <w:pPr>
        <w:ind w:left="720" w:hanging="360"/>
      </w:pPr>
      <w:rPr>
        <w:rFonts w:ascii="Symbol" w:hAnsi="Symbol" w:hint="default"/>
      </w:rPr>
    </w:lvl>
    <w:lvl w:ilvl="1" w:tplc="86EA6888">
      <w:start w:val="1"/>
      <w:numFmt w:val="bullet"/>
      <w:lvlText w:val="o"/>
      <w:lvlJc w:val="left"/>
      <w:pPr>
        <w:ind w:left="1440" w:hanging="360"/>
      </w:pPr>
      <w:rPr>
        <w:rFonts w:ascii="Courier New" w:hAnsi="Courier New" w:hint="default"/>
      </w:rPr>
    </w:lvl>
    <w:lvl w:ilvl="2" w:tplc="BEA69882">
      <w:start w:val="1"/>
      <w:numFmt w:val="bullet"/>
      <w:lvlText w:val=""/>
      <w:lvlJc w:val="left"/>
      <w:pPr>
        <w:ind w:left="2160" w:hanging="360"/>
      </w:pPr>
      <w:rPr>
        <w:rFonts w:ascii="Wingdings" w:hAnsi="Wingdings" w:hint="default"/>
      </w:rPr>
    </w:lvl>
    <w:lvl w:ilvl="3" w:tplc="4B265EA8">
      <w:start w:val="1"/>
      <w:numFmt w:val="bullet"/>
      <w:lvlText w:val=""/>
      <w:lvlJc w:val="left"/>
      <w:pPr>
        <w:ind w:left="2880" w:hanging="360"/>
      </w:pPr>
      <w:rPr>
        <w:rFonts w:ascii="Symbol" w:hAnsi="Symbol" w:hint="default"/>
      </w:rPr>
    </w:lvl>
    <w:lvl w:ilvl="4" w:tplc="B30A2D50">
      <w:start w:val="1"/>
      <w:numFmt w:val="bullet"/>
      <w:lvlText w:val="o"/>
      <w:lvlJc w:val="left"/>
      <w:pPr>
        <w:ind w:left="3600" w:hanging="360"/>
      </w:pPr>
      <w:rPr>
        <w:rFonts w:ascii="Courier New" w:hAnsi="Courier New" w:hint="default"/>
      </w:rPr>
    </w:lvl>
    <w:lvl w:ilvl="5" w:tplc="D64CD2A6">
      <w:start w:val="1"/>
      <w:numFmt w:val="bullet"/>
      <w:lvlText w:val=""/>
      <w:lvlJc w:val="left"/>
      <w:pPr>
        <w:ind w:left="4320" w:hanging="360"/>
      </w:pPr>
      <w:rPr>
        <w:rFonts w:ascii="Wingdings" w:hAnsi="Wingdings" w:hint="default"/>
      </w:rPr>
    </w:lvl>
    <w:lvl w:ilvl="6" w:tplc="E6DC21C4">
      <w:start w:val="1"/>
      <w:numFmt w:val="bullet"/>
      <w:lvlText w:val=""/>
      <w:lvlJc w:val="left"/>
      <w:pPr>
        <w:ind w:left="5040" w:hanging="360"/>
      </w:pPr>
      <w:rPr>
        <w:rFonts w:ascii="Symbol" w:hAnsi="Symbol" w:hint="default"/>
      </w:rPr>
    </w:lvl>
    <w:lvl w:ilvl="7" w:tplc="B46AE2F2">
      <w:start w:val="1"/>
      <w:numFmt w:val="bullet"/>
      <w:lvlText w:val="o"/>
      <w:lvlJc w:val="left"/>
      <w:pPr>
        <w:ind w:left="5760" w:hanging="360"/>
      </w:pPr>
      <w:rPr>
        <w:rFonts w:ascii="Courier New" w:hAnsi="Courier New" w:hint="default"/>
      </w:rPr>
    </w:lvl>
    <w:lvl w:ilvl="8" w:tplc="0FEC37C4">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3BF"/>
    <w:rsid w:val="00577E0B"/>
    <w:rsid w:val="00892565"/>
    <w:rsid w:val="00A933BF"/>
    <w:rsid w:val="00F21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C418DC"/>
  <w15:chartTrackingRefBased/>
  <w15:docId w15:val="{C668E9C5-4988-4C31-9B75-10AF25DE5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565"/>
  </w:style>
  <w:style w:type="paragraph" w:styleId="Heading2">
    <w:name w:val="heading 2"/>
    <w:basedOn w:val="Normal"/>
    <w:next w:val="Normal"/>
    <w:link w:val="Heading2Char"/>
    <w:uiPriority w:val="9"/>
    <w:unhideWhenUsed/>
    <w:qFormat/>
    <w:rsid w:val="00A933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925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33BF"/>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A933BF"/>
    <w:rPr>
      <w:sz w:val="16"/>
      <w:szCs w:val="16"/>
    </w:rPr>
  </w:style>
  <w:style w:type="paragraph" w:styleId="CommentText">
    <w:name w:val="annotation text"/>
    <w:basedOn w:val="Normal"/>
    <w:link w:val="CommentTextChar"/>
    <w:uiPriority w:val="99"/>
    <w:unhideWhenUsed/>
    <w:rsid w:val="00A933BF"/>
    <w:pPr>
      <w:spacing w:line="240" w:lineRule="auto"/>
    </w:pPr>
    <w:rPr>
      <w:sz w:val="20"/>
      <w:szCs w:val="20"/>
    </w:rPr>
  </w:style>
  <w:style w:type="character" w:customStyle="1" w:styleId="CommentTextChar">
    <w:name w:val="Comment Text Char"/>
    <w:basedOn w:val="DefaultParagraphFont"/>
    <w:link w:val="CommentText"/>
    <w:uiPriority w:val="99"/>
    <w:rsid w:val="00A933BF"/>
    <w:rPr>
      <w:sz w:val="20"/>
      <w:szCs w:val="20"/>
    </w:rPr>
  </w:style>
  <w:style w:type="paragraph" w:styleId="Header">
    <w:name w:val="header"/>
    <w:basedOn w:val="Normal"/>
    <w:link w:val="HeaderChar"/>
    <w:uiPriority w:val="99"/>
    <w:unhideWhenUsed/>
    <w:rsid w:val="00A933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3BF"/>
  </w:style>
  <w:style w:type="paragraph" w:styleId="Footer">
    <w:name w:val="footer"/>
    <w:basedOn w:val="Normal"/>
    <w:link w:val="FooterChar"/>
    <w:uiPriority w:val="99"/>
    <w:unhideWhenUsed/>
    <w:rsid w:val="00A933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3BF"/>
  </w:style>
  <w:style w:type="character" w:customStyle="1" w:styleId="Heading3Char">
    <w:name w:val="Heading 3 Char"/>
    <w:basedOn w:val="DefaultParagraphFont"/>
    <w:link w:val="Heading3"/>
    <w:uiPriority w:val="9"/>
    <w:rsid w:val="00892565"/>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link w:val="ListParagraphChar"/>
    <w:uiPriority w:val="34"/>
    <w:qFormat/>
    <w:rsid w:val="00892565"/>
    <w:pPr>
      <w:ind w:left="720"/>
      <w:contextualSpacing/>
    </w:pPr>
  </w:style>
  <w:style w:type="character" w:styleId="Hyperlink">
    <w:name w:val="Hyperlink"/>
    <w:basedOn w:val="DefaultParagraphFont"/>
    <w:uiPriority w:val="99"/>
    <w:unhideWhenUsed/>
    <w:rsid w:val="00892565"/>
    <w:rPr>
      <w:color w:val="0563C1"/>
      <w:u w:val="single"/>
    </w:rPr>
  </w:style>
  <w:style w:type="character" w:customStyle="1" w:styleId="ListParagraphChar">
    <w:name w:val="List Paragraph Char"/>
    <w:basedOn w:val="DefaultParagraphFont"/>
    <w:link w:val="ListParagraph"/>
    <w:uiPriority w:val="34"/>
    <w:rsid w:val="00892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po.gov/fdsys/pkg/FR-2011-01-25/pdf/2010-33004.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1838</Characters>
  <Application>Microsoft Office Word</Application>
  <DocSecurity>0</DocSecurity>
  <Lines>15</Lines>
  <Paragraphs>4</Paragraphs>
  <ScaleCrop>false</ScaleCrop>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Buser, Melanie</dc:creator>
  <cp:keywords/>
  <dc:description/>
  <cp:lastModifiedBy>Buser, Melanie</cp:lastModifiedBy>
  <cp:revision>2</cp:revision>
  <dcterms:created xsi:type="dcterms:W3CDTF">2021-08-24T12:37:00Z</dcterms:created>
  <dcterms:modified xsi:type="dcterms:W3CDTF">2021-08-24T12:37:00Z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2021-07-19T17:40:46Z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8d6d3149-245b-4e87-94fc-9949cadb8ed9</vt:lpwstr>
  </property>
  <property fmtid="{D5CDD505-2E9C-101B-9397-08002B2CF9AE}" pid="8" name="MSIP_Label_7b94a7b8-f06c-4dfe-bdcc-9b548fd58c31_ContentBits">
    <vt:lpwstr>0</vt:lpwstr>
  </property>
</Properties>
</file>