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412A" w:rsidR="00302B0E" w:rsidP="00302B0E" w:rsidRDefault="00302B0E" w14:paraId="30DAFD0A" w14:textId="77777777">
      <w:pPr>
        <w:jc w:val="center"/>
        <w:rPr>
          <w:sz w:val="28"/>
          <w:szCs w:val="28"/>
        </w:rPr>
      </w:pPr>
    </w:p>
    <w:p w:rsidRPr="003B412A" w:rsidR="00302B0E" w:rsidP="00302B0E" w:rsidRDefault="00302B0E" w14:paraId="5C2A4086" w14:textId="77777777">
      <w:pPr>
        <w:jc w:val="center"/>
        <w:rPr>
          <w:sz w:val="28"/>
          <w:szCs w:val="28"/>
        </w:rPr>
      </w:pPr>
    </w:p>
    <w:p w:rsidRPr="003B412A" w:rsidR="00302B0E" w:rsidP="00302B0E" w:rsidRDefault="00302B0E" w14:paraId="5BFA30FD" w14:textId="77777777">
      <w:pPr>
        <w:jc w:val="center"/>
        <w:rPr>
          <w:sz w:val="28"/>
          <w:szCs w:val="28"/>
        </w:rPr>
      </w:pPr>
    </w:p>
    <w:p w:rsidRPr="0095154A" w:rsidR="00302B0E" w:rsidP="00302B0E" w:rsidRDefault="00302B0E" w14:paraId="283651B9" w14:textId="77777777">
      <w:pPr>
        <w:jc w:val="center"/>
        <w:rPr>
          <w:b/>
          <w:sz w:val="28"/>
          <w:szCs w:val="28"/>
        </w:rPr>
      </w:pPr>
      <w:r w:rsidRPr="0095154A">
        <w:rPr>
          <w:b/>
          <w:sz w:val="28"/>
          <w:szCs w:val="28"/>
        </w:rPr>
        <w:t>SUPPORTING STATEMENT</w:t>
      </w:r>
    </w:p>
    <w:p w:rsidRPr="0095154A" w:rsidR="00302B0E" w:rsidP="00302B0E" w:rsidRDefault="00302B0E" w14:paraId="46E9EAB1" w14:textId="77777777">
      <w:pPr>
        <w:jc w:val="center"/>
        <w:rPr>
          <w:b/>
          <w:sz w:val="28"/>
          <w:szCs w:val="28"/>
        </w:rPr>
      </w:pPr>
    </w:p>
    <w:p w:rsidRPr="0095154A" w:rsidR="00302B0E" w:rsidP="00302B0E" w:rsidRDefault="00302B0E" w14:paraId="16DD62E4" w14:textId="77777777">
      <w:pPr>
        <w:jc w:val="center"/>
        <w:rPr>
          <w:sz w:val="28"/>
          <w:szCs w:val="28"/>
        </w:rPr>
      </w:pPr>
      <w:r w:rsidRPr="0095154A">
        <w:rPr>
          <w:b/>
          <w:sz w:val="28"/>
          <w:szCs w:val="28"/>
        </w:rPr>
        <w:t>Part A</w:t>
      </w:r>
    </w:p>
    <w:p w:rsidRPr="0095154A" w:rsidR="00302B0E" w:rsidP="00302B0E" w:rsidRDefault="00302B0E" w14:paraId="46278F75" w14:textId="77777777">
      <w:pPr>
        <w:jc w:val="center"/>
        <w:rPr>
          <w:sz w:val="28"/>
          <w:szCs w:val="28"/>
        </w:rPr>
      </w:pPr>
    </w:p>
    <w:p w:rsidRPr="0095154A" w:rsidR="00302B0E" w:rsidP="00302B0E" w:rsidRDefault="00302B0E" w14:paraId="76B7520B" w14:textId="77777777">
      <w:pPr>
        <w:jc w:val="center"/>
        <w:rPr>
          <w:sz w:val="28"/>
          <w:szCs w:val="28"/>
        </w:rPr>
      </w:pPr>
    </w:p>
    <w:p w:rsidRPr="0095154A" w:rsidR="00302B0E" w:rsidP="00302B0E" w:rsidRDefault="00302B0E" w14:paraId="71D36854" w14:textId="77777777">
      <w:pPr>
        <w:jc w:val="center"/>
        <w:rPr>
          <w:sz w:val="28"/>
          <w:szCs w:val="28"/>
        </w:rPr>
      </w:pPr>
    </w:p>
    <w:p w:rsidRPr="0095154A" w:rsidR="00302B0E" w:rsidP="00302B0E" w:rsidRDefault="00302B0E" w14:paraId="565653ED" w14:textId="77777777">
      <w:pPr>
        <w:jc w:val="center"/>
        <w:rPr>
          <w:sz w:val="28"/>
          <w:szCs w:val="28"/>
        </w:rPr>
      </w:pPr>
    </w:p>
    <w:p w:rsidRPr="0095154A" w:rsidR="00302B0E" w:rsidP="00302B0E" w:rsidRDefault="00302B0E" w14:paraId="48DE9D37" w14:textId="77777777">
      <w:pPr>
        <w:jc w:val="center"/>
        <w:rPr>
          <w:sz w:val="28"/>
          <w:szCs w:val="28"/>
        </w:rPr>
      </w:pPr>
    </w:p>
    <w:p w:rsidRPr="0095154A" w:rsidR="00302B0E" w:rsidP="00302B0E" w:rsidRDefault="00302B0E" w14:paraId="1F4212F6" w14:textId="77777777">
      <w:pPr>
        <w:jc w:val="center"/>
        <w:rPr>
          <w:sz w:val="28"/>
          <w:szCs w:val="28"/>
        </w:rPr>
      </w:pPr>
    </w:p>
    <w:p w:rsidRPr="0095154A" w:rsidR="00302B0E" w:rsidP="00302B0E" w:rsidRDefault="00302B0E" w14:paraId="44DE21E3" w14:textId="77777777">
      <w:pPr>
        <w:rPr>
          <w:bCs/>
          <w:sz w:val="44"/>
          <w:szCs w:val="44"/>
        </w:rPr>
      </w:pPr>
    </w:p>
    <w:p w:rsidRPr="00367F15" w:rsidR="0061507E" w:rsidP="00367F15" w:rsidRDefault="00367F15" w14:paraId="3F35F307" w14:textId="2B956B1B">
      <w:pPr>
        <w:jc w:val="center"/>
        <w:rPr>
          <w:b/>
          <w:bCs/>
          <w:sz w:val="28"/>
          <w:szCs w:val="28"/>
        </w:rPr>
      </w:pPr>
      <w:r w:rsidRPr="00367F15">
        <w:rPr>
          <w:b/>
          <w:bCs/>
          <w:i/>
          <w:iCs/>
          <w:sz w:val="28"/>
          <w:szCs w:val="28"/>
        </w:rPr>
        <w:t>Measure Dx: A Resource to Identify, Analyze, and Learn from Diagnostic Safety Events</w:t>
      </w:r>
      <w:r w:rsidRPr="00367F15">
        <w:rPr>
          <w:b/>
          <w:bCs/>
          <w:sz w:val="28"/>
          <w:szCs w:val="28"/>
        </w:rPr>
        <w:t xml:space="preserve"> </w:t>
      </w:r>
      <w:r w:rsidR="00651796">
        <w:rPr>
          <w:b/>
          <w:bCs/>
          <w:sz w:val="28"/>
          <w:szCs w:val="28"/>
        </w:rPr>
        <w:t xml:space="preserve">– Evaluation Plan </w:t>
      </w:r>
      <w:r w:rsidRPr="00367F15" w:rsidR="00BD2052">
        <w:rPr>
          <w:b/>
          <w:bCs/>
          <w:sz w:val="28"/>
          <w:szCs w:val="28"/>
        </w:rPr>
        <w:t>for AHRQ’s ACTION III Diagnostic Safety Capacity Building Contract</w:t>
      </w:r>
      <w:r w:rsidRPr="00367F15" w:rsidDel="00BD2052" w:rsidR="00BD2052">
        <w:rPr>
          <w:b/>
          <w:bCs/>
          <w:sz w:val="28"/>
          <w:szCs w:val="28"/>
        </w:rPr>
        <w:t xml:space="preserve"> </w:t>
      </w:r>
      <w:r w:rsidRPr="00367F15" w:rsidR="0061507E">
        <w:rPr>
          <w:b/>
          <w:bCs/>
          <w:sz w:val="28"/>
          <w:szCs w:val="28"/>
        </w:rPr>
        <w:t>(TORFP: 75P00119R00265)</w:t>
      </w:r>
    </w:p>
    <w:p w:rsidRPr="0095154A" w:rsidR="0061507E" w:rsidP="00302B0E" w:rsidRDefault="0061507E" w14:paraId="6025C4A0" w14:textId="77777777">
      <w:pPr>
        <w:jc w:val="center"/>
        <w:rPr>
          <w:b/>
          <w:bCs/>
        </w:rPr>
      </w:pPr>
    </w:p>
    <w:p w:rsidRPr="0095154A" w:rsidR="00302B0E" w:rsidP="00302B0E" w:rsidRDefault="00302B0E" w14:paraId="1F0BFA31" w14:textId="77777777">
      <w:pPr>
        <w:jc w:val="center"/>
        <w:rPr>
          <w:i/>
          <w:sz w:val="28"/>
          <w:szCs w:val="28"/>
        </w:rPr>
      </w:pPr>
    </w:p>
    <w:p w:rsidRPr="0095154A" w:rsidR="00302B0E" w:rsidP="00302B0E" w:rsidRDefault="00302B0E" w14:paraId="2989F4E1" w14:textId="77777777">
      <w:pPr>
        <w:jc w:val="center"/>
        <w:rPr>
          <w:sz w:val="28"/>
          <w:szCs w:val="28"/>
        </w:rPr>
      </w:pPr>
    </w:p>
    <w:p w:rsidRPr="0095154A" w:rsidR="00302B0E" w:rsidP="00302B0E" w:rsidRDefault="00302B0E" w14:paraId="2C8435BB" w14:textId="77777777">
      <w:pPr>
        <w:jc w:val="center"/>
        <w:rPr>
          <w:sz w:val="28"/>
          <w:szCs w:val="28"/>
        </w:rPr>
      </w:pPr>
    </w:p>
    <w:p w:rsidRPr="0095154A" w:rsidR="00302B0E" w:rsidP="00302B0E" w:rsidRDefault="00302B0E" w14:paraId="670E002D" w14:textId="77777777">
      <w:pPr>
        <w:jc w:val="center"/>
        <w:rPr>
          <w:sz w:val="28"/>
          <w:szCs w:val="28"/>
        </w:rPr>
      </w:pPr>
    </w:p>
    <w:p w:rsidRPr="0095154A" w:rsidR="00302B0E" w:rsidP="00302B0E" w:rsidRDefault="00302B0E" w14:paraId="1F29B5DC" w14:textId="0F4F9A9E">
      <w:pPr>
        <w:jc w:val="center"/>
        <w:rPr>
          <w:i/>
          <w:iCs/>
          <w:sz w:val="28"/>
          <w:szCs w:val="28"/>
        </w:rPr>
      </w:pPr>
      <w:r w:rsidRPr="0095154A">
        <w:rPr>
          <w:b/>
          <w:bCs/>
          <w:sz w:val="28"/>
          <w:szCs w:val="28"/>
        </w:rPr>
        <w:t xml:space="preserve">Version: </w:t>
      </w:r>
      <w:r w:rsidR="00C02577">
        <w:rPr>
          <w:i/>
          <w:iCs/>
          <w:sz w:val="28"/>
          <w:szCs w:val="28"/>
        </w:rPr>
        <w:t>May 1</w:t>
      </w:r>
      <w:r w:rsidR="008F18C3">
        <w:rPr>
          <w:i/>
          <w:iCs/>
          <w:sz w:val="28"/>
          <w:szCs w:val="28"/>
        </w:rPr>
        <w:t>3</w:t>
      </w:r>
      <w:r w:rsidR="00C02577">
        <w:rPr>
          <w:i/>
          <w:iCs/>
          <w:sz w:val="28"/>
          <w:szCs w:val="28"/>
        </w:rPr>
        <w:t>, 2022</w:t>
      </w:r>
    </w:p>
    <w:p w:rsidRPr="0095154A" w:rsidR="00302B0E" w:rsidP="00302B0E" w:rsidRDefault="00302B0E" w14:paraId="1E3287E6" w14:textId="77777777">
      <w:pPr>
        <w:jc w:val="center"/>
        <w:rPr>
          <w:i/>
          <w:sz w:val="28"/>
          <w:szCs w:val="28"/>
        </w:rPr>
      </w:pPr>
    </w:p>
    <w:p w:rsidRPr="0095154A" w:rsidR="00302B0E" w:rsidP="00302B0E" w:rsidRDefault="00302B0E" w14:paraId="13944744" w14:textId="77777777">
      <w:pPr>
        <w:jc w:val="center"/>
        <w:rPr>
          <w:sz w:val="28"/>
          <w:szCs w:val="28"/>
        </w:rPr>
      </w:pPr>
    </w:p>
    <w:p w:rsidRPr="0095154A" w:rsidR="00302B0E" w:rsidP="00302B0E" w:rsidRDefault="00302B0E" w14:paraId="3A7EC4D5" w14:textId="77777777">
      <w:pPr>
        <w:jc w:val="center"/>
        <w:rPr>
          <w:sz w:val="28"/>
          <w:szCs w:val="28"/>
        </w:rPr>
      </w:pPr>
    </w:p>
    <w:p w:rsidRPr="0095154A" w:rsidR="00302B0E" w:rsidP="00302B0E" w:rsidRDefault="00302B0E" w14:paraId="2C520402" w14:textId="77777777">
      <w:pPr>
        <w:jc w:val="center"/>
        <w:rPr>
          <w:sz w:val="28"/>
          <w:szCs w:val="28"/>
        </w:rPr>
      </w:pPr>
    </w:p>
    <w:p w:rsidRPr="0095154A" w:rsidR="00302B0E" w:rsidP="00302B0E" w:rsidRDefault="00302B0E" w14:paraId="61709864" w14:textId="77777777">
      <w:pPr>
        <w:jc w:val="center"/>
        <w:rPr>
          <w:sz w:val="28"/>
          <w:szCs w:val="28"/>
        </w:rPr>
      </w:pPr>
    </w:p>
    <w:p w:rsidRPr="0095154A" w:rsidR="00302B0E" w:rsidP="00302B0E" w:rsidRDefault="00302B0E" w14:paraId="37932219" w14:textId="77777777">
      <w:pPr>
        <w:jc w:val="center"/>
        <w:rPr>
          <w:sz w:val="28"/>
          <w:szCs w:val="28"/>
        </w:rPr>
      </w:pPr>
    </w:p>
    <w:p w:rsidRPr="0095154A" w:rsidR="00302B0E" w:rsidP="00302B0E" w:rsidRDefault="00302B0E" w14:paraId="228FF6E5" w14:textId="77777777">
      <w:pPr>
        <w:jc w:val="center"/>
        <w:rPr>
          <w:sz w:val="28"/>
          <w:szCs w:val="28"/>
        </w:rPr>
      </w:pPr>
      <w:r w:rsidRPr="0095154A">
        <w:rPr>
          <w:sz w:val="28"/>
          <w:szCs w:val="28"/>
        </w:rPr>
        <w:t>Agency of Healthcare Research and Quality (AHRQ)</w:t>
      </w:r>
    </w:p>
    <w:p w:rsidRPr="0095154A" w:rsidR="00302B0E" w:rsidP="00302B0E" w:rsidRDefault="00302B0E" w14:paraId="07FF728E" w14:textId="77777777">
      <w:pPr>
        <w:rPr>
          <w:sz w:val="28"/>
          <w:szCs w:val="28"/>
        </w:rPr>
      </w:pPr>
    </w:p>
    <w:p w:rsidRPr="0095154A" w:rsidR="00302B0E" w:rsidP="00302B0E" w:rsidRDefault="00302B0E" w14:paraId="6DDA7060" w14:textId="77777777">
      <w:pPr>
        <w:rPr>
          <w:sz w:val="28"/>
          <w:szCs w:val="28"/>
        </w:rPr>
      </w:pPr>
    </w:p>
    <w:p w:rsidRPr="0095154A" w:rsidR="00302B0E" w:rsidP="00302B0E" w:rsidRDefault="00302B0E" w14:paraId="7015F4F4" w14:textId="77777777">
      <w:pPr>
        <w:rPr>
          <w:b/>
        </w:rPr>
      </w:pPr>
      <w:r w:rsidRPr="0095154A">
        <w:br w:type="page"/>
      </w:r>
      <w:r w:rsidRPr="0095154A">
        <w:rPr>
          <w:b/>
        </w:rPr>
        <w:lastRenderedPageBreak/>
        <w:t>Table of contents</w:t>
      </w:r>
    </w:p>
    <w:p w:rsidRPr="0095154A" w:rsidR="00302B0E" w:rsidP="00302B0E" w:rsidRDefault="00302B0E" w14:paraId="15632C01" w14:textId="77777777">
      <w:pPr>
        <w:jc w:val="center"/>
        <w:rPr>
          <w:b/>
        </w:rPr>
      </w:pPr>
    </w:p>
    <w:p w:rsidRPr="0095154A" w:rsidR="00302B0E" w:rsidP="00302B0E" w:rsidRDefault="00302B0E" w14:paraId="189BE37B" w14:textId="1099D80D">
      <w:pPr>
        <w:tabs>
          <w:tab w:val="left" w:leader="dot" w:pos="8280"/>
        </w:tabs>
      </w:pPr>
      <w:r w:rsidRPr="0095154A">
        <w:t>A. Justification</w:t>
      </w:r>
      <w:r w:rsidRPr="0095154A">
        <w:tab/>
      </w:r>
      <w:r w:rsidR="00D2651B">
        <w:t>3</w:t>
      </w:r>
    </w:p>
    <w:p w:rsidRPr="0095154A" w:rsidR="00302B0E" w:rsidP="00302B0E" w:rsidRDefault="00302B0E" w14:paraId="2F72933E" w14:textId="790213DB">
      <w:pPr>
        <w:tabs>
          <w:tab w:val="left" w:pos="360"/>
          <w:tab w:val="left" w:leader="dot" w:pos="8280"/>
        </w:tabs>
      </w:pPr>
      <w:r w:rsidRPr="0095154A">
        <w:tab/>
        <w:t>1. Circumstances that make the collection of information necessary</w:t>
      </w:r>
      <w:r w:rsidRPr="0095154A">
        <w:tab/>
      </w:r>
      <w:r w:rsidR="00D2651B">
        <w:t>3</w:t>
      </w:r>
    </w:p>
    <w:p w:rsidRPr="0095154A" w:rsidR="00302B0E" w:rsidP="00302B0E" w:rsidRDefault="00302B0E" w14:paraId="598775C8" w14:textId="31ACFB41">
      <w:pPr>
        <w:tabs>
          <w:tab w:val="left" w:pos="360"/>
          <w:tab w:val="left" w:leader="dot" w:pos="8280"/>
        </w:tabs>
      </w:pPr>
      <w:r w:rsidRPr="0095154A">
        <w:tab/>
        <w:t>2. Purpose and use of information</w:t>
      </w:r>
      <w:r w:rsidRPr="0095154A">
        <w:tab/>
      </w:r>
      <w:r w:rsidR="00D2651B">
        <w:t>6</w:t>
      </w:r>
    </w:p>
    <w:p w:rsidRPr="0095154A" w:rsidR="00302B0E" w:rsidP="00302B0E" w:rsidRDefault="00302B0E" w14:paraId="3CBE65B4" w14:textId="7DE1D500">
      <w:pPr>
        <w:tabs>
          <w:tab w:val="left" w:pos="360"/>
          <w:tab w:val="left" w:leader="dot" w:pos="8280"/>
        </w:tabs>
      </w:pPr>
      <w:r w:rsidRPr="0095154A">
        <w:tab/>
        <w:t>3. Use of Improved Information Technology</w:t>
      </w:r>
      <w:r w:rsidRPr="0095154A">
        <w:tab/>
      </w:r>
      <w:r w:rsidR="00D2651B">
        <w:t>7</w:t>
      </w:r>
    </w:p>
    <w:p w:rsidRPr="0095154A" w:rsidR="00302B0E" w:rsidP="00302B0E" w:rsidRDefault="00302B0E" w14:paraId="6F508161" w14:textId="5BB56E9D">
      <w:pPr>
        <w:tabs>
          <w:tab w:val="left" w:pos="360"/>
          <w:tab w:val="left" w:leader="dot" w:pos="8280"/>
        </w:tabs>
      </w:pPr>
      <w:r w:rsidRPr="0095154A">
        <w:tab/>
        <w:t>4. Efforts to Identify Duplication</w:t>
      </w:r>
      <w:r w:rsidRPr="0095154A">
        <w:tab/>
      </w:r>
      <w:r w:rsidR="00D2651B">
        <w:t>8</w:t>
      </w:r>
    </w:p>
    <w:p w:rsidRPr="0095154A" w:rsidR="00302B0E" w:rsidP="00302B0E" w:rsidRDefault="00302B0E" w14:paraId="7E806204" w14:textId="5A616290">
      <w:pPr>
        <w:tabs>
          <w:tab w:val="left" w:pos="360"/>
          <w:tab w:val="left" w:leader="dot" w:pos="8280"/>
        </w:tabs>
      </w:pPr>
      <w:r w:rsidRPr="0095154A">
        <w:tab/>
        <w:t>5. Involvement of Small Entities</w:t>
      </w:r>
      <w:r w:rsidRPr="0095154A">
        <w:tab/>
      </w:r>
      <w:r w:rsidR="00D2651B">
        <w:t>8</w:t>
      </w:r>
    </w:p>
    <w:p w:rsidRPr="0095154A" w:rsidR="00302B0E" w:rsidP="00302B0E" w:rsidRDefault="00302B0E" w14:paraId="1E3D365B" w14:textId="650F0CDF">
      <w:pPr>
        <w:tabs>
          <w:tab w:val="left" w:pos="360"/>
          <w:tab w:val="left" w:leader="dot" w:pos="8280"/>
        </w:tabs>
      </w:pPr>
      <w:r w:rsidRPr="0095154A">
        <w:tab/>
        <w:t>6. Consequences if Information Collected Less Frequently</w:t>
      </w:r>
      <w:r w:rsidRPr="0095154A">
        <w:tab/>
      </w:r>
      <w:r w:rsidR="00D2651B">
        <w:t>9</w:t>
      </w:r>
    </w:p>
    <w:p w:rsidRPr="0095154A" w:rsidR="00302B0E" w:rsidP="00302B0E" w:rsidRDefault="00302B0E" w14:paraId="2D5B0120" w14:textId="0D6DA9B2">
      <w:pPr>
        <w:tabs>
          <w:tab w:val="left" w:pos="360"/>
          <w:tab w:val="left" w:leader="dot" w:pos="8280"/>
        </w:tabs>
      </w:pPr>
      <w:r w:rsidRPr="0095154A">
        <w:tab/>
        <w:t>7. Special Circumstances</w:t>
      </w:r>
      <w:r w:rsidRPr="0095154A">
        <w:tab/>
      </w:r>
      <w:r w:rsidR="00D2651B">
        <w:t>9</w:t>
      </w:r>
    </w:p>
    <w:p w:rsidRPr="0095154A" w:rsidR="00302B0E" w:rsidP="00302B0E" w:rsidRDefault="00302B0E" w14:paraId="1746E7B8" w14:textId="4313CD9B">
      <w:pPr>
        <w:tabs>
          <w:tab w:val="left" w:pos="360"/>
          <w:tab w:val="left" w:leader="dot" w:pos="8280"/>
        </w:tabs>
      </w:pPr>
      <w:r w:rsidRPr="0095154A">
        <w:tab/>
        <w:t>8. Federal Register Notice and Outside Consultations</w:t>
      </w:r>
      <w:r w:rsidRPr="0095154A">
        <w:tab/>
      </w:r>
      <w:r w:rsidR="00D2651B">
        <w:t>9</w:t>
      </w:r>
    </w:p>
    <w:p w:rsidRPr="0095154A" w:rsidR="00302B0E" w:rsidP="00302B0E" w:rsidRDefault="00302B0E" w14:paraId="16342F13" w14:textId="69C39922">
      <w:pPr>
        <w:tabs>
          <w:tab w:val="left" w:pos="360"/>
          <w:tab w:val="left" w:leader="dot" w:pos="8280"/>
        </w:tabs>
      </w:pPr>
      <w:r w:rsidRPr="0095154A">
        <w:tab/>
        <w:t>9. Payments/Gifts to Respondents</w:t>
      </w:r>
      <w:r w:rsidRPr="0095154A">
        <w:tab/>
      </w:r>
      <w:r w:rsidR="00D2651B">
        <w:t>9</w:t>
      </w:r>
    </w:p>
    <w:p w:rsidRPr="0095154A" w:rsidR="00302B0E" w:rsidP="00302B0E" w:rsidRDefault="00302B0E" w14:paraId="6AFEAC57" w14:textId="0FD6A7CA">
      <w:pPr>
        <w:tabs>
          <w:tab w:val="left" w:pos="360"/>
          <w:tab w:val="left" w:leader="dot" w:pos="8280"/>
        </w:tabs>
      </w:pPr>
      <w:r w:rsidRPr="0095154A">
        <w:tab/>
        <w:t>10. Assurance of Confidentiality</w:t>
      </w:r>
      <w:r w:rsidRPr="0095154A">
        <w:tab/>
      </w:r>
      <w:r w:rsidR="00D2651B">
        <w:t>9</w:t>
      </w:r>
    </w:p>
    <w:p w:rsidRPr="0095154A" w:rsidR="00302B0E" w:rsidP="00302B0E" w:rsidRDefault="00302B0E" w14:paraId="47266789" w14:textId="5B48CDC9">
      <w:pPr>
        <w:tabs>
          <w:tab w:val="left" w:pos="360"/>
          <w:tab w:val="left" w:leader="dot" w:pos="8280"/>
        </w:tabs>
      </w:pPr>
      <w:r w:rsidRPr="0095154A">
        <w:tab/>
        <w:t>11. Questions of a Sensitive Nature</w:t>
      </w:r>
      <w:r w:rsidRPr="0095154A">
        <w:tab/>
      </w:r>
      <w:r w:rsidR="00D2651B">
        <w:t>10</w:t>
      </w:r>
    </w:p>
    <w:p w:rsidRPr="0095154A" w:rsidR="00302B0E" w:rsidP="00302B0E" w:rsidRDefault="00302B0E" w14:paraId="275EDC32" w14:textId="38CB5A37">
      <w:pPr>
        <w:tabs>
          <w:tab w:val="left" w:pos="360"/>
          <w:tab w:val="left" w:leader="dot" w:pos="8280"/>
        </w:tabs>
      </w:pPr>
      <w:r w:rsidRPr="0095154A">
        <w:tab/>
        <w:t>12. Estimates of Annualized Burden Hours and Costs</w:t>
      </w:r>
      <w:r w:rsidRPr="0095154A">
        <w:tab/>
      </w:r>
      <w:r w:rsidR="00D2651B">
        <w:t>10</w:t>
      </w:r>
    </w:p>
    <w:p w:rsidRPr="0095154A" w:rsidR="00302B0E" w:rsidP="00302B0E" w:rsidRDefault="00302B0E" w14:paraId="7D323371" w14:textId="72558F38">
      <w:pPr>
        <w:tabs>
          <w:tab w:val="left" w:pos="360"/>
          <w:tab w:val="left" w:leader="dot" w:pos="8280"/>
        </w:tabs>
      </w:pPr>
      <w:r w:rsidRPr="0095154A">
        <w:tab/>
        <w:t>13. Estimates of Annualized Respondent Capital and Maintenance Costs</w:t>
      </w:r>
      <w:r w:rsidRPr="0095154A">
        <w:tab/>
      </w:r>
      <w:r w:rsidR="00D2651B">
        <w:t>11</w:t>
      </w:r>
    </w:p>
    <w:p w:rsidRPr="0095154A" w:rsidR="00302B0E" w:rsidP="00302B0E" w:rsidRDefault="00302B0E" w14:paraId="09EC689F" w14:textId="3AEA9C5F">
      <w:pPr>
        <w:tabs>
          <w:tab w:val="left" w:pos="360"/>
          <w:tab w:val="left" w:leader="dot" w:pos="8280"/>
        </w:tabs>
      </w:pPr>
      <w:r w:rsidRPr="0095154A">
        <w:tab/>
        <w:t>14. Estimates of Annualized Cost to the Government</w:t>
      </w:r>
      <w:r w:rsidRPr="0095154A">
        <w:tab/>
      </w:r>
      <w:r w:rsidR="00D2651B">
        <w:t>11</w:t>
      </w:r>
    </w:p>
    <w:p w:rsidRPr="0095154A" w:rsidR="00302B0E" w:rsidP="00302B0E" w:rsidRDefault="00302B0E" w14:paraId="4D7644E6" w14:textId="5492E87F">
      <w:pPr>
        <w:tabs>
          <w:tab w:val="left" w:pos="360"/>
          <w:tab w:val="left" w:leader="dot" w:pos="8280"/>
        </w:tabs>
      </w:pPr>
      <w:r w:rsidRPr="0095154A">
        <w:tab/>
        <w:t>15. Changes in Hour Burden</w:t>
      </w:r>
      <w:r w:rsidRPr="0095154A">
        <w:tab/>
      </w:r>
      <w:r w:rsidR="00D2651B">
        <w:t>12</w:t>
      </w:r>
    </w:p>
    <w:p w:rsidRPr="0095154A" w:rsidR="00302B0E" w:rsidP="00302B0E" w:rsidRDefault="00302B0E" w14:paraId="4D3DFAAE" w14:textId="265A0728">
      <w:pPr>
        <w:tabs>
          <w:tab w:val="left" w:pos="360"/>
          <w:tab w:val="left" w:leader="dot" w:pos="8280"/>
        </w:tabs>
      </w:pPr>
      <w:r w:rsidRPr="0095154A">
        <w:tab/>
        <w:t>16. Time Schedule, Publication and Analysis Plans</w:t>
      </w:r>
      <w:r w:rsidRPr="0095154A">
        <w:tab/>
      </w:r>
      <w:r w:rsidR="00D2651B">
        <w:t>12</w:t>
      </w:r>
    </w:p>
    <w:p w:rsidRPr="0095154A" w:rsidR="00302B0E" w:rsidP="00302B0E" w:rsidRDefault="00302B0E" w14:paraId="5DC6B7DB" w14:textId="0848B76C">
      <w:pPr>
        <w:tabs>
          <w:tab w:val="left" w:pos="360"/>
          <w:tab w:val="left" w:leader="dot" w:pos="8280"/>
        </w:tabs>
      </w:pPr>
      <w:r w:rsidRPr="0095154A">
        <w:tab/>
        <w:t>17. Exemption for Display of Expiration Date</w:t>
      </w:r>
      <w:r w:rsidRPr="0095154A">
        <w:tab/>
      </w:r>
      <w:r w:rsidR="00D2651B">
        <w:t>12</w:t>
      </w:r>
    </w:p>
    <w:p w:rsidRPr="0095154A" w:rsidR="00302B0E" w:rsidP="00302B0E" w:rsidRDefault="00302B0E" w14:paraId="2B8833D0" w14:textId="782B37DD">
      <w:pPr>
        <w:tabs>
          <w:tab w:val="left" w:pos="360"/>
          <w:tab w:val="left" w:leader="dot" w:pos="8280"/>
        </w:tabs>
      </w:pPr>
      <w:r w:rsidRPr="0095154A">
        <w:tab/>
        <w:t>List of Attachments</w:t>
      </w:r>
      <w:r w:rsidRPr="0095154A">
        <w:tab/>
      </w:r>
      <w:r w:rsidR="00D2651B">
        <w:t>12</w:t>
      </w:r>
    </w:p>
    <w:p w:rsidRPr="0095154A" w:rsidR="00302B0E" w:rsidP="00302B0E" w:rsidRDefault="00302B0E" w14:paraId="23387194" w14:textId="52323AD2">
      <w:pPr>
        <w:tabs>
          <w:tab w:val="left" w:pos="360"/>
          <w:tab w:val="left" w:leader="dot" w:pos="8280"/>
        </w:tabs>
      </w:pPr>
      <w:r w:rsidRPr="0095154A">
        <w:tab/>
        <w:t>References</w:t>
      </w:r>
      <w:r w:rsidRPr="0095154A">
        <w:tab/>
      </w:r>
      <w:r w:rsidR="00D2651B">
        <w:t>14</w:t>
      </w:r>
    </w:p>
    <w:p w:rsidRPr="0095154A" w:rsidR="00302B0E" w:rsidP="00302B0E" w:rsidRDefault="00302B0E" w14:paraId="476A0B63" w14:textId="77777777">
      <w:pPr>
        <w:tabs>
          <w:tab w:val="left" w:pos="360"/>
          <w:tab w:val="left" w:leader="dot" w:pos="8280"/>
        </w:tabs>
      </w:pPr>
    </w:p>
    <w:p w:rsidRPr="0095154A" w:rsidR="00302B0E" w:rsidP="00302B0E" w:rsidRDefault="00302B0E" w14:paraId="4A43BFE3" w14:textId="77777777">
      <w:pPr>
        <w:tabs>
          <w:tab w:val="left" w:pos="360"/>
          <w:tab w:val="left" w:leader="dot" w:pos="8280"/>
        </w:tabs>
      </w:pPr>
      <w:r w:rsidRPr="0095154A">
        <w:tab/>
      </w:r>
    </w:p>
    <w:p w:rsidRPr="0095154A" w:rsidR="00302B0E" w:rsidP="00302B0E" w:rsidRDefault="00302B0E" w14:paraId="24254906" w14:textId="77777777">
      <w:pPr>
        <w:jc w:val="center"/>
        <w:rPr>
          <w:b/>
        </w:rPr>
      </w:pPr>
    </w:p>
    <w:p w:rsidRPr="0095154A" w:rsidR="00302B0E" w:rsidP="00302B0E" w:rsidRDefault="00302B0E" w14:paraId="456F31B0" w14:textId="77777777">
      <w:pPr>
        <w:pStyle w:val="TOC2"/>
        <w:tabs>
          <w:tab w:val="right" w:leader="dot" w:pos="8630"/>
        </w:tabs>
        <w:rPr>
          <w:noProof/>
        </w:rPr>
      </w:pPr>
      <w:r w:rsidRPr="0095154A">
        <w:rPr>
          <w:b/>
        </w:rPr>
        <w:fldChar w:fldCharType="begin"/>
      </w:r>
      <w:r w:rsidRPr="0095154A">
        <w:rPr>
          <w:b/>
        </w:rPr>
        <w:instrText xml:space="preserve"> TOC \o "1-3" \h \z \u </w:instrText>
      </w:r>
      <w:r w:rsidRPr="0095154A">
        <w:rPr>
          <w:b/>
        </w:rPr>
        <w:fldChar w:fldCharType="separate"/>
      </w:r>
    </w:p>
    <w:p w:rsidRPr="0095154A" w:rsidR="00302B0E" w:rsidP="00302B0E" w:rsidRDefault="00302B0E" w14:paraId="55D203DA" w14:textId="77777777">
      <w:pPr>
        <w:jc w:val="center"/>
        <w:rPr>
          <w:b/>
        </w:rPr>
      </w:pPr>
      <w:r w:rsidRPr="0095154A">
        <w:rPr>
          <w:b/>
        </w:rPr>
        <w:fldChar w:fldCharType="end"/>
      </w:r>
    </w:p>
    <w:p w:rsidRPr="0095154A" w:rsidR="00302B0E" w:rsidP="00302B0E" w:rsidRDefault="00302B0E" w14:paraId="74EAB701" w14:textId="77777777">
      <w:pPr>
        <w:pStyle w:val="Heading1"/>
        <w:rPr>
          <w:rFonts w:ascii="Times New Roman" w:hAnsi="Times New Roman" w:cs="Times New Roman"/>
          <w:sz w:val="24"/>
          <w:szCs w:val="24"/>
        </w:rPr>
      </w:pPr>
      <w:r w:rsidRPr="0095154A">
        <w:rPr>
          <w:rFonts w:ascii="Times New Roman" w:hAnsi="Times New Roman" w:cs="Times New Roman"/>
        </w:rPr>
        <w:br w:type="page"/>
      </w:r>
      <w:bookmarkStart w:name="_Toc151782175" w:id="0"/>
      <w:bookmarkStart w:name="_Toc158526215" w:id="1"/>
      <w:r w:rsidRPr="0095154A">
        <w:rPr>
          <w:rFonts w:ascii="Times New Roman" w:hAnsi="Times New Roman" w:cs="Times New Roman"/>
          <w:sz w:val="24"/>
          <w:szCs w:val="24"/>
        </w:rPr>
        <w:lastRenderedPageBreak/>
        <w:t>A. Justification</w:t>
      </w:r>
      <w:bookmarkEnd w:id="0"/>
      <w:bookmarkEnd w:id="1"/>
    </w:p>
    <w:p w:rsidR="00302B0E" w:rsidP="00302B0E" w:rsidRDefault="00302B0E" w14:paraId="6B7BA862" w14:textId="592C7CEC">
      <w:pPr>
        <w:pStyle w:val="Heading2"/>
        <w:contextualSpacing/>
        <w:rPr>
          <w:rFonts w:ascii="Times New Roman" w:hAnsi="Times New Roman" w:cs="Times New Roman"/>
          <w:sz w:val="24"/>
          <w:szCs w:val="24"/>
        </w:rPr>
      </w:pPr>
      <w:bookmarkStart w:name="_Toc151782176" w:id="2"/>
      <w:bookmarkStart w:name="_Toc158526216" w:id="3"/>
      <w:r w:rsidRPr="0095154A">
        <w:rPr>
          <w:rFonts w:ascii="Times New Roman" w:hAnsi="Times New Roman" w:cs="Times New Roman"/>
          <w:sz w:val="24"/>
          <w:szCs w:val="24"/>
        </w:rPr>
        <w:t xml:space="preserve">1. </w:t>
      </w:r>
      <w:bookmarkEnd w:id="2"/>
      <w:bookmarkEnd w:id="3"/>
      <w:r w:rsidRPr="0095154A">
        <w:rPr>
          <w:rFonts w:ascii="Times New Roman" w:hAnsi="Times New Roman" w:cs="Times New Roman"/>
          <w:sz w:val="24"/>
          <w:szCs w:val="24"/>
        </w:rPr>
        <w:t>Circumstances that make the collection of information necessary</w:t>
      </w:r>
    </w:p>
    <w:p w:rsidRPr="0061507E" w:rsidR="0061507E" w:rsidP="0061507E" w:rsidRDefault="0061507E" w14:paraId="1AC15123" w14:textId="77777777"/>
    <w:p w:rsidRPr="0095154A" w:rsidR="00302B0E" w:rsidP="00302B0E" w:rsidRDefault="00302B0E" w14:paraId="01F79DBC" w14:textId="77777777">
      <w:pPr>
        <w:contextualSpacing/>
      </w:pPr>
      <w:r w:rsidRPr="0095154A">
        <w:t>The mission of the Agency for Healthcare Research and Quality (AHRQ) set out in its authorizing legislation, The Healthcare Research and Quality Act of 1999 (see http://www.ahrq.gov/hrqa99.pdf),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Pr="0095154A" w:rsidR="00302B0E" w:rsidP="00302B0E" w:rsidRDefault="00302B0E" w14:paraId="136AD897" w14:textId="77777777">
      <w:pPr>
        <w:tabs>
          <w:tab w:val="left" w:pos="360"/>
        </w:tabs>
      </w:pPr>
      <w:r w:rsidRPr="0095154A">
        <w:tab/>
      </w:r>
    </w:p>
    <w:p w:rsidRPr="0095154A" w:rsidR="00302B0E" w:rsidP="00302B0E" w:rsidRDefault="00302B0E" w14:paraId="0503E18B" w14:textId="2CA68C8D">
      <w:pPr>
        <w:tabs>
          <w:tab w:val="left" w:pos="360"/>
        </w:tabs>
        <w:ind w:left="360"/>
      </w:pPr>
      <w:r w:rsidRPr="0095154A">
        <w:t>1.</w:t>
      </w:r>
      <w:r w:rsidRPr="0095154A">
        <w:tab/>
      </w:r>
      <w:r w:rsidR="0061507E">
        <w:t>R</w:t>
      </w:r>
      <w:r w:rsidRPr="0095154A">
        <w:t xml:space="preserve">esearch that develops and presents scientific evidence regarding all aspects of </w:t>
      </w:r>
      <w:r w:rsidRPr="0095154A">
        <w:tab/>
      </w:r>
      <w:r w:rsidRPr="0095154A">
        <w:tab/>
        <w:t>health care; and</w:t>
      </w:r>
    </w:p>
    <w:p w:rsidRPr="0095154A" w:rsidR="00302B0E" w:rsidP="00302B0E" w:rsidRDefault="00302B0E" w14:paraId="00F03CF5" w14:textId="77777777">
      <w:pPr>
        <w:tabs>
          <w:tab w:val="left" w:pos="360"/>
        </w:tabs>
        <w:ind w:left="360"/>
      </w:pPr>
    </w:p>
    <w:p w:rsidRPr="0095154A" w:rsidR="00302B0E" w:rsidP="00302B0E" w:rsidRDefault="00302B0E" w14:paraId="1B5F43F8" w14:textId="17E30B7B">
      <w:pPr>
        <w:tabs>
          <w:tab w:val="left" w:pos="360"/>
        </w:tabs>
        <w:ind w:left="720" w:hanging="360"/>
      </w:pPr>
      <w:r w:rsidRPr="0095154A">
        <w:t>2.</w:t>
      </w:r>
      <w:r w:rsidRPr="0095154A">
        <w:tab/>
      </w:r>
      <w:r w:rsidR="0061507E">
        <w:t>S</w:t>
      </w:r>
      <w:r w:rsidRPr="0095154A">
        <w:t>ynthesis and dissemination of available scientific evidence for use by</w:t>
      </w:r>
      <w:r w:rsidR="002A7DD4">
        <w:t xml:space="preserve"> </w:t>
      </w:r>
      <w:r w:rsidRPr="0095154A">
        <w:t>patients, consumers, practitioners, providers, purchasers, policy makers, and educators; and</w:t>
      </w:r>
    </w:p>
    <w:p w:rsidRPr="0095154A" w:rsidR="00302B0E" w:rsidP="00302B0E" w:rsidRDefault="00302B0E" w14:paraId="30BF4714" w14:textId="77777777">
      <w:pPr>
        <w:tabs>
          <w:tab w:val="left" w:pos="360"/>
        </w:tabs>
        <w:ind w:left="360"/>
      </w:pPr>
    </w:p>
    <w:p w:rsidRPr="0095154A" w:rsidR="00302B0E" w:rsidP="00302B0E" w:rsidRDefault="00302B0E" w14:paraId="3516A245" w14:textId="30579336">
      <w:pPr>
        <w:tabs>
          <w:tab w:val="left" w:pos="360"/>
        </w:tabs>
        <w:ind w:left="360"/>
      </w:pPr>
      <w:r w:rsidRPr="0095154A">
        <w:t>3.</w:t>
      </w:r>
      <w:r w:rsidRPr="0095154A">
        <w:tab/>
      </w:r>
      <w:r w:rsidR="0061507E">
        <w:t>I</w:t>
      </w:r>
      <w:r w:rsidRPr="0095154A">
        <w:t>nitiatives to advance private and public efforts to improve health care quality.</w:t>
      </w:r>
    </w:p>
    <w:p w:rsidRPr="0095154A" w:rsidR="00302B0E" w:rsidP="00302B0E" w:rsidRDefault="00302B0E" w14:paraId="405C04A6" w14:textId="77777777">
      <w:pPr>
        <w:tabs>
          <w:tab w:val="left" w:pos="360"/>
        </w:tabs>
      </w:pPr>
    </w:p>
    <w:p w:rsidRPr="0095154A" w:rsidR="00302B0E" w:rsidP="00302B0E" w:rsidRDefault="00302B0E" w14:paraId="252B32C1" w14:textId="77CEECF4">
      <w:pPr>
        <w:tabs>
          <w:tab w:val="left" w:pos="360"/>
        </w:tabs>
      </w:pPr>
      <w:r w:rsidRPr="0095154A">
        <w:t>AHRQ conduct</w:t>
      </w:r>
      <w:r w:rsidR="0061507E">
        <w:t xml:space="preserve">s </w:t>
      </w:r>
      <w:r w:rsidRPr="0095154A">
        <w:t>and support</w:t>
      </w:r>
      <w:r w:rsidR="0061507E">
        <w:t>s</w:t>
      </w:r>
      <w:r w:rsidRPr="0095154A">
        <w:t xml:space="preserve"> research and evaluations, and support</w:t>
      </w:r>
      <w:r w:rsidR="00EB015F">
        <w:t>s</w:t>
      </w:r>
      <w:r w:rsidRPr="0095154A">
        <w:t xml:space="preserve">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Pr="0095154A" w:rsidR="00302B0E" w:rsidP="00302B0E" w:rsidRDefault="00302B0E" w14:paraId="0546DB33" w14:textId="77777777">
      <w:pPr>
        <w:tabs>
          <w:tab w:val="left" w:pos="360"/>
        </w:tabs>
      </w:pPr>
    </w:p>
    <w:p w:rsidR="00302B0E" w:rsidP="00302B0E" w:rsidRDefault="00302B0E" w14:paraId="0A53F924" w14:textId="055278AC">
      <w:pPr>
        <w:tabs>
          <w:tab w:val="left" w:pos="360"/>
        </w:tabs>
        <w:rPr>
          <w:b/>
          <w:bCs/>
        </w:rPr>
      </w:pPr>
      <w:r w:rsidRPr="0095154A">
        <w:rPr>
          <w:b/>
          <w:bCs/>
        </w:rPr>
        <w:t>Background for this information collection</w:t>
      </w:r>
    </w:p>
    <w:p w:rsidR="33FC3519" w:rsidP="33FC3519" w:rsidRDefault="33FC3519" w14:paraId="503641BE" w14:textId="0C6FB410">
      <w:pPr>
        <w:tabs>
          <w:tab w:val="left" w:pos="360"/>
        </w:tabs>
      </w:pPr>
      <w:r w:rsidRPr="33FC3519">
        <w:t>Diagnostic errors, including delayed, wrong, and missed diagnoses, account for an estimated 40,000 to 80,000 patient deaths each year</w:t>
      </w:r>
      <w:r w:rsidRPr="33FC3519">
        <w:rPr>
          <w:vertAlign w:val="superscript"/>
        </w:rPr>
        <w:t>1-2</w:t>
      </w:r>
      <w:r w:rsidRPr="33FC3519">
        <w:t>. Diagnostic errors are responsible for a third of all malpractice claims that result in permanent injury or death,</w:t>
      </w:r>
      <w:r w:rsidRPr="33FC3519">
        <w:rPr>
          <w:sz w:val="19"/>
          <w:szCs w:val="19"/>
          <w:vertAlign w:val="superscript"/>
        </w:rPr>
        <w:t>3,4</w:t>
      </w:r>
      <w:r w:rsidRPr="33FC3519">
        <w:t xml:space="preserve"> and are considered the most harmful and costly type of medical error</w:t>
      </w:r>
      <w:r w:rsidRPr="33FC3519">
        <w:rPr>
          <w:sz w:val="19"/>
          <w:szCs w:val="19"/>
          <w:vertAlign w:val="superscript"/>
        </w:rPr>
        <w:t>5</w:t>
      </w:r>
      <w:r w:rsidRPr="33FC3519">
        <w:t xml:space="preserve">. Despite the frequency of diagnostic errors and the burden they cause to patients, care teams, and healthcare organizations, the lack of validated strategies to measure these errors has hampered diagnostic improvement efforts. Measurement strategies have been developed and evaluated in research but have yet to be implemented and formally evaluated in operational settings.   </w:t>
      </w:r>
    </w:p>
    <w:p w:rsidR="33FC3519" w:rsidRDefault="33FC3519" w14:paraId="21088502" w14:textId="2319F282">
      <w:r w:rsidRPr="33FC3519">
        <w:t xml:space="preserve"> </w:t>
      </w:r>
    </w:p>
    <w:p w:rsidR="33FC3519" w:rsidP="33FC3519" w:rsidRDefault="33FC3519" w14:paraId="5662B268" w14:textId="34FF1043">
      <w:pPr>
        <w:rPr>
          <w:sz w:val="19"/>
          <w:szCs w:val="19"/>
        </w:rPr>
      </w:pPr>
      <w:r w:rsidRPr="33FC3519">
        <w:t xml:space="preserve">In their 2015 report </w:t>
      </w:r>
      <w:r w:rsidRPr="33FC3519">
        <w:rPr>
          <w:i/>
          <w:iCs/>
        </w:rPr>
        <w:t>Improving Diagnosis in Health Care</w:t>
      </w:r>
      <w:r w:rsidRPr="33FC3519">
        <w:t xml:space="preserve">, the National Academies of Sciences, Engineering, and Medicine (NASEM) recommended that accrediting organizations require healthcare organizations to “have programs in place to monitor the diagnostic process and identify, learn from, and reduce diagnostic errors and near misses in a timely fashion.” The NASEM report does not recommend specific strategies to measure diagnostic </w:t>
      </w:r>
      <w:r w:rsidRPr="33FC3519" w:rsidR="00C914F9">
        <w:t>errors but</w:t>
      </w:r>
      <w:r w:rsidRPr="33FC3519">
        <w:t xml:space="preserve"> does encourage healthcare organizations to consider using various methods and leverage readily available data sources when possible.</w:t>
      </w:r>
      <w:r w:rsidRPr="33FC3519">
        <w:rPr>
          <w:sz w:val="19"/>
          <w:szCs w:val="19"/>
          <w:vertAlign w:val="superscript"/>
        </w:rPr>
        <w:t>6</w:t>
      </w:r>
    </w:p>
    <w:p w:rsidRPr="0095154A" w:rsidR="00367F15" w:rsidP="00367F15" w:rsidRDefault="00367F15" w14:paraId="2743D92B" w14:textId="77777777">
      <w:pPr>
        <w:tabs>
          <w:tab w:val="left" w:pos="360"/>
        </w:tabs>
      </w:pPr>
    </w:p>
    <w:p w:rsidR="00367F15" w:rsidP="00367F15" w:rsidRDefault="33FC3519" w14:paraId="70EF0209" w14:textId="5B950311">
      <w:pPr>
        <w:tabs>
          <w:tab w:val="left" w:pos="360"/>
        </w:tabs>
      </w:pPr>
      <w:r>
        <w:lastRenderedPageBreak/>
        <w:t>The Measure Dx resource</w:t>
      </w:r>
      <w:r w:rsidR="00D2651B">
        <w:t xml:space="preserve"> (the Resource)</w:t>
      </w:r>
      <w:r>
        <w:t xml:space="preserve"> is a modular toolkit that provides clinicians, quality and safety personnel, and healthcare organization leaders with guidance for implementing diagnostic safety measurement strategies for the purposes of learning and improvement. The Resource was </w:t>
      </w:r>
      <w:proofErr w:type="gramStart"/>
      <w:r>
        <w:t>developed</w:t>
      </w:r>
      <w:proofErr w:type="gramEnd"/>
      <w:r>
        <w:t xml:space="preserve"> and pilot tested (Fast Track OMB control number: 0935-0179) during the base year of an AHRQ contract awarded to the MedStar Health Research Institute and provides pragmatic recommendations for implementing measurement strategies that were identified in the AHRQ Issue Brief titled </w:t>
      </w:r>
      <w:r w:rsidRPr="33FC3519">
        <w:rPr>
          <w:i/>
          <w:iCs/>
        </w:rPr>
        <w:t>Operational Measurement of Diagnostic Safety: State of the Science.</w:t>
      </w:r>
      <w:r>
        <w:t xml:space="preserve"> In particular, the Measure Dx resource focuses on four broad measurement strategies that were assessed to be approaching readiness for implementation in operational settings.</w:t>
      </w:r>
    </w:p>
    <w:p w:rsidR="0087727C" w:rsidP="00367F15" w:rsidRDefault="0087727C" w14:paraId="48D3E9E4" w14:textId="04C09B49">
      <w:pPr>
        <w:tabs>
          <w:tab w:val="left" w:pos="360"/>
        </w:tabs>
      </w:pPr>
    </w:p>
    <w:p w:rsidRPr="00E150FF" w:rsidR="0087727C" w:rsidP="48AB9E4C" w:rsidRDefault="48AB9E4C" w14:paraId="44CE29DE" w14:textId="5FC3A94E">
      <w:pPr>
        <w:tabs>
          <w:tab w:val="left" w:pos="360"/>
        </w:tabs>
        <w:rPr>
          <w:b/>
          <w:bCs/>
        </w:rPr>
      </w:pPr>
      <w:r>
        <w:t xml:space="preserve">We are requesting full OMB approval to conduct a formal evaluation of the Measure Dx resource. AHRQ would like to further develop this resource, expanding on the initial pilot test which qualitatively examined feasibility of implementing the resource, general receptivity, and feedback for improvement. AHRQ will use the information collected through this Information Collection Request </w:t>
      </w:r>
      <w:r w:rsidR="00D2651B">
        <w:t xml:space="preserve">(ICR) </w:t>
      </w:r>
      <w:r>
        <w:t>to evaluate the efficacy and impact of the Measure Dx resource for stimulating diagnostic safety measurement activities for learning and improvement. To meet this objective, the project team will examine this sample of results via qualitative and quantitative analyses to measure fidelity, process, outcomes, and sustainability. Key outcome measures will assess the yield of diagnostic safety event detection and related diagnostic safety intelligence, and impact of the resource on diagnostic safety policies, activities, and actions taken to mitigate risks/harms. AHRQ’s ability to publicly share a diagnostic measurement resource (Measure Dx) that has been scientifically validated is expected to be of great interest to the health care community and important in helping organizations measure diagnostic safety for patient safety and quality improvement efforts.</w:t>
      </w:r>
    </w:p>
    <w:p w:rsidRPr="0087727C" w:rsidR="00367F15" w:rsidP="00367F15" w:rsidRDefault="00367F15" w14:paraId="1C2E150C" w14:textId="6D04E86C">
      <w:pPr>
        <w:tabs>
          <w:tab w:val="left" w:pos="360"/>
        </w:tabs>
      </w:pPr>
    </w:p>
    <w:p w:rsidRPr="00C02577" w:rsidR="00367F15" w:rsidP="00367F15" w:rsidRDefault="00367F15" w14:paraId="2EEA37EA" w14:textId="77777777">
      <w:r w:rsidRPr="00C02577">
        <w:t>This information collection has the following goal:</w:t>
      </w:r>
    </w:p>
    <w:p w:rsidRPr="00C02577" w:rsidR="00367F15" w:rsidP="00367F15" w:rsidRDefault="00367F15" w14:paraId="6A6FDB94" w14:textId="77777777"/>
    <w:p w:rsidRPr="00C02577" w:rsidR="00367F15" w:rsidP="00367F15" w:rsidRDefault="6DCA7CB0" w14:paraId="6047B938" w14:textId="3F9041DB">
      <w:pPr>
        <w:numPr>
          <w:ilvl w:val="0"/>
          <w:numId w:val="4"/>
        </w:numPr>
        <w:spacing w:line="276" w:lineRule="auto"/>
      </w:pPr>
      <w:r>
        <w:t>To evaluate the diagnostic safety measurement resource (</w:t>
      </w:r>
      <w:r w:rsidR="00D2651B">
        <w:t>Measure Dx</w:t>
      </w:r>
      <w:r>
        <w:t xml:space="preserve">) </w:t>
      </w:r>
      <w:proofErr w:type="gramStart"/>
      <w:r>
        <w:t>in order to</w:t>
      </w:r>
      <w:proofErr w:type="gramEnd"/>
      <w:r>
        <w:t xml:space="preserve"> stimulate measurement activities for learning and improvement and quantitatively and qualitatively examine:</w:t>
      </w:r>
    </w:p>
    <w:p w:rsidR="00367F15" w:rsidP="00367F15" w:rsidRDefault="00367F15" w14:paraId="3A998E3C" w14:textId="36E2E181">
      <w:pPr>
        <w:numPr>
          <w:ilvl w:val="1"/>
          <w:numId w:val="4"/>
        </w:numPr>
        <w:spacing w:line="276" w:lineRule="auto"/>
      </w:pPr>
      <w:r w:rsidRPr="00C02577">
        <w:t xml:space="preserve">Feasibility of the implementing the Resource with limited to no technical </w:t>
      </w:r>
      <w:proofErr w:type="gramStart"/>
      <w:r w:rsidRPr="00C02577">
        <w:t>assistance</w:t>
      </w:r>
      <w:r w:rsidR="00C02577">
        <w:t>;</w:t>
      </w:r>
      <w:proofErr w:type="gramEnd"/>
    </w:p>
    <w:p w:rsidR="00C02577" w:rsidP="00367F15" w:rsidRDefault="00C02577" w14:paraId="08A2D701" w14:textId="670CAEA5">
      <w:pPr>
        <w:numPr>
          <w:ilvl w:val="1"/>
          <w:numId w:val="4"/>
        </w:numPr>
        <w:spacing w:line="276" w:lineRule="auto"/>
      </w:pPr>
      <w:r>
        <w:t xml:space="preserve">User experience and satisfaction with the </w:t>
      </w:r>
      <w:proofErr w:type="gramStart"/>
      <w:r>
        <w:t>resource;</w:t>
      </w:r>
      <w:proofErr w:type="gramEnd"/>
    </w:p>
    <w:p w:rsidR="006F17F8" w:rsidP="006F17F8" w:rsidRDefault="6DCA7CB0" w14:paraId="6F17590D" w14:textId="77777777">
      <w:pPr>
        <w:numPr>
          <w:ilvl w:val="1"/>
          <w:numId w:val="4"/>
        </w:numPr>
        <w:spacing w:line="276" w:lineRule="auto"/>
      </w:pPr>
      <w:r>
        <w:t xml:space="preserve">Impact of the resource on diagnostic safety policies or </w:t>
      </w:r>
      <w:proofErr w:type="gramStart"/>
      <w:r>
        <w:t>activities;</w:t>
      </w:r>
      <w:proofErr w:type="gramEnd"/>
    </w:p>
    <w:p w:rsidR="6DCA7CB0" w:rsidP="6DCA7CB0" w:rsidRDefault="48AB9E4C" w14:paraId="2F631C92" w14:textId="27981B8F">
      <w:pPr>
        <w:numPr>
          <w:ilvl w:val="1"/>
          <w:numId w:val="4"/>
        </w:numPr>
        <w:spacing w:line="276" w:lineRule="auto"/>
      </w:pPr>
      <w:r w:rsidRPr="48AB9E4C">
        <w:t xml:space="preserve">Yield of newly detected diagnostic safety events and associated learning resulting from use of the </w:t>
      </w:r>
      <w:proofErr w:type="gramStart"/>
      <w:r w:rsidRPr="48AB9E4C">
        <w:t>resource;</w:t>
      </w:r>
      <w:proofErr w:type="gramEnd"/>
    </w:p>
    <w:p w:rsidR="00367F15" w:rsidP="00367F15" w:rsidRDefault="48AB9E4C" w14:paraId="27834CB8" w14:textId="72D9AF85">
      <w:pPr>
        <w:numPr>
          <w:ilvl w:val="1"/>
          <w:numId w:val="4"/>
        </w:numPr>
        <w:spacing w:line="276" w:lineRule="auto"/>
      </w:pPr>
      <w:r>
        <w:t xml:space="preserve">Intent to sustain use of the resource and continue with the diagnostic safety process following evaluation efforts. </w:t>
      </w:r>
    </w:p>
    <w:p w:rsidR="006F17F8" w:rsidP="006F17F8" w:rsidRDefault="006F17F8" w14:paraId="242F6C2B" w14:textId="77777777">
      <w:pPr>
        <w:spacing w:line="276" w:lineRule="auto"/>
        <w:ind w:left="1486"/>
      </w:pPr>
    </w:p>
    <w:p w:rsidR="00367F15" w:rsidP="00367F15" w:rsidRDefault="00367F15" w14:paraId="7322F559" w14:textId="41EAC962">
      <w:r w:rsidRPr="0095154A">
        <w:t>To achieve the goals of this project the following information collection instruments will be completed</w:t>
      </w:r>
      <w:r w:rsidR="006B7AAE">
        <w:t>:</w:t>
      </w:r>
    </w:p>
    <w:p w:rsidR="00367F15" w:rsidP="00367F15" w:rsidRDefault="00367F15" w14:paraId="1F2B549D" w14:textId="77777777"/>
    <w:p w:rsidR="00367F15" w:rsidP="00367F15" w:rsidRDefault="6DCA7CB0" w14:paraId="5C59D97C" w14:textId="78014722">
      <w:pPr>
        <w:numPr>
          <w:ilvl w:val="0"/>
          <w:numId w:val="5"/>
        </w:numPr>
        <w:tabs>
          <w:tab w:val="left" w:pos="360"/>
        </w:tabs>
      </w:pPr>
      <w:r w:rsidRPr="6DCA7CB0">
        <w:rPr>
          <w:b/>
          <w:bCs/>
        </w:rPr>
        <w:lastRenderedPageBreak/>
        <w:t>Organizational Characteristics Survey</w:t>
      </w:r>
      <w:r>
        <w:t xml:space="preserve"> (Appendix A) </w:t>
      </w:r>
      <w:r w:rsidRPr="6DCA7CB0">
        <w:rPr>
          <w:b/>
          <w:bCs/>
        </w:rPr>
        <w:t>–</w:t>
      </w:r>
      <w:r>
        <w:t xml:space="preserve"> designed to qualitatively describe the characteristics of the organizations engaged in evaluation (e.g., patient characteristics, practice size, and staffing).</w:t>
      </w:r>
    </w:p>
    <w:p w:rsidR="00367F15" w:rsidP="00367F15" w:rsidRDefault="00367F15" w14:paraId="7DF94AB3" w14:textId="77777777"/>
    <w:p w:rsidR="008B61E0" w:rsidP="0087727C" w:rsidRDefault="6DCA7CB0" w14:paraId="67B54E89" w14:textId="37D18D87">
      <w:pPr>
        <w:numPr>
          <w:ilvl w:val="0"/>
          <w:numId w:val="5"/>
        </w:numPr>
        <w:tabs>
          <w:tab w:val="left" w:pos="360"/>
        </w:tabs>
      </w:pPr>
      <w:r w:rsidRPr="6DCA7CB0">
        <w:rPr>
          <w:b/>
          <w:bCs/>
        </w:rPr>
        <w:t xml:space="preserve">Organizational Self-Assessment Survey </w:t>
      </w:r>
      <w:r>
        <w:t xml:space="preserve">(Appendix B) </w:t>
      </w:r>
      <w:r w:rsidRPr="6DCA7CB0">
        <w:rPr>
          <w:b/>
          <w:bCs/>
        </w:rPr>
        <w:t>-</w:t>
      </w:r>
      <w:r>
        <w:t xml:space="preserve"> designed to qualitatively assess organization’s readiness (e.g., leadership support, resources, and safety culture/infrastructure) for implementing the Measure Dx resource. </w:t>
      </w:r>
    </w:p>
    <w:p w:rsidR="00EF6512" w:rsidP="00EF6512" w:rsidRDefault="00EF6512" w14:paraId="78746162" w14:textId="77777777">
      <w:pPr>
        <w:tabs>
          <w:tab w:val="left" w:pos="360"/>
        </w:tabs>
      </w:pPr>
    </w:p>
    <w:p w:rsidR="008B61E0" w:rsidP="00367F15" w:rsidRDefault="6DCA7CB0" w14:paraId="7B28CFB5" w14:textId="75B622FD">
      <w:pPr>
        <w:numPr>
          <w:ilvl w:val="0"/>
          <w:numId w:val="5"/>
        </w:numPr>
        <w:tabs>
          <w:tab w:val="left" w:pos="360"/>
        </w:tabs>
      </w:pPr>
      <w:r w:rsidRPr="6DCA7CB0">
        <w:rPr>
          <w:b/>
          <w:bCs/>
        </w:rPr>
        <w:t>The Safer Dx Checklist</w:t>
      </w:r>
      <w:r>
        <w:t xml:space="preserve"> (Appendix C) - A synthesis of foundational practices that health care organizations can use to advance diagnostic excellence. The checklist provides a framework for organizations to conduct a self-assessment to understand the current state of diagnostic practices, identify areas to improve, and track progress toward diagnostic excellence over time.</w:t>
      </w:r>
    </w:p>
    <w:p w:rsidR="00367F15" w:rsidP="00367F15" w:rsidRDefault="00367F15" w14:paraId="0E0E153C" w14:textId="77777777">
      <w:pPr>
        <w:pStyle w:val="ListParagraph"/>
      </w:pPr>
    </w:p>
    <w:p w:rsidRPr="00393B21" w:rsidR="006F17F8" w:rsidP="006F17F8" w:rsidRDefault="00367F15" w14:paraId="37B75FA4" w14:textId="0DC83A16">
      <w:pPr>
        <w:numPr>
          <w:ilvl w:val="0"/>
          <w:numId w:val="5"/>
        </w:numPr>
        <w:tabs>
          <w:tab w:val="left" w:pos="360"/>
        </w:tabs>
      </w:pPr>
      <w:r>
        <w:rPr>
          <w:b/>
        </w:rPr>
        <w:t xml:space="preserve">Pre-test </w:t>
      </w:r>
      <w:r w:rsidR="00697FF2">
        <w:rPr>
          <w:b/>
        </w:rPr>
        <w:t xml:space="preserve">Evaluation </w:t>
      </w:r>
      <w:r>
        <w:rPr>
          <w:b/>
        </w:rPr>
        <w:t>Interview Protocol</w:t>
      </w:r>
      <w:r>
        <w:rPr>
          <w:bCs/>
        </w:rPr>
        <w:t xml:space="preserve"> (Appendix </w:t>
      </w:r>
      <w:r w:rsidR="00697FF2">
        <w:rPr>
          <w:bCs/>
        </w:rPr>
        <w:t>D</w:t>
      </w:r>
      <w:r>
        <w:rPr>
          <w:bCs/>
        </w:rPr>
        <w:t>) –</w:t>
      </w:r>
      <w:r w:rsidR="001D43DD">
        <w:rPr>
          <w:bCs/>
        </w:rPr>
        <w:t xml:space="preserve"> </w:t>
      </w:r>
      <w:r w:rsidR="004856A9">
        <w:t>designed to</w:t>
      </w:r>
      <w:r w:rsidRPr="003133CB" w:rsidR="004856A9">
        <w:t xml:space="preserve"> </w:t>
      </w:r>
      <w:r w:rsidR="004856A9">
        <w:t xml:space="preserve">qualitatively assess the organization’s current </w:t>
      </w:r>
      <w:r w:rsidR="006F17F8">
        <w:t xml:space="preserve">policies and </w:t>
      </w:r>
      <w:r w:rsidR="004856A9">
        <w:t>structures related</w:t>
      </w:r>
      <w:r w:rsidRPr="003133CB" w:rsidR="004856A9">
        <w:t xml:space="preserve"> to diagnostic </w:t>
      </w:r>
      <w:r w:rsidR="004856A9">
        <w:t>safet</w:t>
      </w:r>
      <w:r w:rsidR="006F17F8">
        <w:t>y</w:t>
      </w:r>
      <w:r w:rsidR="004856A9">
        <w:t>, plans for implementing the Measure Dx resource</w:t>
      </w:r>
      <w:r w:rsidR="00393DCA">
        <w:t>, and</w:t>
      </w:r>
      <w:r w:rsidR="004856A9">
        <w:t xml:space="preserve"> initial</w:t>
      </w:r>
      <w:r w:rsidRPr="003133CB" w:rsidR="004856A9">
        <w:t xml:space="preserve"> </w:t>
      </w:r>
      <w:r w:rsidR="004856A9">
        <w:t xml:space="preserve">feedback </w:t>
      </w:r>
      <w:r w:rsidR="00EF6512">
        <w:t xml:space="preserve">on </w:t>
      </w:r>
      <w:r w:rsidR="004856A9">
        <w:t xml:space="preserve">resource materials. </w:t>
      </w:r>
    </w:p>
    <w:p w:rsidR="00367F15" w:rsidP="00367F15" w:rsidRDefault="00367F15" w14:paraId="4278087E" w14:textId="77777777">
      <w:pPr>
        <w:pStyle w:val="ListParagraph"/>
        <w:rPr>
          <w:b/>
        </w:rPr>
      </w:pPr>
    </w:p>
    <w:p w:rsidRPr="006F17F8" w:rsidR="00367F15" w:rsidP="00367F15" w:rsidRDefault="6DCA7CB0" w14:paraId="11EA9AD9" w14:textId="030CBE31">
      <w:pPr>
        <w:numPr>
          <w:ilvl w:val="0"/>
          <w:numId w:val="5"/>
        </w:numPr>
        <w:tabs>
          <w:tab w:val="left" w:pos="360"/>
        </w:tabs>
      </w:pPr>
      <w:r w:rsidRPr="6DCA7CB0">
        <w:rPr>
          <w:b/>
          <w:bCs/>
        </w:rPr>
        <w:t xml:space="preserve">Post-test Evaluation Interview Protocol </w:t>
      </w:r>
      <w:r>
        <w:t xml:space="preserve">(Appendix E) </w:t>
      </w:r>
      <w:r w:rsidRPr="6DCA7CB0">
        <w:rPr>
          <w:b/>
          <w:bCs/>
        </w:rPr>
        <w:t>–</w:t>
      </w:r>
      <w:r>
        <w:t xml:space="preserve"> designed to qualitatively assess organization’s experience with implementing the Measure Dx resource, the impact of the resource on diagnostic safety policies or activities in their organization, contextual information about whether and how Measure Dx facilitated case detection, and intent to sustain use of the resource following evaluation efforts. </w:t>
      </w:r>
    </w:p>
    <w:p w:rsidR="00697FF2" w:rsidP="00E150FF" w:rsidRDefault="00697FF2" w14:paraId="27A7B445" w14:textId="77777777"/>
    <w:p w:rsidR="00697FF2" w:rsidP="00367F15" w:rsidRDefault="6DCA7CB0" w14:paraId="09AF5DA2" w14:textId="0A193A7A">
      <w:pPr>
        <w:numPr>
          <w:ilvl w:val="0"/>
          <w:numId w:val="5"/>
        </w:numPr>
        <w:tabs>
          <w:tab w:val="left" w:pos="360"/>
        </w:tabs>
      </w:pPr>
      <w:r w:rsidRPr="6DCA7CB0">
        <w:rPr>
          <w:b/>
          <w:bCs/>
        </w:rPr>
        <w:t>Team Questionnaire</w:t>
      </w:r>
      <w:r>
        <w:t xml:space="preserve"> (Appendix F) – adapted to help organizations self-assess diagnostic teamwork in their organization &amp; their diagnostic team’s commitment to implementing the Measure Dx resource. </w:t>
      </w:r>
    </w:p>
    <w:p w:rsidR="00285F9F" w:rsidP="006823AC" w:rsidRDefault="00285F9F" w14:paraId="21FF32B1" w14:textId="77777777">
      <w:pPr>
        <w:pStyle w:val="ListParagraph"/>
      </w:pPr>
    </w:p>
    <w:p w:rsidR="00151175" w:rsidP="00151175" w:rsidRDefault="6DCA7CB0" w14:paraId="4FA2E645" w14:textId="247C6F38">
      <w:pPr>
        <w:numPr>
          <w:ilvl w:val="0"/>
          <w:numId w:val="5"/>
        </w:numPr>
        <w:tabs>
          <w:tab w:val="left" w:pos="360"/>
        </w:tabs>
      </w:pPr>
      <w:r w:rsidRPr="6DCA7CB0">
        <w:rPr>
          <w:b/>
          <w:bCs/>
        </w:rPr>
        <w:t>Case Review Summary Form</w:t>
      </w:r>
      <w:r>
        <w:t xml:space="preserve"> (Appendix G) – designed to quantitatively and qualitatively summarize the diagnostic safety intelligence that participants have detected, analyzed, and/or learned from while implementing one Measure Dx strategy.</w:t>
      </w:r>
    </w:p>
    <w:p w:rsidR="00151175" w:rsidP="00151175" w:rsidRDefault="00151175" w14:paraId="3768CC9E" w14:textId="77777777">
      <w:pPr>
        <w:pStyle w:val="ListParagraph"/>
        <w:rPr>
          <w:b/>
          <w:bCs/>
        </w:rPr>
      </w:pPr>
    </w:p>
    <w:p w:rsidRPr="00151175" w:rsidR="00285F9F" w:rsidP="00151175" w:rsidRDefault="006823AC" w14:paraId="64411DF8" w14:textId="6AAE0ADC">
      <w:pPr>
        <w:numPr>
          <w:ilvl w:val="0"/>
          <w:numId w:val="5"/>
        </w:numPr>
        <w:tabs>
          <w:tab w:val="left" w:pos="360"/>
        </w:tabs>
      </w:pPr>
      <w:r w:rsidRPr="00151175">
        <w:rPr>
          <w:b/>
          <w:bCs/>
        </w:rPr>
        <w:t>ECHO Calls</w:t>
      </w:r>
      <w:r w:rsidRPr="00151175" w:rsidR="001606E5">
        <w:rPr>
          <w:b/>
          <w:bCs/>
        </w:rPr>
        <w:t xml:space="preserve"> Protocol</w:t>
      </w:r>
      <w:r w:rsidRPr="00151175">
        <w:t xml:space="preserve"> (Appendix H) –</w:t>
      </w:r>
      <w:r w:rsidRPr="0028044D" w:rsidR="0028044D">
        <w:t xml:space="preserve"> </w:t>
      </w:r>
      <w:r w:rsidR="0028044D">
        <w:t>The purpose of virtual ECHO calls is</w:t>
      </w:r>
      <w:r w:rsidR="00D2651B">
        <w:t xml:space="preserve"> to</w:t>
      </w:r>
      <w:r w:rsidR="0028044D">
        <w:t xml:space="preserve"> foster bi-directional learning among the participating organization</w:t>
      </w:r>
      <w:r w:rsidR="00262CBD">
        <w:t>s</w:t>
      </w:r>
      <w:r w:rsidR="0028044D">
        <w:t>, to check site progress during the implementation period and to understand “real-time” challenges, successes, and lessons learned</w:t>
      </w:r>
      <w:r w:rsidRPr="00151175" w:rsidR="00151175">
        <w:rPr>
          <w:bCs/>
        </w:rPr>
        <w:t>. Standard questions for each ECHO session will be asked to foster shared learning and discussion.</w:t>
      </w:r>
    </w:p>
    <w:p w:rsidR="00367F15" w:rsidP="006823AC" w:rsidRDefault="00367F15" w14:paraId="70433ED6" w14:textId="77777777">
      <w:pPr>
        <w:tabs>
          <w:tab w:val="left" w:pos="360"/>
        </w:tabs>
      </w:pPr>
    </w:p>
    <w:p w:rsidRPr="00527BBD" w:rsidR="00367F15" w:rsidP="00367F15" w:rsidRDefault="00367F15" w14:paraId="5ECE86EF" w14:textId="77777777">
      <w:r w:rsidRPr="00527BBD">
        <w:t xml:space="preserve">This </w:t>
      </w:r>
      <w:r>
        <w:t>information collection</w:t>
      </w:r>
      <w:r w:rsidRPr="00527BBD">
        <w:t xml:space="preserve"> is being conducted by AHRQ through its contractor, </w:t>
      </w:r>
      <w:r>
        <w:t>MedStar Health Research Institute,</w:t>
      </w:r>
      <w:r w:rsidRPr="00527BBD">
        <w:t xml:space="preserve"> pursuant to AHRQ’s statutory authority to conduct and support research on healthcare and on systems for the delivery of such care, including activities with respect to the quality, effectiveness, efficiency, </w:t>
      </w:r>
      <w:proofErr w:type="gramStart"/>
      <w:r w:rsidRPr="00527BBD">
        <w:t>appropriateness</w:t>
      </w:r>
      <w:proofErr w:type="gramEnd"/>
      <w:r w:rsidRPr="00527BBD">
        <w:t xml:space="preserve"> and value of healthcare services and with respect to quality measurement and improvement.  42 U.S.C. 299a(a)(1) and (2).</w:t>
      </w:r>
    </w:p>
    <w:p w:rsidR="0061507E" w:rsidP="00302B0E" w:rsidRDefault="0061507E" w14:paraId="47EC0080" w14:textId="77777777">
      <w:pPr>
        <w:tabs>
          <w:tab w:val="left" w:pos="360"/>
        </w:tabs>
        <w:rPr>
          <w:b/>
          <w:bCs/>
        </w:rPr>
      </w:pPr>
    </w:p>
    <w:p w:rsidR="00302B0E" w:rsidP="00302B0E" w:rsidRDefault="00302B0E" w14:paraId="5F038C80" w14:textId="53CE8CA3">
      <w:pPr>
        <w:pStyle w:val="Heading2"/>
        <w:rPr>
          <w:rFonts w:ascii="Times New Roman" w:hAnsi="Times New Roman" w:cs="Times New Roman"/>
          <w:sz w:val="24"/>
        </w:rPr>
      </w:pPr>
      <w:r w:rsidRPr="0095154A">
        <w:rPr>
          <w:rFonts w:ascii="Times New Roman" w:hAnsi="Times New Roman" w:cs="Times New Roman"/>
          <w:sz w:val="24"/>
        </w:rPr>
        <w:lastRenderedPageBreak/>
        <w:t xml:space="preserve">2. </w:t>
      </w:r>
      <w:bookmarkStart w:name="_Toc151782177" w:id="4"/>
      <w:bookmarkStart w:name="_Toc158526217" w:id="5"/>
      <w:r w:rsidRPr="0095154A">
        <w:rPr>
          <w:rFonts w:ascii="Times New Roman" w:hAnsi="Times New Roman" w:cs="Times New Roman"/>
          <w:sz w:val="24"/>
        </w:rPr>
        <w:t>Purpose and Use of Information</w:t>
      </w:r>
      <w:bookmarkEnd w:id="4"/>
      <w:bookmarkEnd w:id="5"/>
    </w:p>
    <w:p w:rsidR="00D95C85" w:rsidP="00D95C85" w:rsidRDefault="00D95C85" w14:paraId="5F45E975" w14:textId="77777777"/>
    <w:p w:rsidRPr="0095154A" w:rsidR="00D95C85" w:rsidP="00D95C85" w:rsidRDefault="00D95C85" w14:paraId="3BF6731F" w14:textId="3C841812">
      <w:bookmarkStart w:name="_Hlk92810935" w:id="6"/>
      <w:bookmarkStart w:name="_Hlk92810685" w:id="7"/>
      <w:r w:rsidRPr="00C7510C">
        <w:t xml:space="preserve">AHRQ will use the information collected through this </w:t>
      </w:r>
      <w:r w:rsidR="00D2651B">
        <w:t>ICR</w:t>
      </w:r>
      <w:r w:rsidRPr="00C7510C">
        <w:t xml:space="preserve"> to assess</w:t>
      </w:r>
      <w:r>
        <w:t xml:space="preserve"> and enhance</w:t>
      </w:r>
      <w:r w:rsidRPr="00C7510C">
        <w:t xml:space="preserve"> </w:t>
      </w:r>
      <w:r w:rsidR="00194389">
        <w:t xml:space="preserve">the feasibility of organizations in adopting the Measure Dx resource to </w:t>
      </w:r>
      <w:r w:rsidRPr="00C02577" w:rsidR="00194389">
        <w:t>stimulate</w:t>
      </w:r>
      <w:r w:rsidR="00194389">
        <w:t xml:space="preserve"> diagnostic safety</w:t>
      </w:r>
      <w:r w:rsidRPr="00C02577" w:rsidR="00194389">
        <w:t xml:space="preserve"> measurement activities for learning and improvement</w:t>
      </w:r>
      <w:r w:rsidR="00194389">
        <w:t xml:space="preserve">. </w:t>
      </w:r>
      <w:r>
        <w:t xml:space="preserve">AHRQs’ ability to publicly share a </w:t>
      </w:r>
      <w:r w:rsidR="00EB15E4">
        <w:t>diagnostic measurement resource (Measure Dx)</w:t>
      </w:r>
      <w:r>
        <w:t xml:space="preserve"> that has been scientifically validated is expected to be of great interest to the health care community and important in helping organizations </w:t>
      </w:r>
      <w:r w:rsidR="00CC35FC">
        <w:t>measure</w:t>
      </w:r>
      <w:r w:rsidR="00EB15E4">
        <w:t xml:space="preserve"> diagnostic safety for</w:t>
      </w:r>
      <w:r w:rsidR="00194389">
        <w:t xml:space="preserve"> patient safety and quality</w:t>
      </w:r>
      <w:r w:rsidR="00EB15E4">
        <w:t xml:space="preserve"> </w:t>
      </w:r>
      <w:r>
        <w:t>improvement efforts.</w:t>
      </w:r>
    </w:p>
    <w:bookmarkEnd w:id="6"/>
    <w:p w:rsidRPr="0095154A" w:rsidR="00D95C85" w:rsidP="00D95C85" w:rsidRDefault="00D95C85" w14:paraId="78AB3217" w14:textId="77777777"/>
    <w:p w:rsidRPr="0095154A" w:rsidR="00D95C85" w:rsidP="00D95C85" w:rsidRDefault="00D95C85" w14:paraId="5AADA7A5" w14:textId="77777777">
      <w:r w:rsidRPr="0095154A">
        <w:t xml:space="preserve">The specific purpose of each of the information collection instruments is described below: </w:t>
      </w:r>
    </w:p>
    <w:p w:rsidRPr="0095154A" w:rsidR="00D95C85" w:rsidP="00D95C85" w:rsidRDefault="00D95C85" w14:paraId="5305588E" w14:textId="77777777"/>
    <w:p w:rsidR="00C7272B" w:rsidP="00C7272B" w:rsidRDefault="6DCA7CB0" w14:paraId="54582969" w14:textId="6941A238">
      <w:pPr>
        <w:numPr>
          <w:ilvl w:val="0"/>
          <w:numId w:val="8"/>
        </w:numPr>
        <w:tabs>
          <w:tab w:val="left" w:pos="360"/>
        </w:tabs>
      </w:pPr>
      <w:r w:rsidRPr="6DCA7CB0">
        <w:rPr>
          <w:b/>
          <w:bCs/>
        </w:rPr>
        <w:t>Organizational Characteristics Survey</w:t>
      </w:r>
      <w:r>
        <w:t xml:space="preserve"> (Appendix A) </w:t>
      </w:r>
      <w:r w:rsidRPr="6DCA7CB0">
        <w:rPr>
          <w:b/>
          <w:bCs/>
        </w:rPr>
        <w:t>–</w:t>
      </w:r>
      <w:r>
        <w:t xml:space="preserve"> This is collected once per health system, at ten health systems maximum.  It is</w:t>
      </w:r>
      <w:r w:rsidRPr="6DCA7CB0">
        <w:rPr>
          <w:b/>
          <w:bCs/>
        </w:rPr>
        <w:t xml:space="preserve"> </w:t>
      </w:r>
      <w:r>
        <w:t>designed to describe the characteristics of the sites engaged in pilot testing (e.g., size, diagnostic team member role diversity, and familiarity with patient safety and quality improvement activities). These data will also be examined as potential moderators of impact.</w:t>
      </w:r>
    </w:p>
    <w:p w:rsidR="00C7272B" w:rsidP="00C7272B" w:rsidRDefault="00C7272B" w14:paraId="5539967C" w14:textId="77777777"/>
    <w:p w:rsidR="00C7272B" w:rsidP="00C7272B" w:rsidRDefault="6DCA7CB0" w14:paraId="1D4EE565" w14:textId="258FA86F">
      <w:pPr>
        <w:numPr>
          <w:ilvl w:val="0"/>
          <w:numId w:val="8"/>
        </w:numPr>
        <w:tabs>
          <w:tab w:val="left" w:pos="360"/>
        </w:tabs>
      </w:pPr>
      <w:r w:rsidRPr="6DCA7CB0">
        <w:rPr>
          <w:b/>
          <w:bCs/>
        </w:rPr>
        <w:t>Organizational Self-</w:t>
      </w:r>
      <w:proofErr w:type="gramStart"/>
      <w:r w:rsidRPr="6DCA7CB0">
        <w:rPr>
          <w:b/>
          <w:bCs/>
        </w:rPr>
        <w:t xml:space="preserve">Assessment </w:t>
      </w:r>
      <w:r>
        <w:t xml:space="preserve"> (</w:t>
      </w:r>
      <w:proofErr w:type="gramEnd"/>
      <w:r>
        <w:t xml:space="preserve">Appendix B) </w:t>
      </w:r>
      <w:r w:rsidRPr="6DCA7CB0">
        <w:rPr>
          <w:b/>
          <w:bCs/>
        </w:rPr>
        <w:t>-</w:t>
      </w:r>
      <w:r>
        <w:t xml:space="preserve"> This is collected once per health system, at ten health systems maximum.  It is a series of items embedded within Section II of the resource. The items are designed to help organizations self-assess their readiness (e.g., leadership support, resources, and safety culture/infrastructure) for implementing the Measure Dx resource and select an appropriate measurement strategy given available resources. The data will be used for evaluation of fidelity and will also be examined as potential factors that influence use and outcomes of Measure Dx.</w:t>
      </w:r>
    </w:p>
    <w:p w:rsidR="00C7272B" w:rsidP="00C7272B" w:rsidRDefault="00C7272B" w14:paraId="76C31F11" w14:textId="77777777">
      <w:pPr>
        <w:pStyle w:val="ListParagraph"/>
      </w:pPr>
    </w:p>
    <w:p w:rsidR="00B416C0" w:rsidP="00B416C0" w:rsidRDefault="6DCA7CB0" w14:paraId="377A4A1E" w14:textId="446DEEAD">
      <w:pPr>
        <w:numPr>
          <w:ilvl w:val="0"/>
          <w:numId w:val="8"/>
        </w:numPr>
        <w:tabs>
          <w:tab w:val="left" w:pos="360"/>
        </w:tabs>
      </w:pPr>
      <w:r w:rsidRPr="6DCA7CB0">
        <w:rPr>
          <w:b/>
          <w:bCs/>
        </w:rPr>
        <w:t>The Safer Dx Checklist</w:t>
      </w:r>
      <w:r>
        <w:t xml:space="preserve"> (Appendix C) - This instrument will be collected twice per health system (1 pre-intervention, 1 post-intervention), at ten health systems maximum.  It is a publicly available framework designed to help organizations conduct a self-assessment of their current state of diagnostic practices, identify areas to improve, and track progress toward diagnostic excellence over time. The data will be used to evaluate the impact of Measure Dx on diagnostic safety policies and activities.</w:t>
      </w:r>
    </w:p>
    <w:p w:rsidR="00B416C0" w:rsidP="00B416C0" w:rsidRDefault="00B416C0" w14:paraId="697A2FCC" w14:textId="77777777">
      <w:pPr>
        <w:pStyle w:val="ListParagraph"/>
        <w:rPr>
          <w:b/>
        </w:rPr>
      </w:pPr>
    </w:p>
    <w:p w:rsidR="00B416C0" w:rsidP="00B416C0" w:rsidRDefault="6DCA7CB0" w14:paraId="45760676" w14:textId="133D6106">
      <w:pPr>
        <w:numPr>
          <w:ilvl w:val="0"/>
          <w:numId w:val="8"/>
        </w:numPr>
        <w:tabs>
          <w:tab w:val="left" w:pos="360"/>
        </w:tabs>
      </w:pPr>
      <w:r w:rsidRPr="6DCA7CB0">
        <w:rPr>
          <w:b/>
          <w:bCs/>
        </w:rPr>
        <w:t xml:space="preserve">Pre-test Evaluation Interview Protocol </w:t>
      </w:r>
      <w:r>
        <w:t xml:space="preserve">(Appendix D) – This is collected once per health system, prior to implementation, at ten health systems maximum. This data collection instrument has been designed to qualitatively assess the presence and features of current policies and structures at the organizations that are relevant to diagnostic safety and diagnostic errors.  It will also be used to obtain information about each organization’s implementation plans (e.g., their selected measurement strategy and perceived barriers and facilitators for resource implementation and/or diagnostic safety improvement efforts) and feedback to optimize resource materials.   </w:t>
      </w:r>
    </w:p>
    <w:p w:rsidR="00B416C0" w:rsidP="00B416C0" w:rsidRDefault="00B416C0" w14:paraId="5BE2A76B" w14:textId="77777777">
      <w:pPr>
        <w:pStyle w:val="ListParagraph"/>
        <w:rPr>
          <w:b/>
        </w:rPr>
      </w:pPr>
    </w:p>
    <w:p w:rsidRPr="00D02F71" w:rsidR="00C7272B" w:rsidP="0087727C" w:rsidRDefault="6DCA7CB0" w14:paraId="1D84F417" w14:textId="2170B153">
      <w:pPr>
        <w:numPr>
          <w:ilvl w:val="0"/>
          <w:numId w:val="8"/>
        </w:numPr>
        <w:tabs>
          <w:tab w:val="left" w:pos="360"/>
        </w:tabs>
      </w:pPr>
      <w:r w:rsidRPr="6DCA7CB0">
        <w:rPr>
          <w:b/>
          <w:bCs/>
        </w:rPr>
        <w:t xml:space="preserve">Post-test Evaluation Interview Protocol </w:t>
      </w:r>
      <w:r>
        <w:t xml:space="preserve">(Appendix E) </w:t>
      </w:r>
      <w:r w:rsidRPr="6DCA7CB0">
        <w:rPr>
          <w:b/>
          <w:bCs/>
        </w:rPr>
        <w:t xml:space="preserve">– </w:t>
      </w:r>
      <w:r>
        <w:t xml:space="preserve">This is collected once per health system, post-implementation, at ten health systems maximum. This data collection instrument has been designed to qualitatively assess organization’s experience with implementing the Measure Dx resource including the extent to which users adhered to the resource content (fidelity), barriers and facilitators to improving diagnostic safety with </w:t>
      </w:r>
      <w:r>
        <w:lastRenderedPageBreak/>
        <w:t>the resource, and user experience and satisfaction with the resource. It will also be used to assess the impact of the resource on diagnostic safety (e.g., yield of diagnostic safety intelligence and actions taken to change practice/safety culture) and intent to sustain use of the resource materials</w:t>
      </w:r>
      <w:proofErr w:type="gramStart"/>
      <w:r>
        <w:t>. .</w:t>
      </w:r>
      <w:proofErr w:type="gramEnd"/>
      <w:r>
        <w:t xml:space="preserve"> </w:t>
      </w:r>
    </w:p>
    <w:p w:rsidR="00D02F71" w:rsidP="00D02F71" w:rsidRDefault="00D02F71" w14:paraId="750A4216" w14:textId="77777777">
      <w:pPr>
        <w:tabs>
          <w:tab w:val="left" w:pos="360"/>
        </w:tabs>
      </w:pPr>
    </w:p>
    <w:p w:rsidR="00C7272B" w:rsidP="00C7272B" w:rsidRDefault="6DCA7CB0" w14:paraId="1094C650" w14:textId="359194C5">
      <w:pPr>
        <w:numPr>
          <w:ilvl w:val="0"/>
          <w:numId w:val="8"/>
        </w:numPr>
        <w:tabs>
          <w:tab w:val="left" w:pos="360"/>
        </w:tabs>
      </w:pPr>
      <w:r w:rsidRPr="6DCA7CB0">
        <w:rPr>
          <w:b/>
          <w:bCs/>
        </w:rPr>
        <w:t>Team Questionnaire</w:t>
      </w:r>
      <w:r>
        <w:t xml:space="preserve"> (Appendix F) – This instrument will be collected twice per health system (1 pre-intervention, 1 post-intervention), at ten health systems maximum, and will be used to assess diagnostic teamwork over time. This instrument has been adapted from a publicly available survey to facilitate an organizational self-assessment of diagnostic teamwork and the team’s commitment to implementing the Measure Dx resource. </w:t>
      </w:r>
    </w:p>
    <w:p w:rsidR="00C7272B" w:rsidP="00C7272B" w:rsidRDefault="00C7272B" w14:paraId="3688A821" w14:textId="77777777">
      <w:pPr>
        <w:pStyle w:val="ListParagraph"/>
      </w:pPr>
    </w:p>
    <w:p w:rsidR="00151175" w:rsidP="00151175" w:rsidRDefault="6DCA7CB0" w14:paraId="08C9D45E" w14:textId="2D0507FC">
      <w:pPr>
        <w:numPr>
          <w:ilvl w:val="0"/>
          <w:numId w:val="8"/>
        </w:numPr>
        <w:tabs>
          <w:tab w:val="left" w:pos="360"/>
        </w:tabs>
      </w:pPr>
      <w:r w:rsidRPr="6DCA7CB0">
        <w:rPr>
          <w:b/>
          <w:bCs/>
        </w:rPr>
        <w:t>Case Review Summary Form</w:t>
      </w:r>
      <w:r>
        <w:t xml:space="preserve"> (Appendix G) – This is collected twice per health system (1 mid-intervention, 1 post-intervention). This form is designed to summarize the diagnostic safety intelligence that participants have detected, analyzed, and/or learned from while implementing one Measure Dx strategy. Results obtained from this instrument, with results from the ECHO calls and post-test interviews, will be used to analyze the impact of the Resource on diagnostic safety (e.g., yield of diagnostic safety intelligence). </w:t>
      </w:r>
    </w:p>
    <w:p w:rsidR="00151175" w:rsidP="00151175" w:rsidRDefault="00151175" w14:paraId="41E4D471" w14:textId="77777777">
      <w:pPr>
        <w:pStyle w:val="ListParagraph"/>
        <w:rPr>
          <w:b/>
          <w:bCs/>
        </w:rPr>
      </w:pPr>
    </w:p>
    <w:p w:rsidRPr="00151175" w:rsidR="00C7272B" w:rsidP="008F18C3" w:rsidRDefault="00C7272B" w14:paraId="6C9A3E3F" w14:textId="31E39927">
      <w:pPr>
        <w:numPr>
          <w:ilvl w:val="0"/>
          <w:numId w:val="47"/>
        </w:numPr>
      </w:pPr>
      <w:r w:rsidRPr="00151175">
        <w:rPr>
          <w:b/>
          <w:bCs/>
        </w:rPr>
        <w:t>ECHO Calls</w:t>
      </w:r>
      <w:r w:rsidRPr="00151175">
        <w:t xml:space="preserve"> </w:t>
      </w:r>
      <w:r w:rsidRPr="00151175" w:rsidR="001606E5">
        <w:rPr>
          <w:b/>
          <w:bCs/>
        </w:rPr>
        <w:t>Protocol</w:t>
      </w:r>
      <w:r w:rsidRPr="00151175" w:rsidR="001606E5">
        <w:t xml:space="preserve"> </w:t>
      </w:r>
      <w:r w:rsidRPr="00151175">
        <w:t>(Appendix H) –</w:t>
      </w:r>
      <w:r w:rsidRPr="008F18C3" w:rsidR="008F18C3">
        <w:t xml:space="preserve"> </w:t>
      </w:r>
      <w:r w:rsidR="008F18C3">
        <w:t>The purpose of virtual ECHO calls is foster bi-directional learning among the participating organization</w:t>
      </w:r>
      <w:r w:rsidR="00262CBD">
        <w:t>s</w:t>
      </w:r>
      <w:r w:rsidR="008F18C3">
        <w:t xml:space="preserve">, to check site progress during the implementation period and to understand “real-time” challenges, successes, and lessons learned. Standard queries during each ECHO session will be used to foster shared discussion and site to site networking. </w:t>
      </w:r>
      <w:r w:rsidRPr="008F18C3" w:rsidR="00151175">
        <w:rPr>
          <w:bCs/>
        </w:rPr>
        <w:t>There will be a total of 6 ECHO sessions (1 per month), each 60 minutes and attended by one site champion</w:t>
      </w:r>
      <w:r w:rsidRPr="008F18C3" w:rsidR="00A30A1E">
        <w:rPr>
          <w:bCs/>
        </w:rPr>
        <w:t xml:space="preserve"> from each of the ten health systems</w:t>
      </w:r>
      <w:r w:rsidRPr="008F18C3" w:rsidR="00151175">
        <w:rPr>
          <w:bCs/>
        </w:rPr>
        <w:t xml:space="preserve">.  </w:t>
      </w:r>
    </w:p>
    <w:bookmarkEnd w:id="7"/>
    <w:p w:rsidRPr="0095154A" w:rsidR="00D95C85" w:rsidP="00B05CED" w:rsidRDefault="00D95C85" w14:paraId="69006EE9" w14:textId="407B3C85"/>
    <w:p w:rsidRPr="00F671C8" w:rsidR="00D95C85" w:rsidP="00F671C8" w:rsidRDefault="6DCA7CB0" w14:paraId="33AD50FF" w14:textId="3ED55FC7">
      <w:r>
        <w:t>The information collection instruments are designed to capture background site and team data (</w:t>
      </w:r>
      <w:r w:rsidRPr="6DCA7CB0">
        <w:rPr>
          <w:b/>
          <w:bCs/>
        </w:rPr>
        <w:t>Appendices A, B, F</w:t>
      </w:r>
      <w:r>
        <w:t>), and to capture data related to use and impact of the Measure Dx resource (</w:t>
      </w:r>
      <w:r w:rsidRPr="6DCA7CB0">
        <w:rPr>
          <w:b/>
          <w:bCs/>
        </w:rPr>
        <w:t>Appendices C, D, E, G, and H</w:t>
      </w:r>
      <w:r>
        <w:t xml:space="preserve">). The results from this evaluation via statistical analyses </w:t>
      </w:r>
      <w:r w:rsidR="008F18C3">
        <w:t>will help inform guidance to other organizations that may independently implement the resource when available on the AHRQ website.</w:t>
      </w:r>
      <w:r>
        <w:t xml:space="preserve"> Every attempt will be made to recruit sites that are representative of diverse geographic locations as well as diverse patient populations served including sites that serve AHRQ priority populations. </w:t>
      </w:r>
    </w:p>
    <w:p w:rsidR="00302B0E" w:rsidP="00302B0E" w:rsidRDefault="00302B0E" w14:paraId="54621ACA" w14:textId="7AF472A8">
      <w:pPr>
        <w:pStyle w:val="Heading2"/>
        <w:rPr>
          <w:rFonts w:ascii="Times New Roman" w:hAnsi="Times New Roman" w:cs="Times New Roman"/>
          <w:sz w:val="24"/>
        </w:rPr>
      </w:pPr>
      <w:r w:rsidRPr="0095154A">
        <w:rPr>
          <w:rFonts w:ascii="Times New Roman" w:hAnsi="Times New Roman" w:cs="Times New Roman"/>
          <w:sz w:val="24"/>
        </w:rPr>
        <w:t xml:space="preserve">3. </w:t>
      </w:r>
      <w:bookmarkStart w:name="_Toc151782178" w:id="8"/>
      <w:bookmarkStart w:name="_Toc158526218" w:id="9"/>
      <w:r w:rsidRPr="0095154A">
        <w:rPr>
          <w:rFonts w:ascii="Times New Roman" w:hAnsi="Times New Roman" w:cs="Times New Roman"/>
          <w:sz w:val="24"/>
        </w:rPr>
        <w:t>Use of Information Technology</w:t>
      </w:r>
      <w:bookmarkEnd w:id="8"/>
      <w:bookmarkEnd w:id="9"/>
    </w:p>
    <w:p w:rsidRPr="00EE2263" w:rsidR="00EE2263" w:rsidP="00EE2263" w:rsidRDefault="00EE2263" w14:paraId="0EDF8CE6" w14:textId="77777777"/>
    <w:p w:rsidR="000A4A45" w:rsidP="00661024" w:rsidRDefault="48AB9E4C" w14:paraId="085073CA" w14:textId="6149CD8D">
      <w:r>
        <w:t>The instruments provided in Appendices A-C, F, and G will be collected using an electronic data collection strategy. One health services manager from each of the 10 health systems will receive links to complete the Organizational Characteristics Survey</w:t>
      </w:r>
      <w:r w:rsidRPr="48AB9E4C">
        <w:rPr>
          <w:b/>
          <w:bCs/>
        </w:rPr>
        <w:t xml:space="preserve"> (Appendix A), </w:t>
      </w:r>
      <w:r>
        <w:t xml:space="preserve">the Organizational Self-Assessment </w:t>
      </w:r>
      <w:r w:rsidRPr="48AB9E4C">
        <w:rPr>
          <w:b/>
          <w:bCs/>
        </w:rPr>
        <w:t>(Appendix B)</w:t>
      </w:r>
      <w:r>
        <w:t>, the Safer Dx Checklist</w:t>
      </w:r>
      <w:r w:rsidRPr="48AB9E4C">
        <w:rPr>
          <w:b/>
          <w:bCs/>
        </w:rPr>
        <w:t xml:space="preserve"> (Appendix C), </w:t>
      </w:r>
      <w:r>
        <w:t xml:space="preserve">and the Team Questionnaire </w:t>
      </w:r>
      <w:r w:rsidRPr="48AB9E4C">
        <w:rPr>
          <w:b/>
          <w:bCs/>
        </w:rPr>
        <w:t xml:space="preserve">(Appendix F) </w:t>
      </w:r>
      <w:r>
        <w:t xml:space="preserve">prior to resource implementation. They will then receive links to complete surveys in Appendices C and F again following implementation of the organization’s selected strategy, to assess changes in responses over time. The same ten health systems will also receive links to complete the Case Review Summary Form </w:t>
      </w:r>
      <w:r w:rsidRPr="48AB9E4C">
        <w:rPr>
          <w:b/>
          <w:bCs/>
        </w:rPr>
        <w:t>(Appendix G)</w:t>
      </w:r>
      <w:r>
        <w:t xml:space="preserve"> halfway through the project period, and again following implementation of the Resource. No identifiers will be </w:t>
      </w:r>
      <w:r>
        <w:lastRenderedPageBreak/>
        <w:t xml:space="preserve">collected on the individual participants who fill out the surveys. However, surveys will include a health system-level identifier that links the surveys to a particular health system, to ensure that all health systems have completed the surveys. </w:t>
      </w:r>
    </w:p>
    <w:p w:rsidR="000A4A45" w:rsidP="00661024" w:rsidRDefault="000A4A45" w14:paraId="11C28295" w14:textId="77777777"/>
    <w:p w:rsidR="0028044D" w:rsidP="00661024" w:rsidRDefault="6DCA7CB0" w14:paraId="45E377FB" w14:textId="69C000A7">
      <w:r>
        <w:t>The remaining information collection instruments described herein (</w:t>
      </w:r>
      <w:r w:rsidRPr="008F18C3">
        <w:rPr>
          <w:b/>
          <w:bCs/>
        </w:rPr>
        <w:t>Appendices D, E, and H</w:t>
      </w:r>
      <w:r>
        <w:t xml:space="preserve">) will rely on paper data collection instruments in the form of interview/focus group protocol and will to be used by the pre/post interview </w:t>
      </w:r>
      <w:r w:rsidRPr="6DCA7CB0">
        <w:rPr>
          <w:b/>
          <w:bCs/>
        </w:rPr>
        <w:t>(Appendices D, E)</w:t>
      </w:r>
      <w:r>
        <w:t xml:space="preserve"> and ECHO call </w:t>
      </w:r>
      <w:r w:rsidRPr="6DCA7CB0">
        <w:rPr>
          <w:b/>
          <w:bCs/>
        </w:rPr>
        <w:t>(Appendix H)</w:t>
      </w:r>
      <w:r>
        <w:t xml:space="preserve"> facilitators and moderators for each information collection activity. Interviews/focus groups and ECHO calls will be audio recorded for the purpose of transcription and coding. There will otherwise be no automated, electronic, or other technological collection techniques or other forms of information technology used for the information collection. </w:t>
      </w:r>
      <w:r w:rsidR="0028044D">
        <w:t xml:space="preserve"> In summary:</w:t>
      </w:r>
    </w:p>
    <w:p w:rsidR="0028044D" w:rsidP="00661024" w:rsidRDefault="0028044D" w14:paraId="34552465" w14:textId="729C6803"/>
    <w:tbl>
      <w:tblPr>
        <w:tblStyle w:val="TableGrid"/>
        <w:tblW w:w="9625" w:type="dxa"/>
        <w:tblLook w:val="04A0" w:firstRow="1" w:lastRow="0" w:firstColumn="1" w:lastColumn="0" w:noHBand="0" w:noVBand="1"/>
      </w:tblPr>
      <w:tblGrid>
        <w:gridCol w:w="4945"/>
        <w:gridCol w:w="2880"/>
        <w:gridCol w:w="1800"/>
      </w:tblGrid>
      <w:tr w:rsidR="0028044D" w:rsidTr="006B3789" w14:paraId="31BC7F64" w14:textId="77777777">
        <w:tc>
          <w:tcPr>
            <w:tcW w:w="4945" w:type="dxa"/>
          </w:tcPr>
          <w:p w:rsidRPr="0028044D" w:rsidR="0028044D" w:rsidP="00661024" w:rsidRDefault="0028044D" w14:paraId="098A4ED4" w14:textId="395D94AC">
            <w:pPr>
              <w:rPr>
                <w:b/>
                <w:bCs/>
              </w:rPr>
            </w:pPr>
            <w:r w:rsidRPr="0028044D">
              <w:rPr>
                <w:b/>
                <w:bCs/>
              </w:rPr>
              <w:t>Survey Instrument</w:t>
            </w:r>
          </w:p>
        </w:tc>
        <w:tc>
          <w:tcPr>
            <w:tcW w:w="2880" w:type="dxa"/>
          </w:tcPr>
          <w:p w:rsidRPr="0028044D" w:rsidR="0028044D" w:rsidP="00661024" w:rsidRDefault="0028044D" w14:paraId="19FEDDDB" w14:textId="1909908F">
            <w:pPr>
              <w:rPr>
                <w:b/>
                <w:bCs/>
              </w:rPr>
            </w:pPr>
            <w:r w:rsidRPr="0028044D">
              <w:rPr>
                <w:b/>
                <w:bCs/>
              </w:rPr>
              <w:t>Frequency</w:t>
            </w:r>
          </w:p>
        </w:tc>
        <w:tc>
          <w:tcPr>
            <w:tcW w:w="1800" w:type="dxa"/>
          </w:tcPr>
          <w:p w:rsidRPr="0028044D" w:rsidR="0028044D" w:rsidP="00661024" w:rsidRDefault="006B3789" w14:paraId="6191CEEF" w14:textId="40592FCC">
            <w:pPr>
              <w:rPr>
                <w:b/>
                <w:bCs/>
              </w:rPr>
            </w:pPr>
            <w:r>
              <w:rPr>
                <w:b/>
                <w:bCs/>
              </w:rPr>
              <w:t xml:space="preserve">Collection </w:t>
            </w:r>
            <w:r w:rsidRPr="0028044D" w:rsidR="0028044D">
              <w:rPr>
                <w:b/>
                <w:bCs/>
              </w:rPr>
              <w:t>Method</w:t>
            </w:r>
          </w:p>
        </w:tc>
      </w:tr>
      <w:tr w:rsidR="0028044D" w:rsidTr="006B3789" w14:paraId="7C8F7236" w14:textId="77777777">
        <w:tc>
          <w:tcPr>
            <w:tcW w:w="4945" w:type="dxa"/>
          </w:tcPr>
          <w:p w:rsidRPr="0028044D" w:rsidR="0028044D" w:rsidP="00661024" w:rsidRDefault="0028044D" w14:paraId="276FEDA1" w14:textId="64BD8C2F">
            <w:r w:rsidRPr="0028044D">
              <w:t>Organizational Characteristics Survey</w:t>
            </w:r>
            <w:r w:rsidR="006B3789">
              <w:t xml:space="preserve"> </w:t>
            </w:r>
            <w:r w:rsidRPr="0028044D">
              <w:t>(App</w:t>
            </w:r>
            <w:r w:rsidR="006B3789">
              <w:t>x</w:t>
            </w:r>
            <w:r w:rsidRPr="0028044D">
              <w:t xml:space="preserve"> A)</w:t>
            </w:r>
          </w:p>
        </w:tc>
        <w:tc>
          <w:tcPr>
            <w:tcW w:w="2880" w:type="dxa"/>
          </w:tcPr>
          <w:p w:rsidR="0028044D" w:rsidP="00661024" w:rsidRDefault="006B3789" w14:paraId="0BFC0C36" w14:textId="79682CD0">
            <w:r>
              <w:t xml:space="preserve">1x - </w:t>
            </w:r>
            <w:r w:rsidR="0028044D">
              <w:t>Pre-implementation</w:t>
            </w:r>
          </w:p>
        </w:tc>
        <w:tc>
          <w:tcPr>
            <w:tcW w:w="1800" w:type="dxa"/>
          </w:tcPr>
          <w:p w:rsidR="0028044D" w:rsidP="00661024" w:rsidRDefault="0028044D" w14:paraId="5F6D3B79" w14:textId="388B719D">
            <w:r>
              <w:t xml:space="preserve">Electronic data </w:t>
            </w:r>
          </w:p>
        </w:tc>
      </w:tr>
      <w:tr w:rsidR="0028044D" w:rsidTr="006B3789" w14:paraId="635C46AA" w14:textId="77777777">
        <w:tc>
          <w:tcPr>
            <w:tcW w:w="4945" w:type="dxa"/>
          </w:tcPr>
          <w:p w:rsidRPr="0028044D" w:rsidR="0028044D" w:rsidP="00661024" w:rsidRDefault="0028044D" w14:paraId="261D78FB" w14:textId="650B84AD">
            <w:r w:rsidRPr="0028044D">
              <w:t>Organizational Self-</w:t>
            </w:r>
            <w:proofErr w:type="gramStart"/>
            <w:r w:rsidRPr="0028044D">
              <w:t>Assessment  (</w:t>
            </w:r>
            <w:proofErr w:type="gramEnd"/>
            <w:r w:rsidRPr="0028044D">
              <w:t>App</w:t>
            </w:r>
            <w:r w:rsidR="006B3789">
              <w:t>x</w:t>
            </w:r>
            <w:r w:rsidRPr="0028044D">
              <w:t xml:space="preserve"> B)</w:t>
            </w:r>
          </w:p>
        </w:tc>
        <w:tc>
          <w:tcPr>
            <w:tcW w:w="2880" w:type="dxa"/>
          </w:tcPr>
          <w:p w:rsidR="0028044D" w:rsidP="00661024" w:rsidRDefault="006B3789" w14:paraId="53B6F64C" w14:textId="44A2C18E">
            <w:r>
              <w:t xml:space="preserve">1x - </w:t>
            </w:r>
            <w:r w:rsidR="0028044D">
              <w:t>Pre-implementation</w:t>
            </w:r>
          </w:p>
        </w:tc>
        <w:tc>
          <w:tcPr>
            <w:tcW w:w="1800" w:type="dxa"/>
          </w:tcPr>
          <w:p w:rsidR="0028044D" w:rsidP="00661024" w:rsidRDefault="0028044D" w14:paraId="2D139588" w14:textId="589258F8">
            <w:r>
              <w:t xml:space="preserve">Electronic data </w:t>
            </w:r>
          </w:p>
        </w:tc>
      </w:tr>
      <w:tr w:rsidR="0028044D" w:rsidTr="006B3789" w14:paraId="0246ACDD" w14:textId="77777777">
        <w:tc>
          <w:tcPr>
            <w:tcW w:w="4945" w:type="dxa"/>
          </w:tcPr>
          <w:p w:rsidRPr="0028044D" w:rsidR="0028044D" w:rsidP="00661024" w:rsidRDefault="0028044D" w14:paraId="660FD3CD" w14:textId="0C817F37">
            <w:r w:rsidRPr="0028044D">
              <w:t>The Safer Dx Checklist (App</w:t>
            </w:r>
            <w:r w:rsidR="006B3789">
              <w:t>x</w:t>
            </w:r>
            <w:r w:rsidRPr="0028044D">
              <w:t xml:space="preserve"> C)</w:t>
            </w:r>
          </w:p>
        </w:tc>
        <w:tc>
          <w:tcPr>
            <w:tcW w:w="2880" w:type="dxa"/>
          </w:tcPr>
          <w:p w:rsidR="0028044D" w:rsidP="00661024" w:rsidRDefault="006B3789" w14:paraId="083D5CD5" w14:textId="3E19393F">
            <w:r>
              <w:t>2x - Pre-implementation and post-implementation</w:t>
            </w:r>
          </w:p>
        </w:tc>
        <w:tc>
          <w:tcPr>
            <w:tcW w:w="1800" w:type="dxa"/>
          </w:tcPr>
          <w:p w:rsidR="0028044D" w:rsidP="00661024" w:rsidRDefault="0028044D" w14:paraId="351F066F" w14:textId="016C0022">
            <w:r>
              <w:t xml:space="preserve">Electronic data </w:t>
            </w:r>
          </w:p>
        </w:tc>
      </w:tr>
      <w:tr w:rsidR="0028044D" w:rsidTr="006B3789" w14:paraId="3D902F45" w14:textId="77777777">
        <w:tc>
          <w:tcPr>
            <w:tcW w:w="4945" w:type="dxa"/>
          </w:tcPr>
          <w:p w:rsidRPr="0028044D" w:rsidR="0028044D" w:rsidP="00661024" w:rsidRDefault="0028044D" w14:paraId="73E9C316" w14:textId="5D3DAD0A">
            <w:r w:rsidRPr="0028044D">
              <w:t>Pre-test Evaluation Interview (App</w:t>
            </w:r>
            <w:r w:rsidR="006B3789">
              <w:t>x</w:t>
            </w:r>
            <w:r w:rsidRPr="0028044D">
              <w:t xml:space="preserve"> D)</w:t>
            </w:r>
          </w:p>
        </w:tc>
        <w:tc>
          <w:tcPr>
            <w:tcW w:w="2880" w:type="dxa"/>
          </w:tcPr>
          <w:p w:rsidR="0028044D" w:rsidP="00661024" w:rsidRDefault="006B3789" w14:paraId="69EE1AE0" w14:textId="558BE8BF">
            <w:r>
              <w:t>1x – Pre-implementation</w:t>
            </w:r>
          </w:p>
        </w:tc>
        <w:tc>
          <w:tcPr>
            <w:tcW w:w="1800" w:type="dxa"/>
          </w:tcPr>
          <w:p w:rsidR="0028044D" w:rsidP="00661024" w:rsidRDefault="006B3789" w14:paraId="6E89F530" w14:textId="45456C29">
            <w:r>
              <w:t>Paper</w:t>
            </w:r>
          </w:p>
        </w:tc>
      </w:tr>
      <w:tr w:rsidR="0028044D" w:rsidTr="006B3789" w14:paraId="4A406764" w14:textId="77777777">
        <w:tc>
          <w:tcPr>
            <w:tcW w:w="4945" w:type="dxa"/>
          </w:tcPr>
          <w:p w:rsidRPr="0028044D" w:rsidR="0028044D" w:rsidP="00661024" w:rsidRDefault="0028044D" w14:paraId="5F723538" w14:textId="77C860FC">
            <w:r w:rsidRPr="0028044D">
              <w:t>Post-test Evaluation Interview (App</w:t>
            </w:r>
            <w:r w:rsidR="006B3789">
              <w:t>x</w:t>
            </w:r>
            <w:r w:rsidRPr="0028044D">
              <w:t xml:space="preserve"> E)</w:t>
            </w:r>
          </w:p>
        </w:tc>
        <w:tc>
          <w:tcPr>
            <w:tcW w:w="2880" w:type="dxa"/>
          </w:tcPr>
          <w:p w:rsidR="0028044D" w:rsidP="00661024" w:rsidRDefault="006B3789" w14:paraId="3B70864D" w14:textId="73B46AC0">
            <w:r>
              <w:t xml:space="preserve">1x – </w:t>
            </w:r>
            <w:proofErr w:type="gramStart"/>
            <w:r>
              <w:t>Post-implementation</w:t>
            </w:r>
            <w:proofErr w:type="gramEnd"/>
            <w:r>
              <w:t xml:space="preserve"> </w:t>
            </w:r>
          </w:p>
        </w:tc>
        <w:tc>
          <w:tcPr>
            <w:tcW w:w="1800" w:type="dxa"/>
          </w:tcPr>
          <w:p w:rsidR="0028044D" w:rsidP="00661024" w:rsidRDefault="006B3789" w14:paraId="66DD1375" w14:textId="16F80EE0">
            <w:r>
              <w:t>Paper</w:t>
            </w:r>
          </w:p>
        </w:tc>
      </w:tr>
      <w:tr w:rsidR="0028044D" w:rsidTr="006B3789" w14:paraId="1543F283" w14:textId="77777777">
        <w:tc>
          <w:tcPr>
            <w:tcW w:w="4945" w:type="dxa"/>
          </w:tcPr>
          <w:p w:rsidRPr="0028044D" w:rsidR="0028044D" w:rsidP="00661024" w:rsidRDefault="0028044D" w14:paraId="23CB32C8" w14:textId="3321C53B">
            <w:r w:rsidRPr="0028044D">
              <w:t>Team Questionnaire (App</w:t>
            </w:r>
            <w:r w:rsidR="006B3789">
              <w:t>x</w:t>
            </w:r>
            <w:r w:rsidRPr="0028044D">
              <w:t xml:space="preserve"> F)</w:t>
            </w:r>
          </w:p>
        </w:tc>
        <w:tc>
          <w:tcPr>
            <w:tcW w:w="2880" w:type="dxa"/>
          </w:tcPr>
          <w:p w:rsidR="0028044D" w:rsidP="00661024" w:rsidRDefault="006B3789" w14:paraId="4567F920" w14:textId="44AEF695">
            <w:r>
              <w:t xml:space="preserve">2x- Pre-implementation and post implementation </w:t>
            </w:r>
          </w:p>
        </w:tc>
        <w:tc>
          <w:tcPr>
            <w:tcW w:w="1800" w:type="dxa"/>
          </w:tcPr>
          <w:p w:rsidR="0028044D" w:rsidP="00661024" w:rsidRDefault="0028044D" w14:paraId="40CD0BA1" w14:textId="274DCA41">
            <w:r>
              <w:t xml:space="preserve">Electronic data </w:t>
            </w:r>
          </w:p>
        </w:tc>
      </w:tr>
      <w:tr w:rsidR="0028044D" w:rsidTr="006B3789" w14:paraId="01E2154C" w14:textId="77777777">
        <w:tc>
          <w:tcPr>
            <w:tcW w:w="4945" w:type="dxa"/>
          </w:tcPr>
          <w:p w:rsidRPr="0028044D" w:rsidR="0028044D" w:rsidP="00661024" w:rsidRDefault="0028044D" w14:paraId="2F7719B3" w14:textId="36D1E485">
            <w:r w:rsidRPr="0028044D">
              <w:t>Case Review Summary Form (App</w:t>
            </w:r>
            <w:r w:rsidR="006B3789">
              <w:t>x</w:t>
            </w:r>
            <w:r w:rsidRPr="0028044D">
              <w:t xml:space="preserve"> G)</w:t>
            </w:r>
          </w:p>
        </w:tc>
        <w:tc>
          <w:tcPr>
            <w:tcW w:w="2880" w:type="dxa"/>
          </w:tcPr>
          <w:p w:rsidR="0028044D" w:rsidP="00661024" w:rsidRDefault="006B3789" w14:paraId="0721AF4A" w14:textId="613D4AFD">
            <w:r>
              <w:t xml:space="preserve">2x – Mid-implementation and post implementation </w:t>
            </w:r>
          </w:p>
        </w:tc>
        <w:tc>
          <w:tcPr>
            <w:tcW w:w="1800" w:type="dxa"/>
          </w:tcPr>
          <w:p w:rsidR="0028044D" w:rsidP="00661024" w:rsidRDefault="0028044D" w14:paraId="324E5365" w14:textId="6E54F867">
            <w:r>
              <w:t xml:space="preserve">Electronic data </w:t>
            </w:r>
          </w:p>
        </w:tc>
      </w:tr>
      <w:tr w:rsidR="0028044D" w:rsidTr="006B3789" w14:paraId="3351A8EB" w14:textId="77777777">
        <w:tc>
          <w:tcPr>
            <w:tcW w:w="4945" w:type="dxa"/>
          </w:tcPr>
          <w:p w:rsidRPr="0028044D" w:rsidR="0028044D" w:rsidP="00661024" w:rsidRDefault="0028044D" w14:paraId="5957C2A6" w14:textId="6E6CCBFA">
            <w:r w:rsidRPr="0028044D">
              <w:t>ECHO Calls Protocol (App</w:t>
            </w:r>
            <w:r w:rsidR="006B3789">
              <w:t>x</w:t>
            </w:r>
            <w:r w:rsidRPr="0028044D">
              <w:t xml:space="preserve"> H)</w:t>
            </w:r>
          </w:p>
        </w:tc>
        <w:tc>
          <w:tcPr>
            <w:tcW w:w="2880" w:type="dxa"/>
          </w:tcPr>
          <w:p w:rsidR="0028044D" w:rsidP="00661024" w:rsidRDefault="006B3789" w14:paraId="16D3436F" w14:textId="3014F919">
            <w:r>
              <w:t>6x – Each month of implementation</w:t>
            </w:r>
          </w:p>
        </w:tc>
        <w:tc>
          <w:tcPr>
            <w:tcW w:w="1800" w:type="dxa"/>
          </w:tcPr>
          <w:p w:rsidR="0028044D" w:rsidP="00661024" w:rsidRDefault="006B3789" w14:paraId="41CEBDBC" w14:textId="5B32098D">
            <w:r>
              <w:t>Paper</w:t>
            </w:r>
          </w:p>
        </w:tc>
      </w:tr>
    </w:tbl>
    <w:p w:rsidRPr="00425A04" w:rsidR="0028044D" w:rsidP="00661024" w:rsidRDefault="0028044D" w14:paraId="754F3CA3" w14:textId="77777777"/>
    <w:p w:rsidRPr="0095154A" w:rsidR="00302B0E" w:rsidP="00302B0E" w:rsidRDefault="00302B0E" w14:paraId="7618F7CA" w14:textId="77777777">
      <w:pPr>
        <w:pStyle w:val="Heading2"/>
        <w:rPr>
          <w:rFonts w:ascii="Times New Roman" w:hAnsi="Times New Roman" w:cs="Times New Roman"/>
          <w:sz w:val="24"/>
          <w:szCs w:val="24"/>
        </w:rPr>
      </w:pPr>
      <w:bookmarkStart w:name="_Toc151782179" w:id="10"/>
      <w:bookmarkStart w:name="_Toc158526219" w:id="11"/>
      <w:r w:rsidRPr="0095154A">
        <w:rPr>
          <w:rFonts w:ascii="Times New Roman" w:hAnsi="Times New Roman" w:cs="Times New Roman"/>
          <w:sz w:val="24"/>
          <w:szCs w:val="24"/>
        </w:rPr>
        <w:t>4. Efforts to Identify Duplication</w:t>
      </w:r>
      <w:bookmarkEnd w:id="10"/>
      <w:bookmarkEnd w:id="11"/>
    </w:p>
    <w:p w:rsidR="00425A04" w:rsidP="00425A04" w:rsidRDefault="00425A04" w14:paraId="7B2F0A58" w14:textId="77777777">
      <w:pPr>
        <w:spacing w:before="100" w:beforeAutospacing="1" w:after="100" w:afterAutospacing="1"/>
      </w:pPr>
      <w:bookmarkStart w:name="_Toc151782180" w:id="12"/>
      <w:bookmarkStart w:name="_Toc158526220" w:id="13"/>
      <w:r>
        <w:t xml:space="preserve">The first phase of the parent study involved an extensive environmental scan to review the literature, including published, unpublished, and internet sources to identify existing interventions and resources pertinent to Resource development. The environmental scan revealed key gaps in diagnostic safety measurement understanding and implementation leading to missed, delayed, and wrong diagnosis which are addressed, in part, by the Resource being evaluated under this information collection request. To our knowledge, this does not involve a duplication of any existing efforts as suggested by the gap analysis resulting from the environmental scan.  </w:t>
      </w:r>
    </w:p>
    <w:p w:rsidR="00302B0E" w:rsidP="00425A04" w:rsidRDefault="00302B0E" w14:paraId="537C355D" w14:textId="1F6D57DF">
      <w:pPr>
        <w:pStyle w:val="Heading2"/>
        <w:numPr>
          <w:ilvl w:val="0"/>
          <w:numId w:val="3"/>
        </w:numPr>
        <w:rPr>
          <w:rFonts w:ascii="Times New Roman" w:hAnsi="Times New Roman" w:cs="Times New Roman"/>
          <w:sz w:val="24"/>
        </w:rPr>
      </w:pPr>
      <w:r w:rsidRPr="0095154A">
        <w:rPr>
          <w:rFonts w:ascii="Times New Roman" w:hAnsi="Times New Roman" w:cs="Times New Roman"/>
          <w:sz w:val="24"/>
        </w:rPr>
        <w:t>Involvement of Small Entities</w:t>
      </w:r>
      <w:bookmarkEnd w:id="12"/>
      <w:bookmarkEnd w:id="13"/>
    </w:p>
    <w:p w:rsidRPr="00425A04" w:rsidR="00425A04" w:rsidP="00425A04" w:rsidRDefault="00425A04" w14:paraId="34139CF6" w14:textId="6EB9AEAF">
      <w:pPr>
        <w:spacing w:before="100" w:beforeAutospacing="1"/>
        <w:rPr>
          <w:i/>
        </w:rPr>
      </w:pPr>
      <w:r>
        <w:t xml:space="preserve">The information being collected under this request will reflect the variety of settings in which the Resource will </w:t>
      </w:r>
      <w:proofErr w:type="gramStart"/>
      <w:r>
        <w:t>actually be</w:t>
      </w:r>
      <w:proofErr w:type="gramEnd"/>
      <w:r>
        <w:t xml:space="preserve"> used, inpatient and outpatient settings. To our knowledge none of the practices volunteering to participate would be considered small businesses or small entities.</w:t>
      </w:r>
    </w:p>
    <w:p w:rsidRPr="0095154A" w:rsidR="00302B0E" w:rsidP="00302B0E" w:rsidRDefault="00302B0E" w14:paraId="3A4237F1" w14:textId="77777777">
      <w:pPr>
        <w:pStyle w:val="Heading2"/>
        <w:numPr>
          <w:ilvl w:val="0"/>
          <w:numId w:val="3"/>
        </w:numPr>
        <w:rPr>
          <w:rFonts w:ascii="Times New Roman" w:hAnsi="Times New Roman" w:cs="Times New Roman"/>
          <w:sz w:val="24"/>
        </w:rPr>
      </w:pPr>
      <w:bookmarkStart w:name="_Toc151782181" w:id="14"/>
      <w:bookmarkStart w:name="_Toc158526221" w:id="15"/>
      <w:r w:rsidRPr="0095154A">
        <w:rPr>
          <w:rFonts w:ascii="Times New Roman" w:hAnsi="Times New Roman" w:cs="Times New Roman"/>
          <w:sz w:val="24"/>
        </w:rPr>
        <w:lastRenderedPageBreak/>
        <w:t>Consequences if Information Collected Less Frequently</w:t>
      </w:r>
      <w:bookmarkEnd w:id="14"/>
      <w:bookmarkEnd w:id="15"/>
    </w:p>
    <w:p w:rsidR="00425A04" w:rsidP="00302B0E" w:rsidRDefault="00425A04" w14:paraId="53D07875" w14:textId="7AFFF69A">
      <w:pPr>
        <w:pStyle w:val="Heading2"/>
        <w:rPr>
          <w:rFonts w:ascii="Times New Roman" w:hAnsi="Times New Roman" w:cs="Times New Roman"/>
          <w:b w:val="0"/>
          <w:bCs w:val="0"/>
          <w:i w:val="0"/>
          <w:iCs w:val="0"/>
          <w:sz w:val="24"/>
          <w:szCs w:val="24"/>
        </w:rPr>
      </w:pPr>
      <w:bookmarkStart w:name="_Toc151782182" w:id="16"/>
      <w:bookmarkStart w:name="_Toc158526222" w:id="17"/>
      <w:r w:rsidRPr="00425A04">
        <w:rPr>
          <w:rFonts w:ascii="Times New Roman" w:hAnsi="Times New Roman" w:cs="Times New Roman"/>
          <w:b w:val="0"/>
          <w:bCs w:val="0"/>
          <w:i w:val="0"/>
          <w:iCs w:val="0"/>
          <w:sz w:val="24"/>
          <w:szCs w:val="24"/>
        </w:rPr>
        <w:t xml:space="preserve">This information collection is for a one-time information collection only. </w:t>
      </w:r>
      <w:proofErr w:type="gramStart"/>
      <w:r w:rsidRPr="00425A04">
        <w:rPr>
          <w:rFonts w:ascii="Times New Roman" w:hAnsi="Times New Roman" w:cs="Times New Roman"/>
          <w:b w:val="0"/>
          <w:bCs w:val="0"/>
          <w:i w:val="0"/>
          <w:iCs w:val="0"/>
          <w:sz w:val="24"/>
          <w:szCs w:val="24"/>
        </w:rPr>
        <w:t>All of</w:t>
      </w:r>
      <w:proofErr w:type="gramEnd"/>
      <w:r w:rsidRPr="00425A04">
        <w:rPr>
          <w:rFonts w:ascii="Times New Roman" w:hAnsi="Times New Roman" w:cs="Times New Roman"/>
          <w:b w:val="0"/>
          <w:bCs w:val="0"/>
          <w:i w:val="0"/>
          <w:iCs w:val="0"/>
          <w:sz w:val="24"/>
          <w:szCs w:val="24"/>
        </w:rPr>
        <w:t xml:space="preserve"> the information needed to solicit stakeholder feedback to inform Resource </w:t>
      </w:r>
      <w:r w:rsidR="00E425B8">
        <w:rPr>
          <w:rFonts w:ascii="Times New Roman" w:hAnsi="Times New Roman" w:cs="Times New Roman"/>
          <w:b w:val="0"/>
          <w:bCs w:val="0"/>
          <w:i w:val="0"/>
          <w:iCs w:val="0"/>
          <w:sz w:val="24"/>
          <w:szCs w:val="24"/>
        </w:rPr>
        <w:t>evaluation</w:t>
      </w:r>
      <w:r w:rsidRPr="00425A04" w:rsidR="00E425B8">
        <w:rPr>
          <w:rFonts w:ascii="Times New Roman" w:hAnsi="Times New Roman" w:cs="Times New Roman"/>
          <w:b w:val="0"/>
          <w:bCs w:val="0"/>
          <w:i w:val="0"/>
          <w:iCs w:val="0"/>
          <w:sz w:val="24"/>
          <w:szCs w:val="24"/>
        </w:rPr>
        <w:t xml:space="preserve"> </w:t>
      </w:r>
      <w:r w:rsidRPr="00425A04">
        <w:rPr>
          <w:rFonts w:ascii="Times New Roman" w:hAnsi="Times New Roman" w:cs="Times New Roman"/>
          <w:b w:val="0"/>
          <w:bCs w:val="0"/>
          <w:i w:val="0"/>
          <w:iCs w:val="0"/>
          <w:sz w:val="24"/>
          <w:szCs w:val="24"/>
        </w:rPr>
        <w:t>under this information collection request does not need to be collected more than once</w:t>
      </w:r>
      <w:r w:rsidR="00194389">
        <w:rPr>
          <w:rFonts w:ascii="Times New Roman" w:hAnsi="Times New Roman" w:cs="Times New Roman"/>
          <w:b w:val="0"/>
          <w:bCs w:val="0"/>
          <w:i w:val="0"/>
          <w:iCs w:val="0"/>
          <w:sz w:val="24"/>
          <w:szCs w:val="24"/>
        </w:rPr>
        <w:t>.</w:t>
      </w:r>
    </w:p>
    <w:p w:rsidRPr="0095154A" w:rsidR="00302B0E" w:rsidP="00302B0E" w:rsidRDefault="00302B0E" w14:paraId="693362FE" w14:textId="1AB60452">
      <w:pPr>
        <w:pStyle w:val="Heading2"/>
        <w:rPr>
          <w:rFonts w:ascii="Times New Roman" w:hAnsi="Times New Roman" w:cs="Times New Roman"/>
          <w:sz w:val="24"/>
        </w:rPr>
      </w:pPr>
      <w:r w:rsidRPr="0095154A">
        <w:rPr>
          <w:rFonts w:ascii="Times New Roman" w:hAnsi="Times New Roman" w:cs="Times New Roman"/>
          <w:sz w:val="24"/>
        </w:rPr>
        <w:t>7. Special Circumstances</w:t>
      </w:r>
      <w:bookmarkEnd w:id="16"/>
      <w:bookmarkEnd w:id="17"/>
    </w:p>
    <w:p w:rsidRPr="0095154A" w:rsidR="00302B0E" w:rsidP="00302B0E" w:rsidRDefault="00302B0E" w14:paraId="736988AE" w14:textId="77777777">
      <w:pPr>
        <w:spacing w:before="120"/>
      </w:pPr>
      <w:r w:rsidRPr="0095154A">
        <w:t>This request is consistent with the generic information collection guidelines of 5 CFR 1320.5(d)(2).  No special circumstances apply.</w:t>
      </w:r>
    </w:p>
    <w:p w:rsidRPr="0095154A" w:rsidR="00302B0E" w:rsidP="00302B0E" w:rsidRDefault="00302B0E" w14:paraId="32AD7652" w14:textId="77777777">
      <w:pPr>
        <w:pStyle w:val="Heading2"/>
        <w:rPr>
          <w:rFonts w:ascii="Times New Roman" w:hAnsi="Times New Roman" w:cs="Times New Roman"/>
          <w:sz w:val="24"/>
          <w:szCs w:val="24"/>
        </w:rPr>
      </w:pPr>
      <w:bookmarkStart w:name="_Toc151782183" w:id="18"/>
      <w:bookmarkStart w:name="_Toc158526223" w:id="19"/>
      <w:r w:rsidRPr="0095154A">
        <w:rPr>
          <w:rFonts w:ascii="Times New Roman" w:hAnsi="Times New Roman" w:cs="Times New Roman"/>
          <w:sz w:val="24"/>
        </w:rPr>
        <w:t>8.</w:t>
      </w:r>
      <w:r w:rsidRPr="0095154A">
        <w:rPr>
          <w:rFonts w:ascii="Times New Roman" w:hAnsi="Times New Roman" w:cs="Times New Roman"/>
          <w:sz w:val="24"/>
          <w:szCs w:val="24"/>
        </w:rPr>
        <w:t xml:space="preserve"> </w:t>
      </w:r>
      <w:bookmarkEnd w:id="18"/>
      <w:bookmarkEnd w:id="19"/>
      <w:r w:rsidRPr="0095154A">
        <w:rPr>
          <w:rFonts w:ascii="Times New Roman" w:hAnsi="Times New Roman" w:cs="Times New Roman"/>
          <w:sz w:val="24"/>
          <w:szCs w:val="24"/>
        </w:rPr>
        <w:t>Federal Register Notice and Outside Consultations</w:t>
      </w:r>
    </w:p>
    <w:p w:rsidRPr="0095154A" w:rsidR="00302B0E" w:rsidP="00302B0E" w:rsidRDefault="00302B0E" w14:paraId="43A0EC0D" w14:textId="77777777">
      <w:pPr>
        <w:pStyle w:val="Heading3"/>
        <w:rPr>
          <w:rFonts w:ascii="Times New Roman" w:hAnsi="Times New Roman" w:cs="Times New Roman"/>
          <w:i/>
          <w:iCs/>
          <w:sz w:val="24"/>
          <w:szCs w:val="24"/>
        </w:rPr>
      </w:pPr>
      <w:r w:rsidRPr="0095154A">
        <w:rPr>
          <w:rFonts w:ascii="Times New Roman" w:hAnsi="Times New Roman" w:cs="Times New Roman"/>
          <w:i/>
          <w:sz w:val="24"/>
          <w:szCs w:val="24"/>
        </w:rPr>
        <w:t>8.a.</w:t>
      </w:r>
      <w:r w:rsidRPr="0095154A">
        <w:rPr>
          <w:rFonts w:ascii="Times New Roman" w:hAnsi="Times New Roman" w:cs="Times New Roman"/>
          <w:sz w:val="24"/>
          <w:szCs w:val="24"/>
        </w:rPr>
        <w:t xml:space="preserve"> </w:t>
      </w:r>
      <w:r w:rsidRPr="0095154A">
        <w:rPr>
          <w:rFonts w:ascii="Times New Roman" w:hAnsi="Times New Roman" w:cs="Times New Roman"/>
          <w:i/>
          <w:iCs/>
          <w:sz w:val="24"/>
          <w:szCs w:val="24"/>
        </w:rPr>
        <w:t>Federal Register Notice</w:t>
      </w:r>
    </w:p>
    <w:p w:rsidRPr="00273F2C" w:rsidR="00273F2C" w:rsidP="00273F2C" w:rsidRDefault="00273F2C" w14:paraId="7CAF2967" w14:textId="6926F45B">
      <w:r w:rsidRPr="00273F2C">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t>June 15, 2022</w:t>
      </w:r>
      <w:r w:rsidRPr="00273F2C">
        <w:t>, Volume 8</w:t>
      </w:r>
      <w:r>
        <w:t>7</w:t>
      </w:r>
      <w:r w:rsidRPr="00273F2C">
        <w:t xml:space="preserve">, Number </w:t>
      </w:r>
      <w:r>
        <w:t>115</w:t>
      </w:r>
      <w:r w:rsidRPr="00273F2C">
        <w:t xml:space="preserve">, page </w:t>
      </w:r>
      <w:r>
        <w:t>36128</w:t>
      </w:r>
      <w:r w:rsidRPr="00273F2C">
        <w:t xml:space="preserve">, and provided a sixty-day period for public comment. A copy of this notice is attached as Attachment Y. During the notice and comment period, the government received no requests for information or substantive comments. </w:t>
      </w:r>
    </w:p>
    <w:p w:rsidRPr="0095154A" w:rsidR="00302B0E" w:rsidP="00302B0E" w:rsidRDefault="00302B0E" w14:paraId="1A5A90C7" w14:textId="0AD84C32">
      <w:pPr>
        <w:pStyle w:val="Heading3"/>
        <w:rPr>
          <w:rFonts w:ascii="Times New Roman" w:hAnsi="Times New Roman" w:cs="Times New Roman"/>
          <w:sz w:val="24"/>
          <w:szCs w:val="24"/>
        </w:rPr>
      </w:pPr>
      <w:r w:rsidRPr="0095154A">
        <w:rPr>
          <w:rFonts w:ascii="Times New Roman" w:hAnsi="Times New Roman" w:cs="Times New Roman"/>
          <w:sz w:val="24"/>
        </w:rPr>
        <w:t xml:space="preserve">8.b.  </w:t>
      </w:r>
      <w:r w:rsidRPr="0095154A">
        <w:rPr>
          <w:rFonts w:ascii="Times New Roman" w:hAnsi="Times New Roman" w:cs="Times New Roman"/>
          <w:sz w:val="24"/>
          <w:szCs w:val="24"/>
        </w:rPr>
        <w:t>Outside Consultations</w:t>
      </w:r>
    </w:p>
    <w:p w:rsidRPr="0095154A" w:rsidR="00302B0E" w:rsidP="00302B0E" w:rsidRDefault="00302B0E" w14:paraId="1F70D15A" w14:textId="77777777">
      <w:r w:rsidRPr="0095154A">
        <w:t xml:space="preserve">Not applicable. </w:t>
      </w:r>
    </w:p>
    <w:p w:rsidRPr="0095154A" w:rsidR="00302B0E" w:rsidP="00302B0E" w:rsidRDefault="00302B0E" w14:paraId="461C1FDE" w14:textId="77777777">
      <w:pPr>
        <w:pStyle w:val="Heading2"/>
        <w:rPr>
          <w:rFonts w:ascii="Times New Roman" w:hAnsi="Times New Roman" w:cs="Times New Roman"/>
          <w:sz w:val="24"/>
          <w:szCs w:val="24"/>
        </w:rPr>
      </w:pPr>
      <w:bookmarkStart w:name="_Toc457285506" w:id="20"/>
      <w:bookmarkStart w:name="_Toc58725294" w:id="21"/>
      <w:bookmarkStart w:name="_Toc151782184" w:id="22"/>
      <w:bookmarkStart w:name="_Toc158526224" w:id="23"/>
      <w:r w:rsidRPr="0095154A">
        <w:rPr>
          <w:rFonts w:ascii="Times New Roman" w:hAnsi="Times New Roman" w:cs="Times New Roman"/>
          <w:sz w:val="24"/>
          <w:szCs w:val="24"/>
        </w:rPr>
        <w:t>9. Payments/Gifts to Respondents</w:t>
      </w:r>
      <w:bookmarkEnd w:id="20"/>
      <w:bookmarkEnd w:id="21"/>
      <w:bookmarkEnd w:id="22"/>
      <w:bookmarkEnd w:id="23"/>
    </w:p>
    <w:p w:rsidRPr="0095154A" w:rsidR="00302B0E" w:rsidP="00302B0E" w:rsidRDefault="00302B0E" w14:paraId="3FFF6E00" w14:textId="48A4693B">
      <w:r w:rsidRPr="0095154A">
        <w:t xml:space="preserve">Our information collection efforts will </w:t>
      </w:r>
      <w:r w:rsidR="00822FFE">
        <w:t xml:space="preserve">not </w:t>
      </w:r>
      <w:r w:rsidRPr="0095154A">
        <w:t xml:space="preserve">offer direct payments or gifts to individual respondents. The organizations engaging in </w:t>
      </w:r>
      <w:r w:rsidR="00E425B8">
        <w:t>evaluation activities</w:t>
      </w:r>
      <w:r w:rsidR="00CD6A25">
        <w:t xml:space="preserve"> </w:t>
      </w:r>
      <w:r w:rsidRPr="0095154A">
        <w:t xml:space="preserve">will be sub-contractors to the MedStar Health Research Institute and </w:t>
      </w:r>
      <w:r w:rsidR="00CD6A25">
        <w:t>will receive a flat stipend for their</w:t>
      </w:r>
      <w:r w:rsidR="00CA7717">
        <w:t xml:space="preserve"> </w:t>
      </w:r>
      <w:r w:rsidR="00CD6A25">
        <w:t>efforts.</w:t>
      </w:r>
    </w:p>
    <w:p w:rsidRPr="0095154A" w:rsidR="00302B0E" w:rsidP="00302B0E" w:rsidRDefault="00302B0E" w14:paraId="452BD47C" w14:textId="77777777">
      <w:pPr>
        <w:pStyle w:val="Heading2"/>
        <w:rPr>
          <w:rFonts w:ascii="Times New Roman" w:hAnsi="Times New Roman" w:cs="Times New Roman"/>
          <w:sz w:val="24"/>
          <w:szCs w:val="24"/>
        </w:rPr>
      </w:pPr>
      <w:r w:rsidRPr="0095154A">
        <w:rPr>
          <w:rFonts w:ascii="Times New Roman" w:hAnsi="Times New Roman" w:cs="Times New Roman"/>
          <w:sz w:val="24"/>
          <w:szCs w:val="24"/>
        </w:rPr>
        <w:t>10</w:t>
      </w:r>
      <w:bookmarkStart w:name="_Toc151782185" w:id="24"/>
      <w:bookmarkStart w:name="_Toc158526225" w:id="25"/>
      <w:r w:rsidRPr="0095154A">
        <w:rPr>
          <w:rFonts w:ascii="Times New Roman" w:hAnsi="Times New Roman" w:cs="Times New Roman"/>
          <w:sz w:val="24"/>
          <w:szCs w:val="24"/>
        </w:rPr>
        <w:t>. Assurance of Confidentiality</w:t>
      </w:r>
      <w:bookmarkEnd w:id="24"/>
      <w:bookmarkEnd w:id="25"/>
    </w:p>
    <w:p w:rsidRPr="0095154A" w:rsidR="00302B0E" w:rsidP="00302B0E" w:rsidRDefault="00302B0E" w14:paraId="3D8374C2" w14:textId="77777777">
      <w:pPr>
        <w:autoSpaceDE w:val="0"/>
        <w:autoSpaceDN w:val="0"/>
        <w:adjustRightInd w:val="0"/>
      </w:pPr>
      <w:r w:rsidRPr="0095154A">
        <w:t xml:space="preserve">Individuals and organizations will be assured of the confidentiality of their replies under Section 944(c) of the Public Health Service Act.  42 U.S.C. 299c-3(c).  That law requires that information collected for research conducted or supported by AHRQ that identifies individuals or establishments be used only for the purpose for which it was supplied. </w:t>
      </w:r>
    </w:p>
    <w:p w:rsidRPr="0095154A" w:rsidR="00302B0E" w:rsidP="00302B0E" w:rsidRDefault="00302B0E" w14:paraId="77231CE7" w14:textId="77777777">
      <w:pPr>
        <w:autoSpaceDE w:val="0"/>
        <w:autoSpaceDN w:val="0"/>
        <w:adjustRightInd w:val="0"/>
      </w:pPr>
    </w:p>
    <w:p w:rsidRPr="0095154A" w:rsidR="00302B0E" w:rsidP="00302B0E" w:rsidRDefault="00302B0E" w14:paraId="1918AF60" w14:textId="2911E03E">
      <w:r w:rsidRPr="00822FFE">
        <w:rPr>
          <w:b/>
          <w:bCs/>
        </w:rPr>
        <w:t>Information that can directly identify the respondent, such as name and/or social security number will not be collected.</w:t>
      </w:r>
      <w:r w:rsidRPr="0095154A">
        <w:t xml:space="preserve"> No information will allow for individual identification of participants</w:t>
      </w:r>
    </w:p>
    <w:p w:rsidRPr="0095154A" w:rsidR="00302B0E" w:rsidP="00302B0E" w:rsidRDefault="00302B0E" w14:paraId="630CA740" w14:textId="77777777"/>
    <w:p w:rsidRPr="00982D3A" w:rsidR="00302B0E" w:rsidP="00982D3A" w:rsidRDefault="00302B0E" w14:paraId="003F619B" w14:textId="0127DFA0">
      <w:pPr>
        <w:spacing w:after="160" w:line="259" w:lineRule="auto"/>
        <w:rPr>
          <w:iCs/>
        </w:rPr>
      </w:pPr>
      <w:r w:rsidRPr="0095154A">
        <w:t>Participants will also receive the following confidentiality statements printed on any respondent materials</w:t>
      </w:r>
      <w:r w:rsidR="00982D3A">
        <w:rPr>
          <w:iCs/>
        </w:rPr>
        <w:t xml:space="preserve">: </w:t>
      </w:r>
      <w:r w:rsidRPr="0095154A">
        <w:t>“The confidentiality of your responses are protected by Sections 944(c) and 308(d) of the Public Health Service Act [42 U.S.C. 299c-3(c) and 42 U.S.C. 242m(d)].  Information that could identify you will not be disclosed unless you have consented to that disclosure.”</w:t>
      </w:r>
    </w:p>
    <w:p w:rsidRPr="0095154A" w:rsidR="00302B0E" w:rsidP="00302B0E" w:rsidRDefault="00302B0E" w14:paraId="1A9014C2" w14:textId="6665DCDD">
      <w:pPr>
        <w:spacing w:before="280"/>
      </w:pPr>
      <w:r w:rsidRPr="0095154A">
        <w:t xml:space="preserve">Information collected will be maintained in a secure HIPAA-compliant data server. All information collection will be stored using the contractor, MedStar’s </w:t>
      </w:r>
      <w:proofErr w:type="spellStart"/>
      <w:r w:rsidRPr="0095154A">
        <w:t>REDCap</w:t>
      </w:r>
      <w:proofErr w:type="spellEnd"/>
      <w:r w:rsidRPr="0095154A">
        <w:t xml:space="preserve">™ research data </w:t>
      </w:r>
      <w:r w:rsidRPr="0095154A">
        <w:lastRenderedPageBreak/>
        <w:t xml:space="preserve">capture database. </w:t>
      </w:r>
      <w:proofErr w:type="spellStart"/>
      <w:r w:rsidRPr="0095154A">
        <w:t>REDCap</w:t>
      </w:r>
      <w:proofErr w:type="spellEnd"/>
      <w:r w:rsidRPr="0095154A">
        <w:t xml:space="preserve">™ is a mature, secure web application for building and managing online information collection instruments and data. While </w:t>
      </w:r>
      <w:proofErr w:type="spellStart"/>
      <w:r w:rsidRPr="0095154A">
        <w:t>REDCap</w:t>
      </w:r>
      <w:proofErr w:type="spellEnd"/>
      <w:r w:rsidRPr="0095154A">
        <w:t xml:space="preserve">™ can be used to collect virtually any type of data, it is specifically geared to support data capture for research studies. The </w:t>
      </w:r>
      <w:proofErr w:type="spellStart"/>
      <w:r w:rsidRPr="0095154A">
        <w:t>REDCap</w:t>
      </w:r>
      <w:proofErr w:type="spellEnd"/>
      <w:r w:rsidRPr="0095154A">
        <w:t xml:space="preserve">™ Consortium is composed of 1,711 active institutional partners in 96 countries who utilize and support </w:t>
      </w:r>
      <w:proofErr w:type="spellStart"/>
      <w:r w:rsidRPr="0095154A">
        <w:t>REDCap</w:t>
      </w:r>
      <w:proofErr w:type="spellEnd"/>
      <w:r w:rsidRPr="0095154A">
        <w:t xml:space="preserve">™ in various ways. </w:t>
      </w:r>
      <w:proofErr w:type="spellStart"/>
      <w:r w:rsidRPr="0095154A">
        <w:t>REDCap</w:t>
      </w:r>
      <w:proofErr w:type="spellEnd"/>
      <w:r w:rsidRPr="0095154A">
        <w:t xml:space="preserve">™ can be established to support data entry forms and to conduct web-enabled surveys. The </w:t>
      </w:r>
      <w:r w:rsidR="00D50F6E">
        <w:t>project team</w:t>
      </w:r>
      <w:r w:rsidRPr="0095154A" w:rsidR="00D50F6E">
        <w:t xml:space="preserve"> </w:t>
      </w:r>
      <w:r w:rsidRPr="0095154A">
        <w:t xml:space="preserve">will also use a </w:t>
      </w:r>
      <w:proofErr w:type="spellStart"/>
      <w:r w:rsidRPr="0095154A">
        <w:t>REDCap</w:t>
      </w:r>
      <w:proofErr w:type="spellEnd"/>
      <w:r w:rsidRPr="0095154A">
        <w:t xml:space="preserve">™ project space to securely store any documents received from the practices during the project. The MedStar Health Research Institute is a </w:t>
      </w:r>
      <w:proofErr w:type="spellStart"/>
      <w:r w:rsidRPr="0095154A">
        <w:t>REDCap</w:t>
      </w:r>
      <w:proofErr w:type="spellEnd"/>
      <w:r w:rsidRPr="0095154A">
        <w:t xml:space="preserve">™ project collaborator site with a robust history of using this method for data collection. </w:t>
      </w:r>
    </w:p>
    <w:p w:rsidRPr="0095154A" w:rsidR="00302B0E" w:rsidP="00302B0E" w:rsidRDefault="00302B0E" w14:paraId="54B5FC34" w14:textId="77777777">
      <w:pPr>
        <w:spacing w:before="280"/>
      </w:pPr>
      <w:r w:rsidRPr="0095154A">
        <w:t>This ICR does not request any personally identifiable information.</w:t>
      </w:r>
    </w:p>
    <w:p w:rsidRPr="0095154A" w:rsidR="00302B0E" w:rsidP="00302B0E" w:rsidRDefault="00302B0E" w14:paraId="64992D22" w14:textId="77777777">
      <w:pPr>
        <w:spacing w:before="280"/>
      </w:pPr>
      <w:r w:rsidRPr="0095154A">
        <w:t>This ICR does not include a form that requires a Privacy Act Statement.</w:t>
      </w:r>
    </w:p>
    <w:p w:rsidRPr="0095154A" w:rsidR="00302B0E" w:rsidP="00302B0E" w:rsidRDefault="00302B0E" w14:paraId="63654DD0" w14:textId="731FAA5F">
      <w:pPr>
        <w:spacing w:before="100" w:beforeAutospacing="1" w:after="100" w:afterAutospacing="1"/>
        <w:rPr>
          <w:i/>
        </w:rPr>
      </w:pPr>
    </w:p>
    <w:p w:rsidRPr="0095154A" w:rsidR="00302B0E" w:rsidP="00302B0E" w:rsidRDefault="00302B0E" w14:paraId="406703F2" w14:textId="71BAA728">
      <w:pPr>
        <w:spacing w:before="100" w:beforeAutospacing="1" w:after="100" w:afterAutospacing="1"/>
        <w:rPr>
          <w:i/>
        </w:rPr>
      </w:pPr>
      <w:r w:rsidRPr="0095154A">
        <w:rPr>
          <w:i/>
        </w:rPr>
        <w:t>Does this ICR request any personally identifiable information (see OMB Circular No. A-130 for an explanation of this term)? Please consult with your agency's privacy program when making this determination</w:t>
      </w:r>
      <w:r w:rsidR="00982D3A">
        <w:rPr>
          <w:i/>
        </w:rPr>
        <w:t>?</w:t>
      </w:r>
      <w:r w:rsidRPr="0095154A">
        <w:rPr>
          <w:i/>
        </w:rPr>
        <w:t xml:space="preserve">  </w:t>
      </w:r>
      <w:r w:rsidRPr="00982D3A">
        <w:rPr>
          <w:iCs/>
        </w:rPr>
        <w:t>Yes</w:t>
      </w:r>
      <w:r w:rsidRPr="0095154A">
        <w:rPr>
          <w:i/>
        </w:rPr>
        <w:t xml:space="preserve">    </w:t>
      </w:r>
      <w:r w:rsidRPr="0095154A">
        <w:rPr>
          <w:b/>
        </w:rPr>
        <w:t>No</w:t>
      </w:r>
    </w:p>
    <w:p w:rsidRPr="0095154A" w:rsidR="00302B0E" w:rsidP="7DD30542" w:rsidRDefault="7DD30542" w14:paraId="4B0F3D85" w14:textId="77777777">
      <w:pPr>
        <w:spacing w:before="100" w:beforeAutospacing="1" w:after="100" w:afterAutospacing="1"/>
        <w:rPr>
          <w:i/>
          <w:iCs/>
        </w:rPr>
      </w:pPr>
      <w:r w:rsidRPr="7DD30542">
        <w:rPr>
          <w:i/>
          <w:iCs/>
        </w:rPr>
        <w:t xml:space="preserve">Does this ICR include a form that requires a Privacy Act Statement (see 5 U.S.C. §552a(e)(3))? Please consult with your agency's privacy program when making this determination.  </w:t>
      </w:r>
      <w:r>
        <w:t>Yes</w:t>
      </w:r>
      <w:r w:rsidRPr="7DD30542">
        <w:rPr>
          <w:i/>
          <w:iCs/>
        </w:rPr>
        <w:t xml:space="preserve">    </w:t>
      </w:r>
      <w:r w:rsidRPr="7DD30542">
        <w:rPr>
          <w:b/>
          <w:bCs/>
        </w:rPr>
        <w:t>No</w:t>
      </w:r>
    </w:p>
    <w:p w:rsidRPr="0095154A" w:rsidR="00302B0E" w:rsidP="00302B0E" w:rsidRDefault="00302B0E" w14:paraId="22B7F2A8" w14:textId="77777777">
      <w:pPr>
        <w:pStyle w:val="Heading2"/>
        <w:rPr>
          <w:rFonts w:ascii="Times New Roman" w:hAnsi="Times New Roman" w:cs="Times New Roman"/>
          <w:sz w:val="24"/>
        </w:rPr>
      </w:pPr>
      <w:bookmarkStart w:name="_Toc151782186" w:id="26"/>
      <w:bookmarkStart w:name="_Toc158526226" w:id="27"/>
      <w:r w:rsidRPr="0095154A">
        <w:rPr>
          <w:rFonts w:ascii="Times New Roman" w:hAnsi="Times New Roman" w:cs="Times New Roman"/>
          <w:sz w:val="24"/>
        </w:rPr>
        <w:t>11. Questions of a Sensitive Nature</w:t>
      </w:r>
      <w:bookmarkEnd w:id="26"/>
      <w:bookmarkEnd w:id="27"/>
    </w:p>
    <w:p w:rsidR="0045776F" w:rsidP="0045776F" w:rsidRDefault="0045776F" w14:paraId="229F673B" w14:textId="77777777">
      <w:bookmarkStart w:name="_Toc151782187" w:id="28"/>
      <w:bookmarkStart w:name="_Toc158526227" w:id="29"/>
      <w:r w:rsidRPr="0095154A">
        <w:t xml:space="preserve">The proposed information collection does not include any questions of a sensitive nature. Each respondent will undergo an informed consent process that will describe participant rights. We anticipate that the MedStar Health Research Institute’s Intuitional Review Board will grant a waiver of documentation for written consent as the consent form will be the only documentation linking the participant’s identity to the information collection. Each participant will receive a copy of the study information sheet for verbal consent and an information sheet on the project that outlines the participant’s rights as is standard for MedStar’s exempt studies where active recruitment is required. The consent process will highlight the participants right to answer or not answer any questions that they are asked and their right to withdraw from the interview and/or focus group at any time without penalty or repercussions.  </w:t>
      </w:r>
    </w:p>
    <w:p w:rsidRPr="0011324F" w:rsidR="00302B0E" w:rsidP="00302B0E" w:rsidRDefault="00302B0E" w14:paraId="37A3B318" w14:textId="7D6ADF6B">
      <w:pPr>
        <w:pStyle w:val="Heading2"/>
        <w:rPr>
          <w:rFonts w:ascii="Times New Roman" w:hAnsi="Times New Roman" w:cs="Times New Roman"/>
          <w:sz w:val="24"/>
          <w:szCs w:val="24"/>
          <w:vertAlign w:val="superscript"/>
        </w:rPr>
      </w:pPr>
      <w:r w:rsidRPr="0095154A">
        <w:rPr>
          <w:rFonts w:ascii="Times New Roman" w:hAnsi="Times New Roman" w:cs="Times New Roman"/>
          <w:sz w:val="24"/>
          <w:szCs w:val="24"/>
        </w:rPr>
        <w:t>12. Estimates of Annualized Burden Hours and Costs</w:t>
      </w:r>
      <w:bookmarkEnd w:id="28"/>
      <w:bookmarkEnd w:id="29"/>
      <w:r w:rsidR="0011324F">
        <w:rPr>
          <w:rFonts w:ascii="Times New Roman" w:hAnsi="Times New Roman" w:cs="Times New Roman"/>
          <w:sz w:val="24"/>
          <w:szCs w:val="24"/>
          <w:vertAlign w:val="superscript"/>
        </w:rPr>
        <w:t>*</w:t>
      </w:r>
    </w:p>
    <w:p w:rsidRPr="0095154A" w:rsidR="00302B0E" w:rsidP="00302B0E" w:rsidRDefault="00302B0E" w14:paraId="1E1A7570" w14:textId="77777777"/>
    <w:p w:rsidRPr="0095154A" w:rsidR="004A4241" w:rsidP="004A4241" w:rsidRDefault="004A4241" w14:paraId="44D5B219" w14:textId="77777777">
      <w:pPr>
        <w:rPr>
          <w:b/>
          <w:bCs/>
          <w:color w:val="000000"/>
        </w:rPr>
      </w:pPr>
      <w:bookmarkStart w:name="OLE_LINK1" w:id="30"/>
      <w:bookmarkStart w:name="OLE_LINK2" w:id="31"/>
      <w:bookmarkStart w:name="_Hlk92811021" w:id="32"/>
      <w:r w:rsidRPr="0095154A">
        <w:rPr>
          <w:b/>
          <w:bCs/>
          <w:color w:val="000000"/>
        </w:rPr>
        <w:t>Exhibit 1.  Estimated annualized burden hours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3600"/>
        <w:gridCol w:w="1440"/>
        <w:gridCol w:w="1440"/>
        <w:gridCol w:w="1080"/>
        <w:gridCol w:w="1594"/>
      </w:tblGrid>
      <w:tr w:rsidRPr="0095154A" w:rsidR="004A4241" w:rsidTr="7DD30542" w14:paraId="7FCA9018" w14:textId="77777777">
        <w:tc>
          <w:tcPr>
            <w:tcW w:w="3600" w:type="dxa"/>
            <w:shd w:val="clear" w:color="auto" w:fill="auto"/>
            <w:tcMar>
              <w:top w:w="0" w:type="dxa"/>
              <w:left w:w="108" w:type="dxa"/>
              <w:bottom w:w="0" w:type="dxa"/>
              <w:right w:w="108" w:type="dxa"/>
            </w:tcMar>
            <w:vAlign w:val="center"/>
          </w:tcPr>
          <w:p w:rsidRPr="0095154A" w:rsidR="004A4241" w:rsidP="0087727C" w:rsidRDefault="004A4241" w14:paraId="551E55A7" w14:textId="77777777">
            <w:pPr>
              <w:jc w:val="center"/>
            </w:pPr>
            <w:r w:rsidRPr="0095154A">
              <w:rPr>
                <w:color w:val="000000" w:themeColor="text1"/>
                <w:sz w:val="20"/>
                <w:szCs w:val="20"/>
              </w:rPr>
              <w:t>Form Name</w:t>
            </w:r>
          </w:p>
        </w:tc>
        <w:tc>
          <w:tcPr>
            <w:tcW w:w="1440" w:type="dxa"/>
            <w:shd w:val="clear" w:color="auto" w:fill="auto"/>
            <w:tcMar>
              <w:top w:w="0" w:type="dxa"/>
              <w:left w:w="108" w:type="dxa"/>
              <w:bottom w:w="0" w:type="dxa"/>
              <w:right w:w="108" w:type="dxa"/>
            </w:tcMar>
            <w:vAlign w:val="center"/>
          </w:tcPr>
          <w:p w:rsidRPr="0095154A" w:rsidR="004A4241" w:rsidP="0087727C" w:rsidRDefault="004A4241" w14:paraId="07C8C914" w14:textId="77777777">
            <w:pPr>
              <w:jc w:val="center"/>
            </w:pPr>
            <w:r w:rsidRPr="0095154A">
              <w:rPr>
                <w:color w:val="000000"/>
                <w:sz w:val="20"/>
                <w:szCs w:val="20"/>
              </w:rPr>
              <w:t>Number of respondents</w:t>
            </w:r>
          </w:p>
        </w:tc>
        <w:tc>
          <w:tcPr>
            <w:tcW w:w="1440" w:type="dxa"/>
            <w:shd w:val="clear" w:color="auto" w:fill="auto"/>
            <w:tcMar>
              <w:top w:w="0" w:type="dxa"/>
              <w:left w:w="108" w:type="dxa"/>
              <w:bottom w:w="0" w:type="dxa"/>
              <w:right w:w="108" w:type="dxa"/>
            </w:tcMar>
            <w:vAlign w:val="center"/>
          </w:tcPr>
          <w:p w:rsidRPr="0095154A" w:rsidR="004A4241" w:rsidP="0087727C" w:rsidRDefault="004A4241" w14:paraId="3CD6BCD6" w14:textId="77777777">
            <w:pPr>
              <w:jc w:val="center"/>
              <w:rPr>
                <w:sz w:val="20"/>
                <w:szCs w:val="20"/>
              </w:rPr>
            </w:pPr>
            <w:r w:rsidRPr="0095154A">
              <w:rPr>
                <w:sz w:val="20"/>
                <w:szCs w:val="20"/>
              </w:rPr>
              <w:t>Number of responses per respondent</w:t>
            </w:r>
          </w:p>
        </w:tc>
        <w:tc>
          <w:tcPr>
            <w:tcW w:w="1080" w:type="dxa"/>
            <w:vAlign w:val="center"/>
          </w:tcPr>
          <w:p w:rsidRPr="0095154A" w:rsidR="004A4241" w:rsidP="0087727C" w:rsidRDefault="004A4241" w14:paraId="15173CE7" w14:textId="77777777">
            <w:pPr>
              <w:jc w:val="center"/>
            </w:pPr>
            <w:r w:rsidRPr="0095154A">
              <w:rPr>
                <w:color w:val="000000"/>
                <w:sz w:val="20"/>
                <w:szCs w:val="20"/>
              </w:rPr>
              <w:t>Hours per response</w:t>
            </w:r>
          </w:p>
        </w:tc>
        <w:tc>
          <w:tcPr>
            <w:tcW w:w="1594" w:type="dxa"/>
            <w:shd w:val="clear" w:color="auto" w:fill="auto"/>
            <w:tcMar>
              <w:top w:w="0" w:type="dxa"/>
              <w:left w:w="108" w:type="dxa"/>
              <w:bottom w:w="0" w:type="dxa"/>
              <w:right w:w="108" w:type="dxa"/>
            </w:tcMar>
            <w:vAlign w:val="center"/>
          </w:tcPr>
          <w:p w:rsidRPr="0095154A" w:rsidR="004A4241" w:rsidP="0087727C" w:rsidRDefault="004A4241" w14:paraId="3788379F" w14:textId="77777777">
            <w:pPr>
              <w:jc w:val="center"/>
            </w:pPr>
            <w:r w:rsidRPr="0095154A">
              <w:rPr>
                <w:color w:val="000000"/>
                <w:sz w:val="20"/>
                <w:szCs w:val="20"/>
              </w:rPr>
              <w:t>Total burden hours</w:t>
            </w:r>
          </w:p>
        </w:tc>
      </w:tr>
      <w:tr w:rsidRPr="0095154A" w:rsidR="004A4241" w:rsidTr="7DD30542" w14:paraId="6EBC0425" w14:textId="77777777">
        <w:tc>
          <w:tcPr>
            <w:tcW w:w="3600" w:type="dxa"/>
            <w:shd w:val="clear" w:color="auto" w:fill="auto"/>
            <w:tcMar>
              <w:top w:w="0" w:type="dxa"/>
              <w:left w:w="108" w:type="dxa"/>
              <w:bottom w:w="0" w:type="dxa"/>
              <w:right w:w="108" w:type="dxa"/>
            </w:tcMar>
            <w:vAlign w:val="center"/>
          </w:tcPr>
          <w:p w:rsidRPr="00EE223B" w:rsidR="004A4241" w:rsidP="0087727C" w:rsidRDefault="004A4241" w14:paraId="1906F7E9" w14:textId="77777777">
            <w:r w:rsidRPr="00EE223B">
              <w:t xml:space="preserve">Appendix A: </w:t>
            </w:r>
            <w:r w:rsidRPr="00EE223B">
              <w:rPr>
                <w:u w:val="single"/>
              </w:rPr>
              <w:t>Organizational Characteristics Survey</w:t>
            </w:r>
            <w:r w:rsidRPr="00EE223B">
              <w:t xml:space="preserve"> </w:t>
            </w:r>
          </w:p>
        </w:tc>
        <w:tc>
          <w:tcPr>
            <w:tcW w:w="1440" w:type="dxa"/>
            <w:shd w:val="clear" w:color="auto" w:fill="auto"/>
            <w:tcMar>
              <w:top w:w="0" w:type="dxa"/>
              <w:left w:w="108" w:type="dxa"/>
              <w:bottom w:w="0" w:type="dxa"/>
              <w:right w:w="108" w:type="dxa"/>
            </w:tcMar>
            <w:vAlign w:val="center"/>
          </w:tcPr>
          <w:p w:rsidRPr="0095154A" w:rsidR="004A4241" w:rsidP="0087727C" w:rsidRDefault="00D50F6E" w14:paraId="3B615D9E" w14:textId="619E374D">
            <w:pPr>
              <w:jc w:val="center"/>
            </w:pPr>
            <w:r>
              <w:rPr>
                <w:color w:val="000000"/>
              </w:rPr>
              <w:t>10</w:t>
            </w:r>
          </w:p>
        </w:tc>
        <w:tc>
          <w:tcPr>
            <w:tcW w:w="1440" w:type="dxa"/>
            <w:shd w:val="clear" w:color="auto" w:fill="auto"/>
            <w:tcMar>
              <w:top w:w="0" w:type="dxa"/>
              <w:left w:w="108" w:type="dxa"/>
              <w:bottom w:w="0" w:type="dxa"/>
              <w:right w:w="108" w:type="dxa"/>
            </w:tcMar>
            <w:vAlign w:val="center"/>
          </w:tcPr>
          <w:p w:rsidRPr="0095154A" w:rsidR="004A4241" w:rsidP="0087727C" w:rsidRDefault="004A4241" w14:paraId="2151442D" w14:textId="77777777">
            <w:pPr>
              <w:jc w:val="center"/>
            </w:pPr>
            <w:r>
              <w:rPr>
                <w:color w:val="000000"/>
              </w:rPr>
              <w:t>1</w:t>
            </w:r>
          </w:p>
        </w:tc>
        <w:tc>
          <w:tcPr>
            <w:tcW w:w="1080" w:type="dxa"/>
            <w:shd w:val="clear" w:color="auto" w:fill="auto"/>
            <w:vAlign w:val="center"/>
          </w:tcPr>
          <w:p w:rsidRPr="001912D8" w:rsidR="004A4241" w:rsidP="0087727C" w:rsidRDefault="008F18C3" w14:paraId="45B13AA7" w14:textId="56599298">
            <w:pPr>
              <w:jc w:val="center"/>
            </w:pPr>
            <w:r>
              <w:t>1</w:t>
            </w:r>
          </w:p>
        </w:tc>
        <w:tc>
          <w:tcPr>
            <w:tcW w:w="1594" w:type="dxa"/>
            <w:shd w:val="clear" w:color="auto" w:fill="auto"/>
            <w:tcMar>
              <w:top w:w="0" w:type="dxa"/>
              <w:left w:w="108" w:type="dxa"/>
              <w:bottom w:w="0" w:type="dxa"/>
              <w:right w:w="108" w:type="dxa"/>
            </w:tcMar>
            <w:vAlign w:val="center"/>
          </w:tcPr>
          <w:p w:rsidRPr="001912D8" w:rsidR="004A4241" w:rsidP="0087727C" w:rsidRDefault="00D50F6E" w14:paraId="3B23FD5F" w14:textId="28DFE05B">
            <w:pPr>
              <w:jc w:val="center"/>
            </w:pPr>
            <w:r>
              <w:t>1</w:t>
            </w:r>
            <w:r w:rsidR="008F18C3">
              <w:t>0</w:t>
            </w:r>
          </w:p>
        </w:tc>
      </w:tr>
      <w:tr w:rsidRPr="0095154A" w:rsidR="004A4241" w:rsidTr="7DD30542" w14:paraId="6FDBD0A8" w14:textId="77777777">
        <w:tc>
          <w:tcPr>
            <w:tcW w:w="3600" w:type="dxa"/>
            <w:shd w:val="clear" w:color="auto" w:fill="auto"/>
            <w:tcMar>
              <w:top w:w="0" w:type="dxa"/>
              <w:left w:w="108" w:type="dxa"/>
              <w:bottom w:w="0" w:type="dxa"/>
              <w:right w:w="108" w:type="dxa"/>
            </w:tcMar>
            <w:vAlign w:val="center"/>
          </w:tcPr>
          <w:p w:rsidRPr="0095154A" w:rsidR="004A4241" w:rsidP="0087727C" w:rsidRDefault="004A4241" w14:paraId="3DF7E917" w14:textId="5B0B6D0B">
            <w:r w:rsidRPr="0095154A">
              <w:t xml:space="preserve">Appendix </w:t>
            </w:r>
            <w:r>
              <w:t>B</w:t>
            </w:r>
            <w:r w:rsidRPr="0095154A">
              <w:t>:</w:t>
            </w:r>
            <w:r>
              <w:t xml:space="preserve"> </w:t>
            </w:r>
            <w:r w:rsidRPr="009440B0">
              <w:rPr>
                <w:bCs/>
                <w:u w:val="single"/>
              </w:rPr>
              <w:t xml:space="preserve">Organizational </w:t>
            </w:r>
            <w:r w:rsidR="00D50F6E">
              <w:rPr>
                <w:bCs/>
                <w:u w:val="single"/>
              </w:rPr>
              <w:t>Self-Assessment (from Measure Dx)</w:t>
            </w:r>
          </w:p>
        </w:tc>
        <w:tc>
          <w:tcPr>
            <w:tcW w:w="1440" w:type="dxa"/>
            <w:shd w:val="clear" w:color="auto" w:fill="auto"/>
            <w:tcMar>
              <w:top w:w="0" w:type="dxa"/>
              <w:left w:w="108" w:type="dxa"/>
              <w:bottom w:w="0" w:type="dxa"/>
              <w:right w:w="108" w:type="dxa"/>
            </w:tcMar>
            <w:vAlign w:val="center"/>
          </w:tcPr>
          <w:p w:rsidRPr="0095154A" w:rsidR="004A4241" w:rsidP="0087727C" w:rsidRDefault="00D50F6E" w14:paraId="6AB5F5B0" w14:textId="7B8C3D66">
            <w:pPr>
              <w:jc w:val="center"/>
            </w:pPr>
            <w:r>
              <w:rPr>
                <w:color w:val="000000"/>
              </w:rPr>
              <w:t>1</w:t>
            </w:r>
            <w:r w:rsidR="004A4241">
              <w:rPr>
                <w:color w:val="000000"/>
              </w:rPr>
              <w:t>0</w:t>
            </w:r>
          </w:p>
        </w:tc>
        <w:tc>
          <w:tcPr>
            <w:tcW w:w="1440" w:type="dxa"/>
            <w:shd w:val="clear" w:color="auto" w:fill="auto"/>
            <w:tcMar>
              <w:top w:w="0" w:type="dxa"/>
              <w:left w:w="108" w:type="dxa"/>
              <w:bottom w:w="0" w:type="dxa"/>
              <w:right w:w="108" w:type="dxa"/>
            </w:tcMar>
            <w:vAlign w:val="center"/>
          </w:tcPr>
          <w:p w:rsidRPr="0095154A" w:rsidR="004A4241" w:rsidP="0087727C" w:rsidRDefault="004A4241" w14:paraId="619F5513" w14:textId="77777777">
            <w:pPr>
              <w:jc w:val="center"/>
            </w:pPr>
            <w:r>
              <w:rPr>
                <w:color w:val="000000"/>
              </w:rPr>
              <w:t>1</w:t>
            </w:r>
          </w:p>
        </w:tc>
        <w:tc>
          <w:tcPr>
            <w:tcW w:w="1080" w:type="dxa"/>
            <w:shd w:val="clear" w:color="auto" w:fill="auto"/>
            <w:vAlign w:val="center"/>
          </w:tcPr>
          <w:p w:rsidRPr="0095154A" w:rsidR="004A4241" w:rsidP="6DCA7CB0" w:rsidRDefault="008F18C3" w14:paraId="388FA892" w14:textId="1178B16D">
            <w:pPr>
              <w:jc w:val="center"/>
              <w:rPr>
                <w:color w:val="000000" w:themeColor="text1"/>
              </w:rPr>
            </w:pPr>
            <w:r>
              <w:rPr>
                <w:color w:val="000000" w:themeColor="text1"/>
              </w:rPr>
              <w:t>.5</w:t>
            </w:r>
          </w:p>
        </w:tc>
        <w:tc>
          <w:tcPr>
            <w:tcW w:w="1594" w:type="dxa"/>
            <w:shd w:val="clear" w:color="auto" w:fill="auto"/>
            <w:tcMar>
              <w:top w:w="0" w:type="dxa"/>
              <w:left w:w="108" w:type="dxa"/>
              <w:bottom w:w="0" w:type="dxa"/>
              <w:right w:w="108" w:type="dxa"/>
            </w:tcMar>
            <w:vAlign w:val="center"/>
          </w:tcPr>
          <w:p w:rsidRPr="0095154A" w:rsidR="004A4241" w:rsidP="0087727C" w:rsidRDefault="008F18C3" w14:paraId="7A42CDBD" w14:textId="5FF33108">
            <w:pPr>
              <w:jc w:val="center"/>
            </w:pPr>
            <w:r>
              <w:rPr>
                <w:color w:val="000000"/>
              </w:rPr>
              <w:t>5</w:t>
            </w:r>
          </w:p>
        </w:tc>
      </w:tr>
      <w:tr w:rsidRPr="0095154A" w:rsidR="00D50F6E" w:rsidTr="7DD30542" w14:paraId="7B7D1425" w14:textId="77777777">
        <w:tc>
          <w:tcPr>
            <w:tcW w:w="3600" w:type="dxa"/>
            <w:shd w:val="clear" w:color="auto" w:fill="auto"/>
            <w:tcMar>
              <w:top w:w="0" w:type="dxa"/>
              <w:left w:w="108" w:type="dxa"/>
              <w:bottom w:w="0" w:type="dxa"/>
              <w:right w:w="108" w:type="dxa"/>
            </w:tcMar>
            <w:vAlign w:val="center"/>
          </w:tcPr>
          <w:p w:rsidRPr="0095154A" w:rsidR="00D50F6E" w:rsidP="0087727C" w:rsidRDefault="00D50F6E" w14:paraId="04C64BDE" w14:textId="0CD2B743">
            <w:r>
              <w:t>Appendix C –</w:t>
            </w:r>
            <w:r w:rsidRPr="00EB5489">
              <w:rPr>
                <w:u w:val="single"/>
              </w:rPr>
              <w:t>Safer Dx Checklist</w:t>
            </w:r>
          </w:p>
        </w:tc>
        <w:tc>
          <w:tcPr>
            <w:tcW w:w="1440" w:type="dxa"/>
            <w:shd w:val="clear" w:color="auto" w:fill="auto"/>
            <w:tcMar>
              <w:top w:w="0" w:type="dxa"/>
              <w:left w:w="108" w:type="dxa"/>
              <w:bottom w:w="0" w:type="dxa"/>
              <w:right w:w="108" w:type="dxa"/>
            </w:tcMar>
            <w:vAlign w:val="center"/>
          </w:tcPr>
          <w:p w:rsidR="00D50F6E" w:rsidP="0087727C" w:rsidRDefault="00D50F6E" w14:paraId="465945CF" w14:textId="7C1010D6">
            <w:pPr>
              <w:jc w:val="center"/>
              <w:rPr>
                <w:color w:val="000000"/>
              </w:rPr>
            </w:pPr>
            <w:r>
              <w:rPr>
                <w:color w:val="000000"/>
              </w:rPr>
              <w:t>10</w:t>
            </w:r>
          </w:p>
        </w:tc>
        <w:tc>
          <w:tcPr>
            <w:tcW w:w="1440" w:type="dxa"/>
            <w:shd w:val="clear" w:color="auto" w:fill="auto"/>
            <w:tcMar>
              <w:top w:w="0" w:type="dxa"/>
              <w:left w:w="108" w:type="dxa"/>
              <w:bottom w:w="0" w:type="dxa"/>
              <w:right w:w="108" w:type="dxa"/>
            </w:tcMar>
            <w:vAlign w:val="center"/>
          </w:tcPr>
          <w:p w:rsidR="00D50F6E" w:rsidP="0087727C" w:rsidRDefault="00D50F6E" w14:paraId="69D7FEF2" w14:textId="0F62EC4A">
            <w:pPr>
              <w:jc w:val="center"/>
              <w:rPr>
                <w:color w:val="000000"/>
              </w:rPr>
            </w:pPr>
            <w:r>
              <w:rPr>
                <w:color w:val="000000"/>
              </w:rPr>
              <w:t>2</w:t>
            </w:r>
          </w:p>
        </w:tc>
        <w:tc>
          <w:tcPr>
            <w:tcW w:w="1080" w:type="dxa"/>
            <w:shd w:val="clear" w:color="auto" w:fill="auto"/>
            <w:vAlign w:val="center"/>
          </w:tcPr>
          <w:p w:rsidR="00D50F6E" w:rsidP="0087727C" w:rsidRDefault="00D50F6E" w14:paraId="1E5C8792" w14:textId="76378C64">
            <w:pPr>
              <w:jc w:val="center"/>
              <w:rPr>
                <w:color w:val="000000"/>
              </w:rPr>
            </w:pPr>
            <w:r>
              <w:rPr>
                <w:color w:val="000000"/>
              </w:rPr>
              <w:t>0.25</w:t>
            </w:r>
          </w:p>
        </w:tc>
        <w:tc>
          <w:tcPr>
            <w:tcW w:w="1594" w:type="dxa"/>
            <w:shd w:val="clear" w:color="auto" w:fill="auto"/>
            <w:tcMar>
              <w:top w:w="0" w:type="dxa"/>
              <w:left w:w="108" w:type="dxa"/>
              <w:bottom w:w="0" w:type="dxa"/>
              <w:right w:w="108" w:type="dxa"/>
            </w:tcMar>
            <w:vAlign w:val="center"/>
          </w:tcPr>
          <w:p w:rsidR="00D50F6E" w:rsidP="0087727C" w:rsidRDefault="00D50F6E" w14:paraId="5EC9B6F7" w14:textId="4C11C280">
            <w:pPr>
              <w:jc w:val="center"/>
              <w:rPr>
                <w:color w:val="000000"/>
              </w:rPr>
            </w:pPr>
            <w:r>
              <w:rPr>
                <w:color w:val="000000"/>
              </w:rPr>
              <w:t>5</w:t>
            </w:r>
          </w:p>
        </w:tc>
      </w:tr>
      <w:tr w:rsidRPr="0095154A" w:rsidR="004A4241" w:rsidTr="7DD30542" w14:paraId="248278C6" w14:textId="77777777">
        <w:tc>
          <w:tcPr>
            <w:tcW w:w="3600" w:type="dxa"/>
            <w:shd w:val="clear" w:color="auto" w:fill="auto"/>
            <w:tcMar>
              <w:top w:w="0" w:type="dxa"/>
              <w:left w:w="108" w:type="dxa"/>
              <w:bottom w:w="0" w:type="dxa"/>
              <w:right w:w="108" w:type="dxa"/>
            </w:tcMar>
            <w:vAlign w:val="center"/>
          </w:tcPr>
          <w:p w:rsidRPr="0095154A" w:rsidR="004A4241" w:rsidP="0087727C" w:rsidRDefault="004A4241" w14:paraId="5EE0A6C1" w14:textId="60633036">
            <w:r w:rsidRPr="0095154A">
              <w:lastRenderedPageBreak/>
              <w:t xml:space="preserve">Appendix </w:t>
            </w:r>
            <w:r w:rsidR="00D50F6E">
              <w:t>D</w:t>
            </w:r>
            <w:r w:rsidRPr="0095154A">
              <w:t xml:space="preserve">: </w:t>
            </w:r>
            <w:r w:rsidRPr="00EB5489">
              <w:rPr>
                <w:u w:val="single"/>
              </w:rPr>
              <w:t>Pre-Test Interview Protocol</w:t>
            </w:r>
          </w:p>
        </w:tc>
        <w:tc>
          <w:tcPr>
            <w:tcW w:w="1440" w:type="dxa"/>
            <w:shd w:val="clear" w:color="auto" w:fill="auto"/>
            <w:tcMar>
              <w:top w:w="0" w:type="dxa"/>
              <w:left w:w="108" w:type="dxa"/>
              <w:bottom w:w="0" w:type="dxa"/>
              <w:right w:w="108" w:type="dxa"/>
            </w:tcMar>
            <w:vAlign w:val="center"/>
          </w:tcPr>
          <w:p w:rsidRPr="0095154A" w:rsidR="004A4241" w:rsidP="0087727C" w:rsidRDefault="00D50F6E" w14:paraId="6B6A1F57" w14:textId="70A86BD2">
            <w:pPr>
              <w:jc w:val="center"/>
            </w:pPr>
            <w:r w:rsidRPr="0015417C">
              <w:t xml:space="preserve">20 </w:t>
            </w:r>
          </w:p>
        </w:tc>
        <w:tc>
          <w:tcPr>
            <w:tcW w:w="1440" w:type="dxa"/>
            <w:shd w:val="clear" w:color="auto" w:fill="auto"/>
            <w:tcMar>
              <w:top w:w="0" w:type="dxa"/>
              <w:left w:w="108" w:type="dxa"/>
              <w:bottom w:w="0" w:type="dxa"/>
              <w:right w:w="108" w:type="dxa"/>
            </w:tcMar>
            <w:vAlign w:val="center"/>
          </w:tcPr>
          <w:p w:rsidRPr="0095154A" w:rsidR="004A4241" w:rsidP="0087727C" w:rsidRDefault="004A4241" w14:paraId="614135A7" w14:textId="77777777">
            <w:pPr>
              <w:jc w:val="center"/>
            </w:pPr>
            <w:r>
              <w:t>1</w:t>
            </w:r>
          </w:p>
        </w:tc>
        <w:tc>
          <w:tcPr>
            <w:tcW w:w="1080" w:type="dxa"/>
            <w:vAlign w:val="center"/>
          </w:tcPr>
          <w:p w:rsidRPr="0095154A" w:rsidR="004A4241" w:rsidP="0087727C" w:rsidRDefault="004A4241" w14:paraId="1DB43AFC" w14:textId="77777777">
            <w:pPr>
              <w:jc w:val="center"/>
            </w:pPr>
            <w:r>
              <w:t>1</w:t>
            </w:r>
          </w:p>
        </w:tc>
        <w:tc>
          <w:tcPr>
            <w:tcW w:w="1594" w:type="dxa"/>
            <w:shd w:val="clear" w:color="auto" w:fill="auto"/>
            <w:tcMar>
              <w:top w:w="0" w:type="dxa"/>
              <w:left w:w="108" w:type="dxa"/>
              <w:bottom w:w="0" w:type="dxa"/>
              <w:right w:w="108" w:type="dxa"/>
            </w:tcMar>
            <w:vAlign w:val="center"/>
          </w:tcPr>
          <w:p w:rsidRPr="0095154A" w:rsidR="004A4241" w:rsidP="0087727C" w:rsidRDefault="00E00206" w14:paraId="26479DEE" w14:textId="583D7310">
            <w:pPr>
              <w:jc w:val="center"/>
            </w:pPr>
            <w:r>
              <w:t>2</w:t>
            </w:r>
            <w:r w:rsidR="004A4241">
              <w:t>0</w:t>
            </w:r>
          </w:p>
        </w:tc>
      </w:tr>
      <w:tr w:rsidRPr="0095154A" w:rsidR="004A4241" w:rsidTr="7DD30542" w14:paraId="582CBA71" w14:textId="77777777">
        <w:tc>
          <w:tcPr>
            <w:tcW w:w="3600" w:type="dxa"/>
            <w:shd w:val="clear" w:color="auto" w:fill="auto"/>
            <w:tcMar>
              <w:top w:w="0" w:type="dxa"/>
              <w:left w:w="108" w:type="dxa"/>
              <w:bottom w:w="0" w:type="dxa"/>
              <w:right w:w="108" w:type="dxa"/>
            </w:tcMar>
            <w:vAlign w:val="center"/>
          </w:tcPr>
          <w:p w:rsidRPr="0095154A" w:rsidR="004A4241" w:rsidP="0087727C" w:rsidRDefault="004A4241" w14:paraId="3C5FF815" w14:textId="487418C9">
            <w:r w:rsidRPr="0095154A">
              <w:t xml:space="preserve">Appendix </w:t>
            </w:r>
            <w:r w:rsidR="00D50F6E">
              <w:t>E</w:t>
            </w:r>
            <w:r w:rsidRPr="0095154A">
              <w:t xml:space="preserve">: </w:t>
            </w:r>
            <w:r w:rsidRPr="00EB5489">
              <w:rPr>
                <w:u w:val="single"/>
              </w:rPr>
              <w:t>Post-test Evaluation Interview Protocol</w:t>
            </w:r>
          </w:p>
        </w:tc>
        <w:tc>
          <w:tcPr>
            <w:tcW w:w="1440" w:type="dxa"/>
            <w:shd w:val="clear" w:color="auto" w:fill="auto"/>
            <w:tcMar>
              <w:top w:w="0" w:type="dxa"/>
              <w:left w:w="108" w:type="dxa"/>
              <w:bottom w:w="0" w:type="dxa"/>
              <w:right w:w="108" w:type="dxa"/>
            </w:tcMar>
            <w:vAlign w:val="center"/>
          </w:tcPr>
          <w:p w:rsidRPr="0095154A" w:rsidR="004A4241" w:rsidP="0087727C" w:rsidRDefault="00D50F6E" w14:paraId="48BD014A" w14:textId="3255857D">
            <w:pPr>
              <w:jc w:val="center"/>
            </w:pPr>
            <w:r w:rsidRPr="0015417C">
              <w:t>20</w:t>
            </w:r>
            <w:r w:rsidRPr="00323B7D">
              <w:t xml:space="preserve"> </w:t>
            </w:r>
          </w:p>
        </w:tc>
        <w:tc>
          <w:tcPr>
            <w:tcW w:w="1440" w:type="dxa"/>
            <w:shd w:val="clear" w:color="auto" w:fill="auto"/>
            <w:tcMar>
              <w:top w:w="0" w:type="dxa"/>
              <w:left w:w="108" w:type="dxa"/>
              <w:bottom w:w="0" w:type="dxa"/>
              <w:right w:w="108" w:type="dxa"/>
            </w:tcMar>
            <w:vAlign w:val="center"/>
          </w:tcPr>
          <w:p w:rsidRPr="0095154A" w:rsidR="004A4241" w:rsidP="0087727C" w:rsidRDefault="004A4241" w14:paraId="15E74E8D" w14:textId="77777777">
            <w:pPr>
              <w:jc w:val="center"/>
            </w:pPr>
            <w:r>
              <w:t>1</w:t>
            </w:r>
          </w:p>
        </w:tc>
        <w:tc>
          <w:tcPr>
            <w:tcW w:w="1080" w:type="dxa"/>
            <w:vAlign w:val="center"/>
          </w:tcPr>
          <w:p w:rsidRPr="0095154A" w:rsidR="004A4241" w:rsidP="0087727C" w:rsidRDefault="004A4241" w14:paraId="65BD2274" w14:textId="77777777">
            <w:pPr>
              <w:jc w:val="center"/>
            </w:pPr>
            <w:r>
              <w:t>1</w:t>
            </w:r>
          </w:p>
        </w:tc>
        <w:tc>
          <w:tcPr>
            <w:tcW w:w="1594" w:type="dxa"/>
            <w:shd w:val="clear" w:color="auto" w:fill="auto"/>
            <w:tcMar>
              <w:top w:w="0" w:type="dxa"/>
              <w:left w:w="108" w:type="dxa"/>
              <w:bottom w:w="0" w:type="dxa"/>
              <w:right w:w="108" w:type="dxa"/>
            </w:tcMar>
            <w:vAlign w:val="center"/>
          </w:tcPr>
          <w:p w:rsidRPr="0095154A" w:rsidR="004A4241" w:rsidP="0087727C" w:rsidRDefault="00E00206" w14:paraId="23DFB4ED" w14:textId="5A002A89">
            <w:pPr>
              <w:jc w:val="center"/>
            </w:pPr>
            <w:r>
              <w:t>2</w:t>
            </w:r>
            <w:r w:rsidR="004A4241">
              <w:t>0</w:t>
            </w:r>
          </w:p>
        </w:tc>
      </w:tr>
      <w:tr w:rsidRPr="0095154A" w:rsidR="00E00206" w:rsidTr="7DD30542" w14:paraId="0B391034" w14:textId="77777777">
        <w:tc>
          <w:tcPr>
            <w:tcW w:w="3600" w:type="dxa"/>
            <w:shd w:val="clear" w:color="auto" w:fill="auto"/>
            <w:tcMar>
              <w:top w:w="0" w:type="dxa"/>
              <w:left w:w="108" w:type="dxa"/>
              <w:bottom w:w="0" w:type="dxa"/>
              <w:right w:w="108" w:type="dxa"/>
            </w:tcMar>
            <w:vAlign w:val="center"/>
          </w:tcPr>
          <w:p w:rsidRPr="0095154A" w:rsidR="00E00206" w:rsidP="0087727C" w:rsidRDefault="00E00206" w14:paraId="557ABC31" w14:textId="7009570D">
            <w:r>
              <w:t xml:space="preserve">Appendix F: </w:t>
            </w:r>
            <w:r w:rsidRPr="00EB5489">
              <w:rPr>
                <w:u w:val="single"/>
              </w:rPr>
              <w:t>Team Questionnaire</w:t>
            </w:r>
            <w:r>
              <w:t xml:space="preserve"> </w:t>
            </w:r>
          </w:p>
        </w:tc>
        <w:tc>
          <w:tcPr>
            <w:tcW w:w="1440" w:type="dxa"/>
            <w:shd w:val="clear" w:color="auto" w:fill="auto"/>
            <w:tcMar>
              <w:top w:w="0" w:type="dxa"/>
              <w:left w:w="108" w:type="dxa"/>
              <w:bottom w:w="0" w:type="dxa"/>
              <w:right w:w="108" w:type="dxa"/>
            </w:tcMar>
            <w:vAlign w:val="center"/>
          </w:tcPr>
          <w:p w:rsidR="00E00206" w:rsidP="0087727C" w:rsidRDefault="00E00206" w14:paraId="609299D0" w14:textId="6D42CD08">
            <w:pPr>
              <w:jc w:val="center"/>
            </w:pPr>
            <w:r>
              <w:t>10</w:t>
            </w:r>
          </w:p>
        </w:tc>
        <w:tc>
          <w:tcPr>
            <w:tcW w:w="1440" w:type="dxa"/>
            <w:shd w:val="clear" w:color="auto" w:fill="auto"/>
            <w:tcMar>
              <w:top w:w="0" w:type="dxa"/>
              <w:left w:w="108" w:type="dxa"/>
              <w:bottom w:w="0" w:type="dxa"/>
              <w:right w:w="108" w:type="dxa"/>
            </w:tcMar>
            <w:vAlign w:val="center"/>
          </w:tcPr>
          <w:p w:rsidR="00E00206" w:rsidP="0087727C" w:rsidRDefault="00E00206" w14:paraId="73239D9F" w14:textId="36C09F4C">
            <w:pPr>
              <w:jc w:val="center"/>
            </w:pPr>
            <w:r>
              <w:t>2</w:t>
            </w:r>
          </w:p>
        </w:tc>
        <w:tc>
          <w:tcPr>
            <w:tcW w:w="1080" w:type="dxa"/>
            <w:vAlign w:val="center"/>
          </w:tcPr>
          <w:p w:rsidR="00E00206" w:rsidP="0087727C" w:rsidRDefault="00E00206" w14:paraId="3862CD88" w14:textId="142A3C92">
            <w:pPr>
              <w:jc w:val="center"/>
            </w:pPr>
            <w:r>
              <w:t>0.25</w:t>
            </w:r>
          </w:p>
        </w:tc>
        <w:tc>
          <w:tcPr>
            <w:tcW w:w="1594" w:type="dxa"/>
            <w:shd w:val="clear" w:color="auto" w:fill="auto"/>
            <w:tcMar>
              <w:top w:w="0" w:type="dxa"/>
              <w:left w:w="108" w:type="dxa"/>
              <w:bottom w:w="0" w:type="dxa"/>
              <w:right w:w="108" w:type="dxa"/>
            </w:tcMar>
            <w:vAlign w:val="center"/>
          </w:tcPr>
          <w:p w:rsidR="00E00206" w:rsidP="0087727C" w:rsidRDefault="00E00206" w14:paraId="41739C1E" w14:textId="33626DDA">
            <w:pPr>
              <w:jc w:val="center"/>
            </w:pPr>
            <w:r>
              <w:t>5</w:t>
            </w:r>
          </w:p>
        </w:tc>
      </w:tr>
      <w:tr w:rsidRPr="0095154A" w:rsidR="00E00206" w:rsidTr="7DD30542" w14:paraId="59AB5CE7" w14:textId="77777777">
        <w:tc>
          <w:tcPr>
            <w:tcW w:w="3600" w:type="dxa"/>
            <w:shd w:val="clear" w:color="auto" w:fill="auto"/>
            <w:tcMar>
              <w:top w:w="0" w:type="dxa"/>
              <w:left w:w="108" w:type="dxa"/>
              <w:bottom w:w="0" w:type="dxa"/>
              <w:right w:w="108" w:type="dxa"/>
            </w:tcMar>
            <w:vAlign w:val="center"/>
          </w:tcPr>
          <w:p w:rsidR="00E00206" w:rsidP="0087727C" w:rsidRDefault="00E00206" w14:paraId="07DB50A2" w14:textId="585CB680">
            <w:r>
              <w:t xml:space="preserve">Appendix G: </w:t>
            </w:r>
            <w:r w:rsidRPr="00EB5489">
              <w:rPr>
                <w:u w:val="single"/>
              </w:rPr>
              <w:t>Case Review Summary Form</w:t>
            </w:r>
          </w:p>
        </w:tc>
        <w:tc>
          <w:tcPr>
            <w:tcW w:w="1440" w:type="dxa"/>
            <w:shd w:val="clear" w:color="auto" w:fill="auto"/>
            <w:tcMar>
              <w:top w:w="0" w:type="dxa"/>
              <w:left w:w="108" w:type="dxa"/>
              <w:bottom w:w="0" w:type="dxa"/>
              <w:right w:w="108" w:type="dxa"/>
            </w:tcMar>
            <w:vAlign w:val="center"/>
          </w:tcPr>
          <w:p w:rsidR="00E00206" w:rsidP="0087727C" w:rsidRDefault="00E00206" w14:paraId="03B1108D" w14:textId="53ED6B16">
            <w:pPr>
              <w:jc w:val="center"/>
            </w:pPr>
            <w:r>
              <w:t>10</w:t>
            </w:r>
          </w:p>
        </w:tc>
        <w:tc>
          <w:tcPr>
            <w:tcW w:w="1440" w:type="dxa"/>
            <w:shd w:val="clear" w:color="auto" w:fill="auto"/>
            <w:tcMar>
              <w:top w:w="0" w:type="dxa"/>
              <w:left w:w="108" w:type="dxa"/>
              <w:bottom w:w="0" w:type="dxa"/>
              <w:right w:w="108" w:type="dxa"/>
            </w:tcMar>
            <w:vAlign w:val="center"/>
          </w:tcPr>
          <w:p w:rsidR="00E00206" w:rsidP="0087727C" w:rsidRDefault="00E00206" w14:paraId="3AD49F74" w14:textId="563217B6">
            <w:pPr>
              <w:jc w:val="center"/>
            </w:pPr>
            <w:r>
              <w:t>2</w:t>
            </w:r>
          </w:p>
        </w:tc>
        <w:tc>
          <w:tcPr>
            <w:tcW w:w="1080" w:type="dxa"/>
            <w:vAlign w:val="center"/>
          </w:tcPr>
          <w:p w:rsidR="00E00206" w:rsidP="0087727C" w:rsidRDefault="007E2C7D" w14:paraId="09F601C1" w14:textId="4A37F8D2">
            <w:pPr>
              <w:jc w:val="center"/>
            </w:pPr>
            <w:r>
              <w:t>.75</w:t>
            </w:r>
          </w:p>
        </w:tc>
        <w:tc>
          <w:tcPr>
            <w:tcW w:w="1594" w:type="dxa"/>
            <w:shd w:val="clear" w:color="auto" w:fill="auto"/>
            <w:tcMar>
              <w:top w:w="0" w:type="dxa"/>
              <w:left w:w="108" w:type="dxa"/>
              <w:bottom w:w="0" w:type="dxa"/>
              <w:right w:w="108" w:type="dxa"/>
            </w:tcMar>
            <w:vAlign w:val="center"/>
          </w:tcPr>
          <w:p w:rsidR="00E00206" w:rsidP="0087727C" w:rsidRDefault="00E0150F" w14:paraId="3DAE1012" w14:textId="20346536">
            <w:pPr>
              <w:jc w:val="center"/>
            </w:pPr>
            <w:r>
              <w:t>15</w:t>
            </w:r>
          </w:p>
        </w:tc>
      </w:tr>
      <w:tr w:rsidRPr="0095154A" w:rsidR="00E00206" w:rsidTr="7DD30542" w14:paraId="49E26D2F" w14:textId="77777777">
        <w:tc>
          <w:tcPr>
            <w:tcW w:w="3600" w:type="dxa"/>
            <w:shd w:val="clear" w:color="auto" w:fill="auto"/>
            <w:tcMar>
              <w:top w:w="0" w:type="dxa"/>
              <w:left w:w="108" w:type="dxa"/>
              <w:bottom w:w="0" w:type="dxa"/>
              <w:right w:w="108" w:type="dxa"/>
            </w:tcMar>
            <w:vAlign w:val="center"/>
          </w:tcPr>
          <w:p w:rsidR="00E00206" w:rsidP="0087727C" w:rsidRDefault="00E00206" w14:paraId="4C12BB6F" w14:textId="66DF63BB">
            <w:r>
              <w:t xml:space="preserve">Appendix H: </w:t>
            </w:r>
            <w:r w:rsidRPr="00EB5489">
              <w:rPr>
                <w:u w:val="single"/>
              </w:rPr>
              <w:t>ECHO Call Protocol</w:t>
            </w:r>
          </w:p>
        </w:tc>
        <w:tc>
          <w:tcPr>
            <w:tcW w:w="1440" w:type="dxa"/>
            <w:shd w:val="clear" w:color="auto" w:fill="auto"/>
            <w:tcMar>
              <w:top w:w="0" w:type="dxa"/>
              <w:left w:w="108" w:type="dxa"/>
              <w:bottom w:w="0" w:type="dxa"/>
              <w:right w:w="108" w:type="dxa"/>
            </w:tcMar>
            <w:vAlign w:val="center"/>
          </w:tcPr>
          <w:p w:rsidR="00E00206" w:rsidP="0087727C" w:rsidRDefault="00E00206" w14:paraId="05AD707D" w14:textId="1D9B41ED">
            <w:pPr>
              <w:jc w:val="center"/>
            </w:pPr>
            <w:r>
              <w:t>10</w:t>
            </w:r>
          </w:p>
        </w:tc>
        <w:tc>
          <w:tcPr>
            <w:tcW w:w="1440" w:type="dxa"/>
            <w:shd w:val="clear" w:color="auto" w:fill="auto"/>
            <w:tcMar>
              <w:top w:w="0" w:type="dxa"/>
              <w:left w:w="108" w:type="dxa"/>
              <w:bottom w:w="0" w:type="dxa"/>
              <w:right w:w="108" w:type="dxa"/>
            </w:tcMar>
            <w:vAlign w:val="center"/>
          </w:tcPr>
          <w:p w:rsidR="00E00206" w:rsidP="0087727C" w:rsidRDefault="00E00206" w14:paraId="69C112BF" w14:textId="4A3586EB">
            <w:pPr>
              <w:jc w:val="center"/>
            </w:pPr>
            <w:r>
              <w:t>6</w:t>
            </w:r>
          </w:p>
        </w:tc>
        <w:tc>
          <w:tcPr>
            <w:tcW w:w="1080" w:type="dxa"/>
            <w:vAlign w:val="center"/>
          </w:tcPr>
          <w:p w:rsidR="00E00206" w:rsidP="0087727C" w:rsidRDefault="00E00206" w14:paraId="2EF91117" w14:textId="0285C296">
            <w:pPr>
              <w:jc w:val="center"/>
            </w:pPr>
            <w:r>
              <w:t>1</w:t>
            </w:r>
          </w:p>
        </w:tc>
        <w:tc>
          <w:tcPr>
            <w:tcW w:w="1594" w:type="dxa"/>
            <w:shd w:val="clear" w:color="auto" w:fill="auto"/>
            <w:tcMar>
              <w:top w:w="0" w:type="dxa"/>
              <w:left w:w="108" w:type="dxa"/>
              <w:bottom w:w="0" w:type="dxa"/>
              <w:right w:w="108" w:type="dxa"/>
            </w:tcMar>
            <w:vAlign w:val="center"/>
          </w:tcPr>
          <w:p w:rsidR="00E00206" w:rsidP="0087727C" w:rsidRDefault="00E00206" w14:paraId="241161D2" w14:textId="378866B6">
            <w:pPr>
              <w:jc w:val="center"/>
            </w:pPr>
            <w:r>
              <w:t>60</w:t>
            </w:r>
          </w:p>
        </w:tc>
      </w:tr>
      <w:tr w:rsidRPr="0095154A" w:rsidR="004A4241" w:rsidTr="7DD30542" w14:paraId="1359E93E" w14:textId="77777777">
        <w:tc>
          <w:tcPr>
            <w:tcW w:w="3600" w:type="dxa"/>
            <w:shd w:val="clear" w:color="auto" w:fill="auto"/>
            <w:tcMar>
              <w:top w:w="0" w:type="dxa"/>
              <w:left w:w="108" w:type="dxa"/>
              <w:bottom w:w="0" w:type="dxa"/>
              <w:right w:w="108" w:type="dxa"/>
            </w:tcMar>
            <w:vAlign w:val="center"/>
          </w:tcPr>
          <w:p w:rsidRPr="0095154A" w:rsidR="004A4241" w:rsidP="0087727C" w:rsidRDefault="004A4241" w14:paraId="46F972CB" w14:textId="77777777">
            <w:r w:rsidRPr="0095154A">
              <w:rPr>
                <w:b/>
                <w:bCs/>
                <w:color w:val="000000"/>
              </w:rPr>
              <w:t>Total</w:t>
            </w:r>
          </w:p>
        </w:tc>
        <w:tc>
          <w:tcPr>
            <w:tcW w:w="1440" w:type="dxa"/>
            <w:shd w:val="clear" w:color="auto" w:fill="auto"/>
            <w:tcMar>
              <w:top w:w="0" w:type="dxa"/>
              <w:left w:w="108" w:type="dxa"/>
              <w:bottom w:w="0" w:type="dxa"/>
              <w:right w:w="108" w:type="dxa"/>
            </w:tcMar>
            <w:vAlign w:val="center"/>
          </w:tcPr>
          <w:p w:rsidRPr="0095154A" w:rsidR="004A4241" w:rsidP="0087727C" w:rsidRDefault="006E4897" w14:paraId="6AB5A53E" w14:textId="664142B1">
            <w:pPr>
              <w:jc w:val="center"/>
              <w:rPr>
                <w:b/>
              </w:rPr>
            </w:pPr>
            <w:r w:rsidRPr="0015417C">
              <w:rPr>
                <w:b/>
              </w:rPr>
              <w:t>100</w:t>
            </w:r>
          </w:p>
        </w:tc>
        <w:tc>
          <w:tcPr>
            <w:tcW w:w="1440" w:type="dxa"/>
            <w:shd w:val="clear" w:color="auto" w:fill="auto"/>
            <w:tcMar>
              <w:top w:w="0" w:type="dxa"/>
              <w:left w:w="108" w:type="dxa"/>
              <w:bottom w:w="0" w:type="dxa"/>
              <w:right w:w="108" w:type="dxa"/>
            </w:tcMar>
            <w:vAlign w:val="center"/>
          </w:tcPr>
          <w:p w:rsidRPr="0095154A" w:rsidR="004A4241" w:rsidP="0087727C" w:rsidRDefault="007D2E8D" w14:paraId="55913103" w14:textId="1065A985">
            <w:pPr>
              <w:jc w:val="center"/>
              <w:rPr>
                <w:b/>
              </w:rPr>
            </w:pPr>
            <w:r>
              <w:rPr>
                <w:b/>
              </w:rPr>
              <w:t>180</w:t>
            </w:r>
          </w:p>
        </w:tc>
        <w:tc>
          <w:tcPr>
            <w:tcW w:w="1080" w:type="dxa"/>
          </w:tcPr>
          <w:p w:rsidRPr="0095154A" w:rsidR="004A4241" w:rsidP="0087727C" w:rsidRDefault="004A4241" w14:paraId="3E1212BC" w14:textId="27251508">
            <w:pPr>
              <w:jc w:val="center"/>
              <w:rPr>
                <w:b/>
                <w:bCs/>
                <w:color w:val="000000"/>
              </w:rPr>
            </w:pPr>
          </w:p>
        </w:tc>
        <w:tc>
          <w:tcPr>
            <w:tcW w:w="1594" w:type="dxa"/>
            <w:shd w:val="clear" w:color="auto" w:fill="auto"/>
            <w:tcMar>
              <w:top w:w="0" w:type="dxa"/>
              <w:left w:w="108" w:type="dxa"/>
              <w:bottom w:w="0" w:type="dxa"/>
              <w:right w:w="108" w:type="dxa"/>
            </w:tcMar>
            <w:vAlign w:val="center"/>
          </w:tcPr>
          <w:p w:rsidRPr="0095154A" w:rsidR="004A4241" w:rsidP="0087727C" w:rsidRDefault="008F18C3" w14:paraId="56659D8C" w14:textId="696018D1">
            <w:pPr>
              <w:jc w:val="center"/>
              <w:rPr>
                <w:b/>
              </w:rPr>
            </w:pPr>
            <w:r>
              <w:rPr>
                <w:b/>
              </w:rPr>
              <w:t>140</w:t>
            </w:r>
          </w:p>
        </w:tc>
      </w:tr>
    </w:tbl>
    <w:bookmarkEnd w:id="30"/>
    <w:bookmarkEnd w:id="31"/>
    <w:p w:rsidRPr="0095154A" w:rsidR="004A4241" w:rsidP="004A4241" w:rsidRDefault="004A4241" w14:paraId="7B5599C8" w14:textId="77777777">
      <w:r w:rsidRPr="0095154A">
        <w:t> </w:t>
      </w:r>
    </w:p>
    <w:p w:rsidRPr="0095154A" w:rsidR="004A4241" w:rsidP="004A4241" w:rsidRDefault="004A4241" w14:paraId="1DF97895" w14:textId="77777777">
      <w:pPr>
        <w:rPr>
          <w:b/>
          <w:bCs/>
        </w:rPr>
      </w:pPr>
      <w:r w:rsidRPr="0095154A">
        <w:rPr>
          <w:b/>
          <w:bCs/>
        </w:rPr>
        <w:t>Exhibit 2.  Estimated annualized cost burden</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4117"/>
        <w:gridCol w:w="990"/>
        <w:gridCol w:w="1620"/>
        <w:gridCol w:w="2070"/>
      </w:tblGrid>
      <w:tr w:rsidRPr="0095154A" w:rsidR="00323B7D" w:rsidTr="0015417C" w14:paraId="1D21B9D9" w14:textId="77777777">
        <w:tc>
          <w:tcPr>
            <w:tcW w:w="4117" w:type="dxa"/>
            <w:shd w:val="clear" w:color="auto" w:fill="auto"/>
            <w:tcMar>
              <w:top w:w="0" w:type="dxa"/>
              <w:left w:w="108" w:type="dxa"/>
              <w:bottom w:w="0" w:type="dxa"/>
              <w:right w:w="108" w:type="dxa"/>
            </w:tcMar>
            <w:vAlign w:val="center"/>
          </w:tcPr>
          <w:p w:rsidRPr="0095154A" w:rsidR="00323B7D" w:rsidP="0087727C" w:rsidRDefault="00323B7D" w14:paraId="0693A767" w14:textId="77777777">
            <w:pPr>
              <w:jc w:val="center"/>
            </w:pPr>
            <w:r w:rsidRPr="0095154A">
              <w:rPr>
                <w:color w:val="000000"/>
                <w:sz w:val="20"/>
                <w:szCs w:val="20"/>
              </w:rPr>
              <w:t>Form Name</w:t>
            </w:r>
          </w:p>
        </w:tc>
        <w:tc>
          <w:tcPr>
            <w:tcW w:w="990" w:type="dxa"/>
            <w:shd w:val="clear" w:color="auto" w:fill="auto"/>
            <w:tcMar>
              <w:top w:w="0" w:type="dxa"/>
              <w:left w:w="108" w:type="dxa"/>
              <w:bottom w:w="0" w:type="dxa"/>
              <w:right w:w="108" w:type="dxa"/>
            </w:tcMar>
            <w:vAlign w:val="center"/>
          </w:tcPr>
          <w:p w:rsidRPr="0095154A" w:rsidR="00323B7D" w:rsidP="0087727C" w:rsidRDefault="00323B7D" w14:paraId="64D25133" w14:textId="77777777">
            <w:pPr>
              <w:jc w:val="center"/>
            </w:pPr>
            <w:r w:rsidRPr="0095154A">
              <w:rPr>
                <w:color w:val="000000"/>
                <w:sz w:val="20"/>
                <w:szCs w:val="20"/>
              </w:rPr>
              <w:t>Total burden hours</w:t>
            </w:r>
          </w:p>
        </w:tc>
        <w:tc>
          <w:tcPr>
            <w:tcW w:w="1620" w:type="dxa"/>
            <w:shd w:val="clear" w:color="auto" w:fill="auto"/>
            <w:tcMar>
              <w:top w:w="0" w:type="dxa"/>
              <w:left w:w="108" w:type="dxa"/>
              <w:bottom w:w="0" w:type="dxa"/>
              <w:right w:w="108" w:type="dxa"/>
            </w:tcMar>
            <w:vAlign w:val="center"/>
          </w:tcPr>
          <w:p w:rsidRPr="0095154A" w:rsidR="00323B7D" w:rsidP="0087727C" w:rsidRDefault="00323B7D" w14:paraId="738206B6" w14:textId="77777777">
            <w:pPr>
              <w:jc w:val="center"/>
            </w:pPr>
            <w:r w:rsidRPr="0095154A">
              <w:rPr>
                <w:color w:val="000000"/>
                <w:sz w:val="20"/>
                <w:szCs w:val="20"/>
              </w:rPr>
              <w:t>Average hourly wage rate*</w:t>
            </w:r>
          </w:p>
        </w:tc>
        <w:tc>
          <w:tcPr>
            <w:tcW w:w="2070" w:type="dxa"/>
            <w:shd w:val="clear" w:color="auto" w:fill="auto"/>
            <w:tcMar>
              <w:top w:w="0" w:type="dxa"/>
              <w:left w:w="108" w:type="dxa"/>
              <w:bottom w:w="0" w:type="dxa"/>
              <w:right w:w="108" w:type="dxa"/>
            </w:tcMar>
            <w:vAlign w:val="center"/>
          </w:tcPr>
          <w:p w:rsidRPr="0095154A" w:rsidR="00323B7D" w:rsidP="0087727C" w:rsidRDefault="0015417C" w14:paraId="5E48779D" w14:textId="4919C592">
            <w:pPr>
              <w:jc w:val="center"/>
            </w:pPr>
            <w:r>
              <w:rPr>
                <w:color w:val="000000"/>
                <w:sz w:val="20"/>
                <w:szCs w:val="20"/>
              </w:rPr>
              <w:t>Respondent</w:t>
            </w:r>
            <w:r w:rsidRPr="0095154A">
              <w:rPr>
                <w:color w:val="000000"/>
                <w:sz w:val="20"/>
                <w:szCs w:val="20"/>
              </w:rPr>
              <w:t xml:space="preserve"> cost</w:t>
            </w:r>
            <w:r w:rsidRPr="0095154A" w:rsidR="00323B7D">
              <w:rPr>
                <w:color w:val="000000"/>
                <w:sz w:val="20"/>
                <w:szCs w:val="20"/>
              </w:rPr>
              <w:t xml:space="preserve"> </w:t>
            </w:r>
          </w:p>
        </w:tc>
      </w:tr>
      <w:tr w:rsidRPr="0095154A" w:rsidR="00323B7D" w:rsidTr="0015417C" w14:paraId="1E8D7EE8" w14:textId="77777777">
        <w:tc>
          <w:tcPr>
            <w:tcW w:w="4117" w:type="dxa"/>
            <w:shd w:val="clear" w:color="auto" w:fill="auto"/>
            <w:tcMar>
              <w:top w:w="0" w:type="dxa"/>
              <w:left w:w="108" w:type="dxa"/>
              <w:bottom w:w="0" w:type="dxa"/>
              <w:right w:w="108" w:type="dxa"/>
            </w:tcMar>
            <w:vAlign w:val="center"/>
          </w:tcPr>
          <w:p w:rsidRPr="0095154A" w:rsidR="00323B7D" w:rsidP="0087727C" w:rsidRDefault="00323B7D" w14:paraId="31E37E51" w14:textId="77777777">
            <w:r w:rsidRPr="00EE223B">
              <w:t xml:space="preserve">Appendix A: </w:t>
            </w:r>
            <w:r w:rsidRPr="00EE223B">
              <w:rPr>
                <w:u w:val="single"/>
              </w:rPr>
              <w:t>Organizational Characteristics Survey</w:t>
            </w:r>
            <w:r w:rsidRPr="00EE223B">
              <w:t xml:space="preserve"> </w:t>
            </w:r>
          </w:p>
        </w:tc>
        <w:tc>
          <w:tcPr>
            <w:tcW w:w="990" w:type="dxa"/>
            <w:shd w:val="clear" w:color="auto" w:fill="auto"/>
            <w:tcMar>
              <w:top w:w="0" w:type="dxa"/>
              <w:left w:w="108" w:type="dxa"/>
              <w:bottom w:w="0" w:type="dxa"/>
              <w:right w:w="108" w:type="dxa"/>
            </w:tcMar>
            <w:vAlign w:val="center"/>
          </w:tcPr>
          <w:p w:rsidRPr="0095154A" w:rsidR="00323B7D" w:rsidP="0087727C" w:rsidRDefault="00323B7D" w14:paraId="4A799815" w14:textId="75A5E07F">
            <w:pPr>
              <w:jc w:val="center"/>
            </w:pPr>
            <w:r>
              <w:t>10</w:t>
            </w:r>
          </w:p>
        </w:tc>
        <w:tc>
          <w:tcPr>
            <w:tcW w:w="1620" w:type="dxa"/>
            <w:shd w:val="clear" w:color="auto" w:fill="auto"/>
            <w:tcMar>
              <w:top w:w="0" w:type="dxa"/>
              <w:left w:w="108" w:type="dxa"/>
              <w:bottom w:w="0" w:type="dxa"/>
              <w:right w:w="108" w:type="dxa"/>
            </w:tcMar>
            <w:vAlign w:val="center"/>
          </w:tcPr>
          <w:p w:rsidRPr="0095154A" w:rsidR="00323B7D" w:rsidP="0087727C" w:rsidRDefault="00323B7D" w14:paraId="35CC342C" w14:textId="60B151CC">
            <w:pPr>
              <w:jc w:val="center"/>
              <w:rPr>
                <w:vertAlign w:val="superscript"/>
              </w:rPr>
            </w:pPr>
            <w:r>
              <w:rPr>
                <w:color w:val="000000"/>
              </w:rPr>
              <w:t>$57.61</w:t>
            </w:r>
            <w:r>
              <w:rPr>
                <w:color w:val="000000"/>
                <w:vertAlign w:val="superscript"/>
              </w:rPr>
              <w:t>a</w:t>
            </w:r>
          </w:p>
        </w:tc>
        <w:tc>
          <w:tcPr>
            <w:tcW w:w="2070" w:type="dxa"/>
            <w:shd w:val="clear" w:color="auto" w:fill="auto"/>
            <w:tcMar>
              <w:top w:w="0" w:type="dxa"/>
              <w:left w:w="108" w:type="dxa"/>
              <w:bottom w:w="0" w:type="dxa"/>
              <w:right w:w="108" w:type="dxa"/>
            </w:tcMar>
            <w:vAlign w:val="center"/>
          </w:tcPr>
          <w:p w:rsidRPr="0095154A" w:rsidR="00323B7D" w:rsidP="0087727C" w:rsidRDefault="00323B7D" w14:paraId="75FA4DF4" w14:textId="62179755">
            <w:pPr>
              <w:jc w:val="center"/>
            </w:pPr>
            <w:r w:rsidRPr="005455E9">
              <w:t>$576.1</w:t>
            </w:r>
          </w:p>
        </w:tc>
      </w:tr>
      <w:tr w:rsidRPr="0095154A" w:rsidR="00323B7D" w:rsidTr="0015417C" w14:paraId="69B41495" w14:textId="77777777">
        <w:tc>
          <w:tcPr>
            <w:tcW w:w="4117" w:type="dxa"/>
            <w:shd w:val="clear" w:color="auto" w:fill="auto"/>
            <w:tcMar>
              <w:top w:w="0" w:type="dxa"/>
              <w:left w:w="108" w:type="dxa"/>
              <w:bottom w:w="0" w:type="dxa"/>
              <w:right w:w="108" w:type="dxa"/>
            </w:tcMar>
            <w:vAlign w:val="center"/>
          </w:tcPr>
          <w:p w:rsidRPr="0095154A" w:rsidR="00323B7D" w:rsidP="0087727C" w:rsidRDefault="00323B7D" w14:paraId="354A4819" w14:textId="7E1DB0E2">
            <w:r w:rsidRPr="0095154A">
              <w:t xml:space="preserve">Appendix </w:t>
            </w:r>
            <w:r>
              <w:t>B</w:t>
            </w:r>
            <w:r w:rsidRPr="0095154A">
              <w:t>:</w:t>
            </w:r>
            <w:r>
              <w:t xml:space="preserve"> </w:t>
            </w:r>
            <w:r w:rsidRPr="00EA7A0F">
              <w:rPr>
                <w:bCs/>
                <w:u w:val="single"/>
              </w:rPr>
              <w:t xml:space="preserve">Organizational </w:t>
            </w:r>
            <w:r>
              <w:rPr>
                <w:bCs/>
                <w:u w:val="single"/>
              </w:rPr>
              <w:t>Self-Assessment (from Measure Dx)</w:t>
            </w:r>
          </w:p>
        </w:tc>
        <w:tc>
          <w:tcPr>
            <w:tcW w:w="990" w:type="dxa"/>
            <w:shd w:val="clear" w:color="auto" w:fill="auto"/>
            <w:tcMar>
              <w:top w:w="0" w:type="dxa"/>
              <w:left w:w="108" w:type="dxa"/>
              <w:bottom w:w="0" w:type="dxa"/>
              <w:right w:w="108" w:type="dxa"/>
            </w:tcMar>
            <w:vAlign w:val="center"/>
          </w:tcPr>
          <w:p w:rsidRPr="0095154A" w:rsidR="00323B7D" w:rsidP="0087727C" w:rsidRDefault="00323B7D" w14:paraId="4C6A591B" w14:textId="28E92D0D">
            <w:pPr>
              <w:jc w:val="center"/>
            </w:pPr>
            <w:r>
              <w:t>5</w:t>
            </w:r>
          </w:p>
        </w:tc>
        <w:tc>
          <w:tcPr>
            <w:tcW w:w="1620" w:type="dxa"/>
            <w:shd w:val="clear" w:color="auto" w:fill="auto"/>
            <w:tcMar>
              <w:top w:w="0" w:type="dxa"/>
              <w:left w:w="108" w:type="dxa"/>
              <w:bottom w:w="0" w:type="dxa"/>
              <w:right w:w="108" w:type="dxa"/>
            </w:tcMar>
            <w:vAlign w:val="center"/>
          </w:tcPr>
          <w:p w:rsidRPr="0095154A" w:rsidR="00323B7D" w:rsidP="0087727C" w:rsidRDefault="00323B7D" w14:paraId="26E93C73" w14:textId="3A5ACF1A">
            <w:pPr>
              <w:jc w:val="center"/>
            </w:pPr>
            <w:r>
              <w:rPr>
                <w:color w:val="000000"/>
              </w:rPr>
              <w:t>$57.61</w:t>
            </w:r>
            <w:r>
              <w:rPr>
                <w:color w:val="000000"/>
                <w:vertAlign w:val="superscript"/>
              </w:rPr>
              <w:t>a</w:t>
            </w:r>
          </w:p>
        </w:tc>
        <w:tc>
          <w:tcPr>
            <w:tcW w:w="2070" w:type="dxa"/>
            <w:shd w:val="clear" w:color="auto" w:fill="auto"/>
            <w:tcMar>
              <w:top w:w="0" w:type="dxa"/>
              <w:left w:w="108" w:type="dxa"/>
              <w:bottom w:w="0" w:type="dxa"/>
              <w:right w:w="108" w:type="dxa"/>
            </w:tcMar>
            <w:vAlign w:val="center"/>
          </w:tcPr>
          <w:p w:rsidRPr="0095154A" w:rsidR="00323B7D" w:rsidP="0087727C" w:rsidRDefault="00323B7D" w14:paraId="5CC0C0DF" w14:textId="483EB30E">
            <w:pPr>
              <w:jc w:val="center"/>
            </w:pPr>
            <w:r w:rsidRPr="005455E9">
              <w:t>$288.05</w:t>
            </w:r>
          </w:p>
        </w:tc>
      </w:tr>
      <w:tr w:rsidRPr="0095154A" w:rsidR="00323B7D" w:rsidTr="0015417C" w14:paraId="76A321D7" w14:textId="77777777">
        <w:tc>
          <w:tcPr>
            <w:tcW w:w="4117" w:type="dxa"/>
            <w:shd w:val="clear" w:color="auto" w:fill="auto"/>
            <w:tcMar>
              <w:top w:w="0" w:type="dxa"/>
              <w:left w:w="108" w:type="dxa"/>
              <w:bottom w:w="0" w:type="dxa"/>
              <w:right w:w="108" w:type="dxa"/>
            </w:tcMar>
            <w:vAlign w:val="center"/>
          </w:tcPr>
          <w:p w:rsidRPr="0095154A" w:rsidR="00323B7D" w:rsidP="0087727C" w:rsidRDefault="00323B7D" w14:paraId="3C8695B6" w14:textId="0ACD306D">
            <w:r w:rsidRPr="0095154A">
              <w:t>Appendix C</w:t>
            </w:r>
            <w:r w:rsidRPr="00EB5489">
              <w:rPr>
                <w:u w:val="single"/>
              </w:rPr>
              <w:t>: Safer Dx Checklist</w:t>
            </w:r>
          </w:p>
        </w:tc>
        <w:tc>
          <w:tcPr>
            <w:tcW w:w="990" w:type="dxa"/>
            <w:shd w:val="clear" w:color="auto" w:fill="auto"/>
            <w:tcMar>
              <w:top w:w="0" w:type="dxa"/>
              <w:left w:w="108" w:type="dxa"/>
              <w:bottom w:w="0" w:type="dxa"/>
              <w:right w:w="108" w:type="dxa"/>
            </w:tcMar>
            <w:vAlign w:val="center"/>
          </w:tcPr>
          <w:p w:rsidRPr="0095154A" w:rsidR="00323B7D" w:rsidP="0087727C" w:rsidRDefault="00323B7D" w14:paraId="76C36E70" w14:textId="3167919E">
            <w:pPr>
              <w:jc w:val="center"/>
            </w:pPr>
            <w:r>
              <w:t>5</w:t>
            </w:r>
          </w:p>
        </w:tc>
        <w:tc>
          <w:tcPr>
            <w:tcW w:w="1620" w:type="dxa"/>
            <w:shd w:val="clear" w:color="auto" w:fill="auto"/>
            <w:tcMar>
              <w:top w:w="0" w:type="dxa"/>
              <w:left w:w="108" w:type="dxa"/>
              <w:bottom w:w="0" w:type="dxa"/>
              <w:right w:w="108" w:type="dxa"/>
            </w:tcMar>
            <w:vAlign w:val="center"/>
          </w:tcPr>
          <w:p w:rsidRPr="002A0045" w:rsidR="00323B7D" w:rsidP="0087727C" w:rsidRDefault="00323B7D" w14:paraId="4270A62A" w14:textId="4C32E16F">
            <w:pPr>
              <w:jc w:val="center"/>
              <w:rPr>
                <w:vertAlign w:val="superscript"/>
              </w:rPr>
            </w:pPr>
            <w:r>
              <w:rPr>
                <w:color w:val="000000"/>
              </w:rPr>
              <w:t>$57.61</w:t>
            </w:r>
            <w:r>
              <w:rPr>
                <w:color w:val="000000"/>
                <w:vertAlign w:val="superscript"/>
              </w:rPr>
              <w:t>a</w:t>
            </w:r>
          </w:p>
        </w:tc>
        <w:tc>
          <w:tcPr>
            <w:tcW w:w="2070" w:type="dxa"/>
            <w:shd w:val="clear" w:color="auto" w:fill="auto"/>
            <w:tcMar>
              <w:top w:w="0" w:type="dxa"/>
              <w:left w:w="108" w:type="dxa"/>
              <w:bottom w:w="0" w:type="dxa"/>
              <w:right w:w="108" w:type="dxa"/>
            </w:tcMar>
            <w:vAlign w:val="center"/>
          </w:tcPr>
          <w:p w:rsidRPr="0095154A" w:rsidR="00323B7D" w:rsidP="0087727C" w:rsidRDefault="00323B7D" w14:paraId="76A36D40" w14:textId="1769DAFF">
            <w:pPr>
              <w:jc w:val="center"/>
            </w:pPr>
            <w:r>
              <w:rPr>
                <w:color w:val="000000"/>
                <w:sz w:val="22"/>
                <w:szCs w:val="22"/>
              </w:rPr>
              <w:t>$288.05</w:t>
            </w:r>
          </w:p>
        </w:tc>
      </w:tr>
      <w:tr w:rsidRPr="0095154A" w:rsidR="00323B7D" w:rsidTr="0015417C" w14:paraId="3E83E408" w14:textId="77777777">
        <w:tc>
          <w:tcPr>
            <w:tcW w:w="4117" w:type="dxa"/>
            <w:shd w:val="clear" w:color="auto" w:fill="auto"/>
            <w:tcMar>
              <w:top w:w="0" w:type="dxa"/>
              <w:left w:w="108" w:type="dxa"/>
              <w:bottom w:w="0" w:type="dxa"/>
              <w:right w:w="108" w:type="dxa"/>
            </w:tcMar>
            <w:vAlign w:val="center"/>
          </w:tcPr>
          <w:p w:rsidRPr="0095154A" w:rsidR="00323B7D" w:rsidP="0087727C" w:rsidRDefault="00323B7D" w14:paraId="6B561D07" w14:textId="0412BA93">
            <w:r w:rsidRPr="0095154A">
              <w:t xml:space="preserve">Appendix </w:t>
            </w:r>
            <w:r>
              <w:t>D</w:t>
            </w:r>
            <w:r w:rsidRPr="0095154A">
              <w:t xml:space="preserve">: </w:t>
            </w:r>
            <w:r w:rsidRPr="00EB5489">
              <w:rPr>
                <w:u w:val="single"/>
              </w:rPr>
              <w:t>Pre-Test Interview Protocol</w:t>
            </w:r>
          </w:p>
        </w:tc>
        <w:tc>
          <w:tcPr>
            <w:tcW w:w="990" w:type="dxa"/>
            <w:shd w:val="clear" w:color="auto" w:fill="auto"/>
            <w:tcMar>
              <w:top w:w="0" w:type="dxa"/>
              <w:left w:w="108" w:type="dxa"/>
              <w:bottom w:w="0" w:type="dxa"/>
              <w:right w:w="108" w:type="dxa"/>
            </w:tcMar>
            <w:vAlign w:val="center"/>
          </w:tcPr>
          <w:p w:rsidRPr="0095154A" w:rsidR="00323B7D" w:rsidP="0087727C" w:rsidRDefault="00323B7D" w14:paraId="01B59647" w14:textId="7ABC4A74">
            <w:pPr>
              <w:jc w:val="center"/>
            </w:pPr>
            <w:r>
              <w:t>20</w:t>
            </w:r>
          </w:p>
        </w:tc>
        <w:tc>
          <w:tcPr>
            <w:tcW w:w="1620" w:type="dxa"/>
            <w:shd w:val="clear" w:color="auto" w:fill="auto"/>
            <w:tcMar>
              <w:top w:w="0" w:type="dxa"/>
              <w:left w:w="108" w:type="dxa"/>
              <w:bottom w:w="0" w:type="dxa"/>
              <w:right w:w="108" w:type="dxa"/>
            </w:tcMar>
            <w:vAlign w:val="center"/>
          </w:tcPr>
          <w:p w:rsidRPr="002A0045" w:rsidR="00323B7D" w:rsidP="0087727C" w:rsidRDefault="00323B7D" w14:paraId="2E52C636" w14:textId="2D4C9C41">
            <w:pPr>
              <w:jc w:val="center"/>
              <w:rPr>
                <w:vertAlign w:val="superscript"/>
              </w:rPr>
            </w:pPr>
            <w:r>
              <w:rPr>
                <w:color w:val="000000"/>
              </w:rPr>
              <w:t>$136.37</w:t>
            </w:r>
            <w:r>
              <w:rPr>
                <w:color w:val="000000"/>
                <w:vertAlign w:val="superscript"/>
              </w:rPr>
              <w:t>b</w:t>
            </w:r>
          </w:p>
        </w:tc>
        <w:tc>
          <w:tcPr>
            <w:tcW w:w="2070" w:type="dxa"/>
            <w:shd w:val="clear" w:color="auto" w:fill="auto"/>
            <w:tcMar>
              <w:top w:w="0" w:type="dxa"/>
              <w:left w:w="108" w:type="dxa"/>
              <w:bottom w:w="0" w:type="dxa"/>
              <w:right w:w="108" w:type="dxa"/>
            </w:tcMar>
            <w:vAlign w:val="center"/>
          </w:tcPr>
          <w:p w:rsidRPr="0095154A" w:rsidR="00323B7D" w:rsidP="0087727C" w:rsidRDefault="00323B7D" w14:paraId="388AC3BC" w14:textId="3CF11967">
            <w:pPr>
              <w:jc w:val="center"/>
            </w:pPr>
            <w:r>
              <w:rPr>
                <w:color w:val="000000"/>
                <w:sz w:val="22"/>
                <w:szCs w:val="22"/>
              </w:rPr>
              <w:t>$2,727.40</w:t>
            </w:r>
          </w:p>
        </w:tc>
      </w:tr>
      <w:tr w:rsidRPr="0095154A" w:rsidR="00323B7D" w:rsidTr="0015417C" w14:paraId="6D041EDF" w14:textId="77777777">
        <w:tc>
          <w:tcPr>
            <w:tcW w:w="4117" w:type="dxa"/>
            <w:shd w:val="clear" w:color="auto" w:fill="auto"/>
            <w:tcMar>
              <w:top w:w="0" w:type="dxa"/>
              <w:left w:w="108" w:type="dxa"/>
              <w:bottom w:w="0" w:type="dxa"/>
              <w:right w:w="108" w:type="dxa"/>
            </w:tcMar>
            <w:vAlign w:val="center"/>
          </w:tcPr>
          <w:p w:rsidRPr="0095154A" w:rsidR="00323B7D" w:rsidP="0087727C" w:rsidRDefault="00323B7D" w14:paraId="64CFCD7D" w14:textId="75802D87">
            <w:r w:rsidRPr="0095154A">
              <w:t xml:space="preserve">Appendix </w:t>
            </w:r>
            <w:r>
              <w:t>E</w:t>
            </w:r>
            <w:r w:rsidRPr="0095154A">
              <w:t xml:space="preserve">: </w:t>
            </w:r>
            <w:r w:rsidRPr="00EB5489">
              <w:rPr>
                <w:u w:val="single"/>
              </w:rPr>
              <w:t>Post-test Evaluation Interview Protocol</w:t>
            </w:r>
          </w:p>
        </w:tc>
        <w:tc>
          <w:tcPr>
            <w:tcW w:w="990" w:type="dxa"/>
            <w:shd w:val="clear" w:color="auto" w:fill="auto"/>
            <w:tcMar>
              <w:top w:w="0" w:type="dxa"/>
              <w:left w:w="108" w:type="dxa"/>
              <w:bottom w:w="0" w:type="dxa"/>
              <w:right w:w="108" w:type="dxa"/>
            </w:tcMar>
            <w:vAlign w:val="center"/>
          </w:tcPr>
          <w:p w:rsidRPr="0095154A" w:rsidR="00323B7D" w:rsidP="0087727C" w:rsidRDefault="00323B7D" w14:paraId="2AC9B7F1" w14:textId="6A7A88FE">
            <w:pPr>
              <w:jc w:val="center"/>
            </w:pPr>
            <w:r>
              <w:t>20</w:t>
            </w:r>
          </w:p>
        </w:tc>
        <w:tc>
          <w:tcPr>
            <w:tcW w:w="1620" w:type="dxa"/>
            <w:shd w:val="clear" w:color="auto" w:fill="auto"/>
            <w:tcMar>
              <w:top w:w="0" w:type="dxa"/>
              <w:left w:w="108" w:type="dxa"/>
              <w:bottom w:w="0" w:type="dxa"/>
              <w:right w:w="108" w:type="dxa"/>
            </w:tcMar>
            <w:vAlign w:val="center"/>
          </w:tcPr>
          <w:p w:rsidRPr="002A0045" w:rsidR="00323B7D" w:rsidP="0087727C" w:rsidRDefault="00323B7D" w14:paraId="17A25339" w14:textId="515F7F90">
            <w:pPr>
              <w:jc w:val="center"/>
              <w:rPr>
                <w:vertAlign w:val="superscript"/>
              </w:rPr>
            </w:pPr>
            <w:r>
              <w:rPr>
                <w:color w:val="000000"/>
              </w:rPr>
              <w:t>$136.37</w:t>
            </w:r>
            <w:r>
              <w:rPr>
                <w:color w:val="000000"/>
                <w:vertAlign w:val="superscript"/>
              </w:rPr>
              <w:t>b</w:t>
            </w:r>
          </w:p>
        </w:tc>
        <w:tc>
          <w:tcPr>
            <w:tcW w:w="2070" w:type="dxa"/>
            <w:shd w:val="clear" w:color="auto" w:fill="auto"/>
            <w:tcMar>
              <w:top w:w="0" w:type="dxa"/>
              <w:left w:w="108" w:type="dxa"/>
              <w:bottom w:w="0" w:type="dxa"/>
              <w:right w:w="108" w:type="dxa"/>
            </w:tcMar>
            <w:vAlign w:val="center"/>
          </w:tcPr>
          <w:p w:rsidRPr="0095154A" w:rsidR="00323B7D" w:rsidP="0087727C" w:rsidRDefault="00323B7D" w14:paraId="495F6DCD" w14:textId="3DBA8633">
            <w:pPr>
              <w:jc w:val="center"/>
            </w:pPr>
            <w:r>
              <w:rPr>
                <w:color w:val="000000"/>
                <w:sz w:val="22"/>
                <w:szCs w:val="22"/>
              </w:rPr>
              <w:t>$2,727.40</w:t>
            </w:r>
          </w:p>
        </w:tc>
      </w:tr>
      <w:tr w:rsidRPr="0095154A" w:rsidR="00323B7D" w:rsidTr="0015417C" w14:paraId="2587A96C" w14:textId="77777777">
        <w:tc>
          <w:tcPr>
            <w:tcW w:w="4117" w:type="dxa"/>
            <w:shd w:val="clear" w:color="auto" w:fill="auto"/>
            <w:tcMar>
              <w:top w:w="0" w:type="dxa"/>
              <w:left w:w="108" w:type="dxa"/>
              <w:bottom w:w="0" w:type="dxa"/>
              <w:right w:w="108" w:type="dxa"/>
            </w:tcMar>
            <w:vAlign w:val="center"/>
          </w:tcPr>
          <w:p w:rsidRPr="0095154A" w:rsidR="00323B7D" w:rsidP="0087727C" w:rsidRDefault="00323B7D" w14:paraId="52214334" w14:textId="6B443601">
            <w:r w:rsidRPr="0095154A">
              <w:t xml:space="preserve">Appendix </w:t>
            </w:r>
            <w:r>
              <w:t xml:space="preserve">F: </w:t>
            </w:r>
            <w:r w:rsidRPr="00EB5489">
              <w:rPr>
                <w:u w:val="single"/>
              </w:rPr>
              <w:t>Team Questionnaire</w:t>
            </w:r>
          </w:p>
        </w:tc>
        <w:tc>
          <w:tcPr>
            <w:tcW w:w="990" w:type="dxa"/>
            <w:shd w:val="clear" w:color="auto" w:fill="auto"/>
            <w:tcMar>
              <w:top w:w="0" w:type="dxa"/>
              <w:left w:w="108" w:type="dxa"/>
              <w:bottom w:w="0" w:type="dxa"/>
              <w:right w:w="108" w:type="dxa"/>
            </w:tcMar>
            <w:vAlign w:val="center"/>
          </w:tcPr>
          <w:p w:rsidRPr="0095154A" w:rsidR="00323B7D" w:rsidP="0087727C" w:rsidRDefault="00323B7D" w14:paraId="088C9282" w14:textId="6DC263F1">
            <w:pPr>
              <w:jc w:val="center"/>
            </w:pPr>
            <w:r>
              <w:t>5</w:t>
            </w:r>
          </w:p>
        </w:tc>
        <w:tc>
          <w:tcPr>
            <w:tcW w:w="1620" w:type="dxa"/>
            <w:shd w:val="clear" w:color="auto" w:fill="auto"/>
            <w:tcMar>
              <w:top w:w="0" w:type="dxa"/>
              <w:left w:w="108" w:type="dxa"/>
              <w:bottom w:w="0" w:type="dxa"/>
              <w:right w:w="108" w:type="dxa"/>
            </w:tcMar>
            <w:vAlign w:val="center"/>
          </w:tcPr>
          <w:p w:rsidRPr="002A0045" w:rsidR="00323B7D" w:rsidP="0087727C" w:rsidRDefault="00323B7D" w14:paraId="13DD33C3" w14:textId="57ADAA54">
            <w:pPr>
              <w:jc w:val="center"/>
              <w:rPr>
                <w:rStyle w:val="CommentReference"/>
                <w:vertAlign w:val="superscript"/>
              </w:rPr>
            </w:pPr>
            <w:r>
              <w:rPr>
                <w:color w:val="000000"/>
              </w:rPr>
              <w:t>$57.61</w:t>
            </w:r>
            <w:r>
              <w:rPr>
                <w:color w:val="000000"/>
                <w:vertAlign w:val="superscript"/>
              </w:rPr>
              <w:t>a</w:t>
            </w:r>
          </w:p>
        </w:tc>
        <w:tc>
          <w:tcPr>
            <w:tcW w:w="2070" w:type="dxa"/>
            <w:shd w:val="clear" w:color="auto" w:fill="auto"/>
            <w:tcMar>
              <w:top w:w="0" w:type="dxa"/>
              <w:left w:w="108" w:type="dxa"/>
              <w:bottom w:w="0" w:type="dxa"/>
              <w:right w:w="108" w:type="dxa"/>
            </w:tcMar>
            <w:vAlign w:val="center"/>
          </w:tcPr>
          <w:p w:rsidRPr="0095154A" w:rsidR="00323B7D" w:rsidP="0087727C" w:rsidRDefault="00323B7D" w14:paraId="28176B9A" w14:textId="4C557066">
            <w:pPr>
              <w:jc w:val="center"/>
            </w:pPr>
            <w:r>
              <w:rPr>
                <w:color w:val="000000"/>
                <w:sz w:val="22"/>
                <w:szCs w:val="22"/>
              </w:rPr>
              <w:t>$288.05</w:t>
            </w:r>
          </w:p>
        </w:tc>
      </w:tr>
      <w:tr w:rsidRPr="0095154A" w:rsidR="00323B7D" w:rsidTr="0015417C" w14:paraId="67A9000E" w14:textId="77777777">
        <w:tc>
          <w:tcPr>
            <w:tcW w:w="4117" w:type="dxa"/>
            <w:shd w:val="clear" w:color="auto" w:fill="auto"/>
            <w:tcMar>
              <w:top w:w="0" w:type="dxa"/>
              <w:left w:w="108" w:type="dxa"/>
              <w:bottom w:w="0" w:type="dxa"/>
              <w:right w:w="108" w:type="dxa"/>
            </w:tcMar>
            <w:vAlign w:val="center"/>
          </w:tcPr>
          <w:p w:rsidRPr="0095154A" w:rsidR="00323B7D" w:rsidP="0087727C" w:rsidRDefault="00323B7D" w14:paraId="764D6FF0" w14:textId="53E7DDC8">
            <w:r>
              <w:t xml:space="preserve">Appendix G: </w:t>
            </w:r>
            <w:r w:rsidRPr="00EB5489">
              <w:rPr>
                <w:u w:val="single"/>
              </w:rPr>
              <w:t>Case Review Summary Form</w:t>
            </w:r>
          </w:p>
        </w:tc>
        <w:tc>
          <w:tcPr>
            <w:tcW w:w="990" w:type="dxa"/>
            <w:shd w:val="clear" w:color="auto" w:fill="auto"/>
            <w:tcMar>
              <w:top w:w="0" w:type="dxa"/>
              <w:left w:w="108" w:type="dxa"/>
              <w:bottom w:w="0" w:type="dxa"/>
              <w:right w:w="108" w:type="dxa"/>
            </w:tcMar>
            <w:vAlign w:val="center"/>
          </w:tcPr>
          <w:p w:rsidR="00323B7D" w:rsidP="0087727C" w:rsidRDefault="00323B7D" w14:paraId="1BDC37B5" w14:textId="5576C45F">
            <w:pPr>
              <w:jc w:val="center"/>
            </w:pPr>
            <w:r>
              <w:t>15</w:t>
            </w:r>
          </w:p>
        </w:tc>
        <w:tc>
          <w:tcPr>
            <w:tcW w:w="1620" w:type="dxa"/>
            <w:shd w:val="clear" w:color="auto" w:fill="auto"/>
            <w:tcMar>
              <w:top w:w="0" w:type="dxa"/>
              <w:left w:w="108" w:type="dxa"/>
              <w:bottom w:w="0" w:type="dxa"/>
              <w:right w:w="108" w:type="dxa"/>
            </w:tcMar>
            <w:vAlign w:val="center"/>
          </w:tcPr>
          <w:p w:rsidRPr="00120DA2" w:rsidR="00323B7D" w:rsidP="0087727C" w:rsidRDefault="00323B7D" w14:paraId="6A51CCF4" w14:textId="5264AE63">
            <w:pPr>
              <w:jc w:val="center"/>
              <w:rPr>
                <w:color w:val="000000"/>
                <w:vertAlign w:val="superscript"/>
              </w:rPr>
            </w:pPr>
            <w:r>
              <w:rPr>
                <w:color w:val="000000"/>
              </w:rPr>
              <w:t>$136.37</w:t>
            </w:r>
            <w:r>
              <w:rPr>
                <w:color w:val="000000"/>
                <w:vertAlign w:val="superscript"/>
              </w:rPr>
              <w:t>b</w:t>
            </w:r>
          </w:p>
        </w:tc>
        <w:tc>
          <w:tcPr>
            <w:tcW w:w="2070" w:type="dxa"/>
            <w:shd w:val="clear" w:color="auto" w:fill="auto"/>
            <w:tcMar>
              <w:top w:w="0" w:type="dxa"/>
              <w:left w:w="108" w:type="dxa"/>
              <w:bottom w:w="0" w:type="dxa"/>
              <w:right w:w="108" w:type="dxa"/>
            </w:tcMar>
            <w:vAlign w:val="center"/>
          </w:tcPr>
          <w:p w:rsidR="00323B7D" w:rsidP="0087727C" w:rsidRDefault="00323B7D" w14:paraId="5F30A14D" w14:textId="419AB4C2">
            <w:pPr>
              <w:jc w:val="center"/>
              <w:rPr>
                <w:color w:val="000000"/>
                <w:sz w:val="22"/>
                <w:szCs w:val="22"/>
              </w:rPr>
            </w:pPr>
            <w:r>
              <w:rPr>
                <w:color w:val="000000"/>
                <w:sz w:val="22"/>
                <w:szCs w:val="22"/>
              </w:rPr>
              <w:t>$2,045.60</w:t>
            </w:r>
          </w:p>
        </w:tc>
      </w:tr>
      <w:tr w:rsidRPr="0095154A" w:rsidR="00323B7D" w:rsidTr="0015417C" w14:paraId="09ACB8E8" w14:textId="77777777">
        <w:tc>
          <w:tcPr>
            <w:tcW w:w="4117" w:type="dxa"/>
            <w:shd w:val="clear" w:color="auto" w:fill="auto"/>
            <w:tcMar>
              <w:top w:w="0" w:type="dxa"/>
              <w:left w:w="108" w:type="dxa"/>
              <w:bottom w:w="0" w:type="dxa"/>
              <w:right w:w="108" w:type="dxa"/>
            </w:tcMar>
            <w:vAlign w:val="center"/>
          </w:tcPr>
          <w:p w:rsidR="00323B7D" w:rsidP="0087727C" w:rsidRDefault="00323B7D" w14:paraId="16721CD9" w14:textId="6D196826">
            <w:r>
              <w:t xml:space="preserve">Appendix H: </w:t>
            </w:r>
            <w:r w:rsidRPr="00EB5489">
              <w:rPr>
                <w:u w:val="single"/>
              </w:rPr>
              <w:t>ECHO Call Protocol</w:t>
            </w:r>
          </w:p>
        </w:tc>
        <w:tc>
          <w:tcPr>
            <w:tcW w:w="990" w:type="dxa"/>
            <w:shd w:val="clear" w:color="auto" w:fill="auto"/>
            <w:tcMar>
              <w:top w:w="0" w:type="dxa"/>
              <w:left w:w="108" w:type="dxa"/>
              <w:bottom w:w="0" w:type="dxa"/>
              <w:right w:w="108" w:type="dxa"/>
            </w:tcMar>
            <w:vAlign w:val="center"/>
          </w:tcPr>
          <w:p w:rsidR="00323B7D" w:rsidP="0087727C" w:rsidRDefault="00323B7D" w14:paraId="7724CDD0" w14:textId="62CFA4CC">
            <w:pPr>
              <w:jc w:val="center"/>
            </w:pPr>
            <w:r>
              <w:t>60</w:t>
            </w:r>
          </w:p>
        </w:tc>
        <w:tc>
          <w:tcPr>
            <w:tcW w:w="1620" w:type="dxa"/>
            <w:shd w:val="clear" w:color="auto" w:fill="auto"/>
            <w:tcMar>
              <w:top w:w="0" w:type="dxa"/>
              <w:left w:w="108" w:type="dxa"/>
              <w:bottom w:w="0" w:type="dxa"/>
              <w:right w:w="108" w:type="dxa"/>
            </w:tcMar>
            <w:vAlign w:val="center"/>
          </w:tcPr>
          <w:p w:rsidRPr="00120DA2" w:rsidR="00323B7D" w:rsidP="0087727C" w:rsidRDefault="00323B7D" w14:paraId="59F88A8A" w14:textId="7B82E5BA">
            <w:pPr>
              <w:jc w:val="center"/>
              <w:rPr>
                <w:color w:val="000000"/>
                <w:vertAlign w:val="superscript"/>
              </w:rPr>
            </w:pPr>
            <w:r>
              <w:rPr>
                <w:color w:val="000000"/>
              </w:rPr>
              <w:t>$57.61</w:t>
            </w:r>
            <w:r>
              <w:rPr>
                <w:color w:val="000000"/>
                <w:vertAlign w:val="superscript"/>
              </w:rPr>
              <w:t>a</w:t>
            </w:r>
          </w:p>
        </w:tc>
        <w:tc>
          <w:tcPr>
            <w:tcW w:w="2070" w:type="dxa"/>
            <w:shd w:val="clear" w:color="auto" w:fill="auto"/>
            <w:tcMar>
              <w:top w:w="0" w:type="dxa"/>
              <w:left w:w="108" w:type="dxa"/>
              <w:bottom w:w="0" w:type="dxa"/>
              <w:right w:w="108" w:type="dxa"/>
            </w:tcMar>
            <w:vAlign w:val="center"/>
          </w:tcPr>
          <w:p w:rsidR="00323B7D" w:rsidP="0087727C" w:rsidRDefault="00323B7D" w14:paraId="2EE7B237" w14:textId="00E5114D">
            <w:pPr>
              <w:jc w:val="center"/>
              <w:rPr>
                <w:color w:val="000000"/>
                <w:sz w:val="22"/>
                <w:szCs w:val="22"/>
              </w:rPr>
            </w:pPr>
            <w:r>
              <w:rPr>
                <w:color w:val="000000"/>
                <w:sz w:val="22"/>
                <w:szCs w:val="22"/>
              </w:rPr>
              <w:t>$3,456.60</w:t>
            </w:r>
          </w:p>
        </w:tc>
      </w:tr>
      <w:tr w:rsidRPr="0095154A" w:rsidR="00323B7D" w:rsidTr="0015417C" w14:paraId="4EA40EF8" w14:textId="77777777">
        <w:tc>
          <w:tcPr>
            <w:tcW w:w="4117" w:type="dxa"/>
            <w:shd w:val="clear" w:color="auto" w:fill="auto"/>
            <w:tcMar>
              <w:top w:w="0" w:type="dxa"/>
              <w:left w:w="108" w:type="dxa"/>
              <w:bottom w:w="0" w:type="dxa"/>
              <w:right w:w="108" w:type="dxa"/>
            </w:tcMar>
            <w:vAlign w:val="center"/>
          </w:tcPr>
          <w:p w:rsidRPr="0095154A" w:rsidR="00323B7D" w:rsidP="0087727C" w:rsidRDefault="00323B7D" w14:paraId="607B49BB" w14:textId="77777777">
            <w:pPr>
              <w:rPr>
                <w:b/>
              </w:rPr>
            </w:pPr>
            <w:r w:rsidRPr="0095154A">
              <w:rPr>
                <w:b/>
              </w:rPr>
              <w:t>Total</w:t>
            </w:r>
          </w:p>
        </w:tc>
        <w:tc>
          <w:tcPr>
            <w:tcW w:w="990" w:type="dxa"/>
            <w:shd w:val="clear" w:color="auto" w:fill="auto"/>
            <w:tcMar>
              <w:top w:w="0" w:type="dxa"/>
              <w:left w:w="108" w:type="dxa"/>
              <w:bottom w:w="0" w:type="dxa"/>
              <w:right w:w="108" w:type="dxa"/>
            </w:tcMar>
            <w:vAlign w:val="center"/>
          </w:tcPr>
          <w:p w:rsidRPr="007E3EE7" w:rsidR="00323B7D" w:rsidP="0087727C" w:rsidRDefault="00323B7D" w14:paraId="4AC863D2" w14:textId="11E43896">
            <w:pPr>
              <w:jc w:val="center"/>
              <w:rPr>
                <w:b/>
                <w:bCs/>
              </w:rPr>
            </w:pPr>
            <w:r>
              <w:rPr>
                <w:b/>
                <w:bCs/>
              </w:rPr>
              <w:t>140</w:t>
            </w:r>
          </w:p>
        </w:tc>
        <w:tc>
          <w:tcPr>
            <w:tcW w:w="1620" w:type="dxa"/>
            <w:shd w:val="clear" w:color="auto" w:fill="auto"/>
            <w:tcMar>
              <w:top w:w="0" w:type="dxa"/>
              <w:left w:w="108" w:type="dxa"/>
              <w:bottom w:w="0" w:type="dxa"/>
              <w:right w:w="108" w:type="dxa"/>
            </w:tcMar>
            <w:vAlign w:val="center"/>
          </w:tcPr>
          <w:p w:rsidRPr="0095154A" w:rsidR="00323B7D" w:rsidP="0087727C" w:rsidRDefault="00323B7D" w14:paraId="04AA47A2" w14:textId="77777777">
            <w:pPr>
              <w:jc w:val="center"/>
              <w:rPr>
                <w:b/>
              </w:rPr>
            </w:pPr>
            <w:r w:rsidRPr="0095154A">
              <w:rPr>
                <w:b/>
              </w:rPr>
              <w:t>NA</w:t>
            </w:r>
          </w:p>
        </w:tc>
        <w:tc>
          <w:tcPr>
            <w:tcW w:w="2070" w:type="dxa"/>
            <w:shd w:val="clear" w:color="auto" w:fill="auto"/>
            <w:tcMar>
              <w:top w:w="0" w:type="dxa"/>
              <w:left w:w="108" w:type="dxa"/>
              <w:bottom w:w="0" w:type="dxa"/>
              <w:right w:w="108" w:type="dxa"/>
            </w:tcMar>
            <w:vAlign w:val="center"/>
          </w:tcPr>
          <w:p w:rsidRPr="0095154A" w:rsidR="00323B7D" w:rsidP="0087727C" w:rsidRDefault="00323B7D" w14:paraId="138ACB40" w14:textId="51A9302C">
            <w:pPr>
              <w:jc w:val="center"/>
              <w:rPr>
                <w:b/>
                <w:bCs/>
              </w:rPr>
            </w:pPr>
            <w:r>
              <w:rPr>
                <w:b/>
                <w:bCs/>
              </w:rPr>
              <w:t>$12,397.25</w:t>
            </w:r>
          </w:p>
        </w:tc>
      </w:tr>
    </w:tbl>
    <w:p w:rsidRPr="0095154A" w:rsidR="004A4241" w:rsidP="004A4241" w:rsidRDefault="004A4241" w14:paraId="06DF2D31" w14:textId="49B4D111">
      <w:pPr>
        <w:tabs>
          <w:tab w:val="left" w:pos="180"/>
        </w:tabs>
        <w:ind w:left="180" w:hanging="180"/>
      </w:pPr>
      <w:r w:rsidRPr="0095154A">
        <w:rPr>
          <w:color w:val="000000"/>
          <w:sz w:val="20"/>
          <w:szCs w:val="20"/>
        </w:rPr>
        <w:t>*</w:t>
      </w:r>
      <w:r w:rsidRPr="0095154A">
        <w:rPr>
          <w:color w:val="000000"/>
          <w:sz w:val="20"/>
          <w:szCs w:val="20"/>
        </w:rPr>
        <w:tab/>
        <w:t>National Compensation Survey: Occupational wages in the United States May 20</w:t>
      </w:r>
      <w:r w:rsidR="00120DA2">
        <w:rPr>
          <w:color w:val="000000"/>
          <w:sz w:val="20"/>
          <w:szCs w:val="20"/>
        </w:rPr>
        <w:t>2</w:t>
      </w:r>
      <w:r w:rsidRPr="0095154A">
        <w:rPr>
          <w:color w:val="000000"/>
          <w:sz w:val="20"/>
          <w:szCs w:val="20"/>
        </w:rPr>
        <w:t>1 “U.S. Department of Labor, Bureau of Labor Statistics.”</w:t>
      </w:r>
      <w:r w:rsidR="00120DA2">
        <w:rPr>
          <w:color w:val="000000"/>
          <w:sz w:val="20"/>
          <w:szCs w:val="20"/>
        </w:rPr>
        <w:t xml:space="preserve"> (</w:t>
      </w:r>
      <w:r w:rsidRPr="00120DA2" w:rsidR="00120DA2">
        <w:rPr>
          <w:color w:val="000000"/>
          <w:sz w:val="20"/>
          <w:szCs w:val="20"/>
        </w:rPr>
        <w:t>https://www.bls.gov/oes/current/oes_nat.htm#29-0000</w:t>
      </w:r>
      <w:r w:rsidR="00120DA2">
        <w:rPr>
          <w:color w:val="000000"/>
          <w:sz w:val="20"/>
          <w:szCs w:val="20"/>
        </w:rPr>
        <w:t>)</w:t>
      </w:r>
    </w:p>
    <w:p w:rsidRPr="0095154A" w:rsidR="004A4241" w:rsidP="004A4241" w:rsidRDefault="004A4241" w14:paraId="3AD57643" w14:textId="77777777">
      <w:pPr>
        <w:rPr>
          <w:color w:val="000000"/>
          <w:sz w:val="20"/>
          <w:szCs w:val="20"/>
        </w:rPr>
      </w:pPr>
      <w:proofErr w:type="gramStart"/>
      <w:r w:rsidRPr="0095154A">
        <w:rPr>
          <w:vertAlign w:val="superscript"/>
        </w:rPr>
        <w:t>a</w:t>
      </w:r>
      <w:r w:rsidRPr="0095154A">
        <w:rPr>
          <w:b/>
        </w:rPr>
        <w:t xml:space="preserve">  </w:t>
      </w:r>
      <w:r w:rsidRPr="0095154A">
        <w:rPr>
          <w:color w:val="000000"/>
          <w:sz w:val="20"/>
          <w:szCs w:val="20"/>
        </w:rPr>
        <w:t>Based</w:t>
      </w:r>
      <w:proofErr w:type="gramEnd"/>
      <w:r w:rsidRPr="0095154A">
        <w:rPr>
          <w:color w:val="000000"/>
          <w:sz w:val="20"/>
          <w:szCs w:val="20"/>
        </w:rPr>
        <w:t xml:space="preserve"> on the mean wages for </w:t>
      </w:r>
      <w:r w:rsidRPr="0095154A">
        <w:rPr>
          <w:i/>
          <w:color w:val="000000"/>
          <w:sz w:val="20"/>
          <w:szCs w:val="20"/>
        </w:rPr>
        <w:t xml:space="preserve">Medical and Health Services Managers (Code </w:t>
      </w:r>
      <w:r w:rsidRPr="0095154A">
        <w:rPr>
          <w:i/>
          <w:sz w:val="20"/>
          <w:szCs w:val="20"/>
        </w:rPr>
        <w:t>11-9111)</w:t>
      </w:r>
    </w:p>
    <w:p w:rsidRPr="0095154A" w:rsidR="004A4241" w:rsidP="004A4241" w:rsidRDefault="33FC3519" w14:paraId="2A26AA6E" w14:textId="1CC94AC3">
      <w:pPr>
        <w:rPr>
          <w:sz w:val="20"/>
          <w:szCs w:val="20"/>
        </w:rPr>
      </w:pPr>
      <w:proofErr w:type="gramStart"/>
      <w:r w:rsidRPr="33FC3519">
        <w:rPr>
          <w:sz w:val="20"/>
          <w:szCs w:val="20"/>
          <w:vertAlign w:val="superscript"/>
        </w:rPr>
        <w:t>b</w:t>
      </w:r>
      <w:r w:rsidRPr="33FC3519">
        <w:rPr>
          <w:sz w:val="20"/>
          <w:szCs w:val="20"/>
        </w:rPr>
        <w:t xml:space="preserve">  Based</w:t>
      </w:r>
      <w:proofErr w:type="gramEnd"/>
      <w:r w:rsidRPr="33FC3519">
        <w:rPr>
          <w:sz w:val="20"/>
          <w:szCs w:val="20"/>
        </w:rPr>
        <w:t xml:space="preserve"> on the mean wages for </w:t>
      </w:r>
      <w:r w:rsidRPr="33FC3519">
        <w:rPr>
          <w:i/>
          <w:iCs/>
          <w:sz w:val="20"/>
          <w:szCs w:val="20"/>
        </w:rPr>
        <w:t>Physicians (broad) (Code 29-1210)</w:t>
      </w:r>
    </w:p>
    <w:p w:rsidRPr="0095154A" w:rsidR="004A4241" w:rsidP="004A4241" w:rsidRDefault="004A4241" w14:paraId="2864F961" w14:textId="77777777">
      <w:pPr>
        <w:rPr>
          <w:i/>
          <w:color w:val="000000"/>
          <w:sz w:val="20"/>
          <w:szCs w:val="20"/>
        </w:rPr>
      </w:pPr>
    </w:p>
    <w:p w:rsidRPr="0095154A" w:rsidR="00302B0E" w:rsidP="00302B0E" w:rsidRDefault="00302B0E" w14:paraId="6CBCF16E" w14:textId="77777777">
      <w:pPr>
        <w:rPr>
          <w:i/>
          <w:color w:val="000000"/>
          <w:sz w:val="20"/>
          <w:szCs w:val="20"/>
        </w:rPr>
      </w:pPr>
    </w:p>
    <w:p w:rsidRPr="0095154A" w:rsidR="00302B0E" w:rsidP="00302B0E" w:rsidRDefault="00302B0E" w14:paraId="2786EF04" w14:textId="77777777">
      <w:pPr>
        <w:pStyle w:val="Heading2"/>
        <w:rPr>
          <w:rFonts w:ascii="Times New Roman" w:hAnsi="Times New Roman" w:cs="Times New Roman"/>
          <w:sz w:val="24"/>
        </w:rPr>
      </w:pPr>
      <w:bookmarkStart w:name="_Toc151782188" w:id="33"/>
      <w:bookmarkStart w:name="_Toc158526228" w:id="34"/>
      <w:bookmarkStart w:name="_Toc151782191" w:id="35"/>
      <w:bookmarkStart w:name="_Toc158526231" w:id="36"/>
      <w:bookmarkEnd w:id="32"/>
      <w:r w:rsidRPr="0095154A">
        <w:rPr>
          <w:rFonts w:ascii="Times New Roman" w:hAnsi="Times New Roman" w:cs="Times New Roman"/>
          <w:sz w:val="24"/>
        </w:rPr>
        <w:t>13. Estimates of Annualized Respondent Capital and Maintenance Costs</w:t>
      </w:r>
      <w:bookmarkEnd w:id="33"/>
      <w:bookmarkEnd w:id="34"/>
    </w:p>
    <w:p w:rsidRPr="0095154A" w:rsidR="00096243" w:rsidP="00302B0E" w:rsidRDefault="00302B0E" w14:paraId="56BB48B6" w14:textId="7F6838DF">
      <w:pPr>
        <w:spacing w:before="120"/>
      </w:pPr>
      <w:r w:rsidRPr="0095154A">
        <w:t>There are no direct costs to respondents other than their time to participate in the study.</w:t>
      </w:r>
    </w:p>
    <w:p w:rsidRPr="00FB5F5A" w:rsidR="00302B0E" w:rsidP="00302B0E" w:rsidRDefault="00302B0E" w14:paraId="62FC24C0" w14:textId="77777777">
      <w:pPr>
        <w:pStyle w:val="Heading2"/>
        <w:rPr>
          <w:rFonts w:ascii="Times New Roman" w:hAnsi="Times New Roman" w:cs="Times New Roman"/>
          <w:sz w:val="24"/>
        </w:rPr>
      </w:pPr>
      <w:bookmarkStart w:name="_Toc58725299" w:id="37"/>
      <w:bookmarkStart w:name="_Toc151782189" w:id="38"/>
      <w:bookmarkStart w:name="_Toc158526229" w:id="39"/>
      <w:r w:rsidRPr="00FB5F5A">
        <w:rPr>
          <w:rFonts w:ascii="Times New Roman" w:hAnsi="Times New Roman" w:cs="Times New Roman"/>
          <w:sz w:val="24"/>
        </w:rPr>
        <w:t>14. Estimates of Total and Annualized Cost to the Government</w:t>
      </w:r>
      <w:bookmarkEnd w:id="37"/>
      <w:bookmarkEnd w:id="38"/>
      <w:bookmarkEnd w:id="39"/>
    </w:p>
    <w:p w:rsidRPr="00096243" w:rsidR="00302B0E" w:rsidP="00302B0E" w:rsidRDefault="00302B0E" w14:paraId="7E1AB695" w14:textId="1DF6E56D">
      <w:pPr>
        <w:spacing w:before="120"/>
      </w:pPr>
      <w:r w:rsidRPr="00FB5F5A">
        <w:t>The total contractor cost to the government is estimated to be $20</w:t>
      </w:r>
      <w:r w:rsidR="0012752A">
        <w:t>5</w:t>
      </w:r>
      <w:r w:rsidRPr="00FB5F5A">
        <w:t>,738.56. As shown in Exhibit 3a, this amount includes costs for project development ($18,812.50);</w:t>
      </w:r>
      <w:r w:rsidR="0012752A">
        <w:t xml:space="preserve"> publication of results ($3,000);</w:t>
      </w:r>
      <w:r w:rsidRPr="00FB5F5A">
        <w:t xml:space="preserve"> data collection activities ($93,152.31); data processing and analysis ($24,178.47)</w:t>
      </w:r>
      <w:r w:rsidR="0012752A">
        <w:t>;</w:t>
      </w:r>
      <w:r w:rsidRPr="00FB5F5A">
        <w:t xml:space="preserve"> project management ($18,812.50) and overhead ($47,782.78).</w:t>
      </w:r>
      <w:r w:rsidRPr="00096243">
        <w:t xml:space="preserve"> </w:t>
      </w:r>
    </w:p>
    <w:p w:rsidRPr="00096243" w:rsidR="00302B0E" w:rsidP="00302B0E" w:rsidRDefault="00302B0E" w14:paraId="61DB745A" w14:textId="77777777"/>
    <w:p w:rsidRPr="00FB5F5A" w:rsidR="00302B0E" w:rsidP="00302B0E" w:rsidRDefault="00302B0E" w14:paraId="3B0B9536" w14:textId="77777777">
      <w:bookmarkStart w:name="_Toc151782190" w:id="40"/>
      <w:bookmarkStart w:name="_Toc158526230" w:id="41"/>
      <w:r w:rsidRPr="00FB5F5A">
        <w:rPr>
          <w:b/>
          <w:bCs/>
          <w:color w:val="000000" w:themeColor="text1"/>
        </w:rPr>
        <w:t>Exhibit 3a.  Estimated Total and Annualized Cost</w:t>
      </w:r>
    </w:p>
    <w:tbl>
      <w:tblPr>
        <w:tblW w:w="0" w:type="auto"/>
        <w:tblInd w:w="108" w:type="dxa"/>
        <w:tblCellMar>
          <w:left w:w="0" w:type="dxa"/>
          <w:right w:w="0" w:type="dxa"/>
        </w:tblCellMar>
        <w:tblLook w:val="0000" w:firstRow="0" w:lastRow="0" w:firstColumn="0" w:lastColumn="0" w:noHBand="0" w:noVBand="0"/>
      </w:tblPr>
      <w:tblGrid>
        <w:gridCol w:w="3600"/>
        <w:gridCol w:w="2496"/>
        <w:gridCol w:w="2904"/>
      </w:tblGrid>
      <w:tr w:rsidRPr="00096243" w:rsidR="00302B0E" w:rsidTr="6DCA7CB0" w14:paraId="184BF6E9" w14:textId="77777777">
        <w:trPr>
          <w:trHeight w:val="313"/>
        </w:trPr>
        <w:tc>
          <w:tcPr>
            <w:tcW w:w="36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FB5F5A" w:rsidR="00302B0E" w:rsidP="0087727C" w:rsidRDefault="00302B0E" w14:paraId="4667FD67" w14:textId="77777777">
            <w:pPr>
              <w:rPr>
                <w:b/>
              </w:rPr>
            </w:pPr>
            <w:r w:rsidRPr="00FB5F5A">
              <w:rPr>
                <w:b/>
                <w:color w:val="000000"/>
              </w:rPr>
              <w:t xml:space="preserve">Cost Component </w:t>
            </w:r>
          </w:p>
        </w:tc>
        <w:tc>
          <w:tcPr>
            <w:tcW w:w="24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00302B0E" w14:paraId="1E712885" w14:textId="77777777">
            <w:pPr>
              <w:jc w:val="center"/>
              <w:rPr>
                <w:b/>
              </w:rPr>
            </w:pPr>
            <w:r w:rsidRPr="00FB5F5A">
              <w:rPr>
                <w:b/>
              </w:rPr>
              <w:t>Total Cost</w:t>
            </w:r>
          </w:p>
        </w:tc>
        <w:tc>
          <w:tcPr>
            <w:tcW w:w="290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00302B0E" w14:paraId="762C3075" w14:textId="77777777">
            <w:pPr>
              <w:jc w:val="center"/>
              <w:rPr>
                <w:b/>
                <w:bCs/>
              </w:rPr>
            </w:pPr>
            <w:r w:rsidRPr="00FB5F5A">
              <w:rPr>
                <w:b/>
                <w:bCs/>
              </w:rPr>
              <w:t>Annualized Cost</w:t>
            </w:r>
          </w:p>
        </w:tc>
      </w:tr>
      <w:tr w:rsidRPr="00096243" w:rsidR="00302B0E" w:rsidTr="6DCA7CB0" w14:paraId="54C34CD0"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00302B0E" w14:paraId="354C0C9B" w14:textId="77777777">
            <w:r w:rsidRPr="00FB5F5A">
              <w:lastRenderedPageBreak/>
              <w:t>Project Development</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00302B0E" w14:paraId="418C667B" w14:textId="77777777">
            <w:pPr>
              <w:jc w:val="right"/>
            </w:pPr>
            <w:r w:rsidRPr="00FB5F5A">
              <w:rPr>
                <w:color w:val="201F1E"/>
              </w:rPr>
              <w:t>$18,812.50</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00302B0E" w14:paraId="42446429" w14:textId="77777777">
            <w:pPr>
              <w:jc w:val="right"/>
            </w:pPr>
            <w:r w:rsidRPr="00FB5F5A">
              <w:rPr>
                <w:color w:val="201F1E"/>
              </w:rPr>
              <w:t>$18,812.50</w:t>
            </w:r>
          </w:p>
        </w:tc>
      </w:tr>
      <w:tr w:rsidRPr="00096243" w:rsidR="00302B0E" w:rsidTr="6DCA7CB0" w14:paraId="33F2081C"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00302B0E" w14:paraId="6366B22F" w14:textId="77777777">
            <w:r w:rsidRPr="00FB5F5A">
              <w:t>Data Collection Activities</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00302B0E" w14:paraId="75CEA11E" w14:textId="77777777">
            <w:pPr>
              <w:jc w:val="right"/>
            </w:pPr>
            <w:r w:rsidRPr="00FB5F5A">
              <w:rPr>
                <w:color w:val="201F1E"/>
              </w:rPr>
              <w:t>$93,152.31</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00302B0E" w14:paraId="1307F942" w14:textId="77777777">
            <w:pPr>
              <w:jc w:val="right"/>
            </w:pPr>
            <w:r w:rsidRPr="00FB5F5A">
              <w:rPr>
                <w:color w:val="201F1E"/>
              </w:rPr>
              <w:t>$93,152.31</w:t>
            </w:r>
          </w:p>
        </w:tc>
      </w:tr>
      <w:tr w:rsidRPr="00096243" w:rsidR="00302B0E" w:rsidTr="6DCA7CB0" w14:paraId="14025A01"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00302B0E" w14:paraId="672DD750" w14:textId="77777777">
            <w:r w:rsidRPr="00FB5F5A">
              <w:t>Data Processing and Analysis</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00302B0E" w14:paraId="64A9FA4B" w14:textId="77777777">
            <w:pPr>
              <w:jc w:val="right"/>
            </w:pPr>
            <w:r w:rsidRPr="00FB5F5A">
              <w:rPr>
                <w:color w:val="201F1E"/>
              </w:rPr>
              <w:t>$24,178.47</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00302B0E" w14:paraId="67F3EE1A" w14:textId="77777777">
            <w:pPr>
              <w:jc w:val="right"/>
            </w:pPr>
            <w:r w:rsidRPr="00FB5F5A">
              <w:rPr>
                <w:color w:val="201F1E"/>
              </w:rPr>
              <w:t>$24,178.47</w:t>
            </w:r>
          </w:p>
        </w:tc>
      </w:tr>
      <w:tr w:rsidRPr="00096243" w:rsidR="00302B0E" w:rsidTr="6DCA7CB0" w14:paraId="2F0E6941"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00302B0E" w14:paraId="394383D3" w14:textId="77777777">
            <w:r w:rsidRPr="00FB5F5A">
              <w:t>Publication of Results</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00302B0E" w14:paraId="6E24F69D" w14:textId="23D369ED">
            <w:pPr>
              <w:jc w:val="right"/>
            </w:pPr>
            <w:r w:rsidRPr="00FB5F5A">
              <w:t>$</w:t>
            </w:r>
            <w:r w:rsidR="0012752A">
              <w:t>3,000.00</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6DCA7CB0" w14:paraId="1B15D162" w14:textId="7F5CA2AC">
            <w:pPr>
              <w:jc w:val="right"/>
            </w:pPr>
            <w:r>
              <w:t>$3,000.00</w:t>
            </w:r>
          </w:p>
        </w:tc>
      </w:tr>
      <w:tr w:rsidRPr="00096243" w:rsidR="00302B0E" w:rsidTr="6DCA7CB0" w14:paraId="6CD66702"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00302B0E" w14:paraId="56E8B57C" w14:textId="77777777">
            <w:r w:rsidRPr="00FB5F5A">
              <w:t>Project Management</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00302B0E" w14:paraId="38872BD7" w14:textId="77777777">
            <w:pPr>
              <w:jc w:val="right"/>
            </w:pPr>
            <w:r w:rsidRPr="00FB5F5A">
              <w:rPr>
                <w:color w:val="201F1E"/>
              </w:rPr>
              <w:t>$18,812.50</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00302B0E" w14:paraId="34A9B01F" w14:textId="77777777">
            <w:pPr>
              <w:jc w:val="right"/>
            </w:pPr>
            <w:r w:rsidRPr="00FB5F5A">
              <w:rPr>
                <w:color w:val="201F1E"/>
              </w:rPr>
              <w:t>$18,812.50</w:t>
            </w:r>
          </w:p>
        </w:tc>
      </w:tr>
      <w:tr w:rsidRPr="00096243" w:rsidR="00302B0E" w:rsidTr="6DCA7CB0" w14:paraId="330D50CD"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00302B0E" w14:paraId="783A9815" w14:textId="77777777">
            <w:r w:rsidRPr="00FB5F5A">
              <w:t>Overhead</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00302B0E" w14:paraId="7AE94E3E" w14:textId="77777777">
            <w:pPr>
              <w:jc w:val="right"/>
            </w:pPr>
            <w:r w:rsidRPr="00FB5F5A">
              <w:rPr>
                <w:color w:val="201F1E"/>
              </w:rPr>
              <w:t>$47,782.78</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00302B0E" w14:paraId="636BA106" w14:textId="77777777">
            <w:pPr>
              <w:jc w:val="right"/>
            </w:pPr>
            <w:r w:rsidRPr="00FB5F5A">
              <w:rPr>
                <w:color w:val="201F1E"/>
              </w:rPr>
              <w:t>$47,782.78</w:t>
            </w:r>
          </w:p>
        </w:tc>
      </w:tr>
      <w:tr w:rsidRPr="00096243" w:rsidR="00302B0E" w:rsidTr="6DCA7CB0" w14:paraId="12AE3C33"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00302B0E" w14:paraId="20E19859" w14:textId="77777777">
            <w:r w:rsidRPr="00FB5F5A">
              <w:rPr>
                <w:b/>
                <w:bCs/>
                <w:color w:val="000000"/>
              </w:rPr>
              <w:t>Total</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00302B0E" w14:paraId="099E59F0" w14:textId="77FB23FB">
            <w:pPr>
              <w:jc w:val="right"/>
            </w:pPr>
            <w:r w:rsidRPr="00FB5F5A">
              <w:rPr>
                <w:color w:val="201F1E"/>
              </w:rPr>
              <w:t>$20</w:t>
            </w:r>
            <w:r w:rsidR="0012752A">
              <w:rPr>
                <w:color w:val="201F1E"/>
              </w:rPr>
              <w:t>5</w:t>
            </w:r>
            <w:r w:rsidRPr="00FB5F5A">
              <w:rPr>
                <w:color w:val="201F1E"/>
              </w:rPr>
              <w:t>,738.56</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87727C" w:rsidRDefault="00302B0E" w14:paraId="1AED0A3B" w14:textId="3784E64D">
            <w:pPr>
              <w:jc w:val="right"/>
            </w:pPr>
            <w:r w:rsidRPr="00FB5F5A">
              <w:rPr>
                <w:color w:val="201F1E"/>
              </w:rPr>
              <w:t>$20</w:t>
            </w:r>
            <w:r w:rsidR="0012752A">
              <w:rPr>
                <w:color w:val="201F1E"/>
              </w:rPr>
              <w:t>5</w:t>
            </w:r>
            <w:r w:rsidRPr="00FB5F5A">
              <w:rPr>
                <w:color w:val="201F1E"/>
              </w:rPr>
              <w:t>,738.56</w:t>
            </w:r>
          </w:p>
        </w:tc>
      </w:tr>
    </w:tbl>
    <w:p w:rsidRPr="00FB5F5A" w:rsidR="00302B0E" w:rsidP="00302B0E" w:rsidRDefault="00302B0E" w14:paraId="41481DEF" w14:textId="77777777">
      <w:pPr>
        <w:spacing w:before="100" w:beforeAutospacing="1" w:after="100" w:afterAutospacing="1"/>
        <w:rPr>
          <w:b/>
        </w:rPr>
      </w:pPr>
      <w:r w:rsidRPr="00FB5F5A">
        <w:rPr>
          <w:b/>
        </w:rPr>
        <w:t>Exhibit 3b. Federal Government Personnel Cost</w:t>
      </w:r>
    </w:p>
    <w:tbl>
      <w:tblPr>
        <w:tblW w:w="9094" w:type="dxa"/>
        <w:jc w:val="center"/>
        <w:tblLayout w:type="fixed"/>
        <w:tblCellMar>
          <w:left w:w="100" w:type="dxa"/>
          <w:right w:w="100" w:type="dxa"/>
        </w:tblCellMar>
        <w:tblLook w:val="04A0" w:firstRow="1" w:lastRow="0" w:firstColumn="1" w:lastColumn="0" w:noHBand="0" w:noVBand="1"/>
      </w:tblPr>
      <w:tblGrid>
        <w:gridCol w:w="2962"/>
        <w:gridCol w:w="2437"/>
        <w:gridCol w:w="1042"/>
        <w:gridCol w:w="1260"/>
        <w:gridCol w:w="1393"/>
      </w:tblGrid>
      <w:tr w:rsidRPr="00096243" w:rsidR="00302B0E" w:rsidTr="00F062F7" w14:paraId="38138FE8" w14:textId="77777777">
        <w:trPr>
          <w:cantSplit/>
          <w:trHeight w:val="246"/>
          <w:jc w:val="center"/>
        </w:trPr>
        <w:tc>
          <w:tcPr>
            <w:tcW w:w="2962" w:type="dxa"/>
            <w:tcBorders>
              <w:top w:val="single" w:color="auto" w:sz="6" w:space="0"/>
              <w:left w:val="single" w:color="auto" w:sz="6" w:space="0"/>
              <w:bottom w:val="nil"/>
              <w:right w:val="nil"/>
            </w:tcBorders>
            <w:vAlign w:val="bottom"/>
          </w:tcPr>
          <w:p w:rsidRPr="00FB5F5A" w:rsidR="00302B0E" w:rsidP="0087727C" w:rsidRDefault="00302B0E" w14:paraId="06B13684" w14:textId="77777777">
            <w:pPr>
              <w:jc w:val="center"/>
              <w:rPr>
                <w:b/>
                <w:bCs/>
              </w:rPr>
            </w:pPr>
            <w:r w:rsidRPr="00FB5F5A">
              <w:rPr>
                <w:b/>
                <w:bCs/>
              </w:rPr>
              <w:t>Activity</w:t>
            </w:r>
          </w:p>
        </w:tc>
        <w:tc>
          <w:tcPr>
            <w:tcW w:w="2437" w:type="dxa"/>
            <w:tcBorders>
              <w:top w:val="single" w:color="auto" w:sz="6" w:space="0"/>
              <w:left w:val="single" w:color="auto" w:sz="6" w:space="0"/>
              <w:bottom w:val="single" w:color="auto" w:sz="6" w:space="0"/>
              <w:right w:val="nil"/>
            </w:tcBorders>
            <w:vAlign w:val="bottom"/>
          </w:tcPr>
          <w:p w:rsidRPr="00FB5F5A" w:rsidR="00302B0E" w:rsidP="0087727C" w:rsidRDefault="00302B0E" w14:paraId="57850D84" w14:textId="77777777">
            <w:pPr>
              <w:jc w:val="center"/>
              <w:rPr>
                <w:b/>
                <w:bCs/>
              </w:rPr>
            </w:pPr>
            <w:r w:rsidRPr="00FB5F5A">
              <w:rPr>
                <w:b/>
                <w:bCs/>
              </w:rPr>
              <w:t>Federal Personnel</w:t>
            </w:r>
          </w:p>
        </w:tc>
        <w:tc>
          <w:tcPr>
            <w:tcW w:w="1042" w:type="dxa"/>
            <w:tcBorders>
              <w:top w:val="single" w:color="auto" w:sz="6" w:space="0"/>
              <w:left w:val="single" w:color="auto" w:sz="6" w:space="0"/>
              <w:bottom w:val="single" w:color="auto" w:sz="6" w:space="0"/>
              <w:right w:val="single" w:color="auto" w:sz="6" w:space="0"/>
            </w:tcBorders>
            <w:vAlign w:val="bottom"/>
          </w:tcPr>
          <w:p w:rsidRPr="00FB5F5A" w:rsidR="00302B0E" w:rsidP="0087727C" w:rsidRDefault="00302B0E" w14:paraId="26645733" w14:textId="77777777">
            <w:pPr>
              <w:jc w:val="center"/>
              <w:rPr>
                <w:b/>
                <w:bCs/>
              </w:rPr>
            </w:pPr>
            <w:r w:rsidRPr="00FB5F5A">
              <w:rPr>
                <w:b/>
                <w:bCs/>
              </w:rPr>
              <w:t>Hourly Rate</w:t>
            </w:r>
          </w:p>
        </w:tc>
        <w:tc>
          <w:tcPr>
            <w:tcW w:w="1260" w:type="dxa"/>
            <w:tcBorders>
              <w:top w:val="single" w:color="auto" w:sz="6" w:space="0"/>
              <w:left w:val="single" w:color="auto" w:sz="6" w:space="0"/>
              <w:bottom w:val="single" w:color="auto" w:sz="6" w:space="0"/>
              <w:right w:val="nil"/>
            </w:tcBorders>
            <w:vAlign w:val="bottom"/>
          </w:tcPr>
          <w:p w:rsidRPr="00FB5F5A" w:rsidR="00302B0E" w:rsidP="0087727C" w:rsidRDefault="00302B0E" w14:paraId="7271F59F" w14:textId="77777777">
            <w:pPr>
              <w:jc w:val="center"/>
              <w:rPr>
                <w:b/>
                <w:bCs/>
              </w:rPr>
            </w:pPr>
            <w:r w:rsidRPr="00FB5F5A">
              <w:rPr>
                <w:b/>
                <w:bCs/>
              </w:rPr>
              <w:t>Estimated Hours</w:t>
            </w:r>
          </w:p>
        </w:tc>
        <w:tc>
          <w:tcPr>
            <w:tcW w:w="1393" w:type="dxa"/>
            <w:tcBorders>
              <w:top w:val="single" w:color="auto" w:sz="6" w:space="0"/>
              <w:left w:val="single" w:color="auto" w:sz="6" w:space="0"/>
              <w:bottom w:val="single" w:color="auto" w:sz="6" w:space="0"/>
              <w:right w:val="single" w:color="auto" w:sz="6" w:space="0"/>
            </w:tcBorders>
            <w:vAlign w:val="bottom"/>
          </w:tcPr>
          <w:p w:rsidRPr="00FB5F5A" w:rsidR="00302B0E" w:rsidP="0087727C" w:rsidRDefault="00302B0E" w14:paraId="18E8DA83" w14:textId="77777777">
            <w:pPr>
              <w:jc w:val="center"/>
              <w:rPr>
                <w:b/>
                <w:bCs/>
              </w:rPr>
            </w:pPr>
            <w:r w:rsidRPr="00FB5F5A">
              <w:rPr>
                <w:b/>
                <w:bCs/>
              </w:rPr>
              <w:t>Cost</w:t>
            </w:r>
          </w:p>
        </w:tc>
      </w:tr>
      <w:tr w:rsidRPr="00096243" w:rsidR="00906A57" w:rsidTr="00F062F7" w14:paraId="76DE9B21" w14:textId="77777777">
        <w:trPr>
          <w:cantSplit/>
          <w:trHeight w:val="858"/>
          <w:jc w:val="center"/>
        </w:trPr>
        <w:tc>
          <w:tcPr>
            <w:tcW w:w="2962" w:type="dxa"/>
            <w:tcBorders>
              <w:top w:val="single" w:color="auto" w:sz="6" w:space="0"/>
              <w:left w:val="single" w:color="auto" w:sz="4" w:space="0"/>
              <w:right w:val="nil"/>
            </w:tcBorders>
            <w:vAlign w:val="bottom"/>
          </w:tcPr>
          <w:p w:rsidRPr="00FB5F5A" w:rsidR="00906A57" w:rsidP="00906A57" w:rsidRDefault="00906A57" w14:paraId="61849996" w14:textId="05339B1E">
            <w:r w:rsidRPr="00096243">
              <w:t>Project oversight to include data collection oversight and review of results</w:t>
            </w:r>
          </w:p>
        </w:tc>
        <w:tc>
          <w:tcPr>
            <w:tcW w:w="2437" w:type="dxa"/>
            <w:tcBorders>
              <w:top w:val="single" w:color="auto" w:sz="6" w:space="0"/>
              <w:left w:val="single" w:color="auto" w:sz="6" w:space="0"/>
              <w:bottom w:val="single" w:color="auto" w:sz="6" w:space="0"/>
              <w:right w:val="nil"/>
            </w:tcBorders>
          </w:tcPr>
          <w:p w:rsidRPr="00096243" w:rsidR="00906A57" w:rsidP="00906A57" w:rsidRDefault="00906A57" w14:paraId="58D5E2F8" w14:textId="77777777">
            <w:pPr>
              <w:jc w:val="center"/>
            </w:pPr>
          </w:p>
          <w:p w:rsidRPr="00096243" w:rsidR="00906A57" w:rsidP="00906A57" w:rsidRDefault="00906A57" w14:paraId="207129A0" w14:textId="77777777">
            <w:pPr>
              <w:jc w:val="center"/>
            </w:pPr>
          </w:p>
          <w:p w:rsidRPr="00096243" w:rsidR="00906A57" w:rsidP="00906A57" w:rsidRDefault="00906A57" w14:paraId="30569753" w14:textId="77777777">
            <w:pPr>
              <w:jc w:val="center"/>
            </w:pPr>
          </w:p>
          <w:p w:rsidRPr="00FB5F5A" w:rsidR="00906A57" w:rsidP="00906A57" w:rsidRDefault="00906A57" w14:paraId="3704F552" w14:textId="69B6C4F6">
            <w:pPr>
              <w:jc w:val="center"/>
            </w:pPr>
            <w:r w:rsidRPr="00096243">
              <w:t xml:space="preserve">Project Officer GS15 </w:t>
            </w:r>
          </w:p>
        </w:tc>
        <w:tc>
          <w:tcPr>
            <w:tcW w:w="1042" w:type="dxa"/>
            <w:tcBorders>
              <w:top w:val="single" w:color="auto" w:sz="6" w:space="0"/>
              <w:left w:val="single" w:color="auto" w:sz="6" w:space="0"/>
              <w:bottom w:val="single" w:color="auto" w:sz="6" w:space="0"/>
              <w:right w:val="single" w:color="auto" w:sz="6" w:space="0"/>
            </w:tcBorders>
            <w:vAlign w:val="bottom"/>
          </w:tcPr>
          <w:p w:rsidRPr="00FB5F5A" w:rsidR="00906A57" w:rsidP="00906A57" w:rsidRDefault="00906A57" w14:paraId="54441EDC" w14:textId="23AF08F4">
            <w:r w:rsidRPr="00096243">
              <w:t>$81.84</w:t>
            </w:r>
          </w:p>
        </w:tc>
        <w:tc>
          <w:tcPr>
            <w:tcW w:w="1260" w:type="dxa"/>
            <w:tcBorders>
              <w:top w:val="single" w:color="auto" w:sz="6" w:space="0"/>
              <w:left w:val="single" w:color="auto" w:sz="6" w:space="0"/>
              <w:bottom w:val="single" w:color="auto" w:sz="6" w:space="0"/>
              <w:right w:val="nil"/>
            </w:tcBorders>
            <w:vAlign w:val="bottom"/>
          </w:tcPr>
          <w:p w:rsidRPr="00FB5F5A" w:rsidR="00906A57" w:rsidP="00906A57" w:rsidRDefault="00906A57" w14:paraId="5460B01E" w14:textId="0CF74E96">
            <w:pPr>
              <w:jc w:val="center"/>
            </w:pPr>
            <w:r w:rsidRPr="00096243">
              <w:t>25</w:t>
            </w:r>
          </w:p>
        </w:tc>
        <w:tc>
          <w:tcPr>
            <w:tcW w:w="1393" w:type="dxa"/>
            <w:tcBorders>
              <w:top w:val="single" w:color="auto" w:sz="6" w:space="0"/>
              <w:left w:val="single" w:color="auto" w:sz="6" w:space="0"/>
              <w:bottom w:val="single" w:color="auto" w:sz="6" w:space="0"/>
              <w:right w:val="single" w:color="auto" w:sz="6" w:space="0"/>
            </w:tcBorders>
            <w:vAlign w:val="bottom"/>
          </w:tcPr>
          <w:p w:rsidRPr="00FB5F5A" w:rsidR="00906A57" w:rsidP="00906A57" w:rsidRDefault="00906A57" w14:paraId="1C5152B5" w14:textId="068E9116">
            <w:pPr>
              <w:jc w:val="center"/>
            </w:pPr>
            <w:r w:rsidRPr="00096243">
              <w:t>$2,046</w:t>
            </w:r>
          </w:p>
        </w:tc>
      </w:tr>
      <w:tr w:rsidRPr="0095154A" w:rsidR="00302B0E" w:rsidTr="00F062F7" w14:paraId="71D6A4D4" w14:textId="77777777">
        <w:trPr>
          <w:cantSplit/>
          <w:trHeight w:val="403"/>
          <w:jc w:val="center"/>
        </w:trPr>
        <w:tc>
          <w:tcPr>
            <w:tcW w:w="7701" w:type="dxa"/>
            <w:gridSpan w:val="4"/>
            <w:tcBorders>
              <w:top w:val="single" w:color="auto" w:sz="6" w:space="0"/>
              <w:left w:val="single" w:color="auto" w:sz="6" w:space="0"/>
              <w:bottom w:val="single" w:color="auto" w:sz="6" w:space="0"/>
              <w:right w:val="nil"/>
            </w:tcBorders>
            <w:vAlign w:val="bottom"/>
            <w:hideMark/>
          </w:tcPr>
          <w:p w:rsidRPr="00FB5F5A" w:rsidR="00302B0E" w:rsidP="0087727C" w:rsidRDefault="00302B0E" w14:paraId="3EE6849E" w14:textId="77777777">
            <w:pPr>
              <w:rPr>
                <w:b/>
                <w:bCs/>
              </w:rPr>
            </w:pPr>
            <w:r w:rsidRPr="00FB5F5A">
              <w:rPr>
                <w:b/>
                <w:bCs/>
              </w:rPr>
              <w:t>Total</w:t>
            </w:r>
          </w:p>
        </w:tc>
        <w:tc>
          <w:tcPr>
            <w:tcW w:w="1393" w:type="dxa"/>
            <w:tcBorders>
              <w:top w:val="single" w:color="auto" w:sz="6" w:space="0"/>
              <w:left w:val="single" w:color="auto" w:sz="6" w:space="0"/>
              <w:bottom w:val="single" w:color="auto" w:sz="6" w:space="0"/>
              <w:right w:val="single" w:color="auto" w:sz="6" w:space="0"/>
            </w:tcBorders>
            <w:vAlign w:val="bottom"/>
            <w:hideMark/>
          </w:tcPr>
          <w:p w:rsidRPr="00906A57" w:rsidR="00302B0E" w:rsidP="0087727C" w:rsidRDefault="00302B0E" w14:paraId="2C7A7B3D" w14:textId="6352A575">
            <w:pPr>
              <w:jc w:val="center"/>
              <w:rPr>
                <w:b/>
                <w:bCs/>
              </w:rPr>
            </w:pPr>
            <w:r w:rsidRPr="00FB5F5A">
              <w:rPr>
                <w:b/>
                <w:bCs/>
              </w:rPr>
              <w:t xml:space="preserve"> </w:t>
            </w:r>
            <w:r w:rsidRPr="00FB5F5A" w:rsidR="00906A57">
              <w:rPr>
                <w:b/>
                <w:bCs/>
              </w:rPr>
              <w:t>$2</w:t>
            </w:r>
            <w:r w:rsidRPr="00096243" w:rsidR="00906A57">
              <w:rPr>
                <w:b/>
                <w:bCs/>
              </w:rPr>
              <w:t>,</w:t>
            </w:r>
            <w:r w:rsidRPr="00FB5F5A" w:rsidR="00906A57">
              <w:rPr>
                <w:b/>
                <w:bCs/>
              </w:rPr>
              <w:t>046</w:t>
            </w:r>
          </w:p>
        </w:tc>
      </w:tr>
    </w:tbl>
    <w:p w:rsidRPr="0095154A" w:rsidR="00302B0E" w:rsidP="00302B0E" w:rsidRDefault="00302B0E" w14:paraId="527E58C4" w14:textId="77777777">
      <w:pPr>
        <w:spacing w:before="100" w:beforeAutospacing="1" w:after="100" w:afterAutospacing="1"/>
      </w:pPr>
      <w:r w:rsidRPr="0095154A">
        <w:rPr>
          <w:color w:val="000000"/>
        </w:rPr>
        <w:t>Annual salaries based on 2020 OPM Pay Schedule for Washington/DC area:</w:t>
      </w:r>
      <w:r w:rsidRPr="0095154A">
        <w:t xml:space="preserve"> </w:t>
      </w:r>
      <w:hyperlink w:history="1" r:id="rId8">
        <w:r w:rsidRPr="0095154A">
          <w:rPr>
            <w:rStyle w:val="Hyperlink"/>
          </w:rPr>
          <w:t>https://www.opm.gov/policy-data-oversight/pay-leave/salaries-wages/salary-tables/pdf/2020/DCB_h.pdf</w:t>
        </w:r>
      </w:hyperlink>
    </w:p>
    <w:p w:rsidRPr="0095154A" w:rsidR="00302B0E" w:rsidP="00302B0E" w:rsidRDefault="00302B0E" w14:paraId="54204BDE" w14:textId="77777777">
      <w:pPr>
        <w:pStyle w:val="Heading2"/>
        <w:rPr>
          <w:rFonts w:ascii="Times New Roman" w:hAnsi="Times New Roman" w:cs="Times New Roman"/>
          <w:sz w:val="24"/>
        </w:rPr>
      </w:pPr>
      <w:r w:rsidRPr="0095154A">
        <w:rPr>
          <w:rFonts w:ascii="Times New Roman" w:hAnsi="Times New Roman" w:cs="Times New Roman"/>
          <w:sz w:val="24"/>
        </w:rPr>
        <w:t>15. Changes in Hour Burden</w:t>
      </w:r>
      <w:bookmarkEnd w:id="40"/>
      <w:bookmarkEnd w:id="41"/>
    </w:p>
    <w:p w:rsidRPr="0095154A" w:rsidR="00302B0E" w:rsidP="00302B0E" w:rsidRDefault="00302B0E" w14:paraId="760B565E" w14:textId="77777777">
      <w:r w:rsidRPr="0095154A">
        <w:t xml:space="preserve">This is a new information collection, thus no changes in hour burden </w:t>
      </w:r>
      <w:proofErr w:type="gramStart"/>
      <w:r w:rsidRPr="0095154A">
        <w:t>is</w:t>
      </w:r>
      <w:proofErr w:type="gramEnd"/>
      <w:r w:rsidRPr="0095154A">
        <w:t xml:space="preserve"> expected or reported here.</w:t>
      </w:r>
    </w:p>
    <w:p w:rsidRPr="0095154A" w:rsidR="00302B0E" w:rsidP="00302B0E" w:rsidRDefault="00302B0E" w14:paraId="2BFD425F" w14:textId="77777777">
      <w:pPr>
        <w:pStyle w:val="Heading2"/>
        <w:rPr>
          <w:rFonts w:ascii="Times New Roman" w:hAnsi="Times New Roman" w:cs="Times New Roman"/>
          <w:sz w:val="24"/>
        </w:rPr>
      </w:pPr>
      <w:r w:rsidRPr="0095154A">
        <w:rPr>
          <w:rFonts w:ascii="Times New Roman" w:hAnsi="Times New Roman" w:cs="Times New Roman"/>
          <w:sz w:val="24"/>
        </w:rPr>
        <w:t>16. Time Schedule, Publication and Analysis Plans</w:t>
      </w:r>
      <w:bookmarkEnd w:id="35"/>
      <w:bookmarkEnd w:id="36"/>
    </w:p>
    <w:p w:rsidRPr="0095154A" w:rsidR="00302B0E" w:rsidP="00302B0E" w:rsidRDefault="6DCA7CB0" w14:paraId="3627D3A6" w14:textId="4CDE3FC1">
      <w:r>
        <w:t xml:space="preserve">The information collection will begin upon OMB approval (estimated October 2022) and will include recruitment of practices and completion of all data collection activities by September 2023. We anticipate a 6-month implementation </w:t>
      </w:r>
      <w:proofErr w:type="gramStart"/>
      <w:r>
        <w:t>time period</w:t>
      </w:r>
      <w:proofErr w:type="gramEnd"/>
      <w:r>
        <w:t xml:space="preserve"> with quantitative analysis for evaluating the Measure Dx resource, complete by June 2023. We will seek institutional review board approval for this data collection. Upon completion of the evaluation, resource materials will be revised as needed, and an evaluation report will be developed by project period end (September 23, 2023). Publication of the updated materials by AHRQ on their website will be completed after 508 compliance review. </w:t>
      </w:r>
      <w:r w:rsidRPr="6DCA7CB0">
        <w:rPr>
          <w:b/>
          <w:bCs/>
        </w:rPr>
        <w:t>There will also be efforts to publish details of the design and findings of this evaluation in open-access articles in one or more peer-reviewed scientific journals. All published information will only be presented in the aggregate</w:t>
      </w:r>
      <w:r w:rsidR="005455E9">
        <w:rPr>
          <w:b/>
          <w:bCs/>
        </w:rPr>
        <w:t xml:space="preserve"> </w:t>
      </w:r>
      <w:r w:rsidRPr="6DCA7CB0">
        <w:rPr>
          <w:b/>
          <w:bCs/>
        </w:rPr>
        <w:t>and will be free of information that could be used to identify individual respondents or participating health systems.</w:t>
      </w:r>
    </w:p>
    <w:p w:rsidRPr="0095154A" w:rsidR="00302B0E" w:rsidP="00302B0E" w:rsidRDefault="00302B0E" w14:paraId="30EF6A96" w14:textId="77777777">
      <w:pPr>
        <w:pStyle w:val="Heading2"/>
        <w:rPr>
          <w:rFonts w:ascii="Times New Roman" w:hAnsi="Times New Roman" w:cs="Times New Roman"/>
          <w:sz w:val="24"/>
        </w:rPr>
      </w:pPr>
      <w:bookmarkStart w:name="_Toc151782196" w:id="42"/>
      <w:bookmarkStart w:name="_Toc158526232" w:id="43"/>
      <w:r w:rsidRPr="0095154A">
        <w:rPr>
          <w:rFonts w:ascii="Times New Roman" w:hAnsi="Times New Roman" w:cs="Times New Roman"/>
          <w:sz w:val="24"/>
        </w:rPr>
        <w:t>17. Exemption for Display of Expiration Date</w:t>
      </w:r>
      <w:bookmarkEnd w:id="42"/>
      <w:bookmarkEnd w:id="43"/>
    </w:p>
    <w:p w:rsidRPr="0095154A" w:rsidR="00302B0E" w:rsidP="00302B0E" w:rsidRDefault="00302B0E" w14:paraId="6BD8C9D1" w14:textId="77777777">
      <w:r w:rsidRPr="0095154A">
        <w:t>AHRQ does not seek this exemption.</w:t>
      </w:r>
    </w:p>
    <w:p w:rsidRPr="0095154A" w:rsidR="00302B0E" w:rsidP="00302B0E" w:rsidRDefault="00302B0E" w14:paraId="76C34225" w14:textId="77777777">
      <w:pPr>
        <w:pStyle w:val="Heading2"/>
        <w:rPr>
          <w:rFonts w:ascii="Times New Roman" w:hAnsi="Times New Roman" w:cs="Times New Roman"/>
          <w:sz w:val="24"/>
        </w:rPr>
      </w:pPr>
      <w:r w:rsidRPr="0095154A">
        <w:rPr>
          <w:rFonts w:ascii="Times New Roman" w:hAnsi="Times New Roman" w:cs="Times New Roman"/>
          <w:sz w:val="24"/>
        </w:rPr>
        <w:t>List of Attachments:</w:t>
      </w:r>
    </w:p>
    <w:p w:rsidR="00B46EE2" w:rsidP="00B46EE2" w:rsidRDefault="00B46EE2" w14:paraId="26583186" w14:textId="77777777"/>
    <w:p w:rsidR="00EB5489" w:rsidP="00EB5489" w:rsidRDefault="00EB5489" w14:paraId="550EAEEE" w14:textId="77777777">
      <w:pPr>
        <w:spacing w:line="360" w:lineRule="auto"/>
      </w:pPr>
      <w:r w:rsidRPr="00EB5489">
        <w:rPr>
          <w:b/>
          <w:bCs/>
        </w:rPr>
        <w:lastRenderedPageBreak/>
        <w:t>Appendix A:</w:t>
      </w:r>
      <w:r>
        <w:t xml:space="preserve"> Organizational Characteristics Survey </w:t>
      </w:r>
    </w:p>
    <w:p w:rsidR="00EB5489" w:rsidP="00EB5489" w:rsidRDefault="00EB5489" w14:paraId="2F59B4FB" w14:textId="7ADDC4AE">
      <w:pPr>
        <w:spacing w:line="360" w:lineRule="auto"/>
      </w:pPr>
      <w:r w:rsidRPr="00EB5489">
        <w:rPr>
          <w:b/>
          <w:bCs/>
        </w:rPr>
        <w:t>Appendix B:</w:t>
      </w:r>
      <w:r>
        <w:t xml:space="preserve"> Organizational </w:t>
      </w:r>
      <w:r w:rsidR="007742C9">
        <w:t>Self-Assessment</w:t>
      </w:r>
      <w:r>
        <w:t xml:space="preserve"> (from Measure Dx)</w:t>
      </w:r>
    </w:p>
    <w:p w:rsidR="00EB5489" w:rsidP="00EB5489" w:rsidRDefault="00EB5489" w14:paraId="1F80D6D4" w14:textId="7CC78A14">
      <w:pPr>
        <w:spacing w:line="360" w:lineRule="auto"/>
      </w:pPr>
      <w:r w:rsidRPr="00EB5489">
        <w:rPr>
          <w:b/>
          <w:bCs/>
        </w:rPr>
        <w:t>Appendix C:</w:t>
      </w:r>
      <w:r>
        <w:t xml:space="preserve"> Safer Dx Checklist (publicly available)</w:t>
      </w:r>
    </w:p>
    <w:p w:rsidR="00EB5489" w:rsidP="00EB5489" w:rsidRDefault="00EB5489" w14:paraId="2CBE4E18" w14:textId="13F1E374">
      <w:pPr>
        <w:spacing w:line="360" w:lineRule="auto"/>
      </w:pPr>
      <w:r w:rsidRPr="00EB5489">
        <w:rPr>
          <w:b/>
          <w:bCs/>
        </w:rPr>
        <w:t>Appendix D:</w:t>
      </w:r>
      <w:r>
        <w:t xml:space="preserve"> Pre-Test Interview Protocol</w:t>
      </w:r>
    </w:p>
    <w:p w:rsidR="00EB5489" w:rsidP="00EB5489" w:rsidRDefault="00EB5489" w14:paraId="1BC6C8B6" w14:textId="146D8362">
      <w:pPr>
        <w:spacing w:line="360" w:lineRule="auto"/>
      </w:pPr>
      <w:r w:rsidRPr="00EB5489">
        <w:rPr>
          <w:b/>
          <w:bCs/>
        </w:rPr>
        <w:t>Appendix E:</w:t>
      </w:r>
      <w:r>
        <w:t xml:space="preserve"> Post-test Interview Protocol</w:t>
      </w:r>
    </w:p>
    <w:p w:rsidR="00EB5489" w:rsidP="00EB5489" w:rsidRDefault="00EB5489" w14:paraId="340EA75D" w14:textId="4CC3F924">
      <w:pPr>
        <w:spacing w:line="360" w:lineRule="auto"/>
      </w:pPr>
      <w:r w:rsidRPr="00EB5489">
        <w:rPr>
          <w:b/>
          <w:bCs/>
        </w:rPr>
        <w:t>Appendix F:</w:t>
      </w:r>
      <w:r>
        <w:t xml:space="preserve"> Team Questionnaire (adapted)</w:t>
      </w:r>
    </w:p>
    <w:p w:rsidR="00EB5489" w:rsidP="00EB5489" w:rsidRDefault="00EB5489" w14:paraId="31376BEF" w14:textId="77777777">
      <w:pPr>
        <w:spacing w:line="360" w:lineRule="auto"/>
      </w:pPr>
      <w:r w:rsidRPr="00EB5489">
        <w:rPr>
          <w:b/>
          <w:bCs/>
        </w:rPr>
        <w:t>Appendix G:</w:t>
      </w:r>
      <w:r>
        <w:t xml:space="preserve"> Case Review Summary Form</w:t>
      </w:r>
    </w:p>
    <w:p w:rsidRPr="00B46EE2" w:rsidR="00EB5489" w:rsidP="00EB5489" w:rsidRDefault="00EB5489" w14:paraId="34D5F792" w14:textId="36347ECD">
      <w:pPr>
        <w:spacing w:line="360" w:lineRule="auto"/>
        <w:sectPr w:rsidRPr="00B46EE2" w:rsidR="00EB5489" w:rsidSect="0087727C">
          <w:footerReference w:type="even" r:id="rId9"/>
          <w:footerReference w:type="default" r:id="rId10"/>
          <w:endnotePr>
            <w:numFmt w:val="decimal"/>
          </w:endnotePr>
          <w:pgSz w:w="12240" w:h="15840"/>
          <w:pgMar w:top="1440" w:right="1440" w:bottom="1440" w:left="1440" w:header="720" w:footer="720" w:gutter="0"/>
          <w:pgNumType w:fmt="numberInDash"/>
          <w:cols w:space="720"/>
          <w:titlePg/>
          <w:docGrid w:linePitch="360"/>
        </w:sectPr>
      </w:pPr>
      <w:r w:rsidRPr="00EB5489">
        <w:rPr>
          <w:b/>
          <w:bCs/>
        </w:rPr>
        <w:t>Appendix H:</w:t>
      </w:r>
      <w:r>
        <w:t xml:space="preserve"> ECHO Call Protocol</w:t>
      </w:r>
    </w:p>
    <w:p w:rsidRPr="00C914F9" w:rsidR="00C914F9" w:rsidP="00C914F9" w:rsidRDefault="00C914F9" w14:paraId="5167B8AF" w14:textId="6D60E3AA">
      <w:pPr>
        <w:rPr>
          <w:sz w:val="28"/>
          <w:szCs w:val="28"/>
        </w:rPr>
      </w:pPr>
      <w:r w:rsidRPr="00C914F9">
        <w:rPr>
          <w:b/>
          <w:bCs/>
          <w:i/>
          <w:iCs/>
          <w:sz w:val="28"/>
          <w:szCs w:val="28"/>
        </w:rPr>
        <w:lastRenderedPageBreak/>
        <w:t>References</w:t>
      </w:r>
    </w:p>
    <w:p w:rsidR="00C914F9" w:rsidP="00C914F9" w:rsidRDefault="00C914F9" w14:paraId="3758AF26" w14:textId="4F8815F5"/>
    <w:p w:rsidRPr="0075498B" w:rsidR="00C914F9" w:rsidP="00C914F9" w:rsidRDefault="00C914F9" w14:paraId="484A4288" w14:textId="77777777">
      <w:pPr>
        <w:pStyle w:val="ListParagraph"/>
        <w:numPr>
          <w:ilvl w:val="0"/>
          <w:numId w:val="46"/>
        </w:numPr>
        <w:contextualSpacing/>
        <w:textAlignment w:val="baseline"/>
        <w:rPr>
          <w:rFonts w:ascii="Segoe UI" w:hAnsi="Segoe UI" w:cs="Segoe UI"/>
          <w:sz w:val="18"/>
          <w:szCs w:val="18"/>
        </w:rPr>
      </w:pPr>
      <w:proofErr w:type="spellStart"/>
      <w:r w:rsidRPr="0075498B">
        <w:t>Leape</w:t>
      </w:r>
      <w:proofErr w:type="spellEnd"/>
      <w:r w:rsidRPr="0075498B">
        <w:t xml:space="preserve"> LL, Berwick DM, Bates DW. Counting Deaths Due to Medical Errors—Reply. </w:t>
      </w:r>
      <w:r w:rsidRPr="0075498B">
        <w:rPr>
          <w:i/>
          <w:iCs/>
        </w:rPr>
        <w:t>JAMA</w:t>
      </w:r>
      <w:r w:rsidRPr="0075498B">
        <w:t>. 2002;288(19):2405. doi:10.1001/jama.288.19.2405-jlt1120-2-3</w:t>
      </w:r>
    </w:p>
    <w:p w:rsidRPr="0075498B" w:rsidR="00C914F9" w:rsidP="00C914F9" w:rsidRDefault="00C914F9" w14:paraId="63E72E5A" w14:textId="77777777">
      <w:pPr>
        <w:pStyle w:val="ListParagraph"/>
        <w:textAlignment w:val="baseline"/>
        <w:rPr>
          <w:rFonts w:ascii="Segoe UI" w:hAnsi="Segoe UI" w:cs="Segoe UI"/>
          <w:sz w:val="18"/>
          <w:szCs w:val="18"/>
        </w:rPr>
      </w:pPr>
    </w:p>
    <w:p w:rsidRPr="0075498B" w:rsidR="00C914F9" w:rsidP="00C914F9" w:rsidRDefault="00C914F9" w14:paraId="36EA0F75" w14:textId="77777777">
      <w:pPr>
        <w:pStyle w:val="ListParagraph"/>
        <w:numPr>
          <w:ilvl w:val="0"/>
          <w:numId w:val="46"/>
        </w:numPr>
        <w:contextualSpacing/>
        <w:textAlignment w:val="baseline"/>
        <w:rPr>
          <w:rFonts w:ascii="Segoe UI" w:hAnsi="Segoe UI" w:cs="Segoe UI"/>
          <w:sz w:val="18"/>
          <w:szCs w:val="18"/>
        </w:rPr>
      </w:pPr>
      <w:r w:rsidRPr="0075498B">
        <w:t>Newman-</w:t>
      </w:r>
      <w:proofErr w:type="spellStart"/>
      <w:r w:rsidRPr="0075498B">
        <w:t>Toker</w:t>
      </w:r>
      <w:proofErr w:type="spellEnd"/>
      <w:r w:rsidRPr="0075498B">
        <w:t xml:space="preserve"> DE, Pronovost PJ. Diagnostic errors the next frontier for patient safety.  </w:t>
      </w:r>
      <w:r w:rsidRPr="0075498B">
        <w:rPr>
          <w:i/>
          <w:iCs/>
        </w:rPr>
        <w:t>JAMA - J Am Med Assoc</w:t>
      </w:r>
      <w:r w:rsidRPr="0075498B">
        <w:t>. 2009;301(10):1060-1062. doi:10.1001/jama.2009.249 </w:t>
      </w:r>
    </w:p>
    <w:p w:rsidRPr="0075498B" w:rsidR="00C914F9" w:rsidP="00C914F9" w:rsidRDefault="00C914F9" w14:paraId="4C5FD066" w14:textId="77777777">
      <w:pPr>
        <w:textAlignment w:val="baseline"/>
        <w:rPr>
          <w:rFonts w:ascii="Segoe UI" w:hAnsi="Segoe UI" w:cs="Segoe UI"/>
          <w:sz w:val="18"/>
          <w:szCs w:val="18"/>
        </w:rPr>
      </w:pPr>
    </w:p>
    <w:p w:rsidRPr="0075498B" w:rsidR="00C914F9" w:rsidP="00C914F9" w:rsidRDefault="00C914F9" w14:paraId="12CAAB2E" w14:textId="77777777">
      <w:pPr>
        <w:pStyle w:val="ListParagraph"/>
        <w:numPr>
          <w:ilvl w:val="0"/>
          <w:numId w:val="46"/>
        </w:numPr>
        <w:contextualSpacing/>
        <w:textAlignment w:val="baseline"/>
        <w:rPr>
          <w:rFonts w:ascii="Segoe UI" w:hAnsi="Segoe UI" w:cs="Segoe UI"/>
          <w:sz w:val="18"/>
          <w:szCs w:val="18"/>
        </w:rPr>
      </w:pPr>
      <w:r w:rsidRPr="0075498B">
        <w:t xml:space="preserve">CRICO Strategies, 2015. </w:t>
      </w:r>
      <w:r w:rsidRPr="0075498B">
        <w:rPr>
          <w:i/>
          <w:iCs/>
        </w:rPr>
        <w:t>2014 Annual Benchmarking Report: Malpractice Risks in the Diagnostic Process.</w:t>
      </w:r>
      <w:r w:rsidRPr="0075498B">
        <w:t xml:space="preserve"> Cambridge, MA, Harvard Medical Institutions, Inc. </w:t>
      </w:r>
    </w:p>
    <w:p w:rsidRPr="00B24BC7" w:rsidR="00C914F9" w:rsidP="00C914F9" w:rsidRDefault="00C914F9" w14:paraId="0415BA30" w14:textId="77777777">
      <w:pPr>
        <w:pStyle w:val="ListParagraph"/>
        <w:textAlignment w:val="baseline"/>
        <w:rPr>
          <w:rFonts w:ascii="Segoe UI" w:hAnsi="Segoe UI" w:cs="Segoe UI"/>
          <w:sz w:val="18"/>
          <w:szCs w:val="18"/>
        </w:rPr>
      </w:pPr>
    </w:p>
    <w:p w:rsidRPr="00B24BC7" w:rsidR="00C914F9" w:rsidP="00C914F9" w:rsidRDefault="00C914F9" w14:paraId="509478F0" w14:textId="77777777">
      <w:pPr>
        <w:pStyle w:val="ListParagraph"/>
        <w:numPr>
          <w:ilvl w:val="0"/>
          <w:numId w:val="46"/>
        </w:numPr>
        <w:contextualSpacing/>
        <w:textAlignment w:val="baseline"/>
        <w:rPr>
          <w:rFonts w:ascii="Segoe UI" w:hAnsi="Segoe UI" w:cs="Segoe UI"/>
          <w:sz w:val="18"/>
          <w:szCs w:val="18"/>
        </w:rPr>
      </w:pPr>
      <w:r w:rsidRPr="0075498B">
        <w:t>Newman-</w:t>
      </w:r>
      <w:proofErr w:type="spellStart"/>
      <w:r w:rsidRPr="0075498B">
        <w:t>Toker</w:t>
      </w:r>
      <w:proofErr w:type="spellEnd"/>
      <w:r w:rsidRPr="0075498B">
        <w:t xml:space="preserve"> DE, Schaffer AC, Yu-Moe CW, et al. Serious misdiagnosis-related harms in malpractice claims: The “Big Three” – vascular events, infections, and cancers. </w:t>
      </w:r>
      <w:r w:rsidRPr="0075498B">
        <w:rPr>
          <w:i/>
          <w:iCs/>
        </w:rPr>
        <w:t>Diagnosis</w:t>
      </w:r>
      <w:r w:rsidRPr="0075498B">
        <w:t>. 2019;6(3):227-240. doi:10.1515/dx-2019-0019 </w:t>
      </w:r>
    </w:p>
    <w:p w:rsidRPr="00B24BC7" w:rsidR="00C914F9" w:rsidP="00C914F9" w:rsidRDefault="00C914F9" w14:paraId="6AF05D30" w14:textId="77777777">
      <w:pPr>
        <w:pStyle w:val="ListParagraph"/>
        <w:rPr>
          <w:rFonts w:ascii="Segoe UI" w:hAnsi="Segoe UI" w:cs="Segoe UI"/>
          <w:sz w:val="18"/>
          <w:szCs w:val="18"/>
        </w:rPr>
      </w:pPr>
    </w:p>
    <w:p w:rsidRPr="00B24BC7" w:rsidR="00C914F9" w:rsidP="00C914F9" w:rsidRDefault="00C914F9" w14:paraId="2233D7A7" w14:textId="77777777">
      <w:pPr>
        <w:pStyle w:val="ListParagraph"/>
        <w:numPr>
          <w:ilvl w:val="0"/>
          <w:numId w:val="46"/>
        </w:numPr>
        <w:contextualSpacing/>
        <w:textAlignment w:val="baseline"/>
        <w:rPr>
          <w:rFonts w:ascii="Segoe UI" w:hAnsi="Segoe UI" w:cs="Segoe UI"/>
          <w:sz w:val="18"/>
          <w:szCs w:val="18"/>
        </w:rPr>
      </w:pPr>
      <w:r w:rsidRPr="0075498B">
        <w:t xml:space="preserve">Saber Tehrani AS, Lee HW, Mathews SC, et al. 25-Year summary of US malpractice claims for diagnostic errors 1986-2010: An analysis from the National Practitioner Data Bank. </w:t>
      </w:r>
      <w:r w:rsidRPr="0075498B">
        <w:rPr>
          <w:i/>
          <w:iCs/>
        </w:rPr>
        <w:t xml:space="preserve">BMJ Qual </w:t>
      </w:r>
      <w:proofErr w:type="spellStart"/>
      <w:r w:rsidRPr="0075498B">
        <w:rPr>
          <w:i/>
          <w:iCs/>
        </w:rPr>
        <w:t>Saf</w:t>
      </w:r>
      <w:proofErr w:type="spellEnd"/>
      <w:r w:rsidRPr="0075498B">
        <w:t>. 2013;22(8):672-680. doi:10.1136/bmjqs-2012-001550 </w:t>
      </w:r>
    </w:p>
    <w:p w:rsidRPr="0075498B" w:rsidR="00C914F9" w:rsidP="00C914F9" w:rsidRDefault="00C914F9" w14:paraId="39E4D3A5" w14:textId="77777777">
      <w:pPr>
        <w:textAlignment w:val="baseline"/>
        <w:rPr>
          <w:rFonts w:ascii="Segoe UI" w:hAnsi="Segoe UI" w:cs="Segoe UI"/>
          <w:sz w:val="18"/>
          <w:szCs w:val="18"/>
        </w:rPr>
      </w:pPr>
    </w:p>
    <w:p w:rsidRPr="00B24BC7" w:rsidR="00C914F9" w:rsidP="00C914F9" w:rsidRDefault="00C914F9" w14:paraId="1A9840B4" w14:textId="77777777">
      <w:pPr>
        <w:pStyle w:val="ListParagraph"/>
        <w:numPr>
          <w:ilvl w:val="0"/>
          <w:numId w:val="46"/>
        </w:numPr>
        <w:contextualSpacing/>
        <w:textAlignment w:val="baseline"/>
        <w:rPr>
          <w:rFonts w:ascii="Segoe UI" w:hAnsi="Segoe UI" w:cs="Segoe UI"/>
          <w:sz w:val="18"/>
          <w:szCs w:val="18"/>
        </w:rPr>
      </w:pPr>
      <w:r w:rsidRPr="0075498B">
        <w:t xml:space="preserve">National Academy of Medicine. </w:t>
      </w:r>
      <w:r w:rsidRPr="0075498B">
        <w:rPr>
          <w:i/>
          <w:iCs/>
        </w:rPr>
        <w:t>Improving Diagnosis in Health Care</w:t>
      </w:r>
      <w:r w:rsidRPr="0075498B">
        <w:t>. (Balogh EP, Miller BT, Ball JR, eds.). Washington, DC: National Academies Press; 2015. doi:10.17226/21794. </w:t>
      </w:r>
    </w:p>
    <w:p w:rsidR="00C914F9" w:rsidP="00C914F9" w:rsidRDefault="00C914F9" w14:paraId="32BF416E" w14:textId="77777777"/>
    <w:p w:rsidRPr="0095154A" w:rsidR="00C914F9" w:rsidP="00C914F9" w:rsidRDefault="00C914F9" w14:paraId="71CFE4C4" w14:textId="77777777"/>
    <w:p w:rsidRPr="0095154A" w:rsidR="00302B0E" w:rsidP="00302B0E" w:rsidRDefault="00302B0E" w14:paraId="6A04166E" w14:textId="4196EDBC"/>
    <w:p w:rsidRPr="0095154A" w:rsidR="00302B0E" w:rsidP="00302B0E" w:rsidRDefault="00302B0E" w14:paraId="39DD6077" w14:textId="77777777"/>
    <w:p w:rsidR="0087727C" w:rsidRDefault="0087727C" w14:paraId="04DC4202" w14:textId="77777777"/>
    <w:sectPr w:rsidR="008772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A9E61" w14:textId="77777777" w:rsidR="00915AA0" w:rsidRDefault="00915AA0">
      <w:r>
        <w:separator/>
      </w:r>
    </w:p>
  </w:endnote>
  <w:endnote w:type="continuationSeparator" w:id="0">
    <w:p w14:paraId="3D721529" w14:textId="77777777" w:rsidR="00915AA0" w:rsidRDefault="0091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MdCn BT">
    <w:altName w:val="Arial Narrow"/>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05BA" w14:textId="77777777" w:rsidR="0087727C" w:rsidRDefault="0087727C" w:rsidP="008772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CA88E8" w14:textId="77777777" w:rsidR="0087727C" w:rsidRDefault="00877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78A7" w14:textId="77777777" w:rsidR="0087727C" w:rsidRDefault="0087727C" w:rsidP="008772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14:paraId="04DE7357" w14:textId="77777777" w:rsidR="0087727C" w:rsidRDefault="00877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27DA1" w14:textId="77777777" w:rsidR="00915AA0" w:rsidRDefault="00915AA0">
      <w:r>
        <w:separator/>
      </w:r>
    </w:p>
  </w:footnote>
  <w:footnote w:type="continuationSeparator" w:id="0">
    <w:p w14:paraId="49172955" w14:textId="77777777" w:rsidR="00915AA0" w:rsidRDefault="00915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470A"/>
    <w:multiLevelType w:val="hybridMultilevel"/>
    <w:tmpl w:val="2E1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433B"/>
    <w:multiLevelType w:val="hybridMultilevel"/>
    <w:tmpl w:val="EBA4B3E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5F5D8F"/>
    <w:multiLevelType w:val="hybridMultilevel"/>
    <w:tmpl w:val="1E226EC0"/>
    <w:lvl w:ilvl="0" w:tplc="FFFFFFFF">
      <w:start w:val="1"/>
      <w:numFmt w:val="decimal"/>
      <w:lvlText w:val="%1)"/>
      <w:lvlJc w:val="left"/>
      <w:pPr>
        <w:ind w:left="720" w:hanging="360"/>
      </w:pPr>
      <w:rPr>
        <w:rFonts w:ascii="Times New Roman" w:hAnsi="Times New Roman" w:cs="Times New Roman"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711E6A"/>
    <w:multiLevelType w:val="hybridMultilevel"/>
    <w:tmpl w:val="2D4C14DE"/>
    <w:lvl w:ilvl="0" w:tplc="DA627C8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4006F0"/>
    <w:multiLevelType w:val="hybridMultilevel"/>
    <w:tmpl w:val="0B0C3FB4"/>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43E4D"/>
    <w:multiLevelType w:val="hybridMultilevel"/>
    <w:tmpl w:val="AB44E7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45645E"/>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D1BC9"/>
    <w:multiLevelType w:val="hybridMultilevel"/>
    <w:tmpl w:val="9A3ED2D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22522C"/>
    <w:multiLevelType w:val="hybridMultilevel"/>
    <w:tmpl w:val="2D743BA4"/>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427A1"/>
    <w:multiLevelType w:val="multilevel"/>
    <w:tmpl w:val="0FBCF4F8"/>
    <w:styleLink w:val="Bulletlist"/>
    <w:lvl w:ilvl="0">
      <w:start w:val="1"/>
      <w:numFmt w:val="bullet"/>
      <w:pStyle w:val="Style1"/>
      <w:lvlText w:val=""/>
      <w:lvlJc w:val="left"/>
      <w:pPr>
        <w:ind w:left="720"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304F09E7"/>
    <w:multiLevelType w:val="multilevel"/>
    <w:tmpl w:val="0FBCF4F8"/>
    <w:numStyleLink w:val="Bulletlist"/>
  </w:abstractNum>
  <w:abstractNum w:abstractNumId="12" w15:restartNumberingAfterBreak="0">
    <w:nsid w:val="31A66E54"/>
    <w:multiLevelType w:val="hybridMultilevel"/>
    <w:tmpl w:val="9B28DA1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711C1"/>
    <w:multiLevelType w:val="hybridMultilevel"/>
    <w:tmpl w:val="1E10953A"/>
    <w:lvl w:ilvl="0" w:tplc="3BC2C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C81FA8"/>
    <w:multiLevelType w:val="hybridMultilevel"/>
    <w:tmpl w:val="2988AF8E"/>
    <w:lvl w:ilvl="0" w:tplc="E1F872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586F34"/>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02DFF"/>
    <w:multiLevelType w:val="hybridMultilevel"/>
    <w:tmpl w:val="11761E5A"/>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3BC2CACA">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3F7C39"/>
    <w:multiLevelType w:val="hybridMultilevel"/>
    <w:tmpl w:val="81DC7E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076F5"/>
    <w:multiLevelType w:val="hybridMultilevel"/>
    <w:tmpl w:val="B9326C5C"/>
    <w:lvl w:ilvl="0" w:tplc="E1F872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4759636B"/>
    <w:multiLevelType w:val="hybridMultilevel"/>
    <w:tmpl w:val="9BEEA802"/>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D9616A"/>
    <w:multiLevelType w:val="hybridMultilevel"/>
    <w:tmpl w:val="1E226EC0"/>
    <w:lvl w:ilvl="0" w:tplc="30521648">
      <w:start w:val="1"/>
      <w:numFmt w:val="decimal"/>
      <w:lvlText w:val="%1)"/>
      <w:lvlJc w:val="left"/>
      <w:pPr>
        <w:ind w:left="720" w:hanging="360"/>
      </w:pPr>
      <w:rPr>
        <w:rFonts w:ascii="Times New Roman" w:hAnsi="Times New Roman" w:cs="Times New Roman"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138A9"/>
    <w:multiLevelType w:val="hybridMultilevel"/>
    <w:tmpl w:val="A1C0DDE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D91EE7"/>
    <w:multiLevelType w:val="hybridMultilevel"/>
    <w:tmpl w:val="97528EB2"/>
    <w:lvl w:ilvl="0" w:tplc="E1F872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5345C"/>
    <w:multiLevelType w:val="hybridMultilevel"/>
    <w:tmpl w:val="DC462CAA"/>
    <w:lvl w:ilvl="0" w:tplc="3816FA1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420C78"/>
    <w:multiLevelType w:val="hybridMultilevel"/>
    <w:tmpl w:val="3AECE62C"/>
    <w:lvl w:ilvl="0" w:tplc="DDA4683E">
      <w:start w:val="1"/>
      <w:numFmt w:val="bullet"/>
      <w:pStyle w:val="TableSmallBullets"/>
      <w:lvlText w:val=""/>
      <w:lvlJc w:val="left"/>
      <w:pPr>
        <w:tabs>
          <w:tab w:val="num" w:pos="360"/>
        </w:tabs>
        <w:ind w:left="360" w:hanging="360"/>
      </w:pPr>
      <w:rPr>
        <w:rFonts w:ascii="Symbol" w:hAnsi="Symbol" w:hint="default"/>
        <w:sz w:val="20"/>
      </w:rPr>
    </w:lvl>
    <w:lvl w:ilvl="1" w:tplc="9FA650AE">
      <w:numFmt w:val="decimal"/>
      <w:lvlText w:val=""/>
      <w:lvlJc w:val="left"/>
    </w:lvl>
    <w:lvl w:ilvl="2" w:tplc="84E00738">
      <w:numFmt w:val="decimal"/>
      <w:lvlText w:val=""/>
      <w:lvlJc w:val="left"/>
    </w:lvl>
    <w:lvl w:ilvl="3" w:tplc="72DAA908">
      <w:numFmt w:val="decimal"/>
      <w:lvlText w:val=""/>
      <w:lvlJc w:val="left"/>
    </w:lvl>
    <w:lvl w:ilvl="4" w:tplc="3502E4BC">
      <w:numFmt w:val="decimal"/>
      <w:lvlText w:val=""/>
      <w:lvlJc w:val="left"/>
    </w:lvl>
    <w:lvl w:ilvl="5" w:tplc="8ACE92BE">
      <w:numFmt w:val="decimal"/>
      <w:lvlText w:val=""/>
      <w:lvlJc w:val="left"/>
    </w:lvl>
    <w:lvl w:ilvl="6" w:tplc="241A7EF8">
      <w:numFmt w:val="decimal"/>
      <w:lvlText w:val=""/>
      <w:lvlJc w:val="left"/>
    </w:lvl>
    <w:lvl w:ilvl="7" w:tplc="9162047C">
      <w:numFmt w:val="decimal"/>
      <w:lvlText w:val=""/>
      <w:lvlJc w:val="left"/>
    </w:lvl>
    <w:lvl w:ilvl="8" w:tplc="7A68880E">
      <w:numFmt w:val="decimal"/>
      <w:lvlText w:val=""/>
      <w:lvlJc w:val="left"/>
    </w:lvl>
  </w:abstractNum>
  <w:abstractNum w:abstractNumId="27"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ADD24D3"/>
    <w:multiLevelType w:val="hybridMultilevel"/>
    <w:tmpl w:val="ECC4B5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C027CC2"/>
    <w:multiLevelType w:val="hybridMultilevel"/>
    <w:tmpl w:val="C2A4AF82"/>
    <w:lvl w:ilvl="0" w:tplc="E1F872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B260F0"/>
    <w:multiLevelType w:val="hybridMultilevel"/>
    <w:tmpl w:val="42C026B2"/>
    <w:lvl w:ilvl="0" w:tplc="E1F8726A">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873AE6"/>
    <w:multiLevelType w:val="hybridMultilevel"/>
    <w:tmpl w:val="81A0490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60C2E04"/>
    <w:multiLevelType w:val="hybridMultilevel"/>
    <w:tmpl w:val="0BD2E584"/>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AA43C3"/>
    <w:multiLevelType w:val="hybridMultilevel"/>
    <w:tmpl w:val="C6EA874C"/>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171167"/>
    <w:multiLevelType w:val="hybridMultilevel"/>
    <w:tmpl w:val="F5BA81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9622D1C"/>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97202"/>
    <w:multiLevelType w:val="hybridMultilevel"/>
    <w:tmpl w:val="1AFA6A96"/>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151DFA"/>
    <w:multiLevelType w:val="hybridMultilevel"/>
    <w:tmpl w:val="8CB2ED2C"/>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471F9C"/>
    <w:multiLevelType w:val="hybridMultilevel"/>
    <w:tmpl w:val="9F7A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116FB1"/>
    <w:multiLevelType w:val="hybridMultilevel"/>
    <w:tmpl w:val="501254F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F85FDA"/>
    <w:multiLevelType w:val="hybridMultilevel"/>
    <w:tmpl w:val="CE7AD682"/>
    <w:lvl w:ilvl="0" w:tplc="E1F8726A">
      <w:start w:val="1"/>
      <w:numFmt w:val="bullet"/>
      <w:lvlText w:val=""/>
      <w:lvlJc w:val="left"/>
      <w:pPr>
        <w:ind w:left="720" w:hanging="360"/>
      </w:pPr>
      <w:rPr>
        <w:rFonts w:ascii="Wingdings" w:hAnsi="Wingdings" w:hint="default"/>
      </w:rPr>
    </w:lvl>
    <w:lvl w:ilvl="1" w:tplc="DDF48E6C">
      <w:start w:val="1"/>
      <w:numFmt w:val="bullet"/>
      <w:lvlText w:val="o"/>
      <w:lvlJc w:val="left"/>
      <w:pPr>
        <w:ind w:left="1440" w:hanging="360"/>
      </w:pPr>
      <w:rPr>
        <w:rFonts w:ascii="Courier New" w:hAnsi="Courier New" w:hint="default"/>
      </w:rPr>
    </w:lvl>
    <w:lvl w:ilvl="2" w:tplc="558A0DB4">
      <w:start w:val="1"/>
      <w:numFmt w:val="bullet"/>
      <w:lvlText w:val=""/>
      <w:lvlJc w:val="left"/>
      <w:pPr>
        <w:ind w:left="2160" w:hanging="360"/>
      </w:pPr>
      <w:rPr>
        <w:rFonts w:ascii="Wingdings" w:hAnsi="Wingdings" w:hint="default"/>
      </w:rPr>
    </w:lvl>
    <w:lvl w:ilvl="3" w:tplc="F348A070">
      <w:start w:val="1"/>
      <w:numFmt w:val="bullet"/>
      <w:lvlText w:val=""/>
      <w:lvlJc w:val="left"/>
      <w:pPr>
        <w:ind w:left="2880" w:hanging="360"/>
      </w:pPr>
      <w:rPr>
        <w:rFonts w:ascii="Symbol" w:hAnsi="Symbol" w:hint="default"/>
      </w:rPr>
    </w:lvl>
    <w:lvl w:ilvl="4" w:tplc="7F3A5D2A">
      <w:start w:val="1"/>
      <w:numFmt w:val="bullet"/>
      <w:lvlText w:val="o"/>
      <w:lvlJc w:val="left"/>
      <w:pPr>
        <w:ind w:left="3600" w:hanging="360"/>
      </w:pPr>
      <w:rPr>
        <w:rFonts w:ascii="Courier New" w:hAnsi="Courier New" w:hint="default"/>
      </w:rPr>
    </w:lvl>
    <w:lvl w:ilvl="5" w:tplc="9BA6BE76">
      <w:start w:val="1"/>
      <w:numFmt w:val="bullet"/>
      <w:lvlText w:val=""/>
      <w:lvlJc w:val="left"/>
      <w:pPr>
        <w:ind w:left="4320" w:hanging="360"/>
      </w:pPr>
      <w:rPr>
        <w:rFonts w:ascii="Wingdings" w:hAnsi="Wingdings" w:hint="default"/>
      </w:rPr>
    </w:lvl>
    <w:lvl w:ilvl="6" w:tplc="54B2B29E">
      <w:start w:val="1"/>
      <w:numFmt w:val="bullet"/>
      <w:lvlText w:val=""/>
      <w:lvlJc w:val="left"/>
      <w:pPr>
        <w:ind w:left="5040" w:hanging="360"/>
      </w:pPr>
      <w:rPr>
        <w:rFonts w:ascii="Symbol" w:hAnsi="Symbol" w:hint="default"/>
      </w:rPr>
    </w:lvl>
    <w:lvl w:ilvl="7" w:tplc="017C49EA">
      <w:start w:val="1"/>
      <w:numFmt w:val="bullet"/>
      <w:lvlText w:val="o"/>
      <w:lvlJc w:val="left"/>
      <w:pPr>
        <w:ind w:left="5760" w:hanging="360"/>
      </w:pPr>
      <w:rPr>
        <w:rFonts w:ascii="Courier New" w:hAnsi="Courier New" w:hint="default"/>
      </w:rPr>
    </w:lvl>
    <w:lvl w:ilvl="8" w:tplc="170A6152">
      <w:start w:val="1"/>
      <w:numFmt w:val="bullet"/>
      <w:lvlText w:val=""/>
      <w:lvlJc w:val="left"/>
      <w:pPr>
        <w:ind w:left="6480" w:hanging="360"/>
      </w:pPr>
      <w:rPr>
        <w:rFonts w:ascii="Wingdings" w:hAnsi="Wingdings" w:hint="default"/>
      </w:rPr>
    </w:lvl>
  </w:abstractNum>
  <w:abstractNum w:abstractNumId="42" w15:restartNumberingAfterBreak="0">
    <w:nsid w:val="79255796"/>
    <w:multiLevelType w:val="hybridMultilevel"/>
    <w:tmpl w:val="01A0D90A"/>
    <w:lvl w:ilvl="0" w:tplc="F69451F4">
      <w:start w:val="1"/>
      <w:numFmt w:val="decimal"/>
      <w:lvlText w:val="%1."/>
      <w:lvlJc w:val="left"/>
      <w:pPr>
        <w:ind w:left="766" w:hanging="360"/>
      </w:pPr>
      <w:rPr>
        <w:b w:val="0"/>
      </w:r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3" w15:restartNumberingAfterBreak="0">
    <w:nsid w:val="7BB23870"/>
    <w:multiLevelType w:val="hybridMultilevel"/>
    <w:tmpl w:val="9FE250A2"/>
    <w:lvl w:ilvl="0" w:tplc="E1F872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C6F1377"/>
    <w:multiLevelType w:val="hybridMultilevel"/>
    <w:tmpl w:val="CC8EE5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D5C030C"/>
    <w:multiLevelType w:val="hybridMultilevel"/>
    <w:tmpl w:val="A23EA040"/>
    <w:lvl w:ilvl="0" w:tplc="4B903392">
      <w:start w:val="1"/>
      <w:numFmt w:val="bullet"/>
      <w:pStyle w:val="BulletLevel1"/>
      <w:lvlText w:val=""/>
      <w:lvlJc w:val="left"/>
      <w:pPr>
        <w:tabs>
          <w:tab w:val="num" w:pos="360"/>
        </w:tabs>
        <w:ind w:left="360" w:hanging="360"/>
      </w:pPr>
      <w:rPr>
        <w:rFonts w:ascii="Symbol" w:hAnsi="Symbol" w:hint="default"/>
        <w:sz w:val="24"/>
      </w:rPr>
    </w:lvl>
    <w:lvl w:ilvl="1" w:tplc="C6D43DA4">
      <w:numFmt w:val="decimal"/>
      <w:lvlText w:val=""/>
      <w:lvlJc w:val="left"/>
    </w:lvl>
    <w:lvl w:ilvl="2" w:tplc="2A8461B0">
      <w:numFmt w:val="decimal"/>
      <w:lvlText w:val=""/>
      <w:lvlJc w:val="left"/>
    </w:lvl>
    <w:lvl w:ilvl="3" w:tplc="19706012">
      <w:numFmt w:val="decimal"/>
      <w:lvlText w:val=""/>
      <w:lvlJc w:val="left"/>
    </w:lvl>
    <w:lvl w:ilvl="4" w:tplc="EB64F80E">
      <w:numFmt w:val="decimal"/>
      <w:lvlText w:val=""/>
      <w:lvlJc w:val="left"/>
    </w:lvl>
    <w:lvl w:ilvl="5" w:tplc="CCFC8A82">
      <w:numFmt w:val="decimal"/>
      <w:lvlText w:val=""/>
      <w:lvlJc w:val="left"/>
    </w:lvl>
    <w:lvl w:ilvl="6" w:tplc="346688D6">
      <w:numFmt w:val="decimal"/>
      <w:lvlText w:val=""/>
      <w:lvlJc w:val="left"/>
    </w:lvl>
    <w:lvl w:ilvl="7" w:tplc="1B1ECEBC">
      <w:numFmt w:val="decimal"/>
      <w:lvlText w:val=""/>
      <w:lvlJc w:val="left"/>
    </w:lvl>
    <w:lvl w:ilvl="8" w:tplc="91C47A66">
      <w:numFmt w:val="decimal"/>
      <w:lvlText w:val=""/>
      <w:lvlJc w:val="left"/>
    </w:lvl>
  </w:abstractNum>
  <w:num w:numId="1">
    <w:abstractNumId w:val="45"/>
  </w:num>
  <w:num w:numId="2">
    <w:abstractNumId w:val="26"/>
  </w:num>
  <w:num w:numId="3">
    <w:abstractNumId w:val="32"/>
  </w:num>
  <w:num w:numId="4">
    <w:abstractNumId w:val="42"/>
  </w:num>
  <w:num w:numId="5">
    <w:abstractNumId w:val="22"/>
  </w:num>
  <w:num w:numId="6">
    <w:abstractNumId w:val="5"/>
  </w:num>
  <w:num w:numId="7">
    <w:abstractNumId w:val="35"/>
  </w:num>
  <w:num w:numId="8">
    <w:abstractNumId w:val="0"/>
  </w:num>
  <w:num w:numId="9">
    <w:abstractNumId w:val="43"/>
  </w:num>
  <w:num w:numId="10">
    <w:abstractNumId w:val="15"/>
  </w:num>
  <w:num w:numId="11">
    <w:abstractNumId w:val="27"/>
  </w:num>
  <w:num w:numId="12">
    <w:abstractNumId w:val="30"/>
  </w:num>
  <w:num w:numId="13">
    <w:abstractNumId w:val="2"/>
  </w:num>
  <w:num w:numId="14">
    <w:abstractNumId w:val="44"/>
  </w:num>
  <w:num w:numId="15">
    <w:abstractNumId w:val="39"/>
  </w:num>
  <w:num w:numId="16">
    <w:abstractNumId w:val="18"/>
  </w:num>
  <w:num w:numId="17">
    <w:abstractNumId w:val="38"/>
  </w:num>
  <w:num w:numId="18">
    <w:abstractNumId w:val="41"/>
  </w:num>
  <w:num w:numId="19">
    <w:abstractNumId w:val="24"/>
  </w:num>
  <w:num w:numId="20">
    <w:abstractNumId w:val="17"/>
  </w:num>
  <w:num w:numId="21">
    <w:abstractNumId w:val="12"/>
  </w:num>
  <w:num w:numId="22">
    <w:abstractNumId w:val="9"/>
  </w:num>
  <w:num w:numId="23">
    <w:abstractNumId w:val="20"/>
  </w:num>
  <w:num w:numId="24">
    <w:abstractNumId w:val="13"/>
  </w:num>
  <w:num w:numId="25">
    <w:abstractNumId w:val="8"/>
  </w:num>
  <w:num w:numId="26">
    <w:abstractNumId w:val="19"/>
  </w:num>
  <w:num w:numId="27">
    <w:abstractNumId w:val="37"/>
  </w:num>
  <w:num w:numId="28">
    <w:abstractNumId w:val="34"/>
  </w:num>
  <w:num w:numId="29">
    <w:abstractNumId w:val="33"/>
  </w:num>
  <w:num w:numId="30">
    <w:abstractNumId w:val="21"/>
  </w:num>
  <w:num w:numId="31">
    <w:abstractNumId w:val="14"/>
  </w:num>
  <w:num w:numId="32">
    <w:abstractNumId w:val="29"/>
  </w:num>
  <w:num w:numId="33">
    <w:abstractNumId w:val="31"/>
  </w:num>
  <w:num w:numId="34">
    <w:abstractNumId w:val="6"/>
  </w:num>
  <w:num w:numId="35">
    <w:abstractNumId w:val="23"/>
  </w:num>
  <w:num w:numId="36">
    <w:abstractNumId w:val="1"/>
  </w:num>
  <w:num w:numId="37">
    <w:abstractNumId w:val="28"/>
  </w:num>
  <w:num w:numId="38">
    <w:abstractNumId w:val="40"/>
  </w:num>
  <w:num w:numId="39">
    <w:abstractNumId w:val="16"/>
  </w:num>
  <w:num w:numId="40">
    <w:abstractNumId w:val="36"/>
  </w:num>
  <w:num w:numId="41">
    <w:abstractNumId w:val="7"/>
  </w:num>
  <w:num w:numId="42">
    <w:abstractNumId w:val="3"/>
  </w:num>
  <w:num w:numId="43">
    <w:abstractNumId w:val="10"/>
  </w:num>
  <w:num w:numId="44">
    <w:abstractNumId w:val="11"/>
  </w:num>
  <w:num w:numId="45">
    <w:abstractNumId w:val="4"/>
  </w:num>
  <w:num w:numId="46">
    <w:abstractNumId w:val="25"/>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0E"/>
    <w:rsid w:val="00023DAA"/>
    <w:rsid w:val="000655CA"/>
    <w:rsid w:val="0007098F"/>
    <w:rsid w:val="000711FC"/>
    <w:rsid w:val="000814FE"/>
    <w:rsid w:val="000819A3"/>
    <w:rsid w:val="000959FE"/>
    <w:rsid w:val="00096243"/>
    <w:rsid w:val="000A123F"/>
    <w:rsid w:val="000A37FD"/>
    <w:rsid w:val="000A4A45"/>
    <w:rsid w:val="000B0D8A"/>
    <w:rsid w:val="000B3A6E"/>
    <w:rsid w:val="000C4E54"/>
    <w:rsid w:val="000D6BE2"/>
    <w:rsid w:val="000F598C"/>
    <w:rsid w:val="0010358D"/>
    <w:rsid w:val="0011324F"/>
    <w:rsid w:val="00120DA2"/>
    <w:rsid w:val="0012404A"/>
    <w:rsid w:val="0012752A"/>
    <w:rsid w:val="001361E1"/>
    <w:rsid w:val="00147490"/>
    <w:rsid w:val="00151175"/>
    <w:rsid w:val="0015417C"/>
    <w:rsid w:val="001606E5"/>
    <w:rsid w:val="00170AF6"/>
    <w:rsid w:val="00180AC2"/>
    <w:rsid w:val="00192E08"/>
    <w:rsid w:val="00194389"/>
    <w:rsid w:val="001B0442"/>
    <w:rsid w:val="001D43DD"/>
    <w:rsid w:val="00237746"/>
    <w:rsid w:val="00242B00"/>
    <w:rsid w:val="00243662"/>
    <w:rsid w:val="00246A19"/>
    <w:rsid w:val="00255CA2"/>
    <w:rsid w:val="00260313"/>
    <w:rsid w:val="00262CBD"/>
    <w:rsid w:val="00273F2C"/>
    <w:rsid w:val="0028044D"/>
    <w:rsid w:val="00285F9F"/>
    <w:rsid w:val="00291B90"/>
    <w:rsid w:val="0029436A"/>
    <w:rsid w:val="002975E0"/>
    <w:rsid w:val="00297C80"/>
    <w:rsid w:val="002A315B"/>
    <w:rsid w:val="002A4F1D"/>
    <w:rsid w:val="002A7DD4"/>
    <w:rsid w:val="002D4067"/>
    <w:rsid w:val="002E3BB3"/>
    <w:rsid w:val="00302B0E"/>
    <w:rsid w:val="00305982"/>
    <w:rsid w:val="0030688D"/>
    <w:rsid w:val="00307ED5"/>
    <w:rsid w:val="00323B7D"/>
    <w:rsid w:val="003521AC"/>
    <w:rsid w:val="00366DDA"/>
    <w:rsid w:val="00367F15"/>
    <w:rsid w:val="003735CF"/>
    <w:rsid w:val="003877F3"/>
    <w:rsid w:val="00393DCA"/>
    <w:rsid w:val="00395388"/>
    <w:rsid w:val="003B701A"/>
    <w:rsid w:val="003C2428"/>
    <w:rsid w:val="003C3668"/>
    <w:rsid w:val="003C6A81"/>
    <w:rsid w:val="003C7920"/>
    <w:rsid w:val="003D0939"/>
    <w:rsid w:val="00423595"/>
    <w:rsid w:val="00425A04"/>
    <w:rsid w:val="00430F44"/>
    <w:rsid w:val="00431892"/>
    <w:rsid w:val="004469D1"/>
    <w:rsid w:val="00446DBA"/>
    <w:rsid w:val="0045776F"/>
    <w:rsid w:val="0046201F"/>
    <w:rsid w:val="004856A9"/>
    <w:rsid w:val="004A4241"/>
    <w:rsid w:val="004B7FF3"/>
    <w:rsid w:val="004F32D9"/>
    <w:rsid w:val="004F421F"/>
    <w:rsid w:val="00530BF7"/>
    <w:rsid w:val="005455E9"/>
    <w:rsid w:val="005654F1"/>
    <w:rsid w:val="00565F4D"/>
    <w:rsid w:val="0056702C"/>
    <w:rsid w:val="00580123"/>
    <w:rsid w:val="005A0EC3"/>
    <w:rsid w:val="005A2FA5"/>
    <w:rsid w:val="005C1C80"/>
    <w:rsid w:val="0061507E"/>
    <w:rsid w:val="00620B81"/>
    <w:rsid w:val="00620D4A"/>
    <w:rsid w:val="00621B7C"/>
    <w:rsid w:val="0064122F"/>
    <w:rsid w:val="0064745D"/>
    <w:rsid w:val="00651259"/>
    <w:rsid w:val="00651796"/>
    <w:rsid w:val="0065248E"/>
    <w:rsid w:val="00655F56"/>
    <w:rsid w:val="00661024"/>
    <w:rsid w:val="006726B2"/>
    <w:rsid w:val="006742D9"/>
    <w:rsid w:val="006748AB"/>
    <w:rsid w:val="006823AC"/>
    <w:rsid w:val="00686BF6"/>
    <w:rsid w:val="00691E5C"/>
    <w:rsid w:val="00697FF2"/>
    <w:rsid w:val="006A62EE"/>
    <w:rsid w:val="006B3789"/>
    <w:rsid w:val="006B5FAD"/>
    <w:rsid w:val="006B7AAE"/>
    <w:rsid w:val="006C39C4"/>
    <w:rsid w:val="006E4897"/>
    <w:rsid w:val="006E4BA1"/>
    <w:rsid w:val="006F0DA3"/>
    <w:rsid w:val="006F17F8"/>
    <w:rsid w:val="006F300F"/>
    <w:rsid w:val="007114B4"/>
    <w:rsid w:val="00714F7D"/>
    <w:rsid w:val="00720F68"/>
    <w:rsid w:val="007429D7"/>
    <w:rsid w:val="00750A83"/>
    <w:rsid w:val="00754C52"/>
    <w:rsid w:val="007611BE"/>
    <w:rsid w:val="0076452A"/>
    <w:rsid w:val="007741ED"/>
    <w:rsid w:val="007742C9"/>
    <w:rsid w:val="00782AC3"/>
    <w:rsid w:val="00784E10"/>
    <w:rsid w:val="007A6779"/>
    <w:rsid w:val="007D2E8D"/>
    <w:rsid w:val="007E2C7D"/>
    <w:rsid w:val="00806CEC"/>
    <w:rsid w:val="0081793D"/>
    <w:rsid w:val="00820DED"/>
    <w:rsid w:val="00822FFE"/>
    <w:rsid w:val="00836E84"/>
    <w:rsid w:val="00840A66"/>
    <w:rsid w:val="00843949"/>
    <w:rsid w:val="00845578"/>
    <w:rsid w:val="00845F73"/>
    <w:rsid w:val="008518A0"/>
    <w:rsid w:val="00861760"/>
    <w:rsid w:val="0087727C"/>
    <w:rsid w:val="008855BB"/>
    <w:rsid w:val="00893730"/>
    <w:rsid w:val="008B44B2"/>
    <w:rsid w:val="008B61E0"/>
    <w:rsid w:val="008E6494"/>
    <w:rsid w:val="008F18C3"/>
    <w:rsid w:val="008F339F"/>
    <w:rsid w:val="008F57BD"/>
    <w:rsid w:val="00903B8B"/>
    <w:rsid w:val="00905850"/>
    <w:rsid w:val="0090679F"/>
    <w:rsid w:val="00906A57"/>
    <w:rsid w:val="0091386A"/>
    <w:rsid w:val="00915AA0"/>
    <w:rsid w:val="00936E87"/>
    <w:rsid w:val="0094356A"/>
    <w:rsid w:val="009464B5"/>
    <w:rsid w:val="00947F85"/>
    <w:rsid w:val="009575EC"/>
    <w:rsid w:val="00967A6C"/>
    <w:rsid w:val="00971767"/>
    <w:rsid w:val="0098037A"/>
    <w:rsid w:val="00982D3A"/>
    <w:rsid w:val="00984575"/>
    <w:rsid w:val="00985DE1"/>
    <w:rsid w:val="009902F0"/>
    <w:rsid w:val="00997D11"/>
    <w:rsid w:val="009C39C6"/>
    <w:rsid w:val="009C5E59"/>
    <w:rsid w:val="009D0CDB"/>
    <w:rsid w:val="009D7F73"/>
    <w:rsid w:val="009F6E90"/>
    <w:rsid w:val="00A03B41"/>
    <w:rsid w:val="00A20892"/>
    <w:rsid w:val="00A30A1E"/>
    <w:rsid w:val="00A33A8D"/>
    <w:rsid w:val="00A459D7"/>
    <w:rsid w:val="00A46421"/>
    <w:rsid w:val="00A502CB"/>
    <w:rsid w:val="00A56265"/>
    <w:rsid w:val="00A636AB"/>
    <w:rsid w:val="00A658AF"/>
    <w:rsid w:val="00A86526"/>
    <w:rsid w:val="00A908B0"/>
    <w:rsid w:val="00AA03FF"/>
    <w:rsid w:val="00AA07D5"/>
    <w:rsid w:val="00AA3BF7"/>
    <w:rsid w:val="00AA55E1"/>
    <w:rsid w:val="00AC0D01"/>
    <w:rsid w:val="00AC2475"/>
    <w:rsid w:val="00B05CED"/>
    <w:rsid w:val="00B12278"/>
    <w:rsid w:val="00B124A0"/>
    <w:rsid w:val="00B23785"/>
    <w:rsid w:val="00B243C5"/>
    <w:rsid w:val="00B30BD3"/>
    <w:rsid w:val="00B31321"/>
    <w:rsid w:val="00B416C0"/>
    <w:rsid w:val="00B43B86"/>
    <w:rsid w:val="00B46EE2"/>
    <w:rsid w:val="00B51460"/>
    <w:rsid w:val="00B779DD"/>
    <w:rsid w:val="00B81850"/>
    <w:rsid w:val="00B929D5"/>
    <w:rsid w:val="00BD2052"/>
    <w:rsid w:val="00BD6F44"/>
    <w:rsid w:val="00C02577"/>
    <w:rsid w:val="00C04CD4"/>
    <w:rsid w:val="00C30E75"/>
    <w:rsid w:val="00C34573"/>
    <w:rsid w:val="00C5648D"/>
    <w:rsid w:val="00C7272B"/>
    <w:rsid w:val="00C7510C"/>
    <w:rsid w:val="00C914F9"/>
    <w:rsid w:val="00C93C3C"/>
    <w:rsid w:val="00CA56B0"/>
    <w:rsid w:val="00CA5FEA"/>
    <w:rsid w:val="00CA7717"/>
    <w:rsid w:val="00CC35FC"/>
    <w:rsid w:val="00CD6A25"/>
    <w:rsid w:val="00CE06EA"/>
    <w:rsid w:val="00CE4ADE"/>
    <w:rsid w:val="00D02F71"/>
    <w:rsid w:val="00D0789E"/>
    <w:rsid w:val="00D1232F"/>
    <w:rsid w:val="00D22391"/>
    <w:rsid w:val="00D236C3"/>
    <w:rsid w:val="00D2651B"/>
    <w:rsid w:val="00D47A45"/>
    <w:rsid w:val="00D50F6E"/>
    <w:rsid w:val="00D95C85"/>
    <w:rsid w:val="00DB2ED9"/>
    <w:rsid w:val="00DF4832"/>
    <w:rsid w:val="00E00206"/>
    <w:rsid w:val="00E0150F"/>
    <w:rsid w:val="00E150FF"/>
    <w:rsid w:val="00E2137C"/>
    <w:rsid w:val="00E425B8"/>
    <w:rsid w:val="00E45096"/>
    <w:rsid w:val="00E6655D"/>
    <w:rsid w:val="00E72CCD"/>
    <w:rsid w:val="00EA0F0F"/>
    <w:rsid w:val="00EA62CE"/>
    <w:rsid w:val="00EA7C95"/>
    <w:rsid w:val="00EB015F"/>
    <w:rsid w:val="00EB15E4"/>
    <w:rsid w:val="00EB5489"/>
    <w:rsid w:val="00EE2263"/>
    <w:rsid w:val="00EF2CA7"/>
    <w:rsid w:val="00EF6512"/>
    <w:rsid w:val="00F062F7"/>
    <w:rsid w:val="00F20E24"/>
    <w:rsid w:val="00F25D31"/>
    <w:rsid w:val="00F30B03"/>
    <w:rsid w:val="00F40B71"/>
    <w:rsid w:val="00F439DF"/>
    <w:rsid w:val="00F45FBF"/>
    <w:rsid w:val="00F6283B"/>
    <w:rsid w:val="00F671C8"/>
    <w:rsid w:val="00F82576"/>
    <w:rsid w:val="00FA43F2"/>
    <w:rsid w:val="00FB1669"/>
    <w:rsid w:val="00FB5F5A"/>
    <w:rsid w:val="00FC1A4A"/>
    <w:rsid w:val="00FC6152"/>
    <w:rsid w:val="00FD0642"/>
    <w:rsid w:val="00FE3811"/>
    <w:rsid w:val="33FC3519"/>
    <w:rsid w:val="48AB9E4C"/>
    <w:rsid w:val="6DCA7CB0"/>
    <w:rsid w:val="7DD30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103F"/>
  <w15:chartTrackingRefBased/>
  <w15:docId w15:val="{35CAF7C4-FFEB-40FA-936A-A42C7E15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B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2B0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02B0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02B0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02B0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B0E"/>
    <w:rPr>
      <w:rFonts w:ascii="Segoe UI" w:hAnsi="Segoe UI" w:cs="Segoe UI"/>
      <w:sz w:val="18"/>
      <w:szCs w:val="18"/>
    </w:rPr>
  </w:style>
  <w:style w:type="character" w:customStyle="1" w:styleId="Heading1Char">
    <w:name w:val="Heading 1 Char"/>
    <w:basedOn w:val="DefaultParagraphFont"/>
    <w:link w:val="Heading1"/>
    <w:uiPriority w:val="9"/>
    <w:rsid w:val="00302B0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302B0E"/>
    <w:rPr>
      <w:rFonts w:ascii="Arial" w:eastAsia="Times New Roman" w:hAnsi="Arial" w:cs="Arial"/>
      <w:b/>
      <w:bCs/>
      <w:i/>
      <w:iCs/>
      <w:sz w:val="28"/>
      <w:szCs w:val="28"/>
    </w:rPr>
  </w:style>
  <w:style w:type="character" w:customStyle="1" w:styleId="Heading3Char">
    <w:name w:val="Heading 3 Char"/>
    <w:basedOn w:val="DefaultParagraphFont"/>
    <w:link w:val="Heading3"/>
    <w:rsid w:val="00302B0E"/>
    <w:rPr>
      <w:rFonts w:ascii="Arial" w:eastAsia="Times New Roman" w:hAnsi="Arial" w:cs="Arial"/>
      <w:b/>
      <w:bCs/>
      <w:sz w:val="26"/>
      <w:szCs w:val="26"/>
    </w:rPr>
  </w:style>
  <w:style w:type="character" w:customStyle="1" w:styleId="Heading4Char">
    <w:name w:val="Heading 4 Char"/>
    <w:basedOn w:val="DefaultParagraphFont"/>
    <w:link w:val="Heading4"/>
    <w:rsid w:val="00302B0E"/>
    <w:rPr>
      <w:rFonts w:ascii="Times New Roman" w:eastAsia="Times New Roman" w:hAnsi="Times New Roman" w:cs="Times New Roman"/>
      <w:b/>
      <w:bCs/>
      <w:sz w:val="28"/>
      <w:szCs w:val="28"/>
    </w:rPr>
  </w:style>
  <w:style w:type="paragraph" w:styleId="FootnoteText">
    <w:name w:val="footnote text"/>
    <w:basedOn w:val="Normal"/>
    <w:link w:val="FootnoteTextChar"/>
    <w:semiHidden/>
    <w:rsid w:val="00302B0E"/>
    <w:pPr>
      <w:bidi/>
      <w:jc w:val="right"/>
    </w:pPr>
    <w:rPr>
      <w:sz w:val="20"/>
      <w:szCs w:val="20"/>
      <w:lang w:bidi="ar-QA"/>
    </w:rPr>
  </w:style>
  <w:style w:type="character" w:customStyle="1" w:styleId="FootnoteTextChar">
    <w:name w:val="Footnote Text Char"/>
    <w:basedOn w:val="DefaultParagraphFont"/>
    <w:link w:val="FootnoteText"/>
    <w:semiHidden/>
    <w:rsid w:val="00302B0E"/>
    <w:rPr>
      <w:rFonts w:ascii="Times New Roman" w:eastAsia="Times New Roman" w:hAnsi="Times New Roman" w:cs="Times New Roman"/>
      <w:sz w:val="20"/>
      <w:szCs w:val="20"/>
      <w:lang w:bidi="ar-QA"/>
    </w:rPr>
  </w:style>
  <w:style w:type="character" w:styleId="FootnoteReference">
    <w:name w:val="footnote reference"/>
    <w:semiHidden/>
    <w:rsid w:val="00302B0E"/>
    <w:rPr>
      <w:vertAlign w:val="superscript"/>
    </w:rPr>
  </w:style>
  <w:style w:type="paragraph" w:customStyle="1" w:styleId="LefttoRight">
    <w:name w:val="Left to Right"/>
    <w:basedOn w:val="Normal"/>
    <w:link w:val="LefttoRightChar"/>
    <w:rsid w:val="00302B0E"/>
    <w:pPr>
      <w:jc w:val="lowKashida"/>
    </w:pPr>
    <w:rPr>
      <w:lang w:bidi="ar-QA"/>
    </w:rPr>
  </w:style>
  <w:style w:type="character" w:customStyle="1" w:styleId="LefttoRightChar">
    <w:name w:val="Left to Right Char"/>
    <w:link w:val="LefttoRight"/>
    <w:rsid w:val="00302B0E"/>
    <w:rPr>
      <w:rFonts w:ascii="Times New Roman" w:eastAsia="Times New Roman" w:hAnsi="Times New Roman" w:cs="Times New Roman"/>
      <w:sz w:val="24"/>
      <w:szCs w:val="24"/>
      <w:lang w:bidi="ar-QA"/>
    </w:rPr>
  </w:style>
  <w:style w:type="table" w:styleId="TableGrid">
    <w:name w:val="Table Grid"/>
    <w:basedOn w:val="TableNormal"/>
    <w:rsid w:val="00302B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302B0E"/>
    <w:pPr>
      <w:pBdr>
        <w:bottom w:val="single" w:sz="4" w:space="1" w:color="auto"/>
      </w:pBdr>
      <w:spacing w:before="120" w:after="120"/>
      <w:jc w:val="both"/>
    </w:pPr>
    <w:rPr>
      <w:b/>
      <w:smallCaps/>
      <w:szCs w:val="20"/>
    </w:rPr>
  </w:style>
  <w:style w:type="paragraph" w:customStyle="1" w:styleId="BulletLevel1">
    <w:name w:val="Bullet Level 1"/>
    <w:basedOn w:val="Normal"/>
    <w:rsid w:val="00302B0E"/>
    <w:pPr>
      <w:numPr>
        <w:numId w:val="1"/>
      </w:numPr>
      <w:spacing w:before="120" w:after="120"/>
      <w:jc w:val="both"/>
    </w:pPr>
    <w:rPr>
      <w:szCs w:val="20"/>
    </w:rPr>
  </w:style>
  <w:style w:type="paragraph" w:styleId="Header">
    <w:name w:val="header"/>
    <w:basedOn w:val="Normal"/>
    <w:link w:val="HeaderChar"/>
    <w:uiPriority w:val="99"/>
    <w:rsid w:val="00302B0E"/>
    <w:pPr>
      <w:tabs>
        <w:tab w:val="center" w:pos="4320"/>
        <w:tab w:val="right" w:pos="8640"/>
      </w:tabs>
      <w:spacing w:before="120" w:after="120"/>
      <w:jc w:val="both"/>
    </w:pPr>
    <w:rPr>
      <w:szCs w:val="20"/>
    </w:rPr>
  </w:style>
  <w:style w:type="character" w:customStyle="1" w:styleId="HeaderChar">
    <w:name w:val="Header Char"/>
    <w:basedOn w:val="DefaultParagraphFont"/>
    <w:link w:val="Header"/>
    <w:uiPriority w:val="99"/>
    <w:rsid w:val="00302B0E"/>
    <w:rPr>
      <w:rFonts w:ascii="Times New Roman" w:eastAsia="Times New Roman" w:hAnsi="Times New Roman" w:cs="Times New Roman"/>
      <w:sz w:val="24"/>
      <w:szCs w:val="20"/>
    </w:rPr>
  </w:style>
  <w:style w:type="paragraph" w:styleId="TOC1">
    <w:name w:val="toc 1"/>
    <w:basedOn w:val="Normal"/>
    <w:next w:val="Normal"/>
    <w:autoRedefine/>
    <w:semiHidden/>
    <w:rsid w:val="00302B0E"/>
  </w:style>
  <w:style w:type="paragraph" w:styleId="TOC2">
    <w:name w:val="toc 2"/>
    <w:basedOn w:val="Normal"/>
    <w:next w:val="Normal"/>
    <w:autoRedefine/>
    <w:semiHidden/>
    <w:rsid w:val="00302B0E"/>
    <w:pPr>
      <w:ind w:left="240"/>
    </w:pPr>
  </w:style>
  <w:style w:type="paragraph" w:styleId="TOC3">
    <w:name w:val="toc 3"/>
    <w:basedOn w:val="Normal"/>
    <w:next w:val="Normal"/>
    <w:autoRedefine/>
    <w:semiHidden/>
    <w:rsid w:val="00302B0E"/>
    <w:pPr>
      <w:ind w:left="480"/>
    </w:pPr>
  </w:style>
  <w:style w:type="character" w:styleId="Hyperlink">
    <w:name w:val="Hyperlink"/>
    <w:rsid w:val="00302B0E"/>
    <w:rPr>
      <w:color w:val="0000FF"/>
      <w:u w:val="single"/>
    </w:rPr>
  </w:style>
  <w:style w:type="paragraph" w:styleId="Footer">
    <w:name w:val="footer"/>
    <w:basedOn w:val="Normal"/>
    <w:link w:val="FooterChar"/>
    <w:uiPriority w:val="99"/>
    <w:rsid w:val="00302B0E"/>
    <w:pPr>
      <w:tabs>
        <w:tab w:val="center" w:pos="4320"/>
        <w:tab w:val="right" w:pos="8640"/>
      </w:tabs>
    </w:pPr>
  </w:style>
  <w:style w:type="character" w:customStyle="1" w:styleId="FooterChar">
    <w:name w:val="Footer Char"/>
    <w:basedOn w:val="DefaultParagraphFont"/>
    <w:link w:val="Footer"/>
    <w:uiPriority w:val="99"/>
    <w:rsid w:val="00302B0E"/>
    <w:rPr>
      <w:rFonts w:ascii="Times New Roman" w:eastAsia="Times New Roman" w:hAnsi="Times New Roman" w:cs="Times New Roman"/>
      <w:sz w:val="24"/>
      <w:szCs w:val="24"/>
    </w:rPr>
  </w:style>
  <w:style w:type="character" w:styleId="PageNumber">
    <w:name w:val="page number"/>
    <w:basedOn w:val="DefaultParagraphFont"/>
    <w:rsid w:val="00302B0E"/>
  </w:style>
  <w:style w:type="table" w:styleId="TableList3">
    <w:name w:val="Table List 3"/>
    <w:basedOn w:val="TableNormal"/>
    <w:rsid w:val="00302B0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302B0E"/>
    <w:rPr>
      <w:sz w:val="16"/>
      <w:szCs w:val="16"/>
    </w:rPr>
  </w:style>
  <w:style w:type="paragraph" w:styleId="CommentText">
    <w:name w:val="annotation text"/>
    <w:basedOn w:val="Normal"/>
    <w:link w:val="CommentTextChar"/>
    <w:uiPriority w:val="99"/>
    <w:rsid w:val="00302B0E"/>
    <w:rPr>
      <w:sz w:val="20"/>
      <w:szCs w:val="20"/>
    </w:rPr>
  </w:style>
  <w:style w:type="character" w:customStyle="1" w:styleId="CommentTextChar">
    <w:name w:val="Comment Text Char"/>
    <w:basedOn w:val="DefaultParagraphFont"/>
    <w:link w:val="CommentText"/>
    <w:uiPriority w:val="99"/>
    <w:rsid w:val="00302B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302B0E"/>
    <w:rPr>
      <w:b/>
      <w:bCs/>
    </w:rPr>
  </w:style>
  <w:style w:type="character" w:customStyle="1" w:styleId="CommentSubjectChar">
    <w:name w:val="Comment Subject Char"/>
    <w:basedOn w:val="CommentTextChar"/>
    <w:link w:val="CommentSubject"/>
    <w:uiPriority w:val="99"/>
    <w:semiHidden/>
    <w:rsid w:val="00302B0E"/>
    <w:rPr>
      <w:rFonts w:ascii="Times New Roman" w:eastAsia="Times New Roman" w:hAnsi="Times New Roman" w:cs="Times New Roman"/>
      <w:b/>
      <w:bCs/>
      <w:sz w:val="20"/>
      <w:szCs w:val="20"/>
    </w:rPr>
  </w:style>
  <w:style w:type="paragraph" w:customStyle="1" w:styleId="TableSmallBullets">
    <w:name w:val="Table Small Bullets"/>
    <w:basedOn w:val="Normal"/>
    <w:rsid w:val="00302B0E"/>
    <w:pPr>
      <w:numPr>
        <w:numId w:val="2"/>
      </w:numPr>
      <w:tabs>
        <w:tab w:val="left" w:pos="144"/>
      </w:tabs>
      <w:ind w:left="144" w:hanging="144"/>
    </w:pPr>
    <w:rPr>
      <w:rFonts w:ascii="Futura MdCn BT" w:hAnsi="Futura MdCn BT"/>
      <w:sz w:val="20"/>
    </w:rPr>
  </w:style>
  <w:style w:type="paragraph" w:styleId="BodyTextIndent2">
    <w:name w:val="Body Text Indent 2"/>
    <w:basedOn w:val="Normal"/>
    <w:link w:val="BodyTextIndent2Char"/>
    <w:rsid w:val="00302B0E"/>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rsid w:val="00302B0E"/>
    <w:rPr>
      <w:rFonts w:ascii="Times New Roman" w:eastAsia="Times New Roman" w:hAnsi="Times New Roman" w:cs="Times New Roman"/>
      <w:sz w:val="24"/>
      <w:szCs w:val="24"/>
    </w:rPr>
  </w:style>
  <w:style w:type="character" w:styleId="Emphasis">
    <w:name w:val="Emphasis"/>
    <w:uiPriority w:val="20"/>
    <w:qFormat/>
    <w:rsid w:val="00302B0E"/>
    <w:rPr>
      <w:i/>
      <w:iCs/>
    </w:rPr>
  </w:style>
  <w:style w:type="paragraph" w:customStyle="1" w:styleId="Heading4t">
    <w:name w:val="Heading 4t"/>
    <w:basedOn w:val="Heading3"/>
    <w:rsid w:val="00302B0E"/>
    <w:rPr>
      <w:sz w:val="24"/>
      <w:szCs w:val="24"/>
    </w:rPr>
  </w:style>
  <w:style w:type="paragraph" w:styleId="EndnoteText">
    <w:name w:val="endnote text"/>
    <w:basedOn w:val="Normal"/>
    <w:link w:val="EndnoteTextChar"/>
    <w:semiHidden/>
    <w:rsid w:val="00302B0E"/>
    <w:rPr>
      <w:sz w:val="20"/>
      <w:szCs w:val="20"/>
    </w:rPr>
  </w:style>
  <w:style w:type="character" w:customStyle="1" w:styleId="EndnoteTextChar">
    <w:name w:val="Endnote Text Char"/>
    <w:basedOn w:val="DefaultParagraphFont"/>
    <w:link w:val="EndnoteText"/>
    <w:semiHidden/>
    <w:rsid w:val="00302B0E"/>
    <w:rPr>
      <w:rFonts w:ascii="Times New Roman" w:eastAsia="Times New Roman" w:hAnsi="Times New Roman" w:cs="Times New Roman"/>
      <w:sz w:val="20"/>
      <w:szCs w:val="20"/>
    </w:rPr>
  </w:style>
  <w:style w:type="character" w:styleId="EndnoteReference">
    <w:name w:val="endnote reference"/>
    <w:semiHidden/>
    <w:rsid w:val="00302B0E"/>
    <w:rPr>
      <w:vertAlign w:val="superscript"/>
    </w:rPr>
  </w:style>
  <w:style w:type="character" w:styleId="FollowedHyperlink">
    <w:name w:val="FollowedHyperlink"/>
    <w:rsid w:val="00302B0E"/>
    <w:rPr>
      <w:color w:val="800080"/>
      <w:u w:val="single"/>
    </w:rPr>
  </w:style>
  <w:style w:type="character" w:customStyle="1" w:styleId="QuickFormat9">
    <w:name w:val="QuickFormat9"/>
    <w:rsid w:val="00302B0E"/>
    <w:rPr>
      <w:b/>
      <w:i/>
      <w:color w:val="000000"/>
      <w:sz w:val="24"/>
    </w:rPr>
  </w:style>
  <w:style w:type="character" w:styleId="Strong">
    <w:name w:val="Strong"/>
    <w:qFormat/>
    <w:rsid w:val="00302B0E"/>
    <w:rPr>
      <w:b/>
      <w:bCs/>
    </w:rPr>
  </w:style>
  <w:style w:type="paragraph" w:styleId="NormalWeb">
    <w:name w:val="Normal (Web)"/>
    <w:basedOn w:val="Normal"/>
    <w:rsid w:val="00302B0E"/>
    <w:pPr>
      <w:spacing w:before="100" w:beforeAutospacing="1" w:after="100" w:afterAutospacing="1"/>
    </w:pPr>
  </w:style>
  <w:style w:type="table" w:customStyle="1" w:styleId="TableList31">
    <w:name w:val="Table List 31"/>
    <w:basedOn w:val="TableNormal"/>
    <w:next w:val="TableList3"/>
    <w:uiPriority w:val="99"/>
    <w:rsid w:val="00302B0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HTMLCite">
    <w:name w:val="HTML Cite"/>
    <w:uiPriority w:val="99"/>
    <w:unhideWhenUsed/>
    <w:rsid w:val="00302B0E"/>
    <w:rPr>
      <w:i/>
      <w:iCs/>
    </w:rPr>
  </w:style>
  <w:style w:type="paragraph" w:styleId="Revision">
    <w:name w:val="Revision"/>
    <w:hidden/>
    <w:uiPriority w:val="99"/>
    <w:semiHidden/>
    <w:rsid w:val="00302B0E"/>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02B0E"/>
    <w:pPr>
      <w:spacing w:after="200"/>
    </w:pPr>
    <w:rPr>
      <w:rFonts w:ascii="Calibri" w:eastAsia="Calibri" w:hAnsi="Calibri"/>
      <w:i/>
      <w:iCs/>
      <w:color w:val="44546A"/>
      <w:sz w:val="18"/>
      <w:szCs w:val="18"/>
    </w:rPr>
  </w:style>
  <w:style w:type="paragraph" w:styleId="ListParagraph">
    <w:name w:val="List Paragraph"/>
    <w:basedOn w:val="Normal"/>
    <w:uiPriority w:val="34"/>
    <w:qFormat/>
    <w:rsid w:val="00302B0E"/>
    <w:pPr>
      <w:ind w:left="720"/>
    </w:pPr>
  </w:style>
  <w:style w:type="paragraph" w:styleId="BodyText">
    <w:name w:val="Body Text"/>
    <w:basedOn w:val="Normal"/>
    <w:link w:val="BodyTextChar"/>
    <w:uiPriority w:val="1"/>
    <w:qFormat/>
    <w:rsid w:val="00302B0E"/>
    <w:pPr>
      <w:spacing w:after="120"/>
    </w:pPr>
  </w:style>
  <w:style w:type="character" w:customStyle="1" w:styleId="BodyTextChar">
    <w:name w:val="Body Text Char"/>
    <w:basedOn w:val="DefaultParagraphFont"/>
    <w:link w:val="BodyText"/>
    <w:uiPriority w:val="1"/>
    <w:rsid w:val="00302B0E"/>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02B0E"/>
  </w:style>
  <w:style w:type="table" w:customStyle="1" w:styleId="TableGrid1">
    <w:name w:val="Table Grid1"/>
    <w:basedOn w:val="TableNormal"/>
    <w:next w:val="TableGrid"/>
    <w:uiPriority w:val="39"/>
    <w:rsid w:val="00302B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2B0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39"/>
    <w:rsid w:val="00302B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2B0E"/>
    <w:pPr>
      <w:spacing w:after="0" w:line="240" w:lineRule="auto"/>
    </w:pPr>
    <w:rPr>
      <w:rFonts w:ascii="Calibri" w:eastAsia="Calibri" w:hAnsi="Calibri" w:cs="Times New Roman"/>
    </w:rPr>
  </w:style>
  <w:style w:type="table" w:customStyle="1" w:styleId="TableGrid3">
    <w:name w:val="Table Grid3"/>
    <w:basedOn w:val="TableNormal"/>
    <w:next w:val="TableGrid"/>
    <w:uiPriority w:val="39"/>
    <w:rsid w:val="00302B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
    <w:name w:val="Bullet list"/>
    <w:uiPriority w:val="99"/>
    <w:rsid w:val="00906A57"/>
    <w:pPr>
      <w:numPr>
        <w:numId w:val="43"/>
      </w:numPr>
    </w:pPr>
  </w:style>
  <w:style w:type="paragraph" w:customStyle="1" w:styleId="Style1">
    <w:name w:val="Style1"/>
    <w:basedOn w:val="Normal"/>
    <w:qFormat/>
    <w:rsid w:val="00906A57"/>
    <w:pPr>
      <w:numPr>
        <w:numId w:val="44"/>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848050">
      <w:bodyDiv w:val="1"/>
      <w:marLeft w:val="0"/>
      <w:marRight w:val="0"/>
      <w:marTop w:val="0"/>
      <w:marBottom w:val="0"/>
      <w:divBdr>
        <w:top w:val="none" w:sz="0" w:space="0" w:color="auto"/>
        <w:left w:val="none" w:sz="0" w:space="0" w:color="auto"/>
        <w:bottom w:val="none" w:sz="0" w:space="0" w:color="auto"/>
        <w:right w:val="none" w:sz="0" w:space="0" w:color="auto"/>
      </w:divBdr>
      <w:divsChild>
        <w:div w:id="903566320">
          <w:marLeft w:val="0"/>
          <w:marRight w:val="0"/>
          <w:marTop w:val="0"/>
          <w:marBottom w:val="0"/>
          <w:divBdr>
            <w:top w:val="none" w:sz="0" w:space="0" w:color="auto"/>
            <w:left w:val="none" w:sz="0" w:space="0" w:color="auto"/>
            <w:bottom w:val="none" w:sz="0" w:space="0" w:color="auto"/>
            <w:right w:val="none" w:sz="0" w:space="0" w:color="auto"/>
          </w:divBdr>
          <w:divsChild>
            <w:div w:id="1123958240">
              <w:marLeft w:val="0"/>
              <w:marRight w:val="0"/>
              <w:marTop w:val="0"/>
              <w:marBottom w:val="0"/>
              <w:divBdr>
                <w:top w:val="none" w:sz="0" w:space="0" w:color="auto"/>
                <w:left w:val="none" w:sz="0" w:space="0" w:color="auto"/>
                <w:bottom w:val="none" w:sz="0" w:space="0" w:color="auto"/>
                <w:right w:val="none" w:sz="0" w:space="0" w:color="auto"/>
              </w:divBdr>
            </w:div>
            <w:div w:id="738554285">
              <w:marLeft w:val="0"/>
              <w:marRight w:val="0"/>
              <w:marTop w:val="0"/>
              <w:marBottom w:val="0"/>
              <w:divBdr>
                <w:top w:val="none" w:sz="0" w:space="0" w:color="auto"/>
                <w:left w:val="none" w:sz="0" w:space="0" w:color="auto"/>
                <w:bottom w:val="none" w:sz="0" w:space="0" w:color="auto"/>
                <w:right w:val="none" w:sz="0" w:space="0" w:color="auto"/>
              </w:divBdr>
              <w:divsChild>
                <w:div w:id="1554077590">
                  <w:marLeft w:val="0"/>
                  <w:marRight w:val="0"/>
                  <w:marTop w:val="0"/>
                  <w:marBottom w:val="0"/>
                  <w:divBdr>
                    <w:top w:val="none" w:sz="0" w:space="0" w:color="auto"/>
                    <w:left w:val="none" w:sz="0" w:space="0" w:color="auto"/>
                    <w:bottom w:val="none" w:sz="0" w:space="0" w:color="auto"/>
                    <w:right w:val="none" w:sz="0" w:space="0" w:color="auto"/>
                  </w:divBdr>
                  <w:divsChild>
                    <w:div w:id="1653363617">
                      <w:marLeft w:val="0"/>
                      <w:marRight w:val="0"/>
                      <w:marTop w:val="0"/>
                      <w:marBottom w:val="0"/>
                      <w:divBdr>
                        <w:top w:val="none" w:sz="0" w:space="0" w:color="auto"/>
                        <w:left w:val="none" w:sz="0" w:space="0" w:color="auto"/>
                        <w:bottom w:val="none" w:sz="0" w:space="0" w:color="auto"/>
                        <w:right w:val="none" w:sz="0" w:space="0" w:color="auto"/>
                      </w:divBdr>
                      <w:divsChild>
                        <w:div w:id="14140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985345">
          <w:marLeft w:val="0"/>
          <w:marRight w:val="0"/>
          <w:marTop w:val="0"/>
          <w:marBottom w:val="0"/>
          <w:divBdr>
            <w:top w:val="none" w:sz="0" w:space="0" w:color="auto"/>
            <w:left w:val="none" w:sz="0" w:space="0" w:color="auto"/>
            <w:bottom w:val="none" w:sz="0" w:space="0" w:color="auto"/>
            <w:right w:val="none" w:sz="0" w:space="0" w:color="auto"/>
          </w:divBdr>
          <w:divsChild>
            <w:div w:id="106726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DCB_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68206-CAF7-AB44-B111-A84AAE99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4439</Words>
  <Characters>25305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29685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Mary A</dc:creator>
  <cp:keywords/>
  <dc:description/>
  <cp:lastModifiedBy>Brown, Erwin (AHRQ/CFACT)</cp:lastModifiedBy>
  <cp:revision>2</cp:revision>
  <cp:lastPrinted>2022-05-13T12:22:00Z</cp:lastPrinted>
  <dcterms:created xsi:type="dcterms:W3CDTF">2022-08-30T19:27:00Z</dcterms:created>
  <dcterms:modified xsi:type="dcterms:W3CDTF">2022-08-30T19:27:00Z</dcterms:modified>
</cp:coreProperties>
</file>